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D09EF">
      <w:pPr>
        <w:jc w:val="center"/>
        <w:rPr>
          <w:rFonts w:hint="eastAsia" w:ascii="宋体" w:hAnsi="宋体" w:eastAsia="宋体" w:cs="宋体"/>
          <w:b/>
          <w:bCs/>
          <w:color w:val="auto"/>
          <w:sz w:val="48"/>
          <w:szCs w:val="48"/>
          <w:highlight w:val="none"/>
          <w:lang w:eastAsia="zh-CN"/>
        </w:rPr>
      </w:pPr>
      <w:bookmarkStart w:id="140" w:name="_GoBack"/>
      <w:bookmarkEnd w:id="140"/>
    </w:p>
    <w:p w14:paraId="073BABFF">
      <w:pPr>
        <w:jc w:val="left"/>
        <w:outlineLvl w:val="9"/>
        <w:rPr>
          <w:rFonts w:hint="eastAsia" w:ascii="宋体" w:hAnsi="宋体" w:eastAsia="宋体" w:cs="宋体"/>
          <w:color w:val="auto"/>
          <w:highlight w:val="none"/>
        </w:rPr>
      </w:pPr>
      <w:bookmarkStart w:id="0" w:name="_Toc30281"/>
      <w:r>
        <w:rPr>
          <w:rFonts w:hint="eastAsia" w:ascii="宋体" w:hAnsi="宋体" w:eastAsia="宋体" w:cs="宋体"/>
          <w:color w:val="auto"/>
          <w:highlight w:val="none"/>
        </w:rPr>
        <w:object>
          <v:shape id="_x0000_i1025" o:spt="75" type="#_x0000_t75" style="height:55.1pt;width:82.75pt;" o:ole="t" filled="f" o:preferrelative="t" stroked="f" coordsize="21600,21600">
            <v:path/>
            <v:fill on="f" focussize="0,0"/>
            <v:stroke on="f"/>
            <v:imagedata r:id="rId12" o:title=""/>
            <o:lock v:ext="edit" aspectratio="t"/>
            <w10:wrap type="none"/>
            <w10:anchorlock/>
          </v:shape>
          <o:OLEObject Type="Embed" ProgID="CorelDRAW.Graphic.9" ShapeID="_x0000_i1025" DrawAspect="Content" ObjectID="_1468075725" r:id="rId11">
            <o:LockedField>false</o:LockedField>
          </o:OLEObject>
        </w:object>
      </w:r>
      <w:bookmarkEnd w:id="0"/>
    </w:p>
    <w:p w14:paraId="2E9165B7">
      <w:pPr>
        <w:jc w:val="center"/>
        <w:outlineLvl w:val="9"/>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广西桂春工程项目管理咨询有限公司</w:t>
      </w:r>
    </w:p>
    <w:p w14:paraId="0CE16F11">
      <w:pPr>
        <w:jc w:val="center"/>
        <w:rPr>
          <w:rFonts w:hint="eastAsia" w:ascii="宋体" w:hAnsi="宋体" w:eastAsia="宋体" w:cs="宋体"/>
          <w:b/>
          <w:bCs/>
          <w:color w:val="auto"/>
          <w:sz w:val="48"/>
          <w:szCs w:val="48"/>
          <w:highlight w:val="none"/>
          <w:lang w:eastAsia="zh-CN"/>
        </w:rPr>
      </w:pPr>
    </w:p>
    <w:p w14:paraId="7C41D250">
      <w:pPr>
        <w:jc w:val="both"/>
        <w:rPr>
          <w:rFonts w:hint="eastAsia" w:asciiTheme="majorEastAsia" w:hAnsiTheme="majorEastAsia" w:eastAsiaTheme="majorEastAsia" w:cstheme="majorEastAsia"/>
          <w:color w:val="auto"/>
          <w:sz w:val="84"/>
          <w:szCs w:val="84"/>
          <w:highlight w:val="none"/>
        </w:rPr>
      </w:pPr>
    </w:p>
    <w:p w14:paraId="2B6D327F">
      <w:pPr>
        <w:snapToGrid w:val="0"/>
        <w:spacing w:before="156" w:beforeLines="50"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竞争性谈判文件</w:t>
      </w:r>
    </w:p>
    <w:p w14:paraId="3F08FEE8">
      <w:pPr>
        <w:snapToGrid w:val="0"/>
        <w:spacing w:before="156" w:beforeLines="50" w:line="360" w:lineRule="auto"/>
        <w:jc w:val="center"/>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仿宋_GB2312" w:hAnsi="宋体" w:eastAsia="仿宋_GB2312"/>
          <w:b/>
          <w:color w:val="auto"/>
          <w:sz w:val="48"/>
          <w:szCs w:val="48"/>
          <w:highlight w:val="none"/>
        </w:rPr>
        <w:t>（全流程电子化采购）</w:t>
      </w:r>
      <w:r>
        <w:rPr>
          <w:rFonts w:hint="eastAsia" w:asciiTheme="majorEastAsia" w:hAnsiTheme="majorEastAsia" w:eastAsiaTheme="majorEastAsia" w:cstheme="majorEastAsia"/>
          <w:b/>
          <w:bCs/>
          <w:color w:val="auto"/>
          <w:sz w:val="84"/>
          <w:szCs w:val="84"/>
          <w:highlight w:val="none"/>
        </w:rPr>
        <w:t xml:space="preserve"> </w:t>
      </w:r>
    </w:p>
    <w:p w14:paraId="461E42F9">
      <w:pPr>
        <w:outlineLvl w:val="9"/>
        <w:rPr>
          <w:rFonts w:hint="eastAsia" w:asciiTheme="majorEastAsia" w:hAnsiTheme="majorEastAsia" w:eastAsiaTheme="majorEastAsia" w:cstheme="majorEastAsia"/>
          <w:b/>
          <w:bCs/>
          <w:color w:val="auto"/>
          <w:sz w:val="32"/>
          <w:szCs w:val="32"/>
          <w:highlight w:val="none"/>
        </w:rPr>
      </w:pPr>
    </w:p>
    <w:p w14:paraId="5E11F6B5">
      <w:pPr>
        <w:ind w:firstLine="1280" w:firstLineChars="400"/>
        <w:outlineLvl w:val="9"/>
        <w:rPr>
          <w:rFonts w:hint="eastAsia" w:asciiTheme="majorEastAsia" w:hAnsiTheme="majorEastAsia" w:eastAsiaTheme="majorEastAsia" w:cstheme="majorEastAsia"/>
          <w:b/>
          <w:bCs/>
          <w:color w:val="auto"/>
          <w:sz w:val="32"/>
          <w:szCs w:val="32"/>
          <w:highlight w:val="none"/>
        </w:rPr>
      </w:pPr>
    </w:p>
    <w:p w14:paraId="49015037">
      <w:pPr>
        <w:ind w:firstLine="960" w:firstLineChars="300"/>
        <w:outlineLvl w:val="9"/>
        <w:rPr>
          <w:rFonts w:hint="eastAsia" w:asciiTheme="majorEastAsia" w:hAnsiTheme="majorEastAsia" w:eastAsiaTheme="majorEastAsia" w:cstheme="majorEastAsia"/>
          <w:b/>
          <w:bCs/>
          <w:color w:val="auto"/>
          <w:sz w:val="32"/>
          <w:szCs w:val="32"/>
          <w:highlight w:val="none"/>
          <w:lang w:eastAsia="zh-CN"/>
        </w:rPr>
      </w:pPr>
      <w:r>
        <w:rPr>
          <w:rFonts w:hint="eastAsia" w:asciiTheme="majorEastAsia" w:hAnsiTheme="majorEastAsia" w:eastAsiaTheme="majorEastAsia" w:cstheme="majorEastAsia"/>
          <w:b/>
          <w:bCs/>
          <w:color w:val="auto"/>
          <w:sz w:val="32"/>
          <w:szCs w:val="32"/>
          <w:highlight w:val="none"/>
        </w:rPr>
        <w:t>项目名称</w:t>
      </w:r>
      <w:r>
        <w:rPr>
          <w:rFonts w:hint="eastAsia" w:asciiTheme="majorEastAsia" w:hAnsiTheme="majorEastAsia" w:eastAsiaTheme="majorEastAsia" w:cstheme="majorEastAsia"/>
          <w:b/>
          <w:bCs/>
          <w:color w:val="auto"/>
          <w:sz w:val="32"/>
          <w:szCs w:val="32"/>
          <w:highlight w:val="none"/>
          <w:lang w:eastAsia="zh-CN"/>
        </w:rPr>
        <w:t>：陆川县人民医院分院项目一期柴油发电机组</w:t>
      </w:r>
    </w:p>
    <w:p w14:paraId="04B65680">
      <w:pPr>
        <w:ind w:firstLine="2560" w:firstLineChars="800"/>
        <w:outlineLvl w:val="9"/>
        <w:rPr>
          <w:rFonts w:hint="eastAsia" w:asciiTheme="majorEastAsia" w:hAnsiTheme="majorEastAsia" w:eastAsiaTheme="majorEastAsia" w:cstheme="majorEastAsia"/>
          <w:b/>
          <w:bCs/>
          <w:color w:val="auto"/>
          <w:sz w:val="32"/>
          <w:szCs w:val="32"/>
          <w:highlight w:val="none"/>
          <w:lang w:eastAsia="zh-CN"/>
        </w:rPr>
      </w:pPr>
      <w:r>
        <w:rPr>
          <w:rFonts w:hint="eastAsia" w:asciiTheme="majorEastAsia" w:hAnsiTheme="majorEastAsia" w:eastAsiaTheme="majorEastAsia" w:cstheme="majorEastAsia"/>
          <w:b/>
          <w:bCs/>
          <w:color w:val="auto"/>
          <w:sz w:val="32"/>
          <w:szCs w:val="32"/>
          <w:highlight w:val="none"/>
          <w:lang w:eastAsia="zh-CN"/>
        </w:rPr>
        <w:t>采购及安装项目</w:t>
      </w:r>
    </w:p>
    <w:p w14:paraId="021B6C60">
      <w:pPr>
        <w:ind w:firstLine="960" w:firstLineChars="300"/>
        <w:outlineLvl w:val="9"/>
        <w:rPr>
          <w:rFonts w:hint="default"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rPr>
        <w:t>项目编号：</w:t>
      </w:r>
      <w:r>
        <w:rPr>
          <w:rFonts w:hint="eastAsia" w:asciiTheme="majorEastAsia" w:hAnsiTheme="majorEastAsia" w:eastAsiaTheme="majorEastAsia" w:cstheme="majorEastAsia"/>
          <w:b/>
          <w:bCs/>
          <w:color w:val="auto"/>
          <w:sz w:val="32"/>
          <w:szCs w:val="32"/>
          <w:highlight w:val="none"/>
        </w:rPr>
        <w:fldChar w:fldCharType="begin"/>
      </w:r>
      <w:r>
        <w:rPr>
          <w:rFonts w:hint="eastAsia" w:asciiTheme="majorEastAsia" w:hAnsiTheme="majorEastAsia" w:eastAsiaTheme="majorEastAsia" w:cstheme="majorEastAsia"/>
          <w:b/>
          <w:bCs/>
          <w:color w:val="auto"/>
          <w:sz w:val="32"/>
          <w:szCs w:val="32"/>
          <w:highlight w:val="none"/>
        </w:rPr>
        <w:instrText xml:space="preserve"> HYPERLINK "https://www.gcy.zfcg.gxzf.gov.cn/gaea/api/project/flow/redirect?projectId=7226737262776025104&amp;newUrl=https://www.gcy.zfcg.gxzf.gov.cn/micro-app-back-index/blank?_flow_type_=agency&amp;_flow_projectId_=7226737262776025104&amp;_jump_page_type_=project_procurement_management_flow&amp;_app_=zcy.procurement&amp;oldUrl=https://www.gcy.zfcg.gxzf.gov.cn/project-center/_procurement_/project-result-detail/7226737262776025104" \t "https://www.gcy.zfcg.gxzf.gov.cn/project-center/_procurement_/self-project/_blank" </w:instrText>
      </w:r>
      <w:r>
        <w:rPr>
          <w:rFonts w:hint="eastAsia" w:asciiTheme="majorEastAsia" w:hAnsiTheme="majorEastAsia" w:eastAsiaTheme="majorEastAsia" w:cstheme="majorEastAsia"/>
          <w:b/>
          <w:bCs/>
          <w:color w:val="auto"/>
          <w:sz w:val="32"/>
          <w:szCs w:val="32"/>
          <w:highlight w:val="none"/>
        </w:rPr>
        <w:fldChar w:fldCharType="separate"/>
      </w:r>
      <w:r>
        <w:rPr>
          <w:rFonts w:hint="eastAsia" w:asciiTheme="majorEastAsia" w:hAnsiTheme="majorEastAsia" w:eastAsiaTheme="majorEastAsia" w:cstheme="majorEastAsia"/>
          <w:b/>
          <w:bCs/>
          <w:color w:val="auto"/>
          <w:sz w:val="32"/>
          <w:szCs w:val="32"/>
          <w:highlight w:val="none"/>
        </w:rPr>
        <w:t>YLZC2025-J1-220232-GXGC</w:t>
      </w:r>
      <w:r>
        <w:rPr>
          <w:rFonts w:hint="eastAsia" w:asciiTheme="majorEastAsia" w:hAnsiTheme="majorEastAsia" w:eastAsiaTheme="majorEastAsia" w:cstheme="majorEastAsia"/>
          <w:b/>
          <w:bCs/>
          <w:color w:val="auto"/>
          <w:sz w:val="32"/>
          <w:szCs w:val="32"/>
          <w:highlight w:val="none"/>
        </w:rPr>
        <w:fldChar w:fldCharType="end"/>
      </w:r>
    </w:p>
    <w:p w14:paraId="057A83D6">
      <w:pPr>
        <w:ind w:firstLine="1400" w:firstLineChars="50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 xml:space="preserve">                                                                        </w:t>
      </w:r>
    </w:p>
    <w:p w14:paraId="7C2B9506">
      <w:pPr>
        <w:ind w:firstLine="1600" w:firstLineChars="500"/>
        <w:rPr>
          <w:rFonts w:hint="eastAsia" w:asciiTheme="majorEastAsia" w:hAnsiTheme="majorEastAsia" w:eastAsiaTheme="majorEastAsia" w:cstheme="majorEastAsia"/>
          <w:b/>
          <w:bCs/>
          <w:color w:val="auto"/>
          <w:kern w:val="0"/>
          <w:sz w:val="32"/>
          <w:szCs w:val="32"/>
          <w:highlight w:val="none"/>
          <w:lang w:val="en-US" w:eastAsia="zh-CN" w:bidi="ar-SA"/>
        </w:rPr>
      </w:pPr>
    </w:p>
    <w:p w14:paraId="2DD4ABDC">
      <w:pPr>
        <w:pStyle w:val="23"/>
        <w:rPr>
          <w:rFonts w:hint="eastAsia"/>
          <w:color w:val="auto"/>
          <w:highlight w:val="none"/>
          <w:lang w:val="en-US" w:eastAsia="zh-CN"/>
        </w:rPr>
      </w:pPr>
    </w:p>
    <w:p w14:paraId="01D8CEAC">
      <w:pPr>
        <w:ind w:firstLine="960" w:firstLineChars="300"/>
        <w:rPr>
          <w:rFonts w:hint="eastAsia" w:asciiTheme="majorEastAsia" w:hAnsiTheme="majorEastAsia" w:eastAsiaTheme="majorEastAsia" w:cstheme="majorEastAsia"/>
          <w:b/>
          <w:bCs/>
          <w:color w:val="auto"/>
          <w:kern w:val="0"/>
          <w:sz w:val="32"/>
          <w:szCs w:val="32"/>
          <w:highlight w:val="none"/>
          <w:lang w:val="en-US" w:eastAsia="zh-CN" w:bidi="ar-SA"/>
        </w:rPr>
      </w:pPr>
      <w:r>
        <w:rPr>
          <w:rFonts w:hint="eastAsia" w:asciiTheme="majorEastAsia" w:hAnsiTheme="majorEastAsia" w:eastAsiaTheme="majorEastAsia" w:cstheme="majorEastAsia"/>
          <w:b/>
          <w:bCs/>
          <w:color w:val="auto"/>
          <w:kern w:val="0"/>
          <w:sz w:val="32"/>
          <w:szCs w:val="32"/>
          <w:highlight w:val="none"/>
          <w:lang w:val="en-US" w:eastAsia="zh-CN" w:bidi="ar-SA"/>
        </w:rPr>
        <w:t>采购人：陆川县人民医院</w:t>
      </w:r>
    </w:p>
    <w:p w14:paraId="0EC94834">
      <w:pPr>
        <w:ind w:firstLine="960" w:firstLineChars="300"/>
        <w:rPr>
          <w:rFonts w:hint="eastAsia" w:asciiTheme="majorEastAsia" w:hAnsiTheme="majorEastAsia" w:eastAsiaTheme="majorEastAsia" w:cstheme="majorEastAsia"/>
          <w:b/>
          <w:bCs/>
          <w:color w:val="auto"/>
          <w:kern w:val="0"/>
          <w:sz w:val="32"/>
          <w:szCs w:val="32"/>
          <w:highlight w:val="none"/>
          <w:lang w:val="en-US" w:eastAsia="zh-CN" w:bidi="ar-SA"/>
        </w:rPr>
      </w:pPr>
      <w:r>
        <w:rPr>
          <w:rFonts w:hint="eastAsia" w:asciiTheme="majorEastAsia" w:hAnsiTheme="majorEastAsia" w:eastAsiaTheme="majorEastAsia" w:cstheme="majorEastAsia"/>
          <w:b/>
          <w:bCs/>
          <w:color w:val="auto"/>
          <w:kern w:val="0"/>
          <w:sz w:val="32"/>
          <w:szCs w:val="32"/>
          <w:highlight w:val="none"/>
          <w:lang w:val="en-US" w:eastAsia="zh-CN" w:bidi="ar-SA"/>
        </w:rPr>
        <w:t>采购代理机构：</w:t>
      </w:r>
      <w:r>
        <w:rPr>
          <w:rFonts w:hint="eastAsia" w:ascii="宋体" w:hAnsi="宋体" w:cs="宋体"/>
          <w:b/>
          <w:bCs/>
          <w:color w:val="auto"/>
          <w:kern w:val="0"/>
          <w:sz w:val="32"/>
          <w:szCs w:val="32"/>
          <w:highlight w:val="none"/>
          <w:lang w:val="en-US" w:eastAsia="zh-CN" w:bidi="ar-SA"/>
        </w:rPr>
        <w:t>广西桂春工程项目管理咨询有限公司</w:t>
      </w:r>
    </w:p>
    <w:p w14:paraId="63CFB56E">
      <w:pPr>
        <w:pStyle w:val="12"/>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2025年10月</w:t>
      </w:r>
    </w:p>
    <w:p w14:paraId="721B2BAE">
      <w:pPr>
        <w:pStyle w:val="12"/>
        <w:spacing w:before="120" w:after="120" w:line="360" w:lineRule="auto"/>
        <w:jc w:val="both"/>
        <w:rPr>
          <w:rFonts w:hint="eastAsia" w:asciiTheme="majorEastAsia" w:hAnsiTheme="majorEastAsia" w:eastAsiaTheme="majorEastAsia" w:cstheme="majorEastAsia"/>
          <w:b/>
          <w:bCs/>
          <w:color w:val="auto"/>
          <w:sz w:val="28"/>
          <w:szCs w:val="28"/>
          <w:highlight w:val="none"/>
          <w:lang w:val="en-US" w:eastAsia="zh-CN"/>
        </w:rPr>
        <w:sectPr>
          <w:headerReference r:id="rId4" w:type="first"/>
          <w:headerReference r:id="rId3" w:type="default"/>
          <w:pgSz w:w="11906" w:h="16838"/>
          <w:pgMar w:top="1134" w:right="1134" w:bottom="1134" w:left="1134" w:header="709" w:footer="709" w:gutter="0"/>
          <w:pgNumType w:fmt="decimal" w:start="1"/>
          <w:cols w:space="720" w:num="1"/>
          <w:titlePg/>
          <w:docGrid w:type="linesAndChars" w:linePitch="312" w:charSpace="0"/>
        </w:sectPr>
      </w:pPr>
    </w:p>
    <w:sdt>
      <w:sdtPr>
        <w:rPr>
          <w:rFonts w:ascii="宋体" w:hAnsi="宋体" w:eastAsia="宋体" w:cs="Times New Roman"/>
          <w:color w:val="auto"/>
          <w:kern w:val="2"/>
          <w:sz w:val="24"/>
          <w:szCs w:val="24"/>
          <w:highlight w:val="none"/>
          <w:lang w:val="en-US" w:eastAsia="zh-CN" w:bidi="ar-SA"/>
        </w:rPr>
        <w:id w:val="147458180"/>
        <w15:color w:val="DBDBDB"/>
        <w:docPartObj>
          <w:docPartGallery w:val="Table of Contents"/>
          <w:docPartUnique/>
        </w:docPartObj>
      </w:sdtPr>
      <w:sdtEndPr>
        <w:rPr>
          <w:rFonts w:hint="eastAsia" w:ascii="Times New Roman" w:hAnsi="Times New Roman" w:eastAsia="宋体" w:cs="Times New Roman"/>
          <w:color w:val="auto"/>
          <w:kern w:val="2"/>
          <w:sz w:val="24"/>
          <w:szCs w:val="24"/>
          <w:highlight w:val="none"/>
          <w:lang w:val="en-US" w:eastAsia="zh-CN" w:bidi="ar-SA"/>
        </w:rPr>
      </w:sdtEndPr>
      <w:sdtContent>
        <w:p w14:paraId="320B146C">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highlight w:val="none"/>
              <w:lang w:val="en-US" w:eastAsia="zh-CN" w:bidi="ar-SA"/>
            </w:rPr>
          </w:pPr>
        </w:p>
        <w:p w14:paraId="2A6FBEFA">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highlight w:val="none"/>
              <w:lang w:val="en-US" w:eastAsia="zh-CN" w:bidi="ar-SA"/>
            </w:rPr>
          </w:pPr>
        </w:p>
        <w:p w14:paraId="7E7BA224">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highlight w:val="none"/>
              <w:lang w:val="en-US" w:eastAsia="zh-CN" w:bidi="ar-SA"/>
            </w:rPr>
          </w:pPr>
        </w:p>
        <w:p w14:paraId="063BF964">
          <w:pPr>
            <w:spacing w:before="0" w:beforeLines="0" w:after="0" w:afterLines="0" w:line="240" w:lineRule="auto"/>
            <w:ind w:left="0" w:leftChars="0" w:right="0" w:rightChars="0" w:firstLine="0" w:firstLineChars="0"/>
            <w:jc w:val="center"/>
            <w:rPr>
              <w:rFonts w:ascii="宋体" w:hAnsi="宋体" w:eastAsia="宋体"/>
              <w:color w:val="auto"/>
              <w:sz w:val="48"/>
              <w:szCs w:val="48"/>
              <w:highlight w:val="none"/>
            </w:rPr>
          </w:pPr>
          <w:r>
            <w:rPr>
              <w:rFonts w:ascii="宋体" w:hAnsi="宋体" w:eastAsia="宋体"/>
              <w:color w:val="auto"/>
              <w:sz w:val="48"/>
              <w:szCs w:val="48"/>
              <w:highlight w:val="none"/>
            </w:rPr>
            <w:t>目</w:t>
          </w:r>
          <w:r>
            <w:rPr>
              <w:rFonts w:hint="eastAsia" w:ascii="宋体" w:hAnsi="宋体"/>
              <w:color w:val="auto"/>
              <w:sz w:val="48"/>
              <w:szCs w:val="48"/>
              <w:highlight w:val="none"/>
              <w:lang w:val="en-US" w:eastAsia="zh-CN"/>
            </w:rPr>
            <w:t xml:space="preserve"> </w:t>
          </w:r>
          <w:r>
            <w:rPr>
              <w:rFonts w:ascii="宋体" w:hAnsi="宋体" w:eastAsia="宋体"/>
              <w:color w:val="auto"/>
              <w:sz w:val="48"/>
              <w:szCs w:val="48"/>
              <w:highlight w:val="none"/>
            </w:rPr>
            <w:t>录</w:t>
          </w:r>
        </w:p>
        <w:p w14:paraId="3CC19320">
          <w:pPr>
            <w:keepNext w:val="0"/>
            <w:keepLines w:val="0"/>
            <w:pageBreakBefore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p w14:paraId="6E531347">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TOC \o "1-1" \h \u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_Toc1821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rPr>
            <w:t>竞争性谈判公告</w:t>
          </w:r>
          <w:r>
            <w:rPr>
              <w:rFonts w:hint="eastAsia" w:ascii="宋体" w:hAnsi="宋体" w:cs="宋体"/>
              <w:color w:val="auto"/>
              <w:sz w:val="24"/>
              <w:szCs w:val="24"/>
              <w:highlight w:val="none"/>
              <w:lang w:val="en-US" w:eastAsia="zh-CN"/>
            </w:rPr>
            <w:t>/竞标邀请函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3560425">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_Toc10522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450F144">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_Toc16307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_Toc16307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A91A4BB">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_Toc21292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第四章 评审程序和评定成交的标准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AE8084C">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_Toc27683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kern w:val="0"/>
              <w:sz w:val="24"/>
              <w:szCs w:val="24"/>
              <w:highlight w:val="none"/>
              <w:lang w:val="en-US" w:eastAsia="zh-CN" w:bidi="ar"/>
            </w:rPr>
            <w:t>第五章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93FB230">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_Toc23433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kern w:val="2"/>
              <w:sz w:val="24"/>
              <w:szCs w:val="24"/>
              <w:highlight w:val="none"/>
              <w:lang w:val="en-US" w:eastAsia="zh-CN" w:bidi="ar-SA"/>
            </w:rPr>
            <w:t>第六章 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_Toc23433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A1FC47E">
          <w:pPr>
            <w:pStyle w:val="27"/>
            <w:keepNext w:val="0"/>
            <w:keepLines w:val="0"/>
            <w:pageBreakBefore w:val="0"/>
            <w:tabs>
              <w:tab w:val="right" w:leader="dot" w:pos="9626"/>
            </w:tabs>
            <w:kinsoku/>
            <w:wordWrap/>
            <w:overflowPunct/>
            <w:topLinePunct w:val="0"/>
            <w:autoSpaceDE/>
            <w:autoSpaceDN/>
            <w:bidi w:val="0"/>
            <w:adjustRightInd/>
            <w:snapToGrid/>
            <w:spacing w:line="540" w:lineRule="exact"/>
            <w:textAlignment w:val="auto"/>
            <w:rPr>
              <w:rFonts w:hint="eastAsia" w:ascii="Times New Roman" w:hAnsi="Times New Roman" w:eastAsia="宋体" w:cs="Times New Roman"/>
              <w:color w:val="auto"/>
              <w:sz w:val="20"/>
              <w:szCs w:val="24"/>
              <w:highlight w:val="none"/>
              <w:lang w:val="en-US" w:eastAsia="zh-CN"/>
            </w:rPr>
          </w:pPr>
          <w:r>
            <w:rPr>
              <w:rFonts w:hint="eastAsia" w:ascii="宋体" w:hAnsi="宋体" w:eastAsia="宋体" w:cs="宋体"/>
              <w:color w:val="auto"/>
              <w:sz w:val="24"/>
              <w:szCs w:val="24"/>
              <w:highlight w:val="none"/>
              <w:lang w:val="en-US" w:eastAsia="zh-CN"/>
            </w:rPr>
            <w:fldChar w:fldCharType="end"/>
          </w:r>
        </w:p>
      </w:sdtContent>
    </w:sdt>
    <w:p w14:paraId="64A58345">
      <w:pPr>
        <w:pStyle w:val="27"/>
        <w:keepNext w:val="0"/>
        <w:keepLines w:val="0"/>
        <w:pageBreakBefore w:val="0"/>
        <w:tabs>
          <w:tab w:val="right" w:leader="dot" w:pos="9626"/>
        </w:tabs>
        <w:kinsoku/>
        <w:wordWrap/>
        <w:overflowPunct/>
        <w:topLinePunct w:val="0"/>
        <w:bidi w:val="0"/>
        <w:snapToGrid/>
        <w:spacing w:line="360" w:lineRule="auto"/>
        <w:textAlignment w:val="auto"/>
        <w:rPr>
          <w:rFonts w:hint="eastAsia" w:ascii="Times New Roman" w:hAnsi="Times New Roman" w:eastAsia="宋体" w:cs="Times New Roman"/>
          <w:color w:val="auto"/>
          <w:sz w:val="20"/>
          <w:szCs w:val="24"/>
          <w:highlight w:val="none"/>
          <w:lang w:val="en-US" w:eastAsia="zh-CN"/>
        </w:rPr>
      </w:pPr>
    </w:p>
    <w:p w14:paraId="7C975A33">
      <w:pPr>
        <w:keepNext w:val="0"/>
        <w:keepLines w:val="0"/>
        <w:widowControl/>
        <w:suppressLineNumbers w:val="0"/>
        <w:ind w:firstLine="620" w:firstLineChars="200"/>
        <w:jc w:val="left"/>
        <w:rPr>
          <w:rFonts w:hint="eastAsia" w:ascii="宋体" w:hAnsi="宋体" w:eastAsia="宋体" w:cs="宋体"/>
          <w:color w:val="auto"/>
          <w:kern w:val="0"/>
          <w:sz w:val="31"/>
          <w:szCs w:val="31"/>
          <w:highlight w:val="none"/>
          <w:lang w:val="en-US" w:eastAsia="zh-CN" w:bidi="ar"/>
        </w:rPr>
      </w:pPr>
    </w:p>
    <w:p w14:paraId="74E0104D">
      <w:pPr>
        <w:bidi w:val="0"/>
        <w:rPr>
          <w:rFonts w:hint="default"/>
          <w:color w:val="auto"/>
          <w:highlight w:val="none"/>
          <w:lang w:val="en-US" w:eastAsia="zh-CN"/>
        </w:rPr>
      </w:pPr>
    </w:p>
    <w:p w14:paraId="3DD1902B">
      <w:pPr>
        <w:bidi w:val="0"/>
        <w:rPr>
          <w:rFonts w:hint="default"/>
          <w:color w:val="auto"/>
          <w:highlight w:val="none"/>
          <w:lang w:val="en-US" w:eastAsia="zh-CN"/>
        </w:rPr>
      </w:pPr>
    </w:p>
    <w:p w14:paraId="1DC93FDB">
      <w:pPr>
        <w:bidi w:val="0"/>
        <w:rPr>
          <w:rFonts w:hint="default"/>
          <w:color w:val="auto"/>
          <w:highlight w:val="none"/>
          <w:lang w:val="en-US" w:eastAsia="zh-CN"/>
        </w:rPr>
      </w:pPr>
    </w:p>
    <w:p w14:paraId="1B59ECAD">
      <w:pPr>
        <w:bidi w:val="0"/>
        <w:rPr>
          <w:rFonts w:hint="default"/>
          <w:color w:val="auto"/>
          <w:highlight w:val="none"/>
          <w:lang w:val="en-US" w:eastAsia="zh-CN"/>
        </w:rPr>
      </w:pPr>
    </w:p>
    <w:p w14:paraId="605AE928">
      <w:pPr>
        <w:bidi w:val="0"/>
        <w:rPr>
          <w:rFonts w:hint="default"/>
          <w:color w:val="auto"/>
          <w:highlight w:val="none"/>
          <w:lang w:val="en-US" w:eastAsia="zh-CN"/>
        </w:rPr>
      </w:pPr>
    </w:p>
    <w:p w14:paraId="22C7498E">
      <w:pPr>
        <w:bidi w:val="0"/>
        <w:rPr>
          <w:rFonts w:hint="default"/>
          <w:color w:val="auto"/>
          <w:highlight w:val="none"/>
          <w:lang w:val="en-US" w:eastAsia="zh-CN"/>
        </w:rPr>
      </w:pPr>
    </w:p>
    <w:p w14:paraId="3CADF93A">
      <w:pPr>
        <w:bidi w:val="0"/>
        <w:rPr>
          <w:rFonts w:hint="default"/>
          <w:color w:val="auto"/>
          <w:highlight w:val="none"/>
          <w:lang w:val="en-US" w:eastAsia="zh-CN"/>
        </w:rPr>
      </w:pPr>
    </w:p>
    <w:p w14:paraId="61AE71D2">
      <w:pPr>
        <w:bidi w:val="0"/>
        <w:rPr>
          <w:rFonts w:hint="default"/>
          <w:color w:val="auto"/>
          <w:highlight w:val="none"/>
          <w:lang w:val="en-US" w:eastAsia="zh-CN"/>
        </w:rPr>
      </w:pPr>
    </w:p>
    <w:p w14:paraId="0078E3F7">
      <w:pPr>
        <w:bidi w:val="0"/>
        <w:rPr>
          <w:rFonts w:hint="default"/>
          <w:color w:val="auto"/>
          <w:highlight w:val="none"/>
          <w:lang w:val="en-US" w:eastAsia="zh-CN"/>
        </w:rPr>
      </w:pPr>
    </w:p>
    <w:p w14:paraId="280DE7CA">
      <w:pPr>
        <w:bidi w:val="0"/>
        <w:rPr>
          <w:rFonts w:hint="default"/>
          <w:color w:val="auto"/>
          <w:highlight w:val="none"/>
          <w:lang w:val="en-US" w:eastAsia="zh-CN"/>
        </w:rPr>
      </w:pPr>
    </w:p>
    <w:p w14:paraId="52E5D89C">
      <w:pPr>
        <w:bidi w:val="0"/>
        <w:rPr>
          <w:rFonts w:hint="default"/>
          <w:color w:val="auto"/>
          <w:highlight w:val="none"/>
          <w:lang w:val="en-US" w:eastAsia="zh-CN"/>
        </w:rPr>
      </w:pPr>
    </w:p>
    <w:p w14:paraId="7E343FBB">
      <w:pPr>
        <w:bidi w:val="0"/>
        <w:rPr>
          <w:rFonts w:hint="default"/>
          <w:color w:val="auto"/>
          <w:highlight w:val="none"/>
          <w:lang w:val="en-US" w:eastAsia="zh-CN"/>
        </w:rPr>
      </w:pPr>
    </w:p>
    <w:p w14:paraId="25DA5C5C">
      <w:pPr>
        <w:bidi w:val="0"/>
        <w:rPr>
          <w:rFonts w:hint="default"/>
          <w:color w:val="auto"/>
          <w:highlight w:val="none"/>
          <w:lang w:val="en-US" w:eastAsia="zh-CN"/>
        </w:rPr>
      </w:pPr>
    </w:p>
    <w:p w14:paraId="79B67416">
      <w:pPr>
        <w:bidi w:val="0"/>
        <w:rPr>
          <w:rFonts w:hint="default"/>
          <w:color w:val="auto"/>
          <w:highlight w:val="none"/>
          <w:lang w:val="en-US" w:eastAsia="zh-CN"/>
        </w:rPr>
      </w:pPr>
    </w:p>
    <w:p w14:paraId="2713F0B3">
      <w:pPr>
        <w:bidi w:val="0"/>
        <w:rPr>
          <w:rFonts w:hint="default"/>
          <w:color w:val="auto"/>
          <w:highlight w:val="none"/>
          <w:lang w:val="en-US" w:eastAsia="zh-CN"/>
        </w:rPr>
      </w:pPr>
    </w:p>
    <w:p w14:paraId="263B43ED">
      <w:pPr>
        <w:bidi w:val="0"/>
        <w:rPr>
          <w:rFonts w:hint="default"/>
          <w:color w:val="auto"/>
          <w:highlight w:val="none"/>
          <w:lang w:val="en-US" w:eastAsia="zh-CN"/>
        </w:rPr>
      </w:pPr>
    </w:p>
    <w:p w14:paraId="630445E2">
      <w:pPr>
        <w:bidi w:val="0"/>
        <w:rPr>
          <w:rFonts w:hint="default"/>
          <w:color w:val="auto"/>
          <w:highlight w:val="none"/>
          <w:lang w:val="en-US" w:eastAsia="zh-CN"/>
        </w:rPr>
      </w:pPr>
    </w:p>
    <w:p w14:paraId="3D822A29">
      <w:pPr>
        <w:bidi w:val="0"/>
        <w:rPr>
          <w:rFonts w:hint="default"/>
          <w:color w:val="auto"/>
          <w:highlight w:val="none"/>
          <w:lang w:val="en-US" w:eastAsia="zh-CN"/>
        </w:rPr>
      </w:pPr>
    </w:p>
    <w:p w14:paraId="03BCB2C7">
      <w:pPr>
        <w:bidi w:val="0"/>
        <w:rPr>
          <w:rFonts w:hint="default"/>
          <w:color w:val="auto"/>
          <w:highlight w:val="none"/>
          <w:lang w:val="en-US" w:eastAsia="zh-CN"/>
        </w:rPr>
      </w:pPr>
    </w:p>
    <w:p w14:paraId="4756CE62">
      <w:pPr>
        <w:bidi w:val="0"/>
        <w:rPr>
          <w:rFonts w:hint="default"/>
          <w:color w:val="auto"/>
          <w:highlight w:val="none"/>
          <w:lang w:val="en-US" w:eastAsia="zh-CN"/>
        </w:rPr>
      </w:pPr>
    </w:p>
    <w:p w14:paraId="1D830508">
      <w:pPr>
        <w:bidi w:val="0"/>
        <w:jc w:val="both"/>
        <w:rPr>
          <w:rFonts w:hint="default"/>
          <w:color w:val="auto"/>
          <w:highlight w:val="none"/>
          <w:lang w:val="en-US" w:eastAsia="zh-CN"/>
        </w:rPr>
        <w:sectPr>
          <w:footerReference r:id="rId5" w:type="default"/>
          <w:footnotePr>
            <w:numFmt w:val="decimal"/>
          </w:footnotePr>
          <w:pgSz w:w="11905" w:h="16838"/>
          <w:pgMar w:top="1134" w:right="1134" w:bottom="1134" w:left="1134" w:header="720" w:footer="720" w:gutter="0"/>
          <w:pgNumType w:fmt="decimal" w:start="2"/>
          <w:cols w:space="720" w:num="1"/>
          <w:rtlGutter w:val="0"/>
          <w:docGrid w:type="lines" w:linePitch="332" w:charSpace="0"/>
        </w:sectPr>
      </w:pPr>
    </w:p>
    <w:p w14:paraId="1FBE4827">
      <w:pPr>
        <w:pStyle w:val="3"/>
        <w:numPr>
          <w:ilvl w:val="0"/>
          <w:numId w:val="0"/>
        </w:numPr>
        <w:spacing w:before="0" w:after="0" w:line="240" w:lineRule="auto"/>
        <w:jc w:val="center"/>
        <w:outlineLvl w:val="0"/>
        <w:rPr>
          <w:rFonts w:hint="eastAsia" w:eastAsia="宋体"/>
          <w:color w:val="auto"/>
          <w:sz w:val="30"/>
          <w:szCs w:val="30"/>
          <w:highlight w:val="none"/>
          <w:lang w:val="en-US" w:eastAsia="zh-CN"/>
        </w:rPr>
      </w:pPr>
      <w:bookmarkStart w:id="1" w:name="_Toc1821"/>
      <w:r>
        <w:rPr>
          <w:rFonts w:hint="eastAsia"/>
          <w:b/>
          <w:bCs/>
          <w:color w:val="auto"/>
          <w:kern w:val="44"/>
          <w:sz w:val="30"/>
          <w:szCs w:val="30"/>
          <w:highlight w:val="none"/>
          <w:lang w:val="en-US" w:eastAsia="zh-CN" w:bidi="ar-SA"/>
        </w:rPr>
        <w:t xml:space="preserve">第一章 </w:t>
      </w:r>
      <w:r>
        <w:rPr>
          <w:rFonts w:hint="eastAsia"/>
          <w:color w:val="auto"/>
          <w:sz w:val="30"/>
          <w:szCs w:val="30"/>
          <w:highlight w:val="none"/>
        </w:rPr>
        <w:t>竞争性谈判公告</w:t>
      </w:r>
      <w:bookmarkEnd w:id="1"/>
      <w:bookmarkStart w:id="2" w:name="_Toc28359012"/>
      <w:bookmarkStart w:id="3" w:name="_Toc35393629"/>
      <w:bookmarkStart w:id="4" w:name="_Toc44229878"/>
      <w:bookmarkStart w:id="5" w:name="_Toc35393798"/>
      <w:bookmarkStart w:id="6" w:name="_Toc28359089"/>
      <w:bookmarkStart w:id="7" w:name="_Toc35393792"/>
      <w:bookmarkStart w:id="8" w:name="_Toc35393623"/>
      <w:bookmarkStart w:id="9" w:name="_Toc28359081"/>
      <w:bookmarkStart w:id="10" w:name="_Toc28359004"/>
      <w:r>
        <w:rPr>
          <w:rFonts w:hint="eastAsia"/>
          <w:color w:val="auto"/>
          <w:sz w:val="30"/>
          <w:szCs w:val="30"/>
          <w:highlight w:val="none"/>
          <w:lang w:val="en-US" w:eastAsia="zh-CN"/>
        </w:rPr>
        <w:t>//竞标邀请函</w:t>
      </w:r>
    </w:p>
    <w:p w14:paraId="00EF49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陆川县人民医院分院项目一期柴油发电机组采购及安装项目</w:t>
      </w:r>
    </w:p>
    <w:p w14:paraId="2E3CE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r>
        <w:rPr>
          <w:rFonts w:hint="eastAsia" w:asciiTheme="majorEastAsia" w:hAnsiTheme="majorEastAsia" w:eastAsiaTheme="majorEastAsia" w:cstheme="majorEastAsia"/>
          <w:b/>
          <w:bCs/>
          <w:color w:val="auto"/>
          <w:sz w:val="28"/>
          <w:szCs w:val="28"/>
          <w:highlight w:val="none"/>
          <w:lang w:eastAsia="zh-CN"/>
        </w:rPr>
        <w:t>竞争性</w:t>
      </w:r>
      <w:r>
        <w:rPr>
          <w:rFonts w:hint="eastAsia" w:asciiTheme="majorEastAsia" w:hAnsiTheme="majorEastAsia" w:eastAsiaTheme="majorEastAsia" w:cstheme="majorEastAsia"/>
          <w:b/>
          <w:bCs/>
          <w:color w:val="auto"/>
          <w:sz w:val="28"/>
          <w:szCs w:val="28"/>
          <w:highlight w:val="none"/>
          <w:lang w:val="en-US" w:eastAsia="zh-CN"/>
        </w:rPr>
        <w:t>谈判</w:t>
      </w:r>
      <w:r>
        <w:rPr>
          <w:rFonts w:hint="eastAsia" w:asciiTheme="majorEastAsia" w:hAnsiTheme="majorEastAsia" w:eastAsiaTheme="majorEastAsia" w:cstheme="majorEastAsia"/>
          <w:b/>
          <w:bCs/>
          <w:color w:val="auto"/>
          <w:sz w:val="28"/>
          <w:szCs w:val="28"/>
          <w:highlight w:val="none"/>
          <w:lang w:eastAsia="zh-CN"/>
        </w:rPr>
        <w:t>公告</w:t>
      </w:r>
    </w:p>
    <w:p w14:paraId="604EA710">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5226A18C">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陆川县人民医院分院项目一期柴油发电机组采购及安装项目</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广西政府采购云平台</w:t>
      </w:r>
      <w:r>
        <w:rPr>
          <w:rFonts w:hint="eastAsia" w:asciiTheme="majorEastAsia" w:hAnsiTheme="majorEastAsia" w:eastAsiaTheme="majorEastAsia" w:cstheme="majorEastAsia"/>
          <w:color w:val="auto"/>
          <w:sz w:val="21"/>
          <w:szCs w:val="21"/>
          <w:highlight w:val="none"/>
          <w:u w:val="single"/>
          <w:lang w:val="en-US" w:eastAsia="zh-CN"/>
        </w:rPr>
        <w:t>（https://www.gcy.zfcg.gxzf.gov.cn/）</w:t>
      </w:r>
      <w:r>
        <w:rPr>
          <w:rFonts w:hint="eastAsia" w:asciiTheme="majorEastAsia" w:hAnsiTheme="majorEastAsia" w:eastAsiaTheme="majorEastAsia" w:cstheme="majorEastAsia"/>
          <w:color w:val="auto"/>
          <w:sz w:val="21"/>
          <w:szCs w:val="21"/>
          <w:highlight w:val="none"/>
        </w:rPr>
        <w:t>获取竞争性</w:t>
      </w:r>
      <w:r>
        <w:rPr>
          <w:rFonts w:hint="eastAsia" w:asciiTheme="majorEastAsia" w:hAnsiTheme="majorEastAsia" w:eastAsiaTheme="majorEastAsia" w:cstheme="majorEastAsia"/>
          <w:color w:val="auto"/>
          <w:sz w:val="21"/>
          <w:szCs w:val="21"/>
          <w:highlight w:val="none"/>
          <w:lang w:val="en-US" w:eastAsia="zh-CN"/>
        </w:rPr>
        <w:t>谈判</w:t>
      </w:r>
      <w:r>
        <w:rPr>
          <w:rFonts w:hint="eastAsia" w:asciiTheme="majorEastAsia" w:hAnsiTheme="majorEastAsia" w:eastAsiaTheme="majorEastAsia" w:cstheme="majorEastAsia"/>
          <w:color w:val="auto"/>
          <w:sz w:val="21"/>
          <w:szCs w:val="21"/>
          <w:highlight w:val="none"/>
        </w:rPr>
        <w:t>文件，并于</w:t>
      </w:r>
      <w:r>
        <w:rPr>
          <w:rFonts w:hint="eastAsia" w:asciiTheme="majorEastAsia" w:hAnsiTheme="majorEastAsia" w:eastAsiaTheme="majorEastAsia" w:cstheme="majorEastAsia"/>
          <w:color w:val="auto"/>
          <w:sz w:val="21"/>
          <w:szCs w:val="21"/>
          <w:highlight w:val="none"/>
          <w:u w:val="single"/>
          <w:lang w:val="en-US" w:eastAsia="zh-CN"/>
        </w:rPr>
        <w:t>2025年11月 3 日09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1AA38AE9">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一、项目基本情况</w:t>
      </w:r>
      <w:bookmarkEnd w:id="2"/>
      <w:bookmarkEnd w:id="3"/>
      <w:bookmarkEnd w:id="4"/>
      <w:bookmarkEnd w:id="5"/>
      <w:bookmarkEnd w:id="6"/>
    </w:p>
    <w:p w14:paraId="6E7369B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gaea/api/project/flow/redirect?projectId=7226737262776025104&amp;newUrl=https://www.gcy.zfcg.gxzf.gov.cn/micro-app-back-index/blank?_flow_type_=agency&amp;_flow_projectId_=7226737262776025104&amp;_jump_page_type_=project_procurement_management_flow&amp;_app_=zcy.procurement&amp;oldUrl=https://www.gcy.zfcg.gxzf.gov.cn/project-center/_procurement_/project-result-detail/7226737262776025104" \t "https://www.gcy.zfcg.gxzf.gov.cn/project-center/_procurement_/self-project/_blank"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YLZC2025-J1-220232-GXGC</w:t>
      </w:r>
      <w:r>
        <w:rPr>
          <w:rFonts w:hint="eastAsia" w:ascii="宋体" w:hAnsi="宋体" w:eastAsia="宋体" w:cs="宋体"/>
          <w:color w:val="auto"/>
          <w:sz w:val="21"/>
          <w:szCs w:val="21"/>
          <w:highlight w:val="none"/>
        </w:rPr>
        <w:fldChar w:fldCharType="end"/>
      </w:r>
    </w:p>
    <w:p w14:paraId="23879296">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陆川县人民医院分院项目一期柴油发电机组采购及安装项目</w:t>
      </w:r>
    </w:p>
    <w:p w14:paraId="52084BE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850000</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元</w:t>
      </w:r>
    </w:p>
    <w:p w14:paraId="4EE7712B">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val="en-US" w:eastAsia="zh-CN"/>
        </w:rPr>
        <w:t>采购1000KW柴油发电机组一套；</w:t>
      </w:r>
      <w:r>
        <w:rPr>
          <w:rFonts w:hint="eastAsia" w:ascii="宋体" w:hAnsi="宋体" w:eastAsia="宋体" w:cs="宋体"/>
          <w:color w:val="auto"/>
          <w:sz w:val="21"/>
          <w:szCs w:val="21"/>
          <w:highlight w:val="none"/>
          <w:lang w:val="en-US" w:eastAsia="zh-CN"/>
        </w:rPr>
        <w:t>具体内容</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rPr>
        <w:t xml:space="preserve"> </w:t>
      </w:r>
    </w:p>
    <w:p w14:paraId="4CCDA512">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合同履行期限：自签订合同之日起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天内供货安装调试完毕交付正常使用。</w:t>
      </w:r>
    </w:p>
    <w:p w14:paraId="028B5711">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不接受联合体</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w:t>
      </w:r>
    </w:p>
    <w:p w14:paraId="1F4D57C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auto"/>
          <w:sz w:val="21"/>
          <w:szCs w:val="21"/>
          <w:highlight w:val="none"/>
        </w:rPr>
      </w:pPr>
      <w:bookmarkStart w:id="11" w:name="_Toc28359090"/>
      <w:bookmarkStart w:id="12" w:name="_Toc35393799"/>
      <w:bookmarkStart w:id="13" w:name="_Toc35393630"/>
      <w:bookmarkStart w:id="14" w:name="_Toc44229879"/>
      <w:bookmarkStart w:id="15" w:name="_Toc28359013"/>
      <w:r>
        <w:rPr>
          <w:rFonts w:hint="eastAsia" w:ascii="宋体" w:hAnsi="宋体" w:eastAsia="宋体" w:cs="宋体"/>
          <w:b/>
          <w:bCs w:val="0"/>
          <w:color w:val="auto"/>
          <w:sz w:val="21"/>
          <w:szCs w:val="21"/>
          <w:highlight w:val="none"/>
        </w:rPr>
        <w:t>二、供应商的资格条件</w:t>
      </w:r>
      <w:bookmarkEnd w:id="11"/>
      <w:bookmarkEnd w:id="12"/>
      <w:bookmarkEnd w:id="13"/>
      <w:bookmarkEnd w:id="14"/>
      <w:bookmarkEnd w:id="15"/>
    </w:p>
    <w:p w14:paraId="7CC236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FF69F20">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cs="宋体"/>
          <w:color w:val="auto"/>
          <w:sz w:val="21"/>
          <w:szCs w:val="21"/>
          <w:highlight w:val="none"/>
          <w:lang w:val="en-US" w:eastAsia="zh-CN"/>
        </w:rPr>
        <w:t>无</w:t>
      </w:r>
    </w:p>
    <w:p w14:paraId="286D8B74">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3.本项目的特定资格要求：</w:t>
      </w:r>
      <w:r>
        <w:rPr>
          <w:rFonts w:hint="eastAsia" w:ascii="宋体" w:hAnsi="宋体" w:cs="宋体"/>
          <w:color w:val="auto"/>
          <w:sz w:val="21"/>
          <w:szCs w:val="21"/>
          <w:highlight w:val="none"/>
          <w:lang w:val="en-US" w:eastAsia="zh-CN"/>
        </w:rPr>
        <w:t>无</w:t>
      </w:r>
    </w:p>
    <w:p w14:paraId="4A00F1FF">
      <w:pPr>
        <w:keepNext w:val="0"/>
        <w:keepLines w:val="0"/>
        <w:pageBreakBefore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三、获取竞争性谈判文件</w:t>
      </w:r>
      <w:bookmarkEnd w:id="7"/>
      <w:bookmarkEnd w:id="8"/>
      <w:bookmarkEnd w:id="9"/>
      <w:bookmarkEnd w:id="10"/>
    </w:p>
    <w:p w14:paraId="7D81F88F">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bookmarkStart w:id="16" w:name="_Toc35393632"/>
      <w:bookmarkStart w:id="17" w:name="_Toc28359092"/>
      <w:bookmarkStart w:id="18" w:name="_Toc35393801"/>
      <w:bookmarkStart w:id="19" w:name="_Toc28359015"/>
      <w:bookmarkStart w:id="20" w:name="_Toc28359005"/>
      <w:bookmarkStart w:id="21" w:name="_Toc35393624"/>
      <w:bookmarkStart w:id="22" w:name="_Toc28359082"/>
      <w:bookmarkStart w:id="23" w:name="_Toc35393793"/>
      <w:r>
        <w:rPr>
          <w:rFonts w:hint="eastAsia" w:ascii="宋体" w:hAnsi="宋体" w:eastAsia="宋体" w:cs="宋体"/>
          <w:b w:val="0"/>
          <w:bCs/>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月</w:t>
      </w:r>
      <w:r>
        <w:rPr>
          <w:rFonts w:hint="eastAsia" w:ascii="宋体" w:hAnsi="宋体" w:cs="宋体"/>
          <w:b w:val="0"/>
          <w:bCs/>
          <w:color w:val="auto"/>
          <w:sz w:val="21"/>
          <w:szCs w:val="21"/>
          <w:highlight w:val="none"/>
          <w:lang w:val="en-US" w:eastAsia="zh-CN"/>
        </w:rPr>
        <w:t>28</w:t>
      </w:r>
      <w:r>
        <w:rPr>
          <w:rFonts w:hint="eastAsia" w:ascii="宋体" w:hAnsi="宋体" w:eastAsia="宋体" w:cs="宋体"/>
          <w:b w:val="0"/>
          <w:bCs/>
          <w:color w:val="auto"/>
          <w:sz w:val="21"/>
          <w:szCs w:val="21"/>
          <w:highlight w:val="none"/>
          <w:lang w:val="en-US" w:eastAsia="zh-CN"/>
        </w:rPr>
        <w:t>日</w:t>
      </w:r>
      <w:r>
        <w:rPr>
          <w:rFonts w:hint="eastAsia" w:ascii="宋体" w:hAnsi="宋体" w:eastAsia="宋体" w:cs="宋体"/>
          <w:b w:val="0"/>
          <w:bCs/>
          <w:color w:val="auto"/>
          <w:sz w:val="21"/>
          <w:szCs w:val="21"/>
          <w:highlight w:val="none"/>
          <w:lang w:eastAsia="zh-CN"/>
        </w:rPr>
        <w:t>至202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年</w:t>
      </w:r>
      <w:r>
        <w:rPr>
          <w:rFonts w:hint="eastAsia" w:ascii="宋体" w:hAnsi="宋体" w:cs="宋体"/>
          <w:b w:val="0"/>
          <w:bCs/>
          <w:color w:val="auto"/>
          <w:sz w:val="21"/>
          <w:szCs w:val="21"/>
          <w:highlight w:val="none"/>
          <w:lang w:val="en-US" w:eastAsia="zh-CN"/>
        </w:rPr>
        <w:t>10年31</w:t>
      </w:r>
      <w:r>
        <w:rPr>
          <w:rFonts w:hint="eastAsia" w:ascii="宋体" w:hAnsi="宋体" w:eastAsia="宋体" w:cs="宋体"/>
          <w:b w:val="0"/>
          <w:bCs/>
          <w:color w:val="auto"/>
          <w:sz w:val="21"/>
          <w:szCs w:val="21"/>
          <w:highlight w:val="none"/>
          <w:lang w:eastAsia="zh-CN"/>
        </w:rPr>
        <w:t>日，每天上午08:00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12:00，下午</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:00</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:00（北京时间，法定节假日除外）</w:t>
      </w:r>
    </w:p>
    <w:p w14:paraId="3034E2EB">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地点：</w:t>
      </w:r>
      <w:bookmarkEnd w:id="16"/>
      <w:bookmarkEnd w:id="17"/>
      <w:bookmarkEnd w:id="18"/>
      <w:bookmarkEnd w:id="19"/>
      <w:r>
        <w:rPr>
          <w:rFonts w:hint="eastAsia" w:ascii="宋体" w:hAnsi="宋体" w:eastAsia="宋体" w:cs="宋体"/>
          <w:b w:val="0"/>
          <w:bCs/>
          <w:color w:val="auto"/>
          <w:sz w:val="21"/>
          <w:szCs w:val="21"/>
          <w:highlight w:val="none"/>
          <w:lang w:val="en-US" w:eastAsia="zh-CN"/>
        </w:rPr>
        <w:t>广西政府采购云平台（https://www.gcy.zfcg.gxzf.gov.cn/）</w:t>
      </w:r>
    </w:p>
    <w:p w14:paraId="61FC4FC2">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0BB1E94C">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039571A4">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w:t>
      </w:r>
      <w:bookmarkEnd w:id="20"/>
      <w:bookmarkEnd w:id="21"/>
      <w:bookmarkEnd w:id="22"/>
      <w:bookmarkEnd w:id="23"/>
      <w:r>
        <w:rPr>
          <w:rFonts w:hint="eastAsia" w:ascii="宋体" w:hAnsi="宋体" w:eastAsia="宋体" w:cs="宋体"/>
          <w:b/>
          <w:bCs w:val="0"/>
          <w:color w:val="auto"/>
          <w:sz w:val="21"/>
          <w:szCs w:val="21"/>
          <w:highlight w:val="none"/>
        </w:rPr>
        <w:t>响应文件提交</w:t>
      </w:r>
    </w:p>
    <w:p w14:paraId="58C31280">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1.首次响应文件提交截止时间</w:t>
      </w:r>
      <w:r>
        <w:rPr>
          <w:rFonts w:hint="eastAsia" w:ascii="宋体" w:hAnsi="宋体" w:eastAsia="宋体" w:cs="宋体"/>
          <w:bCs/>
          <w:color w:val="auto"/>
          <w:sz w:val="21"/>
          <w:szCs w:val="21"/>
          <w:highlight w:val="none"/>
          <w:u w:val="single"/>
        </w:rPr>
        <w:t>：202</w:t>
      </w:r>
      <w:r>
        <w:rPr>
          <w:rFonts w:hint="eastAsia" w:ascii="宋体" w:hAnsi="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11</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时</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r>
        <w:rPr>
          <w:rFonts w:hint="eastAsia" w:ascii="宋体" w:hAnsi="宋体" w:eastAsia="宋体" w:cs="宋体"/>
          <w:bCs/>
          <w:color w:val="auto"/>
          <w:sz w:val="21"/>
          <w:szCs w:val="21"/>
          <w:highlight w:val="none"/>
          <w:lang w:val="en-US" w:eastAsia="zh-CN"/>
        </w:rPr>
        <w:tab/>
      </w:r>
    </w:p>
    <w:p w14:paraId="06EA528E">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color w:val="auto"/>
          <w:sz w:val="21"/>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广西政府采购云平台（https://www.gcy.zfcg.gxzf.gov.cn/）</w:t>
      </w:r>
      <w:r>
        <w:rPr>
          <w:rFonts w:hint="eastAsia" w:ascii="宋体" w:hAnsi="宋体" w:eastAsia="宋体" w:cs="宋体"/>
          <w:b w:val="0"/>
          <w:bCs w:val="0"/>
          <w:color w:val="auto"/>
          <w:sz w:val="21"/>
          <w:szCs w:val="21"/>
          <w:highlight w:val="none"/>
        </w:rPr>
        <w:t> </w:t>
      </w:r>
    </w:p>
    <w:p w14:paraId="5C48DFA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kern w:val="2"/>
          <w:sz w:val="21"/>
          <w:szCs w:val="21"/>
          <w:highlight w:val="none"/>
          <w:lang w:val="en-US" w:eastAsia="zh-CN" w:bidi="ar-SA"/>
        </w:rPr>
        <w:t>五、响应文件开启</w:t>
      </w:r>
    </w:p>
    <w:p w14:paraId="0E26E0D6">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.开标时间</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u w:val="single"/>
        </w:rPr>
        <w:t>202</w:t>
      </w:r>
      <w:r>
        <w:rPr>
          <w:rFonts w:hint="eastAsia" w:ascii="宋体" w:hAnsi="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11</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时</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p>
    <w:p w14:paraId="1A8E518F">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.开标地点：广西政府采购云平台（https://www.gcy.zfcg.gxzf.gov.cn/）</w:t>
      </w:r>
    </w:p>
    <w:p w14:paraId="1B0C3CC6">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bookmarkStart w:id="24" w:name="_Toc35393625"/>
      <w:bookmarkStart w:id="25" w:name="_Toc28359084"/>
      <w:bookmarkStart w:id="26" w:name="_Toc35393794"/>
      <w:bookmarkStart w:id="27" w:name="_Toc28359007"/>
      <w:r>
        <w:rPr>
          <w:rFonts w:hint="eastAsia" w:ascii="宋体" w:hAnsi="宋体" w:eastAsia="宋体" w:cs="宋体"/>
          <w:b/>
          <w:bCs w:val="0"/>
          <w:color w:val="auto"/>
          <w:sz w:val="21"/>
          <w:szCs w:val="21"/>
          <w:highlight w:val="none"/>
        </w:rPr>
        <w:t>六、公告期限</w:t>
      </w:r>
      <w:bookmarkEnd w:id="24"/>
      <w:bookmarkEnd w:id="25"/>
      <w:bookmarkEnd w:id="26"/>
      <w:bookmarkEnd w:id="27"/>
    </w:p>
    <w:p w14:paraId="4BA3B66F">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17CDD9FE">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bookmarkStart w:id="28" w:name="_Toc35393795"/>
      <w:bookmarkStart w:id="29" w:name="_Toc35393626"/>
      <w:r>
        <w:rPr>
          <w:rFonts w:hint="eastAsia" w:ascii="宋体" w:hAnsi="宋体" w:eastAsia="宋体" w:cs="宋体"/>
          <w:b/>
          <w:bCs w:val="0"/>
          <w:color w:val="auto"/>
          <w:sz w:val="21"/>
          <w:szCs w:val="21"/>
          <w:highlight w:val="none"/>
        </w:rPr>
        <w:t>七、其他补充事宜</w:t>
      </w:r>
      <w:bookmarkEnd w:id="28"/>
      <w:bookmarkEnd w:id="29"/>
    </w:p>
    <w:p w14:paraId="5ACBA05A">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Hlk37429585"/>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bookmarkStart w:id="31" w:name="_Hlk37429595"/>
      <w:r>
        <w:rPr>
          <w:rFonts w:hint="eastAsia" w:ascii="宋体" w:hAnsi="宋体" w:eastAsia="宋体" w:cs="宋体"/>
          <w:color w:val="auto"/>
          <w:kern w:val="0"/>
          <w:sz w:val="21"/>
          <w:szCs w:val="21"/>
          <w:highlight w:val="none"/>
          <w:lang w:val="en-US" w:eastAsia="zh-CN"/>
        </w:rPr>
        <w:t>竞标</w:t>
      </w:r>
      <w:r>
        <w:rPr>
          <w:rFonts w:hint="eastAsia" w:ascii="宋体" w:hAnsi="宋体" w:eastAsia="宋体" w:cs="宋体"/>
          <w:color w:val="auto"/>
          <w:kern w:val="0"/>
          <w:sz w:val="21"/>
          <w:szCs w:val="21"/>
          <w:highlight w:val="none"/>
        </w:rPr>
        <w:t>保证金（人民币）：</w:t>
      </w:r>
      <w:r>
        <w:rPr>
          <w:rFonts w:hint="eastAsia" w:ascii="宋体" w:hAnsi="宋体" w:cs="宋体"/>
          <w:color w:val="auto"/>
          <w:kern w:val="0"/>
          <w:sz w:val="21"/>
          <w:szCs w:val="21"/>
          <w:highlight w:val="none"/>
          <w:lang w:val="en-US" w:eastAsia="zh-CN"/>
        </w:rPr>
        <w:t>无</w:t>
      </w:r>
    </w:p>
    <w:p w14:paraId="0B53B3E1">
      <w:pPr>
        <w:keepNext w:val="0"/>
        <w:keepLines w:val="0"/>
        <w:pageBreakBefore w:val="0"/>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pacing w:val="-6"/>
          <w:kern w:val="0"/>
          <w:sz w:val="21"/>
          <w:szCs w:val="21"/>
          <w:highlight w:val="none"/>
          <w:lang w:val="en-US" w:eastAsia="zh-CN"/>
        </w:rPr>
        <w:t>2.</w:t>
      </w:r>
      <w:r>
        <w:rPr>
          <w:rFonts w:hint="eastAsia" w:ascii="宋体" w:hAnsi="宋体" w:eastAsia="宋体" w:cs="宋体"/>
          <w:color w:val="auto"/>
          <w:spacing w:val="-6"/>
          <w:kern w:val="0"/>
          <w:sz w:val="21"/>
          <w:szCs w:val="21"/>
          <w:highlight w:val="none"/>
        </w:rPr>
        <w:t>网上查询地址</w:t>
      </w:r>
      <w:bookmarkEnd w:id="30"/>
      <w:bookmarkEnd w:id="31"/>
      <w:r>
        <w:rPr>
          <w:rFonts w:hint="eastAsia" w:ascii="宋体" w:hAnsi="宋体" w:eastAsia="宋体" w:cs="宋体"/>
          <w:color w:val="auto"/>
          <w:spacing w:val="-6"/>
          <w:kern w:val="0"/>
          <w:sz w:val="21"/>
          <w:szCs w:val="21"/>
          <w:highlight w:val="none"/>
          <w:lang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spacing w:val="-6"/>
          <w:kern w:val="0"/>
          <w:sz w:val="21"/>
          <w:szCs w:val="21"/>
          <w:highlight w:val="none"/>
          <w:lang w:eastAsia="zh-CN"/>
        </w:rPr>
        <w:t>。</w:t>
      </w:r>
    </w:p>
    <w:p w14:paraId="649B440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.本项目需要落实的政府采购政策</w:t>
      </w:r>
    </w:p>
    <w:p w14:paraId="22FF706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7E77C2F8">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1AB65803">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75C20E7">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1387C73B">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5A3C625A">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06F04C">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C222DCE">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olor w:val="auto"/>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7141BB3A">
      <w:pPr>
        <w:keepNext w:val="0"/>
        <w:keepLines w:val="0"/>
        <w:pageBreakBefore w:val="0"/>
        <w:widowControl/>
        <w:kinsoku/>
        <w:wordWrap/>
        <w:overflowPunct/>
        <w:topLinePunct w:val="0"/>
        <w:autoSpaceDE/>
        <w:autoSpaceDN/>
        <w:bidi w:val="0"/>
        <w:adjustRightIn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ascii="宋体" w:hAnsi="宋体"/>
          <w:color w:val="auto"/>
          <w:szCs w:val="21"/>
          <w:highlight w:val="none"/>
        </w:rPr>
        <w:t>https://www.gcy.zfcg.gxzf.gov.cn/</w:t>
      </w:r>
      <w:r>
        <w:rPr>
          <w:rFonts w:hint="eastAsia" w:ascii="宋体" w:hAnsi="宋体"/>
          <w:color w:val="auto"/>
          <w:szCs w:val="21"/>
          <w:highlight w:val="none"/>
        </w:rPr>
        <w:t>）实行在线电子竞标，供应商应先安装“政采云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），供应商在广西政府采购云平台提交电子响应文件时，请填写参加远程采购活动经办人联系方式。供应商登录广西政府采购云平台，依次进入“服务中心-项目采购-操作流程-电子招投标-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658ED250">
      <w:pPr>
        <w:keepNext w:val="0"/>
        <w:keepLines w:val="0"/>
        <w:pageBreakBefore w:val="0"/>
        <w:widowControl/>
        <w:kinsoku/>
        <w:wordWrap/>
        <w:overflowPunct/>
        <w:topLinePunct w:val="0"/>
        <w:autoSpaceDE/>
        <w:autoSpaceDN/>
        <w:bidi w:val="0"/>
        <w:adjustRightInd/>
        <w:spacing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如在操作过程中遇到问题或者需要技术支持，拨打“广西政府采购云平台”服务热线95763获取热线服务帮助</w:t>
      </w:r>
      <w:r>
        <w:rPr>
          <w:rFonts w:hint="eastAsia" w:ascii="宋体" w:hAnsi="宋体"/>
          <w:color w:val="auto"/>
          <w:szCs w:val="21"/>
          <w:highlight w:val="none"/>
        </w:rPr>
        <w:t>。</w:t>
      </w:r>
    </w:p>
    <w:p w14:paraId="458B5790">
      <w:pPr>
        <w:keepNext w:val="0"/>
        <w:keepLines w:val="0"/>
        <w:pageBreakBefore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77AC714B">
      <w:pPr>
        <w:keepNext w:val="0"/>
        <w:keepLines w:val="0"/>
        <w:pageBreakBefore w:val="0"/>
        <w:widowControl/>
        <w:kinsoku/>
        <w:wordWrap/>
        <w:overflowPunct/>
        <w:topLinePunct w:val="0"/>
        <w:autoSpaceDE/>
        <w:autoSpaceDN/>
        <w:bidi w:val="0"/>
        <w:adjustRightInd/>
        <w:spacing w:line="420" w:lineRule="exact"/>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22C1251">
      <w:pPr>
        <w:keepNext w:val="0"/>
        <w:keepLines w:val="0"/>
        <w:pageBreakBefore w:val="0"/>
        <w:kinsoku/>
        <w:wordWrap/>
        <w:overflowPunct/>
        <w:topLinePunct w:val="0"/>
        <w:autoSpaceDE/>
        <w:autoSpaceDN/>
        <w:bidi w:val="0"/>
        <w:adjustRightInd/>
        <w:spacing w:line="420" w:lineRule="exact"/>
        <w:ind w:firstLine="420" w:firstLineChars="200"/>
        <w:textAlignment w:val="auto"/>
        <w:rPr>
          <w:rFonts w:hint="eastAsia"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2C47B60C">
      <w:pPr>
        <w:keepNext w:val="0"/>
        <w:keepLines w:val="0"/>
        <w:pageBreakBefore w:val="0"/>
        <w:kinsoku/>
        <w:wordWrap/>
        <w:overflowPunct/>
        <w:topLinePunct w:val="0"/>
        <w:autoSpaceDE/>
        <w:autoSpaceDN/>
        <w:bidi w:val="0"/>
        <w:adjustRightInd/>
        <w:spacing w:line="420" w:lineRule="exact"/>
        <w:ind w:firstLine="424" w:firstLineChars="20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.依据中华人民共和国财政部令第74号《政府采购非招标采购方式管理办法》，本项目采用由采购人和评审专家分别书面推荐的方式邀请供应商参与竞标。</w:t>
      </w:r>
    </w:p>
    <w:p w14:paraId="2B7F733B">
      <w:pPr>
        <w:keepNext w:val="0"/>
        <w:keepLines w:val="0"/>
        <w:pageBreakBefore w:val="0"/>
        <w:kinsoku/>
        <w:wordWrap/>
        <w:overflowPunct/>
        <w:topLinePunct w:val="0"/>
        <w:autoSpaceDE/>
        <w:autoSpaceDN/>
        <w:bidi w:val="0"/>
        <w:adjustRightInd/>
        <w:spacing w:line="420" w:lineRule="exact"/>
        <w:ind w:firstLine="424" w:firstLineChars="202"/>
        <w:textAlignment w:val="auto"/>
        <w:rPr>
          <w:rFonts w:hint="eastAsia"/>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.本项目采用远程异地评标</w:t>
      </w:r>
      <w:r>
        <w:rPr>
          <w:rFonts w:hint="eastAsia"/>
          <w:color w:val="auto"/>
          <w:highlight w:val="none"/>
        </w:rPr>
        <w:t>。</w:t>
      </w:r>
    </w:p>
    <w:p w14:paraId="0076162D">
      <w:pPr>
        <w:keepNext w:val="0"/>
        <w:keepLines w:val="0"/>
        <w:pageBreakBefore w:val="0"/>
        <w:kinsoku/>
        <w:wordWrap/>
        <w:overflowPunct/>
        <w:topLinePunct w:val="0"/>
        <w:autoSpaceDE/>
        <w:autoSpaceDN/>
        <w:bidi w:val="0"/>
        <w:adjustRightInd/>
        <w:spacing w:line="420" w:lineRule="exact"/>
        <w:ind w:firstLine="424" w:firstLineChars="202"/>
        <w:textAlignment w:val="auto"/>
        <w:rPr>
          <w:rFonts w:hint="eastAsia" w:ascii="宋体" w:hAnsi="宋体" w:cs="宋体"/>
          <w:color w:val="auto"/>
          <w:kern w:val="0"/>
          <w:szCs w:val="21"/>
          <w:highlight w:val="none"/>
        </w:rPr>
      </w:pPr>
      <w:r>
        <w:rPr>
          <w:rFonts w:hint="eastAsia" w:ascii="宋体" w:hAnsi="宋体"/>
          <w:color w:val="auto"/>
          <w:highlight w:val="none"/>
          <w:lang w:val="en-US" w:eastAsia="zh-CN"/>
        </w:rPr>
        <w:t>9</w:t>
      </w:r>
      <w:r>
        <w:rPr>
          <w:rFonts w:hint="eastAsia" w:ascii="宋体" w:hAnsi="宋体"/>
          <w:color w:val="auto"/>
          <w:highlight w:val="none"/>
        </w:rPr>
        <w:t>.监督部门：陆川县财政局政府采购监督管理股，电话：0775-7235528。</w:t>
      </w:r>
    </w:p>
    <w:p w14:paraId="4AC034A0">
      <w:pPr>
        <w:keepNext w:val="0"/>
        <w:keepLines w:val="0"/>
        <w:pageBreakBefore w:val="0"/>
        <w:kinsoku/>
        <w:wordWrap/>
        <w:overflowPunct/>
        <w:topLinePunct w:val="0"/>
        <w:autoSpaceDE/>
        <w:autoSpaceDN/>
        <w:bidi w:val="0"/>
        <w:adjustRightInd/>
        <w:spacing w:line="42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八、凡对本次采购提出询问，请按以下方式联系</w:t>
      </w:r>
    </w:p>
    <w:p w14:paraId="3E1A071B">
      <w:pPr>
        <w:pStyle w:val="23"/>
        <w:ind w:firstLine="420" w:firstLineChars="200"/>
        <w:jc w:val="left"/>
        <w:rPr>
          <w:rFonts w:hint="eastAsia"/>
          <w:color w:val="auto"/>
          <w:highlight w:val="none"/>
        </w:rPr>
      </w:pPr>
      <w:r>
        <w:rPr>
          <w:rFonts w:hint="eastAsia" w:ascii="宋体" w:hAnsi="宋体" w:cs="宋体"/>
          <w:b w:val="0"/>
          <w:bCs/>
          <w:color w:val="auto"/>
          <w:sz w:val="21"/>
          <w:szCs w:val="21"/>
          <w:highlight w:val="none"/>
          <w:lang w:val="en-US" w:eastAsia="zh-CN"/>
        </w:rPr>
        <w:t>1.采购人信息</w:t>
      </w:r>
    </w:p>
    <w:p w14:paraId="7909B34D">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eastAsia="zh-CN"/>
        </w:rPr>
        <w:t>名称：陆川县人民医院　</w:t>
      </w:r>
      <w:r>
        <w:rPr>
          <w:rFonts w:hint="eastAsia" w:ascii="宋体" w:hAnsi="宋体"/>
          <w:color w:val="auto"/>
          <w:szCs w:val="21"/>
          <w:highlight w:val="none"/>
          <w:lang w:val="en-US" w:eastAsia="zh-CN"/>
        </w:rPr>
        <w:t xml:space="preserve"> </w:t>
      </w:r>
    </w:p>
    <w:p w14:paraId="2564EC1E">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地址：陆川县新洲路146号　　　　　　　　　</w:t>
      </w:r>
    </w:p>
    <w:p w14:paraId="4F883CD5">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联系人：吕盛斌</w:t>
      </w:r>
    </w:p>
    <w:p w14:paraId="4CEE5703">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 xml:space="preserve">联系方式：0775-7339169                       　 </w:t>
      </w:r>
    </w:p>
    <w:p w14:paraId="26D5EE43">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textAlignment w:val="auto"/>
        <w:rPr>
          <w:rFonts w:hint="eastAsia" w:ascii="宋体" w:hAnsi="宋体"/>
          <w:color w:val="auto"/>
          <w:szCs w:val="21"/>
          <w:highlight w:val="none"/>
          <w:lang w:eastAsia="zh-CN"/>
        </w:rPr>
      </w:pPr>
      <w:bookmarkStart w:id="32" w:name="_Toc13134"/>
      <w:bookmarkStart w:id="33" w:name="_Toc35393807"/>
      <w:bookmarkStart w:id="34" w:name="_Toc21999"/>
      <w:bookmarkStart w:id="35" w:name="_Toc28359097"/>
      <w:bookmarkStart w:id="36" w:name="_Toc17087"/>
      <w:bookmarkStart w:id="37" w:name="_Toc25561"/>
      <w:bookmarkStart w:id="38" w:name="_Toc28359020"/>
      <w:bookmarkStart w:id="39" w:name="_Toc35393638"/>
      <w:bookmarkStart w:id="40" w:name="_Toc18378"/>
      <w:r>
        <w:rPr>
          <w:rFonts w:hint="eastAsia" w:ascii="宋体" w:hAnsi="宋体"/>
          <w:color w:val="auto"/>
          <w:szCs w:val="21"/>
          <w:highlight w:val="none"/>
          <w:lang w:eastAsia="zh-CN"/>
        </w:rPr>
        <w:t>2.采购代理机构信息</w:t>
      </w:r>
      <w:bookmarkEnd w:id="32"/>
      <w:bookmarkEnd w:id="33"/>
      <w:bookmarkEnd w:id="34"/>
      <w:bookmarkEnd w:id="35"/>
      <w:bookmarkEnd w:id="36"/>
      <w:bookmarkEnd w:id="37"/>
      <w:bookmarkEnd w:id="38"/>
      <w:bookmarkEnd w:id="39"/>
      <w:bookmarkEnd w:id="40"/>
    </w:p>
    <w:p w14:paraId="6106FBA8">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名称：广西桂春工程项目管理咨询有限公司　　　　　　　　　　　</w:t>
      </w:r>
    </w:p>
    <w:p w14:paraId="125D38D9">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地址：</w:t>
      </w:r>
      <w:r>
        <w:rPr>
          <w:rFonts w:hint="eastAsia" w:ascii="宋体" w:hAnsi="宋体"/>
          <w:color w:val="auto"/>
          <w:szCs w:val="21"/>
          <w:highlight w:val="none"/>
          <w:lang w:val="en-US" w:eastAsia="zh-CN"/>
        </w:rPr>
        <w:t>玉林市玉州区江滨路东55号山水名城8栋12号商铺</w:t>
      </w:r>
      <w:r>
        <w:rPr>
          <w:rFonts w:hint="eastAsia" w:ascii="宋体" w:hAnsi="宋体"/>
          <w:color w:val="auto"/>
          <w:szCs w:val="21"/>
          <w:highlight w:val="none"/>
          <w:lang w:eastAsia="zh-CN"/>
        </w:rPr>
        <w:t>　　　　　　　　　　　</w:t>
      </w:r>
    </w:p>
    <w:p w14:paraId="316A077A">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 xml:space="preserve">联系方式：0775-2692170                        </w:t>
      </w:r>
    </w:p>
    <w:p w14:paraId="758B0C2A">
      <w:pPr>
        <w:keepNext w:val="0"/>
        <w:keepLines w:val="0"/>
        <w:pageBreakBefore w:val="0"/>
        <w:widowControl w:val="0"/>
        <w:kinsoku/>
        <w:wordWrap/>
        <w:overflowPunct/>
        <w:topLinePunct w:val="0"/>
        <w:autoSpaceDE/>
        <w:autoSpaceDN/>
        <w:bidi w:val="0"/>
        <w:adjustRightInd/>
        <w:snapToGrid/>
        <w:spacing w:line="420" w:lineRule="exact"/>
        <w:ind w:left="0" w:leftChars="0" w:right="0" w:firstLine="420" w:firstLineChars="200"/>
        <w:textAlignment w:val="auto"/>
        <w:rPr>
          <w:color w:val="auto"/>
          <w:highlight w:val="none"/>
        </w:rPr>
      </w:pPr>
      <w:r>
        <w:rPr>
          <w:rFonts w:hint="eastAsia" w:ascii="宋体" w:hAnsi="宋体"/>
          <w:color w:val="auto"/>
          <w:szCs w:val="21"/>
          <w:highlight w:val="none"/>
          <w:lang w:eastAsia="zh-CN"/>
        </w:rPr>
        <w:t xml:space="preserve">项目联系人：牟普琴 </w:t>
      </w:r>
      <w:r>
        <w:rPr>
          <w:rFonts w:hint="eastAsia" w:ascii="宋体" w:hAnsi="宋体"/>
          <w:color w:val="auto"/>
          <w:szCs w:val="21"/>
          <w:highlight w:val="none"/>
        </w:rPr>
        <w:t xml:space="preserve">  </w:t>
      </w:r>
      <w:r>
        <w:rPr>
          <w:rFonts w:hint="eastAsia" w:ascii="宋体" w:hAnsi="宋体"/>
          <w:bCs/>
          <w:color w:val="auto"/>
          <w:szCs w:val="21"/>
          <w:highlight w:val="none"/>
          <w:lang w:val="en-US" w:eastAsia="zh-CN"/>
        </w:rPr>
        <w:t xml:space="preserve">                                           </w:t>
      </w:r>
    </w:p>
    <w:p w14:paraId="07148B20">
      <w:pPr>
        <w:pStyle w:val="12"/>
        <w:spacing w:line="360" w:lineRule="auto"/>
        <w:ind w:firstLine="643" w:firstLineChars="200"/>
        <w:jc w:val="center"/>
        <w:rPr>
          <w:rFonts w:hint="eastAsia" w:hAnsi="宋体"/>
          <w:b/>
          <w:bCs/>
          <w:color w:val="auto"/>
          <w:sz w:val="32"/>
          <w:szCs w:val="32"/>
          <w:highlight w:val="none"/>
        </w:rPr>
      </w:pPr>
    </w:p>
    <w:p w14:paraId="5F5D242D">
      <w:pPr>
        <w:pStyle w:val="12"/>
        <w:spacing w:line="360" w:lineRule="auto"/>
        <w:ind w:firstLine="643" w:firstLineChars="200"/>
        <w:jc w:val="center"/>
        <w:rPr>
          <w:rFonts w:hint="eastAsia" w:hAnsi="宋体"/>
          <w:b/>
          <w:bCs/>
          <w:color w:val="auto"/>
          <w:sz w:val="32"/>
          <w:szCs w:val="32"/>
          <w:highlight w:val="none"/>
        </w:rPr>
      </w:pPr>
    </w:p>
    <w:p w14:paraId="75D15C2C">
      <w:pPr>
        <w:pStyle w:val="12"/>
        <w:spacing w:line="360" w:lineRule="auto"/>
        <w:ind w:firstLine="643" w:firstLineChars="200"/>
        <w:jc w:val="center"/>
        <w:rPr>
          <w:rFonts w:hint="eastAsia" w:hAnsi="宋体"/>
          <w:b/>
          <w:bCs/>
          <w:color w:val="auto"/>
          <w:sz w:val="32"/>
          <w:szCs w:val="32"/>
          <w:highlight w:val="none"/>
        </w:rPr>
      </w:pPr>
      <w:r>
        <w:rPr>
          <w:rFonts w:hint="eastAsia" w:hAnsi="宋体"/>
          <w:b/>
          <w:bCs/>
          <w:color w:val="auto"/>
          <w:sz w:val="32"/>
          <w:szCs w:val="32"/>
          <w:highlight w:val="none"/>
        </w:rPr>
        <w:t>竞标邀请函</w:t>
      </w:r>
    </w:p>
    <w:p w14:paraId="39C14CB2">
      <w:pPr>
        <w:spacing w:line="360" w:lineRule="auto"/>
        <w:contextualSpacing/>
        <w:rPr>
          <w:rFonts w:hint="eastAsia" w:hAnsi="宋体"/>
          <w:b/>
          <w:bCs/>
          <w:color w:val="auto"/>
          <w:sz w:val="32"/>
          <w:szCs w:val="32"/>
          <w:highlight w:val="none"/>
        </w:rPr>
      </w:pPr>
      <w:r>
        <w:rPr>
          <w:rFonts w:hint="eastAsia" w:ascii="宋体" w:hAnsi="宋体" w:cs="宋体"/>
          <w:color w:val="auto"/>
          <w:highlight w:val="none"/>
          <w:u w:val="single"/>
        </w:rPr>
        <w:t>（受邀单位名称）</w:t>
      </w:r>
      <w:r>
        <w:rPr>
          <w:rFonts w:hint="eastAsia" w:ascii="宋体" w:hAnsi="宋体" w:cs="宋体"/>
          <w:i/>
          <w:color w:val="auto"/>
          <w:szCs w:val="21"/>
          <w:highlight w:val="none"/>
          <w:u w:val="single"/>
        </w:rPr>
        <w:t xml:space="preserve"> </w:t>
      </w:r>
      <w:r>
        <w:rPr>
          <w:rFonts w:hint="eastAsia" w:ascii="宋体" w:hAnsi="宋体" w:cs="宋体"/>
          <w:color w:val="auto"/>
          <w:szCs w:val="21"/>
          <w:highlight w:val="none"/>
        </w:rPr>
        <w:t>：</w:t>
      </w:r>
    </w:p>
    <w:p w14:paraId="42C69A9D">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1D3234FD">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24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陆川县人民医院分院项目一期柴油发电机组采购及安装项目</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广西政府采购云平台</w:t>
      </w:r>
      <w:r>
        <w:rPr>
          <w:rFonts w:hint="eastAsia" w:asciiTheme="majorEastAsia" w:hAnsiTheme="majorEastAsia" w:eastAsiaTheme="majorEastAsia" w:cstheme="majorEastAsia"/>
          <w:color w:val="auto"/>
          <w:sz w:val="21"/>
          <w:szCs w:val="21"/>
          <w:highlight w:val="none"/>
          <w:u w:val="single"/>
          <w:lang w:val="en-US" w:eastAsia="zh-CN"/>
        </w:rPr>
        <w:t>（https://www.gcy.zfcg.gxzf.gov.cn/）</w:t>
      </w:r>
      <w:r>
        <w:rPr>
          <w:rFonts w:hint="eastAsia" w:asciiTheme="majorEastAsia" w:hAnsiTheme="majorEastAsia" w:eastAsiaTheme="majorEastAsia" w:cstheme="majorEastAsia"/>
          <w:color w:val="auto"/>
          <w:sz w:val="21"/>
          <w:szCs w:val="21"/>
          <w:highlight w:val="none"/>
        </w:rPr>
        <w:t>获取竞争性</w:t>
      </w:r>
      <w:r>
        <w:rPr>
          <w:rFonts w:hint="eastAsia" w:asciiTheme="majorEastAsia" w:hAnsiTheme="majorEastAsia" w:eastAsiaTheme="majorEastAsia" w:cstheme="majorEastAsia"/>
          <w:color w:val="auto"/>
          <w:sz w:val="21"/>
          <w:szCs w:val="21"/>
          <w:highlight w:val="none"/>
          <w:lang w:val="en-US" w:eastAsia="zh-CN"/>
        </w:rPr>
        <w:t>谈判</w:t>
      </w:r>
      <w:r>
        <w:rPr>
          <w:rFonts w:hint="eastAsia" w:asciiTheme="majorEastAsia" w:hAnsiTheme="majorEastAsia" w:eastAsiaTheme="majorEastAsia" w:cstheme="majorEastAsia"/>
          <w:color w:val="auto"/>
          <w:sz w:val="21"/>
          <w:szCs w:val="21"/>
          <w:highlight w:val="none"/>
        </w:rPr>
        <w:t>文件，并于</w:t>
      </w:r>
      <w:r>
        <w:rPr>
          <w:rFonts w:hint="eastAsia" w:asciiTheme="majorEastAsia" w:hAnsiTheme="majorEastAsia" w:eastAsiaTheme="majorEastAsia" w:cstheme="majorEastAsia"/>
          <w:color w:val="auto"/>
          <w:sz w:val="21"/>
          <w:szCs w:val="21"/>
          <w:highlight w:val="none"/>
          <w:u w:val="single"/>
          <w:lang w:val="en-US" w:eastAsia="zh-CN"/>
        </w:rPr>
        <w:t>2025年11月 3 日09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2F3D024A">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一、项目基本情况</w:t>
      </w:r>
    </w:p>
    <w:p w14:paraId="7FEF18DE">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gaea/api/project/flow/redirect?projectId=7226737262776025104&amp;newUrl=https://www.gcy.zfcg.gxzf.gov.cn/micro-app-back-index/blank?_flow_type_=agency&amp;_flow_projectId_=7226737262776025104&amp;_jump_page_type_=project_procurement_management_flow&amp;_app_=zcy.procurement&amp;oldUrl=https://www.gcy.zfcg.gxzf.gov.cn/project-center/_procurement_/project-result-detail/7226737262776025104" \t "https://www.gcy.zfcg.gxzf.gov.cn/project-center/_procurement_/self-project/_blank"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YLZC2025-J1-220232-GXGC</w:t>
      </w:r>
      <w:r>
        <w:rPr>
          <w:rFonts w:hint="eastAsia" w:ascii="宋体" w:hAnsi="宋体" w:eastAsia="宋体" w:cs="宋体"/>
          <w:color w:val="auto"/>
          <w:sz w:val="21"/>
          <w:szCs w:val="21"/>
          <w:highlight w:val="none"/>
        </w:rPr>
        <w:fldChar w:fldCharType="end"/>
      </w:r>
    </w:p>
    <w:p w14:paraId="7FE0031F">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陆川县人民医院分院项目一期柴油发电机组采购及安装项目</w:t>
      </w:r>
    </w:p>
    <w:p w14:paraId="5692053E">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850000</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元</w:t>
      </w:r>
    </w:p>
    <w:p w14:paraId="0E6384C3">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val="en-US" w:eastAsia="zh-CN"/>
        </w:rPr>
        <w:t>采购1000KW柴油发电机组一台；</w:t>
      </w:r>
      <w:r>
        <w:rPr>
          <w:rFonts w:hint="eastAsia" w:ascii="宋体" w:hAnsi="宋体" w:eastAsia="宋体" w:cs="宋体"/>
          <w:color w:val="auto"/>
          <w:sz w:val="21"/>
          <w:szCs w:val="21"/>
          <w:highlight w:val="none"/>
          <w:lang w:val="en-US" w:eastAsia="zh-CN"/>
        </w:rPr>
        <w:t>具体内容</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rPr>
        <w:t xml:space="preserve"> </w:t>
      </w:r>
    </w:p>
    <w:p w14:paraId="033A2254">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合同履行期限：自签订合同之日起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天内供货安装调试完毕交付正常使用。</w:t>
      </w:r>
    </w:p>
    <w:p w14:paraId="3BB57818">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不接受联合体</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w:t>
      </w:r>
    </w:p>
    <w:p w14:paraId="3A5C153D">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二、供应商的资格条件</w:t>
      </w:r>
    </w:p>
    <w:p w14:paraId="6C516D15">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5B521A3A">
      <w:pPr>
        <w:pStyle w:val="8"/>
        <w:numPr>
          <w:ilvl w:val="0"/>
          <w:numId w:val="0"/>
        </w:numPr>
        <w:spacing w:line="36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cs="宋体"/>
          <w:color w:val="auto"/>
          <w:sz w:val="21"/>
          <w:szCs w:val="21"/>
          <w:highlight w:val="none"/>
          <w:lang w:val="en-US" w:eastAsia="zh-CN"/>
        </w:rPr>
        <w:t>无</w:t>
      </w:r>
    </w:p>
    <w:p w14:paraId="18726C56">
      <w:pPr>
        <w:pStyle w:val="8"/>
        <w:numPr>
          <w:ilvl w:val="0"/>
          <w:numId w:val="0"/>
        </w:numPr>
        <w:spacing w:line="360" w:lineRule="auto"/>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3.本项目的特定资格要求：</w:t>
      </w:r>
      <w:r>
        <w:rPr>
          <w:rFonts w:hint="eastAsia" w:ascii="宋体" w:hAnsi="宋体" w:cs="宋体"/>
          <w:color w:val="auto"/>
          <w:sz w:val="21"/>
          <w:szCs w:val="21"/>
          <w:highlight w:val="none"/>
          <w:lang w:val="en-US" w:eastAsia="zh-CN"/>
        </w:rPr>
        <w:t>无</w:t>
      </w:r>
    </w:p>
    <w:p w14:paraId="6F432D52">
      <w:pPr>
        <w:keepNext w:val="0"/>
        <w:keepLines w:val="0"/>
        <w:pageBreakBefore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三、获取竞争性谈判文件</w:t>
      </w:r>
    </w:p>
    <w:p w14:paraId="303E91D9">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月</w:t>
      </w:r>
      <w:r>
        <w:rPr>
          <w:rFonts w:hint="eastAsia" w:ascii="宋体" w:hAnsi="宋体" w:cs="宋体"/>
          <w:b w:val="0"/>
          <w:bCs/>
          <w:color w:val="auto"/>
          <w:sz w:val="21"/>
          <w:szCs w:val="21"/>
          <w:highlight w:val="none"/>
          <w:lang w:val="en-US" w:eastAsia="zh-CN"/>
        </w:rPr>
        <w:t>28</w:t>
      </w:r>
      <w:r>
        <w:rPr>
          <w:rFonts w:hint="eastAsia" w:ascii="宋体" w:hAnsi="宋体" w:eastAsia="宋体" w:cs="宋体"/>
          <w:b w:val="0"/>
          <w:bCs/>
          <w:color w:val="auto"/>
          <w:sz w:val="21"/>
          <w:szCs w:val="21"/>
          <w:highlight w:val="none"/>
          <w:lang w:val="en-US" w:eastAsia="zh-CN"/>
        </w:rPr>
        <w:t>日</w:t>
      </w:r>
      <w:r>
        <w:rPr>
          <w:rFonts w:hint="eastAsia" w:ascii="宋体" w:hAnsi="宋体" w:eastAsia="宋体" w:cs="宋体"/>
          <w:b w:val="0"/>
          <w:bCs/>
          <w:color w:val="auto"/>
          <w:sz w:val="21"/>
          <w:szCs w:val="21"/>
          <w:highlight w:val="none"/>
          <w:lang w:eastAsia="zh-CN"/>
        </w:rPr>
        <w:t>至202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年</w:t>
      </w:r>
      <w:r>
        <w:rPr>
          <w:rFonts w:hint="eastAsia" w:ascii="宋体" w:hAnsi="宋体" w:cs="宋体"/>
          <w:b w:val="0"/>
          <w:bCs/>
          <w:color w:val="auto"/>
          <w:sz w:val="21"/>
          <w:szCs w:val="21"/>
          <w:highlight w:val="none"/>
          <w:lang w:val="en-US" w:eastAsia="zh-CN"/>
        </w:rPr>
        <w:t>10年30</w:t>
      </w:r>
      <w:r>
        <w:rPr>
          <w:rFonts w:hint="eastAsia" w:ascii="宋体" w:hAnsi="宋体" w:eastAsia="宋体" w:cs="宋体"/>
          <w:b w:val="0"/>
          <w:bCs/>
          <w:color w:val="auto"/>
          <w:sz w:val="21"/>
          <w:szCs w:val="21"/>
          <w:highlight w:val="none"/>
          <w:lang w:eastAsia="zh-CN"/>
        </w:rPr>
        <w:t>日，每天上午08:00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12:00，下午</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:00</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:00（北京时间，法定节假日除外）</w:t>
      </w:r>
    </w:p>
    <w:p w14:paraId="7BF60E56">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地点：</w:t>
      </w:r>
      <w:r>
        <w:rPr>
          <w:rFonts w:hint="eastAsia" w:ascii="宋体" w:hAnsi="宋体" w:eastAsia="宋体" w:cs="宋体"/>
          <w:b w:val="0"/>
          <w:bCs/>
          <w:color w:val="auto"/>
          <w:sz w:val="21"/>
          <w:szCs w:val="21"/>
          <w:highlight w:val="none"/>
          <w:lang w:val="en-US" w:eastAsia="zh-CN"/>
        </w:rPr>
        <w:t>广西政府采购云平台（https://www.gcy.zfcg.gxzf.gov.cn/）</w:t>
      </w:r>
    </w:p>
    <w:p w14:paraId="3399029F">
      <w:pPr>
        <w:keepNext w:val="0"/>
        <w:keepLines w:val="0"/>
        <w:pageBreakBefore w:val="0"/>
        <w:tabs>
          <w:tab w:val="left" w:pos="284"/>
        </w:tabs>
        <w:kinsoku/>
        <w:wordWrap/>
        <w:overflowPunct/>
        <w:topLinePunct w:val="0"/>
        <w:autoSpaceDE/>
        <w:autoSpaceDN/>
        <w:bidi w:val="0"/>
        <w:adjustRightInd/>
        <w:snapToGrid/>
        <w:spacing w:line="46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5C4EF22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5A4B7EC2">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四、响应文件提交</w:t>
      </w:r>
    </w:p>
    <w:p w14:paraId="2E2E227A">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1.首次响应文件提交截止时间</w:t>
      </w:r>
      <w:r>
        <w:rPr>
          <w:rFonts w:hint="eastAsia" w:ascii="宋体" w:hAnsi="宋体" w:eastAsia="宋体" w:cs="宋体"/>
          <w:bCs/>
          <w:color w:val="auto"/>
          <w:sz w:val="21"/>
          <w:szCs w:val="21"/>
          <w:highlight w:val="none"/>
          <w:u w:val="single"/>
        </w:rPr>
        <w:t>：202</w:t>
      </w:r>
      <w:r>
        <w:rPr>
          <w:rFonts w:hint="eastAsia" w:ascii="宋体" w:hAnsi="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11</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时</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r>
        <w:rPr>
          <w:rFonts w:hint="eastAsia" w:ascii="宋体" w:hAnsi="宋体" w:eastAsia="宋体" w:cs="宋体"/>
          <w:bCs/>
          <w:color w:val="auto"/>
          <w:sz w:val="21"/>
          <w:szCs w:val="21"/>
          <w:highlight w:val="none"/>
          <w:lang w:val="en-US" w:eastAsia="zh-CN"/>
        </w:rPr>
        <w:tab/>
      </w:r>
    </w:p>
    <w:p w14:paraId="60E53A6B">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color w:val="auto"/>
          <w:sz w:val="21"/>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广西政府采购云平台（https://www.gcy.zfcg.gxzf.gov.cn/）</w:t>
      </w:r>
      <w:r>
        <w:rPr>
          <w:rFonts w:hint="eastAsia" w:ascii="宋体" w:hAnsi="宋体" w:eastAsia="宋体" w:cs="宋体"/>
          <w:b w:val="0"/>
          <w:bCs w:val="0"/>
          <w:color w:val="auto"/>
          <w:sz w:val="21"/>
          <w:szCs w:val="21"/>
          <w:highlight w:val="none"/>
        </w:rPr>
        <w:t> </w:t>
      </w:r>
    </w:p>
    <w:p w14:paraId="75FD860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kern w:val="2"/>
          <w:sz w:val="21"/>
          <w:szCs w:val="21"/>
          <w:highlight w:val="none"/>
          <w:lang w:val="en-US" w:eastAsia="zh-CN" w:bidi="ar-SA"/>
        </w:rPr>
        <w:t>五、响应文件开启</w:t>
      </w:r>
    </w:p>
    <w:p w14:paraId="3F66A376">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.开标时间</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u w:val="single"/>
        </w:rPr>
        <w:t>202</w:t>
      </w:r>
      <w:r>
        <w:rPr>
          <w:rFonts w:hint="eastAsia" w:ascii="宋体" w:hAnsi="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11</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rPr>
        <w:t>时</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w:t>
      </w:r>
    </w:p>
    <w:p w14:paraId="184D71D4">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.开标地点：广西政府采购云平台（https://www.gcy.zfcg.gxzf.gov.cn/）</w:t>
      </w:r>
    </w:p>
    <w:p w14:paraId="1387C7D1">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六、公告期限</w:t>
      </w:r>
    </w:p>
    <w:p w14:paraId="684224AC">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16B910D9">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七、其他补充事宜</w:t>
      </w:r>
    </w:p>
    <w:p w14:paraId="19CD0698">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.本项目需要落实的政府采购政策</w:t>
      </w:r>
    </w:p>
    <w:p w14:paraId="59C5A58A">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6B44A4B2">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1861A4B6">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7790EAE8">
      <w:pPr>
        <w:keepNext w:val="0"/>
        <w:keepLines w:val="0"/>
        <w:pageBreakBefore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452EDD42">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20D7EB5E">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DB60E3F">
      <w:pPr>
        <w:keepNext w:val="0"/>
        <w:keepLines w:val="0"/>
        <w:pageBreakBefore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E6A0BFD">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olor w:val="auto"/>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4A48969A">
      <w:pPr>
        <w:keepNext w:val="0"/>
        <w:keepLines w:val="0"/>
        <w:pageBreakBefore w:val="0"/>
        <w:widowControl/>
        <w:kinsoku/>
        <w:wordWrap/>
        <w:overflowPunct/>
        <w:topLinePunct w:val="0"/>
        <w:autoSpaceDE/>
        <w:autoSpaceDN/>
        <w:bidi w:val="0"/>
        <w:adjustRightIn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ascii="宋体" w:hAnsi="宋体"/>
          <w:color w:val="auto"/>
          <w:szCs w:val="21"/>
          <w:highlight w:val="none"/>
        </w:rPr>
        <w:t>https://www.gcy.zfcg.gxzf.gov.cn/</w:t>
      </w:r>
      <w:r>
        <w:rPr>
          <w:rFonts w:hint="eastAsia" w:ascii="宋体" w:hAnsi="宋体"/>
          <w:color w:val="auto"/>
          <w:szCs w:val="21"/>
          <w:highlight w:val="none"/>
        </w:rPr>
        <w:t>）实行在线电子竞标，供应商应先安装“政采云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），供应商在广西政府采购云平台提交电子响应文件时，请填写参加远程采购活动经办人联系方式。供应商登录广西政府采购云平台，依次进入“服务中心-项目采购-操作流程-电子招投标-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225666F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如在操作过程中遇到问题或者需要技术支持，拨打“广西政府采购云平台”服务热线95763获取热线服务帮助</w:t>
      </w:r>
      <w:r>
        <w:rPr>
          <w:rFonts w:hint="eastAsia" w:ascii="宋体" w:hAnsi="宋体"/>
          <w:color w:val="auto"/>
          <w:szCs w:val="21"/>
          <w:highlight w:val="none"/>
        </w:rPr>
        <w:t>。</w:t>
      </w:r>
    </w:p>
    <w:p w14:paraId="2ABC7EF4">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06F3E00">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9C9CAF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7196EF96">
      <w:pPr>
        <w:keepNext w:val="0"/>
        <w:keepLines w:val="0"/>
        <w:pageBreakBefore w:val="0"/>
        <w:kinsoku/>
        <w:wordWrap/>
        <w:overflowPunct/>
        <w:topLinePunct w:val="0"/>
        <w:autoSpaceDE/>
        <w:autoSpaceDN/>
        <w:bidi w:val="0"/>
        <w:adjustRightInd/>
        <w:spacing w:line="440" w:lineRule="exact"/>
        <w:ind w:firstLine="424" w:firstLineChars="20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贵单位收到本邀请函和竞争性谈判文件（电子版）后，请于2025年10月31日18时00分前予以书面确认（格式后附），在本邀请函规定的时间内未回函或者明确回函表示不参加竞标的，不得再参加竞标。</w:t>
      </w:r>
    </w:p>
    <w:p w14:paraId="0934285E">
      <w:pPr>
        <w:keepNext w:val="0"/>
        <w:keepLines w:val="0"/>
        <w:pageBreakBefore w:val="0"/>
        <w:kinsoku/>
        <w:wordWrap/>
        <w:overflowPunct/>
        <w:topLinePunct w:val="0"/>
        <w:autoSpaceDE/>
        <w:autoSpaceDN/>
        <w:bidi w:val="0"/>
        <w:adjustRightInd/>
        <w:spacing w:line="440" w:lineRule="exact"/>
        <w:ind w:firstLine="424" w:firstLineChars="202"/>
        <w:textAlignment w:val="auto"/>
        <w:rPr>
          <w:rFonts w:hint="eastAsia"/>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.本项目采用远程异地评标</w:t>
      </w:r>
      <w:r>
        <w:rPr>
          <w:rFonts w:hint="eastAsia"/>
          <w:color w:val="auto"/>
          <w:highlight w:val="none"/>
        </w:rPr>
        <w:t>。</w:t>
      </w:r>
    </w:p>
    <w:p w14:paraId="1861533E">
      <w:pPr>
        <w:keepNext w:val="0"/>
        <w:keepLines w:val="0"/>
        <w:pageBreakBefore w:val="0"/>
        <w:kinsoku/>
        <w:wordWrap/>
        <w:overflowPunct/>
        <w:topLinePunct w:val="0"/>
        <w:autoSpaceDE/>
        <w:autoSpaceDN/>
        <w:bidi w:val="0"/>
        <w:adjustRightInd/>
        <w:spacing w:line="440" w:lineRule="exact"/>
        <w:ind w:firstLine="424" w:firstLineChars="202"/>
        <w:textAlignment w:val="auto"/>
        <w:rPr>
          <w:rFonts w:hint="eastAsia" w:ascii="宋体" w:hAnsi="宋体" w:cs="宋体"/>
          <w:color w:val="auto"/>
          <w:kern w:val="0"/>
          <w:szCs w:val="21"/>
          <w:highlight w:val="none"/>
        </w:rPr>
      </w:pPr>
      <w:r>
        <w:rPr>
          <w:rFonts w:hint="eastAsia" w:ascii="宋体" w:hAnsi="宋体"/>
          <w:color w:val="auto"/>
          <w:highlight w:val="none"/>
          <w:lang w:val="en-US" w:eastAsia="zh-CN"/>
        </w:rPr>
        <w:t>6</w:t>
      </w:r>
      <w:r>
        <w:rPr>
          <w:rFonts w:hint="eastAsia" w:ascii="宋体" w:hAnsi="宋体"/>
          <w:color w:val="auto"/>
          <w:highlight w:val="none"/>
        </w:rPr>
        <w:t>.监督部门：陆川县财政局政府采购监督管理股，电话：0775-7235528。</w:t>
      </w:r>
    </w:p>
    <w:p w14:paraId="079A48B9">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八、凡对本次采购提出询问，请按以下方式联系</w:t>
      </w:r>
    </w:p>
    <w:p w14:paraId="2233F9ED">
      <w:pPr>
        <w:pStyle w:val="23"/>
        <w:ind w:firstLine="420" w:firstLineChars="200"/>
        <w:jc w:val="left"/>
        <w:rPr>
          <w:rFonts w:hint="default" w:eastAsia="宋体"/>
          <w:b w:val="0"/>
          <w:bCs/>
          <w:color w:val="auto"/>
          <w:highlight w:val="none"/>
          <w:lang w:val="en-US" w:eastAsia="zh-CN"/>
        </w:rPr>
      </w:pPr>
      <w:r>
        <w:rPr>
          <w:rFonts w:hint="eastAsia" w:ascii="宋体" w:hAnsi="宋体" w:cs="宋体"/>
          <w:b w:val="0"/>
          <w:bCs/>
          <w:color w:val="auto"/>
          <w:sz w:val="21"/>
          <w:szCs w:val="21"/>
          <w:highlight w:val="none"/>
          <w:lang w:val="en-US" w:eastAsia="zh-CN"/>
        </w:rPr>
        <w:t>1.采购人信息</w:t>
      </w:r>
    </w:p>
    <w:p w14:paraId="551F0E05">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eastAsia="zh-CN"/>
        </w:rPr>
        <w:t>名称：陆川县人民医院　</w:t>
      </w:r>
      <w:r>
        <w:rPr>
          <w:rFonts w:hint="eastAsia" w:ascii="宋体" w:hAnsi="宋体"/>
          <w:color w:val="auto"/>
          <w:szCs w:val="21"/>
          <w:highlight w:val="none"/>
          <w:lang w:val="en-US" w:eastAsia="zh-CN"/>
        </w:rPr>
        <w:t xml:space="preserve"> </w:t>
      </w:r>
    </w:p>
    <w:p w14:paraId="2C35596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地址：陆川县新洲路146号　　　　　　　　　</w:t>
      </w:r>
    </w:p>
    <w:p w14:paraId="2A84047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联系人：吕盛斌</w:t>
      </w:r>
    </w:p>
    <w:p w14:paraId="65B02C82">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 xml:space="preserve">联系方式：0775-7339169                       　 </w:t>
      </w:r>
    </w:p>
    <w:p w14:paraId="3F4E643B">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2.采购代理机构信息</w:t>
      </w:r>
    </w:p>
    <w:p w14:paraId="65384B0F">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名称：广西桂春工程项目管理咨询有限公司　　　　　　　　　　　</w:t>
      </w:r>
    </w:p>
    <w:p w14:paraId="1027285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地址：</w:t>
      </w:r>
      <w:r>
        <w:rPr>
          <w:rFonts w:hint="eastAsia" w:ascii="宋体" w:hAnsi="宋体"/>
          <w:color w:val="auto"/>
          <w:szCs w:val="21"/>
          <w:highlight w:val="none"/>
          <w:lang w:val="en-US" w:eastAsia="zh-CN"/>
        </w:rPr>
        <w:t>玉林市玉州区江滨路东55号山水名城8栋12号商铺</w:t>
      </w:r>
      <w:r>
        <w:rPr>
          <w:rFonts w:hint="eastAsia" w:ascii="宋体" w:hAnsi="宋体"/>
          <w:color w:val="auto"/>
          <w:szCs w:val="21"/>
          <w:highlight w:val="none"/>
          <w:lang w:eastAsia="zh-CN"/>
        </w:rPr>
        <w:t>　　　　　　　　　　　</w:t>
      </w:r>
    </w:p>
    <w:p w14:paraId="125FEFC0">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 xml:space="preserve">联系方式：0775-2692170                        </w:t>
      </w:r>
    </w:p>
    <w:p w14:paraId="71980B50">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 xml:space="preserve">项目联系人：牟普琴 </w:t>
      </w:r>
      <w:r>
        <w:rPr>
          <w:rFonts w:hint="eastAsia" w:ascii="宋体" w:hAnsi="宋体"/>
          <w:color w:val="auto"/>
          <w:szCs w:val="21"/>
          <w:highlight w:val="none"/>
        </w:rPr>
        <w:t xml:space="preserve">  </w:t>
      </w:r>
    </w:p>
    <w:p w14:paraId="541768B1">
      <w:pPr>
        <w:pStyle w:val="2"/>
        <w:rPr>
          <w:color w:val="auto"/>
          <w:highlight w:val="none"/>
        </w:rPr>
      </w:pPr>
    </w:p>
    <w:p w14:paraId="60AD4FAB">
      <w:pPr>
        <w:rPr>
          <w:color w:val="auto"/>
          <w:highlight w:val="none"/>
        </w:rPr>
      </w:pPr>
    </w:p>
    <w:p w14:paraId="0CAAECAC">
      <w:pPr>
        <w:rPr>
          <w:color w:val="auto"/>
          <w:highlight w:val="none"/>
        </w:rPr>
      </w:pPr>
    </w:p>
    <w:p w14:paraId="67568FE0">
      <w:pPr>
        <w:rPr>
          <w:color w:val="auto"/>
          <w:highlight w:val="none"/>
        </w:rPr>
      </w:pPr>
    </w:p>
    <w:p w14:paraId="07AEA98A">
      <w:pPr>
        <w:rPr>
          <w:color w:val="auto"/>
          <w:highlight w:val="none"/>
        </w:rPr>
      </w:pPr>
    </w:p>
    <w:p w14:paraId="502285B4">
      <w:pPr>
        <w:jc w:val="center"/>
        <w:rPr>
          <w:rFonts w:hint="eastAsia" w:ascii="方正小标宋简体" w:hAnsi="方正小标宋简体" w:eastAsia="方正小标宋简体" w:cs="方正小标宋简体"/>
          <w:bCs/>
          <w:color w:val="auto"/>
          <w:sz w:val="32"/>
          <w:szCs w:val="32"/>
          <w:highlight w:val="none"/>
        </w:rPr>
      </w:pPr>
      <w:bookmarkStart w:id="41" w:name="_Toc10522"/>
      <w:bookmarkStart w:id="42" w:name="_Toc4173"/>
    </w:p>
    <w:p w14:paraId="3957CC33">
      <w:pPr>
        <w:jc w:val="center"/>
        <w:rPr>
          <w:rFonts w:hint="eastAsia" w:ascii="方正小标宋简体" w:eastAsia="方正小标宋简体"/>
          <w:b/>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竞标确认函</w:t>
      </w:r>
    </w:p>
    <w:p w14:paraId="76FB8439">
      <w:pPr>
        <w:spacing w:line="360" w:lineRule="auto"/>
        <w:rPr>
          <w:rFonts w:hint="eastAsia" w:ascii="仿宋_GB2312" w:hAnsi="仿宋_GB2312" w:eastAsia="仿宋_GB2312" w:cs="仿宋_GB2312"/>
          <w:b/>
          <w:color w:val="auto"/>
          <w:sz w:val="32"/>
          <w:szCs w:val="32"/>
          <w:highlight w:val="none"/>
        </w:rPr>
      </w:pPr>
    </w:p>
    <w:p w14:paraId="1510CD05">
      <w:pPr>
        <w:spacing w:line="360" w:lineRule="auto"/>
        <w:rPr>
          <w:rFonts w:hint="eastAsia" w:ascii="宋体" w:hAnsi="宋体"/>
          <w:color w:val="auto"/>
          <w:kern w:val="0"/>
          <w:szCs w:val="21"/>
          <w:highlight w:val="none"/>
        </w:rPr>
      </w:pPr>
      <w:r>
        <w:rPr>
          <w:rFonts w:hint="eastAsia" w:ascii="宋体" w:hAnsi="宋体"/>
          <w:color w:val="auto"/>
          <w:kern w:val="0"/>
          <w:szCs w:val="21"/>
          <w:highlight w:val="none"/>
          <w:u w:val="single"/>
          <w:lang w:eastAsia="zh-CN"/>
        </w:rPr>
        <w:t>广西桂春工程项目管理咨询有限公司</w:t>
      </w:r>
      <w:r>
        <w:rPr>
          <w:rFonts w:hint="eastAsia" w:ascii="宋体" w:hAnsi="宋体"/>
          <w:color w:val="auto"/>
          <w:kern w:val="0"/>
          <w:szCs w:val="21"/>
          <w:highlight w:val="none"/>
        </w:rPr>
        <w:t>：</w:t>
      </w:r>
    </w:p>
    <w:p w14:paraId="3FB996FF">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我单位于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color w:val="auto"/>
          <w:kern w:val="0"/>
          <w:szCs w:val="21"/>
          <w:highlight w:val="none"/>
        </w:rPr>
        <w:t>收到贵公司以书面形式送达的</w:t>
      </w:r>
      <w:r>
        <w:rPr>
          <w:rFonts w:hint="eastAsia" w:ascii="宋体" w:hAnsi="宋体"/>
          <w:color w:val="auto"/>
          <w:kern w:val="0"/>
          <w:szCs w:val="21"/>
          <w:highlight w:val="none"/>
          <w:u w:val="single"/>
          <w:lang w:eastAsia="zh-CN"/>
        </w:rPr>
        <w:t>陆川县人民医院分院项目一期柴油发电机组采购及安装项目</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rPr>
        <w:fldChar w:fldCharType="begin"/>
      </w:r>
      <w:r>
        <w:rPr>
          <w:rFonts w:hint="eastAsia" w:ascii="宋体" w:hAnsi="宋体"/>
          <w:color w:val="auto"/>
          <w:kern w:val="0"/>
          <w:szCs w:val="21"/>
          <w:highlight w:val="none"/>
          <w:u w:val="single"/>
        </w:rPr>
        <w:instrText xml:space="preserve"> HYPERLINK "https://www.gcy.zfcg.gxzf.gov.cn/gaea/api/project/flow/redirect?projectId=7226737262776025104&amp;newUrl=https://www.gcy.zfcg.gxzf.gov.cn/micro-app-back-index/blank?_flow_type_=agency&amp;_flow_projectId_=7226737262776025104&amp;_jump_page_type_=project_procurement_management_flow&amp;_app_=zcy.procurement&amp;oldUrl=https://www.gcy.zfcg.gxzf.gov.cn/project-center/_procurement_/project-result-detail/7226737262776025104" \t "https://www.gcy.zfcg.gxzf.gov.cn/project-center/_procurement_/self-project/_blank" </w:instrText>
      </w:r>
      <w:r>
        <w:rPr>
          <w:rFonts w:hint="eastAsia" w:ascii="宋体" w:hAnsi="宋体"/>
          <w:color w:val="auto"/>
          <w:kern w:val="0"/>
          <w:szCs w:val="21"/>
          <w:highlight w:val="none"/>
          <w:u w:val="single"/>
        </w:rPr>
        <w:fldChar w:fldCharType="separate"/>
      </w:r>
      <w:r>
        <w:rPr>
          <w:rFonts w:hint="eastAsia" w:ascii="宋体" w:hAnsi="宋体"/>
          <w:color w:val="auto"/>
          <w:kern w:val="0"/>
          <w:szCs w:val="21"/>
          <w:highlight w:val="none"/>
          <w:u w:val="single"/>
        </w:rPr>
        <w:t>YLZC2025-J1-220232-GXGC</w:t>
      </w:r>
      <w:r>
        <w:rPr>
          <w:rFonts w:hint="eastAsia" w:ascii="宋体" w:hAnsi="宋体"/>
          <w:color w:val="auto"/>
          <w:kern w:val="0"/>
          <w:szCs w:val="21"/>
          <w:highlight w:val="none"/>
          <w:u w:val="single"/>
        </w:rPr>
        <w:fldChar w:fldCharType="end"/>
      </w:r>
      <w:r>
        <w:rPr>
          <w:rFonts w:hint="eastAsia" w:ascii="宋体" w:hAnsi="宋体"/>
          <w:color w:val="auto"/>
          <w:kern w:val="0"/>
          <w:szCs w:val="21"/>
          <w:highlight w:val="none"/>
          <w:u w:val="single"/>
        </w:rPr>
        <w:t>）</w:t>
      </w:r>
      <w:r>
        <w:rPr>
          <w:rFonts w:hint="eastAsia" w:ascii="宋体" w:hAnsi="宋体"/>
          <w:color w:val="auto"/>
          <w:kern w:val="0"/>
          <w:szCs w:val="21"/>
          <w:highlight w:val="none"/>
        </w:rPr>
        <w:t>竞标邀请函和竞争性谈判文件（电子版），经慎重考虑，我单位确认（</w:t>
      </w:r>
      <w:r>
        <w:rPr>
          <w:rFonts w:hint="eastAsia" w:ascii="宋体" w:hAnsi="宋体"/>
          <w:color w:val="auto"/>
          <w:kern w:val="0"/>
          <w:szCs w:val="21"/>
          <w:highlight w:val="none"/>
        </w:rPr>
        <w:sym w:font="Wingdings 2" w:char="00A3"/>
      </w:r>
      <w:r>
        <w:rPr>
          <w:rFonts w:hint="eastAsia" w:ascii="宋体" w:hAnsi="宋体"/>
          <w:color w:val="auto"/>
          <w:kern w:val="0"/>
          <w:szCs w:val="21"/>
          <w:highlight w:val="none"/>
        </w:rPr>
        <w:t>参加/□不参加）本项目的竞标活动。</w:t>
      </w:r>
    </w:p>
    <w:p w14:paraId="728080BA">
      <w:pPr>
        <w:spacing w:line="360" w:lineRule="auto"/>
        <w:rPr>
          <w:rFonts w:hint="eastAsia" w:ascii="宋体" w:hAnsi="宋体"/>
          <w:color w:val="auto"/>
          <w:kern w:val="0"/>
          <w:szCs w:val="21"/>
          <w:highlight w:val="none"/>
        </w:rPr>
      </w:pPr>
    </w:p>
    <w:p w14:paraId="144B0255">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联系人：</w:t>
      </w:r>
    </w:p>
    <w:p w14:paraId="1E8AE7FC">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联系电话：</w:t>
      </w:r>
    </w:p>
    <w:p w14:paraId="6E3260B7">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电子邮箱：</w:t>
      </w:r>
    </w:p>
    <w:p w14:paraId="1C974A75">
      <w:pPr>
        <w:spacing w:line="360" w:lineRule="auto"/>
        <w:ind w:left="360"/>
        <w:rPr>
          <w:rFonts w:hint="eastAsia" w:ascii="宋体" w:hAnsi="宋体"/>
          <w:color w:val="auto"/>
          <w:kern w:val="0"/>
          <w:szCs w:val="21"/>
          <w:highlight w:val="none"/>
        </w:rPr>
      </w:pPr>
    </w:p>
    <w:p w14:paraId="4ACBAA3B">
      <w:pPr>
        <w:spacing w:line="360" w:lineRule="auto"/>
        <w:ind w:left="360"/>
        <w:rPr>
          <w:rFonts w:hint="eastAsia" w:ascii="宋体" w:hAnsi="宋体"/>
          <w:color w:val="auto"/>
          <w:kern w:val="0"/>
          <w:szCs w:val="21"/>
          <w:highlight w:val="none"/>
        </w:rPr>
      </w:pPr>
    </w:p>
    <w:p w14:paraId="3475B303">
      <w:pPr>
        <w:spacing w:line="360" w:lineRule="auto"/>
        <w:ind w:left="360"/>
        <w:rPr>
          <w:rFonts w:hint="eastAsia" w:ascii="宋体" w:hAnsi="宋体"/>
          <w:color w:val="auto"/>
          <w:kern w:val="0"/>
          <w:szCs w:val="21"/>
          <w:highlight w:val="none"/>
        </w:rPr>
      </w:pPr>
    </w:p>
    <w:p w14:paraId="1C0FCA62">
      <w:pPr>
        <w:spacing w:line="360" w:lineRule="auto"/>
        <w:ind w:left="359" w:leftChars="171" w:firstLine="4935" w:firstLineChars="2350"/>
        <w:rPr>
          <w:rFonts w:hint="eastAsia" w:ascii="宋体" w:hAnsi="宋体"/>
          <w:color w:val="auto"/>
          <w:kern w:val="0"/>
          <w:szCs w:val="21"/>
          <w:highlight w:val="none"/>
        </w:rPr>
      </w:pPr>
      <w:r>
        <w:rPr>
          <w:rFonts w:hint="eastAsia" w:ascii="宋体" w:hAnsi="宋体"/>
          <w:color w:val="auto"/>
          <w:kern w:val="0"/>
          <w:szCs w:val="21"/>
          <w:highlight w:val="none"/>
        </w:rPr>
        <w:t>供应商（盖公章）：</w:t>
      </w:r>
    </w:p>
    <w:p w14:paraId="143D3E72">
      <w:pPr>
        <w:spacing w:line="360" w:lineRule="auto"/>
        <w:ind w:left="359" w:leftChars="171" w:firstLine="1260" w:firstLineChars="600"/>
        <w:jc w:val="center"/>
        <w:rPr>
          <w:rFonts w:ascii="宋体" w:hAnsi="宋体"/>
          <w:color w:val="auto"/>
          <w:kern w:val="0"/>
          <w:szCs w:val="21"/>
          <w:highlight w:val="none"/>
        </w:rPr>
      </w:pPr>
      <w:r>
        <w:rPr>
          <w:rFonts w:hint="eastAsia" w:ascii="宋体" w:hAnsi="宋体"/>
          <w:color w:val="auto"/>
          <w:kern w:val="0"/>
          <w:szCs w:val="21"/>
          <w:highlight w:val="none"/>
        </w:rPr>
        <w:t xml:space="preserve">                        年  月  日</w:t>
      </w:r>
    </w:p>
    <w:p w14:paraId="497A603D">
      <w:pPr>
        <w:jc w:val="center"/>
        <w:outlineLvl w:val="0"/>
        <w:rPr>
          <w:rFonts w:hint="eastAsia" w:asciiTheme="majorEastAsia" w:hAnsiTheme="majorEastAsia" w:eastAsiaTheme="majorEastAsia" w:cstheme="majorEastAsia"/>
          <w:b/>
          <w:color w:val="auto"/>
          <w:sz w:val="32"/>
          <w:highlight w:val="none"/>
        </w:rPr>
      </w:pPr>
    </w:p>
    <w:p w14:paraId="2625CF32">
      <w:pPr>
        <w:jc w:val="center"/>
        <w:outlineLvl w:val="0"/>
        <w:rPr>
          <w:rFonts w:hint="eastAsia" w:asciiTheme="majorEastAsia" w:hAnsiTheme="majorEastAsia" w:eastAsiaTheme="majorEastAsia" w:cstheme="majorEastAsia"/>
          <w:b/>
          <w:color w:val="auto"/>
          <w:sz w:val="32"/>
          <w:highlight w:val="none"/>
        </w:rPr>
      </w:pPr>
    </w:p>
    <w:p w14:paraId="4CF75D03">
      <w:pPr>
        <w:jc w:val="center"/>
        <w:outlineLvl w:val="0"/>
        <w:rPr>
          <w:rFonts w:hint="eastAsia" w:asciiTheme="majorEastAsia" w:hAnsiTheme="majorEastAsia" w:eastAsiaTheme="majorEastAsia" w:cstheme="majorEastAsia"/>
          <w:b/>
          <w:color w:val="auto"/>
          <w:sz w:val="32"/>
          <w:highlight w:val="none"/>
        </w:rPr>
      </w:pPr>
    </w:p>
    <w:p w14:paraId="16A4C824">
      <w:pPr>
        <w:jc w:val="center"/>
        <w:outlineLvl w:val="0"/>
        <w:rPr>
          <w:rFonts w:hint="eastAsia" w:asciiTheme="majorEastAsia" w:hAnsiTheme="majorEastAsia" w:eastAsiaTheme="majorEastAsia" w:cstheme="majorEastAsia"/>
          <w:b/>
          <w:color w:val="auto"/>
          <w:sz w:val="32"/>
          <w:highlight w:val="none"/>
        </w:rPr>
      </w:pPr>
    </w:p>
    <w:p w14:paraId="4C4F7E07">
      <w:pPr>
        <w:jc w:val="center"/>
        <w:outlineLvl w:val="0"/>
        <w:rPr>
          <w:rFonts w:hint="eastAsia" w:asciiTheme="majorEastAsia" w:hAnsiTheme="majorEastAsia" w:eastAsiaTheme="majorEastAsia" w:cstheme="majorEastAsia"/>
          <w:b/>
          <w:color w:val="auto"/>
          <w:sz w:val="32"/>
          <w:highlight w:val="none"/>
        </w:rPr>
      </w:pPr>
    </w:p>
    <w:p w14:paraId="22E08F1E">
      <w:pPr>
        <w:jc w:val="center"/>
        <w:outlineLvl w:val="0"/>
        <w:rPr>
          <w:rFonts w:hint="eastAsia" w:asciiTheme="majorEastAsia" w:hAnsiTheme="majorEastAsia" w:eastAsiaTheme="majorEastAsia" w:cstheme="majorEastAsia"/>
          <w:b/>
          <w:color w:val="auto"/>
          <w:sz w:val="32"/>
          <w:highlight w:val="none"/>
        </w:rPr>
      </w:pPr>
    </w:p>
    <w:p w14:paraId="6709F489">
      <w:pPr>
        <w:pStyle w:val="2"/>
        <w:rPr>
          <w:rFonts w:hint="eastAsia" w:asciiTheme="majorEastAsia" w:hAnsiTheme="majorEastAsia" w:eastAsiaTheme="majorEastAsia" w:cstheme="majorEastAsia"/>
          <w:b/>
          <w:color w:val="auto"/>
          <w:sz w:val="32"/>
          <w:highlight w:val="none"/>
        </w:rPr>
      </w:pPr>
    </w:p>
    <w:p w14:paraId="17283F6E">
      <w:pPr>
        <w:rPr>
          <w:rFonts w:hint="eastAsia" w:asciiTheme="majorEastAsia" w:hAnsiTheme="majorEastAsia" w:eastAsiaTheme="majorEastAsia" w:cstheme="majorEastAsia"/>
          <w:b/>
          <w:color w:val="auto"/>
          <w:sz w:val="32"/>
          <w:highlight w:val="none"/>
        </w:rPr>
      </w:pPr>
    </w:p>
    <w:p w14:paraId="091E7802">
      <w:pPr>
        <w:pStyle w:val="2"/>
        <w:rPr>
          <w:rFonts w:hint="eastAsia" w:asciiTheme="majorEastAsia" w:hAnsiTheme="majorEastAsia" w:eastAsiaTheme="majorEastAsia" w:cstheme="majorEastAsia"/>
          <w:b/>
          <w:color w:val="auto"/>
          <w:sz w:val="32"/>
          <w:highlight w:val="none"/>
        </w:rPr>
      </w:pPr>
    </w:p>
    <w:p w14:paraId="043AAB48">
      <w:pPr>
        <w:rPr>
          <w:rFonts w:hint="eastAsia" w:asciiTheme="majorEastAsia" w:hAnsiTheme="majorEastAsia" w:eastAsiaTheme="majorEastAsia" w:cstheme="majorEastAsia"/>
          <w:b/>
          <w:color w:val="auto"/>
          <w:sz w:val="32"/>
          <w:highlight w:val="none"/>
        </w:rPr>
      </w:pPr>
    </w:p>
    <w:p w14:paraId="3E5B9E8D">
      <w:pPr>
        <w:pStyle w:val="2"/>
        <w:rPr>
          <w:rFonts w:hint="eastAsia" w:asciiTheme="majorEastAsia" w:hAnsiTheme="majorEastAsia" w:eastAsiaTheme="majorEastAsia" w:cstheme="majorEastAsia"/>
          <w:b/>
          <w:color w:val="auto"/>
          <w:sz w:val="32"/>
          <w:highlight w:val="none"/>
        </w:rPr>
      </w:pPr>
    </w:p>
    <w:p w14:paraId="64A8F890">
      <w:pPr>
        <w:rPr>
          <w:rFonts w:hint="eastAsia" w:asciiTheme="majorEastAsia" w:hAnsiTheme="majorEastAsia" w:eastAsiaTheme="majorEastAsia" w:cstheme="majorEastAsia"/>
          <w:b/>
          <w:color w:val="auto"/>
          <w:sz w:val="32"/>
          <w:highlight w:val="none"/>
        </w:rPr>
      </w:pPr>
    </w:p>
    <w:p w14:paraId="7DB65BC7">
      <w:pPr>
        <w:pStyle w:val="2"/>
        <w:rPr>
          <w:rFonts w:hint="eastAsia" w:asciiTheme="majorEastAsia" w:hAnsiTheme="majorEastAsia" w:eastAsiaTheme="majorEastAsia" w:cstheme="majorEastAsia"/>
          <w:b/>
          <w:color w:val="auto"/>
          <w:sz w:val="32"/>
          <w:highlight w:val="none"/>
        </w:rPr>
      </w:pPr>
    </w:p>
    <w:p w14:paraId="33544ACE">
      <w:pPr>
        <w:rPr>
          <w:rFonts w:hint="eastAsia" w:asciiTheme="majorEastAsia" w:hAnsiTheme="majorEastAsia" w:eastAsiaTheme="majorEastAsia" w:cstheme="majorEastAsia"/>
          <w:b/>
          <w:color w:val="auto"/>
          <w:sz w:val="32"/>
          <w:highlight w:val="none"/>
        </w:rPr>
      </w:pPr>
    </w:p>
    <w:p w14:paraId="100F65C7">
      <w:pPr>
        <w:pStyle w:val="2"/>
        <w:rPr>
          <w:rFonts w:hint="eastAsia"/>
          <w:color w:val="auto"/>
          <w:highlight w:val="none"/>
        </w:rPr>
      </w:pPr>
    </w:p>
    <w:p w14:paraId="1888D71F">
      <w:pPr>
        <w:jc w:val="center"/>
        <w:outlineLvl w:val="0"/>
        <w:rPr>
          <w:rFonts w:hint="eastAsia" w:asciiTheme="majorEastAsia" w:hAnsiTheme="majorEastAsia" w:eastAsiaTheme="majorEastAsia" w:cstheme="majorEastAsia"/>
          <w:b/>
          <w:color w:val="auto"/>
          <w:sz w:val="32"/>
          <w:highlight w:val="none"/>
        </w:rPr>
      </w:pPr>
    </w:p>
    <w:p w14:paraId="0EA1EA8F">
      <w:pPr>
        <w:jc w:val="center"/>
        <w:outlineLvl w:val="0"/>
        <w:rPr>
          <w:rFonts w:hint="eastAsia" w:asciiTheme="majorEastAsia" w:hAnsiTheme="majorEastAsia" w:eastAsiaTheme="majorEastAsia" w:cstheme="majorEastAsia"/>
          <w:b/>
          <w:color w:val="auto"/>
          <w:sz w:val="32"/>
          <w:highlight w:val="none"/>
        </w:rPr>
      </w:pPr>
    </w:p>
    <w:p w14:paraId="1B243180">
      <w:pPr>
        <w:jc w:val="center"/>
        <w:outlineLvl w:val="0"/>
        <w:rPr>
          <w:rFonts w:hint="eastAsia" w:asciiTheme="majorEastAsia" w:hAnsiTheme="majorEastAsia" w:eastAsiaTheme="majorEastAsia" w:cstheme="majorEastAsia"/>
          <w:b/>
          <w:color w:val="auto"/>
          <w:sz w:val="32"/>
          <w:highlight w:val="none"/>
        </w:rPr>
      </w:pPr>
    </w:p>
    <w:p w14:paraId="6C296A8A">
      <w:pPr>
        <w:jc w:val="center"/>
        <w:outlineLvl w:val="0"/>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第二章 供应商须知</w:t>
      </w:r>
      <w:bookmarkEnd w:id="41"/>
      <w:bookmarkEnd w:id="42"/>
    </w:p>
    <w:p w14:paraId="40CF25AF">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56E673F">
      <w:pPr>
        <w:rPr>
          <w:rFonts w:hint="eastAsia"/>
          <w:color w:val="auto"/>
          <w:highlight w:val="none"/>
        </w:rPr>
      </w:pPr>
    </w:p>
    <w:tbl>
      <w:tblPr>
        <w:tblStyle w:val="19"/>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8351"/>
      </w:tblGrid>
      <w:tr w14:paraId="0A12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4736BA7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51FD9238">
            <w:pPr>
              <w:spacing w:line="360" w:lineRule="auto"/>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内容</w:t>
            </w:r>
          </w:p>
        </w:tc>
      </w:tr>
      <w:tr w14:paraId="6B74A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117A11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3D2EC06B">
            <w:pPr>
              <w:spacing w:line="40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供应商资格条件</w:t>
            </w:r>
            <w:r>
              <w:rPr>
                <w:rFonts w:hint="eastAsia" w:ascii="宋体" w:hAnsi="宋体" w:cs="宋体"/>
                <w:color w:val="auto"/>
                <w:szCs w:val="21"/>
                <w:highlight w:val="none"/>
                <w:lang w:eastAsia="zh-CN"/>
              </w:rPr>
              <w:t>：</w:t>
            </w:r>
            <w:r>
              <w:rPr>
                <w:rFonts w:hint="eastAsia" w:ascii="宋体" w:hAnsi="宋体"/>
                <w:color w:val="auto"/>
                <w:szCs w:val="21"/>
                <w:highlight w:val="none"/>
              </w:rPr>
              <w:t>供应商资格条件要求详见公告</w:t>
            </w:r>
            <w:r>
              <w:rPr>
                <w:rFonts w:hint="eastAsia" w:ascii="宋体" w:hAnsi="宋体"/>
                <w:color w:val="auto"/>
                <w:szCs w:val="21"/>
                <w:highlight w:val="none"/>
                <w:lang w:val="en-US" w:eastAsia="zh-CN"/>
              </w:rPr>
              <w:t>//竞标邀请函</w:t>
            </w:r>
            <w:r>
              <w:rPr>
                <w:rFonts w:hint="eastAsia" w:ascii="宋体" w:hAnsi="宋体"/>
                <w:color w:val="auto"/>
                <w:szCs w:val="21"/>
                <w:highlight w:val="none"/>
                <w:lang w:eastAsia="zh-CN"/>
              </w:rPr>
              <w:t>。</w:t>
            </w:r>
          </w:p>
        </w:tc>
      </w:tr>
      <w:tr w14:paraId="6838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19AC0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C4466F">
            <w:pPr>
              <w:spacing w:line="360" w:lineRule="auto"/>
              <w:rPr>
                <w:rFonts w:hint="eastAsia" w:ascii="宋体" w:hAnsi="宋体" w:cs="宋体"/>
                <w:color w:val="auto"/>
                <w:szCs w:val="21"/>
                <w:highlight w:val="none"/>
              </w:rPr>
            </w:pPr>
            <w:bookmarkStart w:id="43" w:name="PO_3000001871_PM007_1"/>
            <w:r>
              <w:rPr>
                <w:rFonts w:hint="eastAsia" w:ascii="宋体" w:hAnsi="宋体" w:cs="宋体"/>
                <w:color w:val="auto"/>
                <w:szCs w:val="21"/>
                <w:highlight w:val="none"/>
              </w:rPr>
              <w:t>是否接受联合体竞标</w:t>
            </w:r>
            <w:r>
              <w:rPr>
                <w:rFonts w:hint="eastAsia" w:ascii="宋体" w:hAnsi="宋体" w:cs="宋体"/>
                <w:color w:val="auto"/>
                <w:szCs w:val="21"/>
                <w:highlight w:val="none"/>
                <w:lang w:eastAsia="zh-CN"/>
              </w:rPr>
              <w:t>：</w:t>
            </w:r>
            <w:r>
              <w:rPr>
                <w:rFonts w:hint="eastAsia" w:ascii="宋体" w:hAnsi="宋体"/>
                <w:color w:val="auto"/>
                <w:szCs w:val="21"/>
                <w:highlight w:val="none"/>
              </w:rPr>
              <w:t>不允许联合体投标</w:t>
            </w:r>
            <w:bookmarkEnd w:id="43"/>
            <w:r>
              <w:rPr>
                <w:rFonts w:hint="eastAsia" w:ascii="宋体" w:hAnsi="宋体"/>
                <w:color w:val="auto"/>
                <w:szCs w:val="21"/>
                <w:highlight w:val="none"/>
              </w:rPr>
              <w:t>。</w:t>
            </w:r>
          </w:p>
        </w:tc>
      </w:tr>
      <w:tr w14:paraId="2EFB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9719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274C0E6">
            <w:pPr>
              <w:pStyle w:val="8"/>
              <w:spacing w:line="380" w:lineRule="exact"/>
              <w:rPr>
                <w:rFonts w:hint="eastAsia" w:ascii="宋体" w:hAnsi="宋体" w:cs="宋体"/>
                <w:color w:val="auto"/>
                <w:szCs w:val="21"/>
                <w:highlight w:val="none"/>
              </w:rPr>
            </w:pPr>
            <w:r>
              <w:rPr>
                <w:rFonts w:hint="eastAsia" w:ascii="宋体" w:hAnsi="宋体"/>
                <w:color w:val="auto"/>
                <w:szCs w:val="21"/>
                <w:highlight w:val="none"/>
              </w:rPr>
              <w:t>联合体竞标要求</w:t>
            </w:r>
            <w:r>
              <w:rPr>
                <w:rFonts w:hint="eastAsia" w:ascii="宋体" w:hAnsi="宋体"/>
                <w:color w:val="auto"/>
                <w:szCs w:val="21"/>
                <w:highlight w:val="none"/>
                <w:lang w:eastAsia="zh-CN"/>
              </w:rPr>
              <w:t>：</w:t>
            </w:r>
            <w:r>
              <w:rPr>
                <w:rFonts w:hint="eastAsia" w:ascii="宋体" w:hAnsi="宋体"/>
                <w:color w:val="auto"/>
                <w:szCs w:val="21"/>
                <w:highlight w:val="none"/>
              </w:rPr>
              <w:t>无</w:t>
            </w:r>
          </w:p>
        </w:tc>
      </w:tr>
      <w:tr w14:paraId="75DA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410DE9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081E5A2B">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是否允许分包</w:t>
            </w:r>
            <w:r>
              <w:rPr>
                <w:rFonts w:hint="eastAsia" w:ascii="宋体" w:hAnsi="宋体" w:cs="宋体"/>
                <w:color w:val="auto"/>
                <w:szCs w:val="21"/>
                <w:highlight w:val="none"/>
                <w:lang w:eastAsia="zh-CN"/>
              </w:rPr>
              <w:t>：</w:t>
            </w:r>
            <w:r>
              <w:rPr>
                <w:rFonts w:hint="eastAsia" w:ascii="宋体" w:hAnsi="宋体"/>
                <w:color w:val="auto"/>
                <w:szCs w:val="21"/>
                <w:highlight w:val="none"/>
                <w:lang w:eastAsia="zh-CN"/>
              </w:rPr>
              <w:t>☑</w:t>
            </w:r>
            <w:r>
              <w:rPr>
                <w:rFonts w:hint="eastAsia" w:ascii="宋体" w:hAnsi="宋体"/>
                <w:color w:val="auto"/>
                <w:szCs w:val="21"/>
                <w:highlight w:val="none"/>
              </w:rPr>
              <w:t>不允许分包</w:t>
            </w:r>
          </w:p>
        </w:tc>
      </w:tr>
      <w:tr w14:paraId="48B3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B7C93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E27212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6260AB2B">
            <w:pPr>
              <w:pStyle w:val="8"/>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b/>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2E3A19">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响应文件递交截止时间前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B3E0A1">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响应文件递交截止时间前</w:t>
            </w:r>
            <w:r>
              <w:rPr>
                <w:rFonts w:hint="eastAsia" w:ascii="宋体" w:hAnsi="宋体" w:cs="宋体"/>
                <w:color w:val="auto"/>
                <w:szCs w:val="21"/>
                <w:highlight w:val="none"/>
                <w:lang w:eastAsia="zh-CN"/>
              </w:rPr>
              <w:t>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个月的依法缴纳社会保障资金的缴费凭证复印件；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C91157">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rPr>
              <w:t>年度</w:t>
            </w:r>
            <w:r>
              <w:rPr>
                <w:rFonts w:hint="eastAsia"/>
                <w:color w:val="auto"/>
                <w:szCs w:val="21"/>
                <w:highlight w:val="none"/>
              </w:rPr>
              <w:t>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w:t>
            </w:r>
            <w:r>
              <w:rPr>
                <w:rFonts w:hint="eastAsia" w:ascii="宋体" w:hAnsi="宋体" w:cs="宋体"/>
                <w:b/>
                <w:color w:val="auto"/>
                <w:szCs w:val="21"/>
                <w:highlight w:val="none"/>
              </w:rPr>
              <w:t>响应文件</w:t>
            </w:r>
            <w:r>
              <w:rPr>
                <w:rFonts w:hint="eastAsia" w:ascii="宋体" w:hAnsi="宋体" w:cs="宋体"/>
                <w:b/>
                <w:bCs/>
                <w:color w:val="auto"/>
                <w:szCs w:val="21"/>
                <w:highlight w:val="none"/>
              </w:rPr>
              <w:t>作无效</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处理</w:t>
            </w:r>
            <w:r>
              <w:rPr>
                <w:rFonts w:hint="eastAsia" w:ascii="宋体" w:hAnsi="宋体" w:cs="宋体"/>
                <w:color w:val="auto"/>
                <w:szCs w:val="21"/>
                <w:highlight w:val="none"/>
              </w:rPr>
              <w:t>）</w:t>
            </w:r>
          </w:p>
          <w:p w14:paraId="62F61802">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FCA0BF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9F2A765">
            <w:pPr>
              <w:keepNext w:val="0"/>
              <w:keepLines w:val="0"/>
              <w:pageBreakBefore w:val="0"/>
              <w:widowControl w:val="0"/>
              <w:kinsoku/>
              <w:wordWrap/>
              <w:overflowPunct/>
              <w:topLinePunct w:val="0"/>
              <w:bidi w:val="0"/>
              <w:snapToGrid w:val="0"/>
              <w:spacing w:line="44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货物制造商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lang w:val="en-US" w:eastAsia="zh-CN"/>
              </w:rPr>
              <w:t>如有</w:t>
            </w:r>
            <w:r>
              <w:rPr>
                <w:rFonts w:hint="eastAsia" w:ascii="宋体" w:hAnsi="宋体" w:cs="宋体"/>
                <w:color w:val="auto"/>
                <w:szCs w:val="21"/>
                <w:highlight w:val="none"/>
              </w:rPr>
              <w:t>）</w:t>
            </w:r>
          </w:p>
          <w:p w14:paraId="57D04C9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color w:val="auto"/>
                <w:szCs w:val="21"/>
                <w:highlight w:val="none"/>
                <w:lang w:eastAsia="zh-CN"/>
              </w:rPr>
              <w:t>。</w:t>
            </w:r>
          </w:p>
          <w:p w14:paraId="5BDA0642">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384F5DC0">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 xml:space="preserve"> </w:t>
            </w:r>
            <w:r>
              <w:rPr>
                <w:rFonts w:hint="eastAsia" w:ascii="宋体" w:hAnsi="宋体" w:cs="宋体"/>
                <w:b/>
                <w:bCs/>
                <w:color w:val="auto"/>
                <w:szCs w:val="21"/>
                <w:highlight w:val="none"/>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b/>
                <w:bCs/>
                <w:color w:val="auto"/>
                <w:szCs w:val="21"/>
                <w:highlight w:val="none"/>
                <w:lang w:val="en-US" w:eastAsia="zh-CN"/>
              </w:rPr>
              <w:t>按</w:t>
            </w:r>
            <w:r>
              <w:rPr>
                <w:rFonts w:hint="eastAsia" w:ascii="宋体" w:hAnsi="宋体" w:cs="Courier New"/>
                <w:b/>
                <w:color w:val="auto"/>
                <w:szCs w:val="21"/>
                <w:highlight w:val="none"/>
              </w:rPr>
              <w:t>无</w:t>
            </w:r>
            <w:r>
              <w:rPr>
                <w:rFonts w:hint="eastAsia" w:ascii="宋体" w:hAnsi="宋体"/>
                <w:b/>
                <w:bCs/>
                <w:color w:val="auto"/>
                <w:szCs w:val="21"/>
                <w:highlight w:val="none"/>
              </w:rPr>
              <w:t>效</w:t>
            </w:r>
            <w:r>
              <w:rPr>
                <w:rFonts w:hint="eastAsia" w:ascii="宋体" w:hAnsi="宋体"/>
                <w:b/>
                <w:bCs/>
                <w:color w:val="auto"/>
                <w:szCs w:val="21"/>
                <w:highlight w:val="none"/>
                <w:lang w:val="en-US" w:eastAsia="zh-CN"/>
              </w:rPr>
              <w:t>响应</w:t>
            </w:r>
            <w:r>
              <w:rPr>
                <w:rFonts w:hint="eastAsia" w:ascii="宋体" w:hAnsi="宋体"/>
                <w:b/>
                <w:bCs/>
                <w:color w:val="auto"/>
                <w:szCs w:val="21"/>
                <w:highlight w:val="none"/>
              </w:rPr>
              <w:t>处理。</w:t>
            </w:r>
          </w:p>
          <w:p w14:paraId="7CE4B866">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竞标声明必须由法定代表人在规定签章处签字</w:t>
            </w:r>
            <w:r>
              <w:rPr>
                <w:rFonts w:hint="eastAsia" w:ascii="宋体" w:hAnsi="宋体" w:cs="宋体"/>
                <w:b/>
                <w:color w:val="auto"/>
                <w:szCs w:val="21"/>
                <w:highlight w:val="none"/>
                <w:lang w:val="en-US" w:eastAsia="zh-CN"/>
              </w:rPr>
              <w:t>或盖章或电子签名</w:t>
            </w:r>
            <w:r>
              <w:rPr>
                <w:rFonts w:hint="eastAsia" w:ascii="宋体" w:hAnsi="宋体" w:cs="宋体"/>
                <w:b/>
                <w:color w:val="auto"/>
                <w:szCs w:val="21"/>
                <w:highlight w:val="none"/>
              </w:rPr>
              <w:t>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p w14:paraId="593CA65E">
            <w:pPr>
              <w:pStyle w:val="8"/>
              <w:keepNext w:val="0"/>
              <w:keepLines w:val="0"/>
              <w:pageBreakBefore w:val="0"/>
              <w:widowControl w:val="0"/>
              <w:kinsoku/>
              <w:wordWrap/>
              <w:overflowPunct/>
              <w:topLinePunct w:val="0"/>
              <w:bidi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.供应商直接控股、管理关系信息表必须由法定代表人或者委托代理人在规定签章处签字并加盖供应商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tc>
      </w:tr>
      <w:tr w14:paraId="5AB3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0A7D7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FC79EF9">
            <w:pPr>
              <w:keepNext w:val="0"/>
              <w:keepLines w:val="0"/>
              <w:pageBreakBefore w:val="0"/>
              <w:widowControl w:val="0"/>
              <w:kinsoku/>
              <w:wordWrap/>
              <w:overflowPunct/>
              <w:topLinePunct w:val="0"/>
              <w:bidi w:val="0"/>
              <w:spacing w:line="440" w:lineRule="exact"/>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报价文件</w:t>
            </w:r>
          </w:p>
          <w:p w14:paraId="4AFC8A08">
            <w:pPr>
              <w:keepNext w:val="0"/>
              <w:keepLines w:val="0"/>
              <w:pageBreakBefore w:val="0"/>
              <w:widowControl w:val="0"/>
              <w:kinsoku/>
              <w:wordWrap/>
              <w:overflowPunct/>
              <w:topLinePunct w:val="0"/>
              <w:bidi w:val="0"/>
              <w:spacing w:line="440" w:lineRule="exact"/>
              <w:rPr>
                <w:rFonts w:hint="eastAsia" w:ascii="宋体" w:hAnsi="宋体" w:cs="宋体"/>
                <w:b/>
                <w:color w:val="auto"/>
                <w:szCs w:val="21"/>
                <w:highlight w:val="none"/>
              </w:rPr>
            </w:pPr>
            <w:r>
              <w:rPr>
                <w:rFonts w:hint="eastAsia" w:ascii="宋体" w:hAnsi="宋体" w:cs="宋体"/>
                <w:b w:val="0"/>
                <w:bCs/>
                <w:color w:val="auto"/>
                <w:szCs w:val="21"/>
                <w:highlight w:val="none"/>
                <w:lang w:val="en-US" w:eastAsia="zh-CN"/>
              </w:rPr>
              <w:t>1. 竞标报价表（格式后附）；</w:t>
            </w:r>
            <w:r>
              <w:rPr>
                <w:rFonts w:hint="eastAsia" w:ascii="宋体" w:hAnsi="宋体" w:cs="宋体"/>
                <w:b/>
                <w:color w:val="auto"/>
                <w:szCs w:val="21"/>
                <w:highlight w:val="none"/>
                <w:lang w:val="en-US" w:eastAsia="zh-CN"/>
              </w:rPr>
              <w:t xml:space="preserve">（必须提供，否则响应文件按无效响应处理） </w:t>
            </w:r>
          </w:p>
          <w:p w14:paraId="55FBA7B6">
            <w:pPr>
              <w:keepNext w:val="0"/>
              <w:keepLines w:val="0"/>
              <w:pageBreakBefore w:val="0"/>
              <w:widowControl w:val="0"/>
              <w:kinsoku/>
              <w:wordWrap/>
              <w:overflowPunct/>
              <w:topLinePunct w:val="0"/>
              <w:bidi w:val="0"/>
              <w:spacing w:line="440" w:lineRule="exact"/>
              <w:rPr>
                <w:rFonts w:hint="eastAsia" w:ascii="宋体" w:hAnsi="宋体" w:cs="宋体"/>
                <w:b/>
                <w:color w:val="auto"/>
                <w:szCs w:val="21"/>
                <w:highlight w:val="none"/>
              </w:rPr>
            </w:pPr>
            <w:r>
              <w:rPr>
                <w:rFonts w:hint="eastAsia" w:ascii="宋体" w:hAnsi="宋体" w:cs="宋体"/>
                <w:b w:val="0"/>
                <w:bCs/>
                <w:color w:val="auto"/>
                <w:szCs w:val="21"/>
                <w:highlight w:val="none"/>
                <w:lang w:val="en-US" w:eastAsia="zh-CN"/>
              </w:rPr>
              <w:t>2. 供应商认为需要提供的其他有关资料。（</w:t>
            </w:r>
            <w:r>
              <w:rPr>
                <w:rFonts w:hint="eastAsia" w:ascii="宋体" w:hAnsi="宋体" w:cs="宋体"/>
                <w:b/>
                <w:color w:val="auto"/>
                <w:szCs w:val="21"/>
                <w:highlight w:val="none"/>
                <w:lang w:val="en-US" w:eastAsia="zh-CN"/>
              </w:rPr>
              <w:t>如有请提供）</w:t>
            </w:r>
          </w:p>
        </w:tc>
      </w:tr>
      <w:tr w14:paraId="16E8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23C04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F843695">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 xml:space="preserve">商务技术文件 </w:t>
            </w:r>
          </w:p>
          <w:p w14:paraId="312925CF">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1.无串通竞标行为的承诺函（格式后附）；</w:t>
            </w:r>
            <w:r>
              <w:rPr>
                <w:rFonts w:hint="eastAsia" w:ascii="宋体" w:hAnsi="宋体" w:cs="宋体"/>
                <w:b/>
                <w:bCs/>
                <w:color w:val="auto"/>
                <w:szCs w:val="21"/>
                <w:highlight w:val="none"/>
                <w:lang w:val="en-US" w:eastAsia="zh-CN"/>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lang w:val="en-US" w:eastAsia="zh-CN"/>
              </w:rPr>
              <w:t xml:space="preserve">） </w:t>
            </w:r>
          </w:p>
          <w:p w14:paraId="5395BF42">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2.法定代表人身份证明书及法定代表人有效身份证正反面复印件（格式后附）；</w:t>
            </w:r>
            <w:r>
              <w:rPr>
                <w:rFonts w:hint="eastAsia" w:ascii="宋体" w:hAnsi="宋体" w:cs="宋体"/>
                <w:b/>
                <w:bCs/>
                <w:color w:val="auto"/>
                <w:szCs w:val="21"/>
                <w:highlight w:val="none"/>
                <w:lang w:val="en-US" w:eastAsia="zh-CN"/>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lang w:val="en-US" w:eastAsia="zh-CN"/>
              </w:rPr>
              <w:t>）</w:t>
            </w:r>
            <w:r>
              <w:rPr>
                <w:rFonts w:hint="eastAsia" w:ascii="宋体" w:hAnsi="宋体" w:cs="宋体"/>
                <w:color w:val="auto"/>
                <w:szCs w:val="21"/>
                <w:highlight w:val="none"/>
                <w:lang w:val="en-US" w:eastAsia="zh-CN"/>
              </w:rPr>
              <w:t xml:space="preserve"> </w:t>
            </w:r>
          </w:p>
          <w:p w14:paraId="4FCB248E">
            <w:pPr>
              <w:keepNext w:val="0"/>
              <w:keepLines w:val="0"/>
              <w:pageBreakBefore w:val="0"/>
              <w:widowControl w:val="0"/>
              <w:kinsoku/>
              <w:wordWrap/>
              <w:overflowPunct/>
              <w:topLinePunct w:val="0"/>
              <w:bidi w:val="0"/>
              <w:spacing w:line="440" w:lineRule="exact"/>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3.法定代表人授权委托书及委托代理人有效身份证正反面复印件（格式后附）；</w:t>
            </w:r>
            <w:r>
              <w:rPr>
                <w:rFonts w:hint="eastAsia" w:ascii="宋体" w:hAnsi="宋体" w:cs="宋体"/>
                <w:b/>
                <w:bCs/>
                <w:color w:val="auto"/>
                <w:szCs w:val="21"/>
                <w:highlight w:val="none"/>
                <w:lang w:val="en-US" w:eastAsia="zh-CN"/>
              </w:rPr>
              <w:t>（委托时</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lang w:val="en-US" w:eastAsia="zh-CN"/>
              </w:rPr>
              <w:t>）</w:t>
            </w:r>
          </w:p>
          <w:p w14:paraId="5FBE2F73">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4.商务条款偏离表（格式后附）；</w:t>
            </w:r>
            <w:r>
              <w:rPr>
                <w:rFonts w:hint="eastAsia" w:ascii="宋体" w:hAnsi="宋体" w:cs="宋体"/>
                <w:b/>
                <w:bCs/>
                <w:color w:val="auto"/>
                <w:szCs w:val="21"/>
                <w:highlight w:val="none"/>
                <w:lang w:val="en-US" w:eastAsia="zh-CN"/>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lang w:val="en-US" w:eastAsia="zh-CN"/>
              </w:rPr>
              <w:t xml:space="preserve">） </w:t>
            </w:r>
          </w:p>
          <w:p w14:paraId="5768E2E0">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5.售后服务承诺；</w:t>
            </w:r>
            <w:r>
              <w:rPr>
                <w:rFonts w:hint="eastAsia" w:ascii="宋体" w:hAnsi="宋体" w:cs="宋体"/>
                <w:b/>
                <w:bCs/>
                <w:color w:val="auto"/>
                <w:szCs w:val="21"/>
                <w:highlight w:val="none"/>
                <w:lang w:val="en-US" w:eastAsia="zh-CN"/>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lang w:val="en-US" w:eastAsia="zh-CN"/>
              </w:rPr>
              <w:t>）</w:t>
            </w:r>
            <w:r>
              <w:rPr>
                <w:rFonts w:hint="eastAsia" w:ascii="宋体" w:hAnsi="宋体" w:cs="宋体"/>
                <w:color w:val="auto"/>
                <w:szCs w:val="21"/>
                <w:highlight w:val="none"/>
                <w:lang w:val="en-US" w:eastAsia="zh-CN"/>
              </w:rPr>
              <w:t xml:space="preserve"> </w:t>
            </w:r>
          </w:p>
          <w:p w14:paraId="27E9FF97">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6.货物配置清单（均不含报价）（格式后附）；（</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lang w:val="en-US" w:eastAsia="zh-CN"/>
              </w:rPr>
              <w:t>）</w:t>
            </w:r>
            <w:r>
              <w:rPr>
                <w:rFonts w:hint="eastAsia" w:ascii="宋体" w:hAnsi="宋体" w:cs="宋体"/>
                <w:color w:val="auto"/>
                <w:szCs w:val="21"/>
                <w:highlight w:val="none"/>
                <w:lang w:val="en-US" w:eastAsia="zh-CN"/>
              </w:rPr>
              <w:t xml:space="preserve"> </w:t>
            </w:r>
          </w:p>
          <w:p w14:paraId="5CB37E14">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7.技术需求偏离表（格式后附）；</w:t>
            </w:r>
            <w:r>
              <w:rPr>
                <w:rFonts w:hint="eastAsia" w:ascii="宋体" w:hAnsi="宋体" w:cs="宋体"/>
                <w:b/>
                <w:bCs/>
                <w:color w:val="auto"/>
                <w:szCs w:val="21"/>
                <w:highlight w:val="none"/>
                <w:lang w:val="en-US" w:eastAsia="zh-CN"/>
              </w:rPr>
              <w:t>（</w:t>
            </w:r>
            <w:r>
              <w:rPr>
                <w:rFonts w:hint="eastAsia" w:ascii="宋体" w:hAnsi="宋体" w:cs="宋体"/>
                <w:b/>
                <w:color w:val="auto"/>
                <w:szCs w:val="21"/>
                <w:highlight w:val="none"/>
              </w:rPr>
              <w:t>必须提供，否则响应文件按无效响应处理</w:t>
            </w:r>
            <w:r>
              <w:rPr>
                <w:rFonts w:hint="eastAsia" w:ascii="宋体" w:hAnsi="宋体" w:cs="宋体"/>
                <w:b/>
                <w:bCs/>
                <w:color w:val="auto"/>
                <w:szCs w:val="21"/>
                <w:highlight w:val="none"/>
                <w:lang w:val="en-US" w:eastAsia="zh-CN"/>
              </w:rPr>
              <w:t>）</w:t>
            </w:r>
            <w:r>
              <w:rPr>
                <w:rFonts w:hint="eastAsia" w:ascii="宋体" w:hAnsi="宋体" w:cs="宋体"/>
                <w:color w:val="auto"/>
                <w:szCs w:val="21"/>
                <w:highlight w:val="none"/>
                <w:lang w:val="en-US" w:eastAsia="zh-CN"/>
              </w:rPr>
              <w:t xml:space="preserve"> </w:t>
            </w:r>
          </w:p>
          <w:p w14:paraId="4A54B29C">
            <w:pPr>
              <w:keepNext w:val="0"/>
              <w:keepLines w:val="0"/>
              <w:pageBreakBefore w:val="0"/>
              <w:widowControl w:val="0"/>
              <w:kinsoku/>
              <w:wordWrap/>
              <w:overflowPunct/>
              <w:topLinePunct w:val="0"/>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.供应商认为需要提供的其他有关资料。</w:t>
            </w:r>
          </w:p>
          <w:p w14:paraId="3EB0268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62FD9754">
            <w:pPr>
              <w:keepNext w:val="0"/>
              <w:keepLines w:val="0"/>
              <w:pageBreakBefore w:val="0"/>
              <w:widowControl w:val="0"/>
              <w:kinsoku/>
              <w:wordWrap/>
              <w:overflowPunct/>
              <w:topLinePunct w:val="0"/>
              <w:bidi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6E6B84CA">
            <w:pPr>
              <w:keepNext w:val="0"/>
              <w:keepLines w:val="0"/>
              <w:pageBreakBefore w:val="0"/>
              <w:widowControl w:val="0"/>
              <w:kinsoku/>
              <w:wordWrap/>
              <w:overflowPunct/>
              <w:topLinePunct w:val="0"/>
              <w:bidi w:val="0"/>
              <w:spacing w:line="44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01AD4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24DC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837D54B">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竞标总报价包含以下部分：</w:t>
            </w:r>
          </w:p>
          <w:p w14:paraId="08ABAE58">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（1）竞标货物的总价；</w:t>
            </w:r>
          </w:p>
          <w:p w14:paraId="187B9FDF">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（2）货物的标准附件、备品备件、专用工具的价格；</w:t>
            </w:r>
          </w:p>
          <w:p w14:paraId="032FB42F">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（3）运输、装卸、调试、验收、培训、保修、技术支持、检测费、售后服务等费用；</w:t>
            </w:r>
          </w:p>
          <w:p w14:paraId="24055C86">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（4）必要的保险费用和各项税费等，采购人不再支付其它任何费用。</w:t>
            </w:r>
          </w:p>
        </w:tc>
      </w:tr>
      <w:tr w14:paraId="7411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A5CE15C">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95B9CFC">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olor w:val="auto"/>
                <w:szCs w:val="21"/>
                <w:highlight w:val="none"/>
              </w:rPr>
            </w:pPr>
            <w:r>
              <w:rPr>
                <w:rFonts w:hint="eastAsia" w:ascii="宋体" w:hAnsi="宋体" w:cs="宋体"/>
                <w:color w:val="auto"/>
                <w:szCs w:val="21"/>
                <w:highlight w:val="none"/>
                <w:lang w:eastAsia="zh-CN"/>
              </w:rPr>
              <w:t>竞</w:t>
            </w:r>
            <w:r>
              <w:rPr>
                <w:rFonts w:hint="eastAsia" w:ascii="宋体" w:hAnsi="宋体" w:cs="宋体"/>
                <w:color w:val="auto"/>
                <w:szCs w:val="21"/>
                <w:highlight w:val="none"/>
              </w:rPr>
              <w:t>标有效期：自首次响应文件提交截止之日起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60</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tc>
      </w:tr>
      <w:tr w14:paraId="7D0B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14781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7187FC3">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default" w:ascii="宋体" w:hAnsi="宋体" w:cs="宋体"/>
                <w:b/>
                <w:bCs/>
                <w:color w:val="auto"/>
                <w:szCs w:val="21"/>
                <w:highlight w:val="none"/>
                <w:lang w:val="en-US" w:eastAsia="zh-CN"/>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本项目不收取</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w:t>
            </w:r>
          </w:p>
        </w:tc>
      </w:tr>
      <w:tr w14:paraId="1BAE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586264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37B68C8">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本项目不接受电子备份响应文件。</w:t>
            </w:r>
          </w:p>
        </w:tc>
      </w:tr>
      <w:tr w14:paraId="3468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6470AD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C25D475">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none"/>
              </w:rPr>
            </w:pPr>
            <w:r>
              <w:rPr>
                <w:rFonts w:hint="eastAsia" w:ascii="宋体" w:hAnsi="宋体" w:cs="宋体"/>
                <w:color w:val="auto"/>
                <w:szCs w:val="21"/>
                <w:highlight w:val="none"/>
                <w:u w:val="none"/>
                <w:lang w:val="en-US" w:eastAsia="zh-CN"/>
              </w:rPr>
              <w:t xml:space="preserve">首次响应文件提交截止时间：详见竞争性谈判公告。 </w:t>
            </w:r>
          </w:p>
          <w:p w14:paraId="13D9327E">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u w:val="none"/>
                <w:lang w:val="en-US" w:eastAsia="zh-CN"/>
              </w:rPr>
              <w:t xml:space="preserve">首次响应文件提交地点：详见竞争性谈判公告。  </w:t>
            </w:r>
          </w:p>
        </w:tc>
      </w:tr>
      <w:tr w14:paraId="056A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AF327EC">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207406E">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谈判小组的人数： 3 人以上单数。</w:t>
            </w:r>
          </w:p>
        </w:tc>
      </w:tr>
      <w:tr w14:paraId="569B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92D9293">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863B705">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 xml:space="preserve">首次响应文件开启时间详见“竞争性谈判公告” </w:t>
            </w:r>
          </w:p>
          <w:p w14:paraId="467CD633">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首次响应文件解密时间：30 分钟</w:t>
            </w:r>
          </w:p>
        </w:tc>
      </w:tr>
      <w:tr w14:paraId="59326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314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C92FF7">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08F33C69">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需求评审中允许负偏离的条款数</w:t>
            </w:r>
            <w:r>
              <w:rPr>
                <w:rFonts w:hint="eastAsia" w:ascii="宋体" w:hAnsi="宋体" w:cs="宋体"/>
                <w:color w:val="auto"/>
                <w:szCs w:val="21"/>
                <w:highlight w:val="none"/>
                <w:lang w:val="en-US" w:eastAsia="zh-CN"/>
              </w:rPr>
              <w:t>为</w:t>
            </w:r>
            <w:r>
              <w:rPr>
                <w:rFonts w:hint="eastAsia" w:ascii="宋体" w:hAnsi="宋体" w:eastAsia="宋体" w:cs="宋体"/>
                <w:color w:val="auto"/>
                <w:szCs w:val="21"/>
                <w:highlight w:val="none"/>
                <w:lang w:val="en-US" w:eastAsia="zh-CN"/>
              </w:rPr>
              <w:t>每个标的</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项</w:t>
            </w:r>
            <w:r>
              <w:rPr>
                <w:rFonts w:hint="eastAsia" w:ascii="宋体" w:hAnsi="宋体" w:cs="宋体"/>
                <w:b w:val="0"/>
                <w:bCs w:val="0"/>
                <w:color w:val="auto"/>
                <w:szCs w:val="21"/>
                <w:highlight w:val="none"/>
              </w:rPr>
              <w:t>。</w:t>
            </w:r>
          </w:p>
        </w:tc>
      </w:tr>
      <w:tr w14:paraId="7430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3289">
            <w:pPr>
              <w:widowControl/>
              <w:jc w:val="left"/>
              <w:rPr>
                <w:rFonts w:ascii="宋体" w:hAnsi="宋体" w:cs="宋体"/>
                <w:color w:val="auto"/>
                <w:szCs w:val="21"/>
                <w:highlight w:val="none"/>
              </w:rPr>
            </w:pP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550A94">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最后报价相同时，按节能、环保产品累计金额由高到低顺序依次推荐；节能、环保产品累计金额也相同时，按以下原则确定成交候选人的顺序： </w:t>
            </w:r>
          </w:p>
          <w:p w14:paraId="5286CF36">
            <w:pPr>
              <w:keepNext w:val="0"/>
              <w:keepLines w:val="0"/>
              <w:pageBreakBefore w:val="0"/>
              <w:widowControl w:val="0"/>
              <w:kinsoku/>
              <w:wordWrap/>
              <w:overflowPunct/>
              <w:topLinePunct w:val="0"/>
              <w:bidi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带“▲”的实质性要求正偏离项数多的优先、均无正偏离或者正偏离项数一致时负偏离项数少的优先、保修期长优先、交货期短优先、故障响应时间短优先的顺序推荐。</w:t>
            </w:r>
          </w:p>
        </w:tc>
      </w:tr>
      <w:tr w14:paraId="0A8B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ED27A61">
            <w:pPr>
              <w:widowControl/>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28</w:t>
            </w:r>
            <w:r>
              <w:rPr>
                <w:rFonts w:hint="eastAsia" w:ascii="宋体" w:hAnsi="宋体" w:cs="宋体"/>
                <w:color w:val="auto"/>
                <w:szCs w:val="21"/>
                <w:highlight w:val="none"/>
                <w:lang w:val="en-US" w:eastAsia="zh-CN"/>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3732D29">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履约保证金金额：</w:t>
            </w:r>
          </w:p>
          <w:p w14:paraId="0FE6F093">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本项目不收取履约保证金 </w:t>
            </w:r>
            <w:r>
              <w:rPr>
                <w:rFonts w:hint="eastAsia" w:ascii="宋体" w:hAnsi="宋体"/>
                <w:color w:val="auto"/>
                <w:szCs w:val="21"/>
                <w:highlight w:val="none"/>
              </w:rPr>
              <w:t xml:space="preserve"> </w:t>
            </w:r>
          </w:p>
        </w:tc>
      </w:tr>
      <w:tr w14:paraId="1A0A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E5A51D">
            <w:pPr>
              <w:widowControl/>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90FFD3">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261F0965">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广西桂春工程项目管理咨询有限公司</w:t>
            </w:r>
            <w:r>
              <w:rPr>
                <w:rFonts w:hint="eastAsia" w:ascii="宋体" w:hAnsi="宋体"/>
                <w:color w:val="auto"/>
                <w:szCs w:val="21"/>
                <w:highlight w:val="none"/>
              </w:rPr>
              <w:t>，联系电话：</w:t>
            </w:r>
            <w:r>
              <w:rPr>
                <w:rFonts w:hint="eastAsia" w:ascii="宋体" w:hAnsi="宋体"/>
                <w:color w:val="auto"/>
                <w:szCs w:val="21"/>
                <w:highlight w:val="none"/>
                <w:lang w:eastAsia="zh-CN"/>
              </w:rPr>
              <w:t>0775-2692170</w:t>
            </w:r>
            <w:r>
              <w:rPr>
                <w:rFonts w:hint="eastAsia" w:ascii="宋体" w:hAnsi="宋体"/>
                <w:color w:val="auto"/>
                <w:szCs w:val="21"/>
                <w:highlight w:val="none"/>
              </w:rPr>
              <w:t>，通讯地址：</w:t>
            </w:r>
            <w:r>
              <w:rPr>
                <w:rFonts w:hint="eastAsia" w:ascii="宋体" w:hAnsi="宋体"/>
                <w:color w:val="auto"/>
                <w:szCs w:val="21"/>
                <w:highlight w:val="none"/>
                <w:lang w:val="en-US" w:eastAsia="zh-CN"/>
              </w:rPr>
              <w:t>玉林市玉州区江滨路东55号山水名城8栋12号商铺</w:t>
            </w:r>
          </w:p>
          <w:p w14:paraId="25762C49">
            <w:pPr>
              <w:keepNext w:val="0"/>
              <w:keepLines w:val="0"/>
              <w:pageBreakBefore w:val="0"/>
              <w:widowControl w:val="0"/>
              <w:kinsoku/>
              <w:wordWrap/>
              <w:overflowPunct/>
              <w:topLinePunct w:val="0"/>
              <w:bidi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业务时间：上午8时00分到12时00分，下午</w:t>
            </w:r>
            <w:r>
              <w:rPr>
                <w:rFonts w:hint="eastAsia" w:ascii="宋体" w:hAnsi="宋体"/>
                <w:color w:val="auto"/>
                <w:szCs w:val="21"/>
                <w:highlight w:val="none"/>
                <w:lang w:val="en-US" w:eastAsia="zh-CN"/>
              </w:rPr>
              <w:t>3</w:t>
            </w:r>
            <w:r>
              <w:rPr>
                <w:rFonts w:hint="eastAsia" w:ascii="宋体" w:hAnsi="宋体"/>
                <w:color w:val="auto"/>
                <w:szCs w:val="21"/>
                <w:highlight w:val="none"/>
              </w:rPr>
              <w:t>时00分到</w:t>
            </w:r>
            <w:r>
              <w:rPr>
                <w:rFonts w:hint="eastAsia" w:ascii="宋体" w:hAnsi="宋体"/>
                <w:color w:val="auto"/>
                <w:szCs w:val="21"/>
                <w:highlight w:val="none"/>
                <w:lang w:val="en-US" w:eastAsia="zh-CN"/>
              </w:rPr>
              <w:t>6</w:t>
            </w:r>
            <w:r>
              <w:rPr>
                <w:rFonts w:hint="eastAsia" w:ascii="宋体" w:hAnsi="宋体"/>
                <w:color w:val="auto"/>
                <w:szCs w:val="21"/>
                <w:highlight w:val="none"/>
              </w:rPr>
              <w:t>时00分，业务时间以外、双休日和法定节假日不办理业务。</w:t>
            </w:r>
          </w:p>
        </w:tc>
      </w:tr>
      <w:tr w14:paraId="4C27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FCAA571">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A966D27">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1.采购代理费：本项目代理服务费由成交供应商在领取成交通知书前，一次性向采购代理机构支付。 </w:t>
            </w:r>
          </w:p>
          <w:p w14:paraId="2F525DC5">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2.采购代理费收取标准：代理服务费参照桂价费〔2011〕55号文件“货物类”收费标准采用差额定率累进法计算收取，不足4000元人民币的按4000元人民币收取。由成交供应商向采购代理机构支付。 </w:t>
            </w:r>
          </w:p>
          <w:p w14:paraId="51825103">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3.采购代理费收取银行账户 </w:t>
            </w:r>
          </w:p>
          <w:p w14:paraId="2DE22C97">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开户名称：</w:t>
            </w:r>
            <w:r>
              <w:rPr>
                <w:rFonts w:hint="eastAsia" w:hAnsi="宋体" w:cs="宋体"/>
                <w:color w:val="auto"/>
                <w:kern w:val="0"/>
                <w:sz w:val="21"/>
                <w:szCs w:val="21"/>
                <w:highlight w:val="none"/>
                <w:lang w:val="en-US" w:eastAsia="zh-CN" w:bidi="ar-SA"/>
              </w:rPr>
              <w:t>广西桂春工程项目管理咨询有限公司</w:t>
            </w:r>
            <w:r>
              <w:rPr>
                <w:rFonts w:hint="eastAsia" w:ascii="宋体" w:hAnsi="宋体" w:eastAsia="宋体" w:cs="宋体"/>
                <w:color w:val="auto"/>
                <w:kern w:val="0"/>
                <w:sz w:val="21"/>
                <w:szCs w:val="21"/>
                <w:highlight w:val="none"/>
                <w:lang w:val="en-US" w:eastAsia="zh-CN" w:bidi="ar-SA"/>
              </w:rPr>
              <w:t xml:space="preserve">玉林分公司   </w:t>
            </w:r>
          </w:p>
          <w:p w14:paraId="499CD0B0">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开户银行：广西北部湾银行玉林分行       </w:t>
            </w:r>
          </w:p>
          <w:p w14:paraId="66077CA2">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银行账号：</w:t>
            </w:r>
            <w:r>
              <w:rPr>
                <w:rFonts w:hint="eastAsia" w:ascii="宋体" w:hAnsi="宋体" w:eastAsia="宋体" w:cs="宋体"/>
                <w:color w:val="auto"/>
                <w:kern w:val="0"/>
                <w:sz w:val="21"/>
                <w:szCs w:val="21"/>
                <w:highlight w:val="none"/>
                <w:u w:val="none"/>
                <w:lang w:val="en-US" w:eastAsia="zh-CN" w:bidi="ar-SA"/>
              </w:rPr>
              <w:t>8000 8228 2200 013</w:t>
            </w:r>
          </w:p>
        </w:tc>
      </w:tr>
      <w:tr w14:paraId="58AA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7"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35850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FB9DF39">
            <w:pPr>
              <w:pStyle w:val="12"/>
              <w:keepNext w:val="0"/>
              <w:keepLines w:val="0"/>
              <w:pageBreakBefore w:val="0"/>
              <w:widowControl w:val="0"/>
              <w:kinsoku/>
              <w:wordWrap/>
              <w:overflowPunct/>
              <w:topLinePunct w:val="0"/>
              <w:bidi w:val="0"/>
              <w:snapToGrid w:val="0"/>
              <w:spacing w:line="440" w:lineRule="exact"/>
              <w:rPr>
                <w:rFonts w:hint="eastAsia" w:hAnsi="宋体"/>
                <w:b/>
                <w:color w:val="auto"/>
                <w:sz w:val="21"/>
                <w:highlight w:val="none"/>
              </w:rPr>
            </w:pPr>
            <w:r>
              <w:rPr>
                <w:rFonts w:hint="eastAsia" w:hAnsi="宋体"/>
                <w:color w:val="auto"/>
                <w:sz w:val="21"/>
                <w:highlight w:val="none"/>
              </w:rPr>
              <w:t>解释权：</w:t>
            </w:r>
            <w:r>
              <w:rPr>
                <w:rFonts w:hAnsi="宋体"/>
                <w:color w:val="auto"/>
                <w:sz w:val="21"/>
                <w:highlight w:val="none"/>
              </w:rPr>
              <w:t>构成本</w:t>
            </w:r>
            <w:r>
              <w:rPr>
                <w:rFonts w:hint="eastAsia" w:hAnsi="宋体"/>
                <w:color w:val="auto"/>
                <w:sz w:val="21"/>
                <w:highlight w:val="none"/>
              </w:rPr>
              <w:t>谈判文件</w:t>
            </w:r>
            <w:r>
              <w:rPr>
                <w:rFonts w:hAnsi="宋体"/>
                <w:color w:val="auto"/>
                <w:sz w:val="21"/>
                <w:highlight w:val="none"/>
              </w:rPr>
              <w:t>的各个组成文件应互为解释，互为说明；除</w:t>
            </w:r>
            <w:r>
              <w:rPr>
                <w:rFonts w:hint="eastAsia" w:hAnsi="宋体"/>
                <w:color w:val="auto"/>
                <w:sz w:val="21"/>
                <w:highlight w:val="none"/>
              </w:rPr>
              <w:t>谈判文件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竞争性谈判</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谈判文件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w:t>
            </w:r>
            <w:r>
              <w:rPr>
                <w:rFonts w:hAnsi="宋体"/>
                <w:b/>
                <w:color w:val="auto"/>
                <w:sz w:val="21"/>
                <w:highlight w:val="none"/>
              </w:rPr>
              <w:t>由</w:t>
            </w:r>
            <w:r>
              <w:rPr>
                <w:rFonts w:hint="eastAsia" w:hAnsi="宋体"/>
                <w:b/>
                <w:color w:val="auto"/>
                <w:sz w:val="21"/>
                <w:highlight w:val="none"/>
              </w:rPr>
              <w:t>采购</w:t>
            </w:r>
            <w:r>
              <w:rPr>
                <w:rFonts w:hAnsi="宋体"/>
                <w:b/>
                <w:color w:val="auto"/>
                <w:sz w:val="21"/>
                <w:highlight w:val="none"/>
              </w:rPr>
              <w:t>人</w:t>
            </w:r>
            <w:r>
              <w:rPr>
                <w:rFonts w:hint="eastAsia" w:hAnsi="宋体"/>
                <w:b/>
                <w:color w:val="auto"/>
                <w:sz w:val="21"/>
                <w:highlight w:val="none"/>
              </w:rPr>
              <w:t>或者采购代理机构</w:t>
            </w:r>
            <w:r>
              <w:rPr>
                <w:rFonts w:hAnsi="宋体"/>
                <w:b/>
                <w:color w:val="auto"/>
                <w:sz w:val="21"/>
                <w:highlight w:val="none"/>
              </w:rPr>
              <w:t>负责解释。</w:t>
            </w:r>
          </w:p>
          <w:p w14:paraId="3E87209F">
            <w:pPr>
              <w:keepNext w:val="0"/>
              <w:keepLines w:val="0"/>
              <w:pageBreakBefore w:val="0"/>
              <w:widowControl w:val="0"/>
              <w:kinsoku/>
              <w:wordWrap/>
              <w:overflowPunct/>
              <w:topLinePunct w:val="0"/>
              <w:bidi w:val="0"/>
              <w:spacing w:line="440" w:lineRule="exact"/>
              <w:rPr>
                <w:rFonts w:hint="eastAsia" w:ascii="宋体" w:hAnsi="宋体" w:cs="宋体"/>
                <w:color w:val="auto"/>
                <w:highlight w:val="none"/>
              </w:rPr>
            </w:pPr>
            <w:r>
              <w:rPr>
                <w:rFonts w:hint="eastAsia" w:ascii="宋体" w:hAnsi="宋体"/>
                <w:color w:val="auto"/>
                <w:kern w:val="0"/>
                <w:szCs w:val="21"/>
                <w:highlight w:val="none"/>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6A19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09B662A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0B19EB6">
            <w:pPr>
              <w:pStyle w:val="12"/>
              <w:keepNext w:val="0"/>
              <w:keepLines w:val="0"/>
              <w:pageBreakBefore w:val="0"/>
              <w:widowControl w:val="0"/>
              <w:kinsoku/>
              <w:wordWrap/>
              <w:overflowPunct/>
              <w:topLinePunct w:val="0"/>
              <w:bidi w:val="0"/>
              <w:snapToGrid w:val="0"/>
              <w:spacing w:line="440" w:lineRule="exact"/>
              <w:rPr>
                <w:rFonts w:hint="eastAsia" w:hAnsi="宋体" w:cs="宋体"/>
                <w:color w:val="auto"/>
                <w:sz w:val="21"/>
                <w:highlight w:val="none"/>
              </w:rPr>
            </w:pPr>
            <w:r>
              <w:rPr>
                <w:rFonts w:hint="eastAsia" w:hAnsi="宋体" w:cs="宋体"/>
                <w:color w:val="auto"/>
                <w:sz w:val="21"/>
                <w:highlight w:val="none"/>
              </w:rPr>
              <w:t>1.本谈判文件中描述供应商的“公章”是指供应商通过指定电子化政府采购平台办理数字证书（CA认证）获得的以法定主体行为名称制作的电子印章。</w:t>
            </w:r>
          </w:p>
          <w:p w14:paraId="52D095A4">
            <w:pPr>
              <w:pStyle w:val="12"/>
              <w:keepNext w:val="0"/>
              <w:keepLines w:val="0"/>
              <w:pageBreakBefore w:val="0"/>
              <w:widowControl w:val="0"/>
              <w:kinsoku/>
              <w:wordWrap/>
              <w:overflowPunct/>
              <w:topLinePunct w:val="0"/>
              <w:bidi w:val="0"/>
              <w:snapToGrid w:val="0"/>
              <w:spacing w:line="440" w:lineRule="exact"/>
              <w:rPr>
                <w:rFonts w:hAnsi="宋体" w:cs="宋体"/>
                <w:color w:val="auto"/>
                <w:sz w:val="21"/>
                <w:highlight w:val="none"/>
              </w:rPr>
            </w:pPr>
            <w:r>
              <w:rPr>
                <w:rFonts w:hint="eastAsia" w:hAnsi="宋体" w:cs="宋体"/>
                <w:color w:val="auto"/>
                <w:sz w:val="21"/>
                <w:highlight w:val="none"/>
              </w:rPr>
              <w:t>2.本谈判文件中描述供应商的“签字”是指供应商通过指定电子化政府采购平台办理数字证书（CA认证）获得的以供应商法定代表人或者委托代理人姓名制作的电子印章或手写签字。</w:t>
            </w:r>
          </w:p>
          <w:p w14:paraId="013DFCF3">
            <w:pPr>
              <w:pStyle w:val="12"/>
              <w:keepNext w:val="0"/>
              <w:keepLines w:val="0"/>
              <w:pageBreakBefore w:val="0"/>
              <w:widowControl w:val="0"/>
              <w:kinsoku/>
              <w:wordWrap/>
              <w:overflowPunct/>
              <w:topLinePunct w:val="0"/>
              <w:bidi w:val="0"/>
              <w:snapToGrid w:val="0"/>
              <w:spacing w:line="440" w:lineRule="exact"/>
              <w:rPr>
                <w:rFonts w:hint="eastAsia" w:hAnsi="宋体" w:cs="宋体"/>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FF95525">
            <w:pPr>
              <w:pStyle w:val="12"/>
              <w:keepNext w:val="0"/>
              <w:keepLines w:val="0"/>
              <w:pageBreakBefore w:val="0"/>
              <w:widowControl w:val="0"/>
              <w:kinsoku/>
              <w:wordWrap/>
              <w:overflowPunct/>
              <w:topLinePunct w:val="0"/>
              <w:bidi w:val="0"/>
              <w:snapToGrid w:val="0"/>
              <w:spacing w:line="440" w:lineRule="exact"/>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自然人竞标的，谈判文件规定盖公章处由自然人摁手指指印。</w:t>
            </w:r>
          </w:p>
          <w:p w14:paraId="71BA4F89">
            <w:pPr>
              <w:pStyle w:val="12"/>
              <w:keepNext w:val="0"/>
              <w:keepLines w:val="0"/>
              <w:pageBreakBefore w:val="0"/>
              <w:widowControl w:val="0"/>
              <w:kinsoku/>
              <w:wordWrap/>
              <w:overflowPunct/>
              <w:topLinePunct w:val="0"/>
              <w:bidi w:val="0"/>
              <w:snapToGrid w:val="0"/>
              <w:spacing w:line="440" w:lineRule="exact"/>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本谈判文件所称的“以上”“以下”“以内”“届满”，包括本数；所称的“不满”“超过”“以外”，不包括本数。</w:t>
            </w:r>
          </w:p>
        </w:tc>
      </w:tr>
    </w:tbl>
    <w:p w14:paraId="45D5B6EF">
      <w:pPr>
        <w:spacing w:line="400" w:lineRule="exact"/>
        <w:jc w:val="center"/>
        <w:outlineLvl w:val="9"/>
        <w:rPr>
          <w:rFonts w:hint="eastAsia" w:ascii="宋体" w:hAnsi="宋体"/>
          <w:b w:val="0"/>
          <w:color w:val="auto"/>
          <w:highlight w:val="none"/>
        </w:rPr>
      </w:pPr>
      <w:r>
        <w:rPr>
          <w:rFonts w:hint="eastAsia" w:ascii="宋体" w:hAnsi="宋体"/>
          <w:b w:val="0"/>
          <w:color w:val="auto"/>
          <w:highlight w:val="none"/>
        </w:rPr>
        <w:br w:type="page"/>
      </w:r>
    </w:p>
    <w:p w14:paraId="58EC4F6B">
      <w:pPr>
        <w:spacing w:line="400" w:lineRule="exact"/>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供应商须知正文</w:t>
      </w:r>
    </w:p>
    <w:p w14:paraId="6395CE35">
      <w:pPr>
        <w:spacing w:line="400" w:lineRule="exact"/>
        <w:jc w:val="center"/>
        <w:rPr>
          <w:rFonts w:hint="eastAsia" w:ascii="宋体" w:hAnsi="宋体"/>
          <w:b/>
          <w:color w:val="auto"/>
          <w:sz w:val="32"/>
          <w:szCs w:val="32"/>
          <w:highlight w:val="none"/>
        </w:rPr>
      </w:pPr>
    </w:p>
    <w:p w14:paraId="37A89860">
      <w:pPr>
        <w:spacing w:line="400" w:lineRule="exact"/>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5612E836">
      <w:pPr>
        <w:rPr>
          <w:rFonts w:hint="eastAsia" w:ascii="宋体" w:hAnsi="宋体"/>
          <w:b w:val="0"/>
          <w:color w:val="auto"/>
          <w:highlight w:val="none"/>
        </w:rPr>
      </w:pPr>
    </w:p>
    <w:p w14:paraId="3A63BE12">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val="0"/>
          <w:color w:val="auto"/>
          <w:sz w:val="24"/>
          <w:szCs w:val="24"/>
          <w:highlight w:val="none"/>
        </w:rPr>
      </w:pPr>
      <w:r>
        <w:rPr>
          <w:rFonts w:hint="eastAsia" w:ascii="黑体" w:hAnsi="黑体" w:eastAsia="黑体" w:cs="黑体"/>
          <w:b/>
          <w:bCs/>
          <w:color w:val="auto"/>
          <w:sz w:val="24"/>
          <w:szCs w:val="24"/>
          <w:highlight w:val="none"/>
          <w:lang w:val="en-US" w:eastAsia="zh-CN"/>
        </w:rPr>
        <w:t>1. 适用范围</w:t>
      </w:r>
      <w:r>
        <w:rPr>
          <w:rFonts w:hint="eastAsia" w:ascii="黑体" w:hAnsi="黑体" w:eastAsia="黑体" w:cs="黑体"/>
          <w:b w:val="0"/>
          <w:color w:val="auto"/>
          <w:sz w:val="24"/>
          <w:szCs w:val="24"/>
          <w:highlight w:val="none"/>
          <w:lang w:val="en-US" w:eastAsia="zh-CN"/>
        </w:rPr>
        <w:t xml:space="preserve"> </w:t>
      </w:r>
    </w:p>
    <w:p w14:paraId="261B579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1.1 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 </w:t>
      </w:r>
    </w:p>
    <w:p w14:paraId="158731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 本竞争性谈判文件（以下简称谈判文件）适用于本项目的所有采购程序和环节（法律、法规另有规定的，从其规定）。 </w:t>
      </w:r>
    </w:p>
    <w:p w14:paraId="7548DB6E">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 定义 </w:t>
      </w:r>
    </w:p>
    <w:p w14:paraId="2B434A4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2.1“采购人”是指依法进行采购的国家机关、事业单位、团体组织。 </w:t>
      </w:r>
    </w:p>
    <w:p w14:paraId="62B11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2.2“采购代理机构”是指政府采购集中采购机构和集中采购机构以外的采购代理机构。 </w:t>
      </w:r>
    </w:p>
    <w:p w14:paraId="538C6CF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2.3“供应商”是指向采购人提供货物、工程或者服务的法人、其他组织或者自然人。 </w:t>
      </w:r>
    </w:p>
    <w:p w14:paraId="1756D0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2.4“货物”是指各种形态和种类的物品，包括原材料、燃料、设备、产品等。 </w:t>
      </w:r>
    </w:p>
    <w:p w14:paraId="5DCD43C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2.5“竞标”是指按照本项目竞争性谈判公告或者邀请函规定的方式供应商获取谈判文件、提交响应文件并希望获得标的的行为。 </w:t>
      </w:r>
    </w:p>
    <w:p w14:paraId="02E94C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2.6“售后服务” 是指包含但不限于供应商须承担的备品备件、包装、运输、装卸、保险、货到就位以及安装、调试、培训、保修和其他类似的义务。 </w:t>
      </w:r>
    </w:p>
    <w:p w14:paraId="65709EA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2.7“书面形式”是指合同书、信件和数据电文（包括电报、电传、传真、电子数据交换和电子邮件）等可以有形地表现所载内容的形式。 </w:t>
      </w:r>
    </w:p>
    <w:p w14:paraId="0CBB75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2.8“响应文件”是指：供应商根据本谈判文件要求，编制包含资格证明、报价、商务技术等所有内容的文件。 </w:t>
      </w:r>
    </w:p>
    <w:p w14:paraId="45182A8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 “实质性要求”是指采购需求中带“▲”的条款或者不能负偏离的条款或者已经指明不满足按响应文件按无效处理的条款。 </w:t>
      </w:r>
    </w:p>
    <w:p w14:paraId="15EEB71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2.10“正偏离”，是指响应文件对谈判文件“采购需求”中有关条款作出优于条款要求并有利于采购人的响应情形； </w:t>
      </w:r>
    </w:p>
    <w:p w14:paraId="3C644D0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2.11“负偏离”，是指响应文件对谈判文件“采购需求”中有关条款作出的响应不满足条款要求，导致采购人要求不能得到满足的情形。 </w:t>
      </w:r>
    </w:p>
    <w:p w14:paraId="0F941E1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2.12“允许负偏离的条款”是指采购需求中的不属于“实质性要求”的条款。 </w:t>
      </w:r>
    </w:p>
    <w:p w14:paraId="7A8C030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2.13“首次报价”是指供应商提交的首次响应文件中的竞标报价。 </w:t>
      </w:r>
    </w:p>
    <w:p w14:paraId="6605D50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bCs/>
          <w:color w:val="auto"/>
          <w:highlight w:val="none"/>
        </w:rPr>
      </w:pPr>
      <w:r>
        <w:rPr>
          <w:rFonts w:hint="eastAsia" w:ascii="黑体" w:hAnsi="黑体" w:eastAsia="黑体" w:cs="黑体"/>
          <w:b/>
          <w:bCs/>
          <w:color w:val="auto"/>
          <w:sz w:val="24"/>
          <w:szCs w:val="24"/>
          <w:highlight w:val="none"/>
          <w:lang w:val="en-US" w:eastAsia="zh-CN"/>
        </w:rPr>
        <w:t>3. 供应商的资格条件</w:t>
      </w:r>
      <w:r>
        <w:rPr>
          <w:rFonts w:hint="eastAsia" w:ascii="宋体" w:hAnsi="宋体"/>
          <w:b/>
          <w:bCs/>
          <w:color w:val="auto"/>
          <w:highlight w:val="none"/>
          <w:lang w:val="en-US" w:eastAsia="zh-CN"/>
        </w:rPr>
        <w:t xml:space="preserve"> </w:t>
      </w:r>
    </w:p>
    <w:p w14:paraId="3225896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供应商的资格条件详见“供应商须知前附表”。 </w:t>
      </w:r>
    </w:p>
    <w:p w14:paraId="068417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color w:val="auto"/>
          <w:sz w:val="24"/>
          <w:szCs w:val="24"/>
          <w:highlight w:val="none"/>
        </w:rPr>
      </w:pPr>
      <w:r>
        <w:rPr>
          <w:rFonts w:hint="eastAsia" w:ascii="黑体" w:hAnsi="黑体" w:eastAsia="黑体" w:cs="黑体"/>
          <w:b/>
          <w:bCs/>
          <w:color w:val="auto"/>
          <w:sz w:val="24"/>
          <w:szCs w:val="24"/>
          <w:highlight w:val="none"/>
          <w:lang w:val="en-US" w:eastAsia="zh-CN"/>
        </w:rPr>
        <w:t>4. 竞标费用</w:t>
      </w:r>
      <w:r>
        <w:rPr>
          <w:rFonts w:hint="eastAsia" w:ascii="黑体" w:hAnsi="黑体" w:eastAsia="黑体" w:cs="黑体"/>
          <w:b w:val="0"/>
          <w:color w:val="auto"/>
          <w:sz w:val="24"/>
          <w:szCs w:val="24"/>
          <w:highlight w:val="none"/>
          <w:lang w:val="en-US" w:eastAsia="zh-CN"/>
        </w:rPr>
        <w:t xml:space="preserve"> </w:t>
      </w:r>
    </w:p>
    <w:p w14:paraId="1903AD2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竞标费用：供应商应承担参与本次采购活动有关的所有费用，包括但不限于获取谈判文件、勘查现场、编制和提交响应文件、参加谈判与应答、签订合同等，不论竞标结果如何，均应自行承担。 </w:t>
      </w:r>
    </w:p>
    <w:p w14:paraId="615CC07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color w:val="auto"/>
          <w:sz w:val="24"/>
          <w:szCs w:val="24"/>
          <w:highlight w:val="none"/>
        </w:rPr>
      </w:pPr>
      <w:r>
        <w:rPr>
          <w:rFonts w:hint="eastAsia" w:ascii="黑体" w:hAnsi="黑体" w:eastAsia="黑体" w:cs="黑体"/>
          <w:b/>
          <w:bCs/>
          <w:color w:val="auto"/>
          <w:sz w:val="24"/>
          <w:szCs w:val="24"/>
          <w:highlight w:val="none"/>
          <w:lang w:val="en-US" w:eastAsia="zh-CN"/>
        </w:rPr>
        <w:t>5. 联合体竞标</w:t>
      </w:r>
      <w:r>
        <w:rPr>
          <w:rFonts w:hint="eastAsia" w:ascii="黑体" w:hAnsi="黑体" w:eastAsia="黑体" w:cs="黑体"/>
          <w:b w:val="0"/>
          <w:color w:val="auto"/>
          <w:sz w:val="24"/>
          <w:szCs w:val="24"/>
          <w:highlight w:val="none"/>
          <w:lang w:val="en-US" w:eastAsia="zh-CN"/>
        </w:rPr>
        <w:t xml:space="preserve"> </w:t>
      </w:r>
    </w:p>
    <w:p w14:paraId="2A5E878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5.1 本项目是否接受联合体竞标，详见“供应商须知前附表”。 </w:t>
      </w:r>
    </w:p>
    <w:p w14:paraId="6A1A6D9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5.2 如接受联合体竞标，联合体竞标要求详见“供应商须知前附表”。 </w:t>
      </w:r>
    </w:p>
    <w:p w14:paraId="1398ADB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5.3 根据《政府采购促进中小企业发展管理办法》（财库〔2020〕46 号）第九条第二款及有关规定，接受大中型企业与小微企业组成联合体或者允许大中型企业向一家或者多家小微企业分包的采购项目，对于联合协议或者分包意向协议约定小微企业的合同份额占到合同总金额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4%-6%的扣除，用扣除后的价格参加评审。 </w:t>
      </w:r>
    </w:p>
    <w:p w14:paraId="1D46716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6. 转包与分包 </w:t>
      </w:r>
    </w:p>
    <w:p w14:paraId="0F4A7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6.1 本项目不允许转包。 </w:t>
      </w:r>
    </w:p>
    <w:p w14:paraId="15F107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 </w:t>
      </w:r>
    </w:p>
    <w:p w14:paraId="57D3A30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6.3 供应商根据谈判文件的规定和采购项目的实际情况，拟在成交后将成交项目的非主体、非关键性工作分包的，应当在响应文件中载明分包承担主体，分包承担主体应当具备相应资质条件且不得再次分包。 </w:t>
      </w:r>
    </w:p>
    <w:p w14:paraId="669630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7. 特别说明 </w:t>
      </w:r>
    </w:p>
    <w:p w14:paraId="5CA947B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7.1 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非单一产品采购项目，多家供应商提供的核心产品品牌相同的，按前款规定处理。 </w:t>
      </w:r>
    </w:p>
    <w:p w14:paraId="33A9623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7.2 如果本谈判文件要求提供供应商或制造商的资格、信誉、荣誉、业绩与企业认证等材料的，资格、信誉、荣誉、业绩与企业认证等必须为供应商或者制造商所拥有或自身获得 。 </w:t>
      </w:r>
    </w:p>
    <w:p w14:paraId="38DAD7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7.3 供应商应仔细阅读谈判文件的所有内容，按照谈判文件的要求提交响应文件，并对所提供的全部资料的真实性承担法律责任。 </w:t>
      </w:r>
    </w:p>
    <w:p w14:paraId="3AE9C95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7.4 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 </w:t>
      </w:r>
    </w:p>
    <w:p w14:paraId="602409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7.5 在政府采购活动中，采购人员及相关人员与供应商有下列利害关系之一的，应当回避： </w:t>
      </w:r>
    </w:p>
    <w:p w14:paraId="20A9939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（1）参加采购活动前 3 年内与供应商存在劳动关系； </w:t>
      </w:r>
    </w:p>
    <w:p w14:paraId="2D00C6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（2）参加采购活动前 3 年内担任供应商的董事、监事； </w:t>
      </w:r>
    </w:p>
    <w:p w14:paraId="207B9A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（3）参加采购活动前 3 年内是供应商的控股股东或者实际控制人； </w:t>
      </w:r>
    </w:p>
    <w:p w14:paraId="627D42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（4）与供应商的法定代表人或者负责人有夫妻、直系血亲、三代以内旁系血亲或者近姻亲关系； </w:t>
      </w:r>
    </w:p>
    <w:p w14:paraId="303DB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（5）与供应商有其他可能影响政府采购活动公平、公正进行的关系。 </w:t>
      </w:r>
    </w:p>
    <w:p w14:paraId="5AA6F2E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 </w:t>
      </w:r>
    </w:p>
    <w:p w14:paraId="3CEE876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7.6 有下列情形之一的视为供应商相互串通竞标，响应文件将被视为无效： </w:t>
      </w:r>
    </w:p>
    <w:p w14:paraId="508658A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（1）不同供应商的响应文件由同一单位或者个人编制；或者不同供应商报名的IP地址一致的；</w:t>
      </w:r>
    </w:p>
    <w:p w14:paraId="457E45E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（2）不同供应商委托同一单位或者个人办理竞标事宜； </w:t>
      </w:r>
    </w:p>
    <w:p w14:paraId="37CF446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（3）不同的供应商的响应文件载明的项目管理员为同一个人； </w:t>
      </w:r>
    </w:p>
    <w:p w14:paraId="6C1D450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（4）不同供应商的响应文件异常一致或者报价呈规律性差异； </w:t>
      </w:r>
    </w:p>
    <w:p w14:paraId="0875ECC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（5）不同供应商的响应文件相互混装； </w:t>
      </w:r>
    </w:p>
    <w:p w14:paraId="3DCA6C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（6）不同供应商的竞标保证金从同一单位或者个人账户转出。 </w:t>
      </w:r>
    </w:p>
    <w:p w14:paraId="52AF2CC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7.7 供应商有下列情形之一的，属于恶意串通行为，将报同级监督管理部门： </w:t>
      </w:r>
    </w:p>
    <w:p w14:paraId="010BF42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（1）供应商直接或者间接从采购人或者采购代理机构处获得其他供应商的相关信息并修改其响应文件； </w:t>
      </w:r>
    </w:p>
    <w:p w14:paraId="54FA09C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（2）供应商按照采购人或者采购代理机构的授意撤换、修改响应文件； </w:t>
      </w:r>
    </w:p>
    <w:p w14:paraId="512A7F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（3）供应商之间协商报价、技术方案等响应文件或者响应文件的实质性内容； </w:t>
      </w:r>
    </w:p>
    <w:p w14:paraId="4CCE76E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（4）属于同一集团、协会、商会等组织成员的供应商按照该组织要求协同参加政府采购活动； </w:t>
      </w:r>
    </w:p>
    <w:p w14:paraId="3EEA0D5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（5）供应商之间事先约定一致抬高或者压低报价，或者在政府采购活动中事先约定轮流以高价位或者低价位成交，或者事先约定由某一特定供应商成交，然后再参加竞标； </w:t>
      </w:r>
    </w:p>
    <w:p w14:paraId="1F1766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（6）供应商之间商定部分供应商放弃参加政府采购活动或者放弃成交； </w:t>
      </w:r>
    </w:p>
    <w:p w14:paraId="7E12B20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（7）供应商与采购人或者采购代理机构之间、供应商相互之间，为谋求特定供应商成交或者排斥其他供应商的其他串通行为。 </w:t>
      </w:r>
    </w:p>
    <w:p w14:paraId="1ECE7028">
      <w:pPr>
        <w:keepNext w:val="0"/>
        <w:keepLines w:val="0"/>
        <w:pageBreakBefore w:val="0"/>
        <w:widowControl w:val="0"/>
        <w:kinsoku/>
        <w:wordWrap/>
        <w:overflowPunct/>
        <w:topLinePunct w:val="0"/>
        <w:bidi w:val="0"/>
        <w:snapToGrid/>
        <w:spacing w:line="460" w:lineRule="exact"/>
        <w:jc w:val="center"/>
        <w:textAlignment w:val="auto"/>
        <w:outlineLvl w:val="9"/>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val="en-US" w:eastAsia="zh-CN"/>
        </w:rPr>
        <w:t xml:space="preserve">二、谈判文件 </w:t>
      </w:r>
    </w:p>
    <w:p w14:paraId="6AB215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8. 谈判文件的构成 </w:t>
      </w:r>
    </w:p>
    <w:p w14:paraId="7751258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（1）竞争性谈判公告/竞标邀请函； </w:t>
      </w:r>
    </w:p>
    <w:p w14:paraId="2FB146D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（2）供应商须知； </w:t>
      </w:r>
    </w:p>
    <w:p w14:paraId="167FDD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（3）采购需求； </w:t>
      </w:r>
    </w:p>
    <w:p w14:paraId="568F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（4）响应文件格式 </w:t>
      </w:r>
    </w:p>
    <w:p w14:paraId="1FAAEC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（5）合同文本； </w:t>
      </w:r>
    </w:p>
    <w:p w14:paraId="7B14FB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（6）评审程序和评定成交的标准。 </w:t>
      </w:r>
    </w:p>
    <w:p w14:paraId="144C36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9. 供应商的询问 </w:t>
      </w:r>
    </w:p>
    <w:p w14:paraId="655D604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供应商应认真阅读谈判文件的采购需求，如供应商对谈判文件有疑问的，如要求采购人作出澄清或者修改的，供应商尽可能在提交首次响应文件截止之日前，以书面形式向采购人、采购代理机构提出。 </w:t>
      </w:r>
    </w:p>
    <w:p w14:paraId="3CA3742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10. 谈判文件的澄清和修改 </w:t>
      </w:r>
    </w:p>
    <w:p w14:paraId="2CBA642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 3 个工作日前，以书面形式通知所有接收谈判文件的供应商，不足 3 个工作日的，应当顺延提交首次响应文件截止之日。 </w:t>
      </w:r>
    </w:p>
    <w:p w14:paraId="1D53BB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highlight w:val="none"/>
          <w:lang w:val="en-US" w:eastAsia="zh-CN"/>
        </w:rPr>
      </w:pPr>
    </w:p>
    <w:p w14:paraId="63787B4E">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响应文件的编制</w:t>
      </w:r>
    </w:p>
    <w:p w14:paraId="10868954">
      <w:pPr>
        <w:pStyle w:val="23"/>
        <w:keepNext w:val="0"/>
        <w:keepLines w:val="0"/>
        <w:pageBreakBefore w:val="0"/>
        <w:widowControl w:val="0"/>
        <w:numPr>
          <w:ilvl w:val="0"/>
          <w:numId w:val="0"/>
        </w:numPr>
        <w:kinsoku/>
        <w:wordWrap/>
        <w:overflowPunct/>
        <w:topLinePunct w:val="0"/>
        <w:bidi w:val="0"/>
        <w:snapToGrid/>
        <w:spacing w:line="460" w:lineRule="exact"/>
        <w:textAlignment w:val="auto"/>
        <w:rPr>
          <w:rFonts w:hint="eastAsia"/>
          <w:color w:val="auto"/>
          <w:highlight w:val="none"/>
        </w:rPr>
      </w:pPr>
    </w:p>
    <w:p w14:paraId="69199C4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11. 响应文件的编制原则 </w:t>
      </w:r>
    </w:p>
    <w:p w14:paraId="1EC504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供应商必须按照谈判文件的要求编制响应文件，并对其提交的响应文件的真实性、合法性承担法律责任。响应文件必须对谈判文件作出实质性响应。 </w:t>
      </w:r>
    </w:p>
    <w:p w14:paraId="3C2604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12. 响应文件的组成</w:t>
      </w:r>
      <w:r>
        <w:rPr>
          <w:rFonts w:hint="eastAsia" w:ascii="宋体" w:hAnsi="宋体"/>
          <w:b w:val="0"/>
          <w:color w:val="auto"/>
          <w:highlight w:val="none"/>
          <w:lang w:val="en-US" w:eastAsia="zh-CN"/>
        </w:rPr>
        <w:t xml:space="preserve"> </w:t>
      </w:r>
    </w:p>
    <w:p w14:paraId="7704669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12.1 响应文件由资格证明文件、报价文件、商务技术文件三部分组成。 </w:t>
      </w:r>
    </w:p>
    <w:p w14:paraId="0389AE3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12.1.1 资格证明文件：详见“供应商须知前附表” </w:t>
      </w:r>
    </w:p>
    <w:p w14:paraId="4AEE584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12.1.2 报价文件：详见“供应商须知前附表” </w:t>
      </w:r>
    </w:p>
    <w:p w14:paraId="68366A1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12.1.3 商务技术文件：详见“供应商须知前附表” </w:t>
      </w:r>
    </w:p>
    <w:p w14:paraId="32475DF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13. 计量单位</w:t>
      </w:r>
      <w:r>
        <w:rPr>
          <w:rFonts w:hint="eastAsia" w:ascii="宋体" w:hAnsi="宋体"/>
          <w:b w:val="0"/>
          <w:color w:val="auto"/>
          <w:highlight w:val="none"/>
          <w:lang w:val="en-US" w:eastAsia="zh-CN"/>
        </w:rPr>
        <w:t xml:space="preserve"> </w:t>
      </w:r>
    </w:p>
    <w:p w14:paraId="3E141E9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谈判文件已有明确规定的，使用谈判文件规定的计量单位；谈判文件没有规定的，应采用中华人民共和国法定计量单位，货币种类为人民币，否则视同未响应。 </w:t>
      </w:r>
    </w:p>
    <w:p w14:paraId="717323A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14. 竞标的风险 </w:t>
      </w:r>
    </w:p>
    <w:p w14:paraId="3AFDD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供应商没有按照谈判文件要求提供全部资料，或者供应商没有对谈判文件在各方面作出实质性响应可能导致其响应文件按无效处理，是供应商应当考虑的风险。 </w:t>
      </w:r>
    </w:p>
    <w:p w14:paraId="47E8EE2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15. 竞标报价 </w:t>
      </w:r>
    </w:p>
    <w:p w14:paraId="76258FD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15.1 竞标报价应按谈判文件中“竞标报价表”格式填写。 </w:t>
      </w:r>
    </w:p>
    <w:p w14:paraId="604205E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15.2 竞标报价的内容详见“供应商须知前附表”。 </w:t>
      </w:r>
    </w:p>
    <w:p w14:paraId="4009A92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15.3 竞标报价要求 </w:t>
      </w:r>
    </w:p>
    <w:p w14:paraId="16EB84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15.3.1 供应商的竞标报价应符合以下要求，否则响应文件按无效响应处理： </w:t>
      </w:r>
    </w:p>
    <w:p w14:paraId="2DA143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（1）供应商必须就“采购需求”中所竞标的每个分标的全部内容分别作完整唯一总价报价，不得存在漏项报价； </w:t>
      </w:r>
    </w:p>
    <w:p w14:paraId="68880C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（2）供应商必须就所竞标的分标的单项内容作唯一报价。 </w:t>
      </w:r>
    </w:p>
    <w:p w14:paraId="4DBB3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15.3.2 竞标报价（包含首次报价、最后报价）超过所竞标分标规定的采购预算金额或者最高 限价的，其响应文件将按无效处理。 </w:t>
      </w:r>
    </w:p>
    <w:p w14:paraId="5C3486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15.3.3 竞标报价（包含首次报价、最后报价）超过分项采购预算金额或者最高限价的，其响应文件将按无效处理。 </w:t>
      </w:r>
    </w:p>
    <w:p w14:paraId="1164431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16. 竞标有效期</w:t>
      </w:r>
      <w:r>
        <w:rPr>
          <w:rFonts w:hint="eastAsia" w:ascii="宋体" w:hAnsi="宋体"/>
          <w:b w:val="0"/>
          <w:color w:val="auto"/>
          <w:highlight w:val="none"/>
          <w:lang w:val="en-US" w:eastAsia="zh-CN"/>
        </w:rPr>
        <w:t xml:space="preserve"> </w:t>
      </w:r>
    </w:p>
    <w:p w14:paraId="3A549D5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16.1 竞标有效期是指为保证采购人有足够的时间在提交响应文件后完成评审、确定成交供应商、合同签订等工作而要求供应商提交的响应文件在一定时间内保持有效的期限。 </w:t>
      </w:r>
    </w:p>
    <w:p w14:paraId="67B3E9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16.2 竞标有效期应由供应商按“供应商须知前附表”规定的期限作出响应。 </w:t>
      </w:r>
    </w:p>
    <w:p w14:paraId="74EE72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16.3 供应商的响应文件在竞标有效期内均保持有效。 </w:t>
      </w:r>
    </w:p>
    <w:p w14:paraId="59727E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17. 竞标保证金 </w:t>
      </w:r>
    </w:p>
    <w:p w14:paraId="464C12E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17.1 供应商须按“供应商须知前附表”的规定提交竞标保证金。 </w:t>
      </w:r>
    </w:p>
    <w:p w14:paraId="7688B03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17.2 竞标保证金的退还 </w:t>
      </w:r>
    </w:p>
    <w:p w14:paraId="375F39D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未成交供应商的竞标保证金自成交通知书发出之日起 5 个工作日内退还；成交供应商的竞标保证金自签订合同之日起 5 个工作日内退还。 </w:t>
      </w:r>
    </w:p>
    <w:p w14:paraId="43E387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17.3 竞标保证金不计息。 </w:t>
      </w:r>
    </w:p>
    <w:p w14:paraId="6C7D05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17.4 供应商有下列情形之一的，竞标保证金将不予退还： </w:t>
      </w:r>
    </w:p>
    <w:p w14:paraId="751EA8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（1）供应商在提交响应文件截止时间后撤回响应文件的； </w:t>
      </w:r>
    </w:p>
    <w:p w14:paraId="77B239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（2）未按规定提交履约保证金的； </w:t>
      </w:r>
    </w:p>
    <w:p w14:paraId="4267660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（3）供应商在响应文件中提供虚假材料的； </w:t>
      </w:r>
    </w:p>
    <w:p w14:paraId="12C937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（4）除因不可抗力或者谈判文件认可的情形以外，成交供应商不与采购人签订合同的； </w:t>
      </w:r>
    </w:p>
    <w:p w14:paraId="530AF1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（5）供应商与采购人、其他供应商或者采购代理机构恶意串通的； </w:t>
      </w:r>
    </w:p>
    <w:p w14:paraId="10476F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（6）法律法规规定的其他情形。 </w:t>
      </w:r>
    </w:p>
    <w:p w14:paraId="07BE175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18. 响应文件编制的要求</w:t>
      </w:r>
      <w:r>
        <w:rPr>
          <w:rFonts w:hint="eastAsia" w:ascii="宋体" w:hAnsi="宋体"/>
          <w:b w:val="0"/>
          <w:color w:val="auto"/>
          <w:highlight w:val="none"/>
          <w:lang w:val="en-US" w:eastAsia="zh-CN"/>
        </w:rPr>
        <w:t xml:space="preserve"> </w:t>
      </w:r>
    </w:p>
    <w:p w14:paraId="0594F6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18.1 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 </w:t>
      </w:r>
    </w:p>
    <w:p w14:paraId="32014B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18.2 为确保网上操作合法、有效和安全，供应商应当在提交响应文件截止时间前完成在广西政府采购云平台的身份认证，确保在电子竞标过程中能够对相关数据电文进行加密和使用电子签章。 </w:t>
      </w:r>
    </w:p>
    <w:p w14:paraId="1434A8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18.3 响应文件须由供应商在规定位置签字、盖章（具体以供应商须知前附表或响应文件格式规定为准），否则按无效响应处理。 </w:t>
      </w:r>
    </w:p>
    <w:p w14:paraId="793161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 </w:t>
      </w:r>
    </w:p>
    <w:p w14:paraId="157690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 </w:t>
      </w:r>
    </w:p>
    <w:p w14:paraId="33731A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19. 电子备份响应文件 </w:t>
      </w:r>
    </w:p>
    <w:p w14:paraId="52745F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电子备份响应文件是指通过“广西政府采购云平台电子投标客户端”在线编制生成且后缀名为“bfbs”的文件，是否接受电子备份响应文件详见在“供应商须知前附表”。 </w:t>
      </w:r>
    </w:p>
    <w:p w14:paraId="156BFD4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20. 响应文件的提交</w:t>
      </w:r>
      <w:r>
        <w:rPr>
          <w:rFonts w:hint="eastAsia" w:ascii="宋体" w:hAnsi="宋体"/>
          <w:b w:val="0"/>
          <w:color w:val="auto"/>
          <w:highlight w:val="none"/>
          <w:lang w:val="en-US" w:eastAsia="zh-CN"/>
        </w:rPr>
        <w:t xml:space="preserve"> </w:t>
      </w:r>
    </w:p>
    <w:p w14:paraId="5D82A2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 </w:t>
      </w:r>
    </w:p>
    <w:p w14:paraId="6DE9CF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20.2 未在规定时间内提交或者未按照谈判文件要求加密的电子响应文件，广西政府采购云平台将拒收。 </w:t>
      </w:r>
    </w:p>
    <w:p w14:paraId="2033D22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21. 首次响应文件的补充、修改与撤回 </w:t>
      </w:r>
    </w:p>
    <w:p w14:paraId="56D4E8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心”中查看“电子投标文件制作与投送教程”）。 </w:t>
      </w:r>
    </w:p>
    <w:p w14:paraId="541C35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21.2 在提交响应文件截止时间前，除供应商补充、修改或者撤回响应文件外，任何单位和个人不得解密或提取响应文件。 </w:t>
      </w:r>
    </w:p>
    <w:p w14:paraId="06A3B28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22. 响应文件的退回</w:t>
      </w:r>
      <w:r>
        <w:rPr>
          <w:rFonts w:hint="eastAsia" w:ascii="宋体" w:hAnsi="宋体"/>
          <w:b w:val="0"/>
          <w:color w:val="auto"/>
          <w:highlight w:val="none"/>
          <w:lang w:val="en-US" w:eastAsia="zh-CN"/>
        </w:rPr>
        <w:t xml:space="preserve"> </w:t>
      </w:r>
    </w:p>
    <w:p w14:paraId="67D5669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采购人和采购代理机构对已提交的响应文件概不退回。 </w:t>
      </w:r>
    </w:p>
    <w:p w14:paraId="7D92B15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23. 截止时间后的撤回 </w:t>
      </w:r>
    </w:p>
    <w:p w14:paraId="5A83504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供应商在响应文件提交截止时间后向采购人、采购代理机构书面申请撤回响应文件的，将根据本须知正文第 17.4 条的规定不予退还其竞标保证金。 </w:t>
      </w:r>
    </w:p>
    <w:p w14:paraId="0F15A4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color w:val="auto"/>
          <w:sz w:val="32"/>
          <w:szCs w:val="32"/>
          <w:highlight w:val="none"/>
          <w:lang w:val="en-US" w:eastAsia="zh-CN"/>
        </w:rPr>
      </w:pPr>
    </w:p>
    <w:p w14:paraId="5D0E0933">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评审及谈判</w:t>
      </w:r>
    </w:p>
    <w:p w14:paraId="5113D6A8">
      <w:pPr>
        <w:pStyle w:val="23"/>
        <w:keepNext w:val="0"/>
        <w:keepLines w:val="0"/>
        <w:pageBreakBefore w:val="0"/>
        <w:widowControl w:val="0"/>
        <w:numPr>
          <w:ilvl w:val="0"/>
          <w:numId w:val="0"/>
        </w:numPr>
        <w:kinsoku/>
        <w:wordWrap/>
        <w:overflowPunct/>
        <w:topLinePunct w:val="0"/>
        <w:bidi w:val="0"/>
        <w:snapToGrid/>
        <w:spacing w:line="460" w:lineRule="exact"/>
        <w:ind w:leftChars="0"/>
        <w:textAlignment w:val="auto"/>
        <w:rPr>
          <w:rFonts w:hint="eastAsia"/>
          <w:color w:val="auto"/>
          <w:highlight w:val="none"/>
          <w:lang w:val="en-US" w:eastAsia="zh-CN"/>
        </w:rPr>
      </w:pPr>
    </w:p>
    <w:p w14:paraId="4B02ED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24. 谈判小组成立 </w:t>
      </w:r>
    </w:p>
    <w:p w14:paraId="11123BB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24.1 谈判小组由采购人代表和评审专家共 3 人以上单数组成，具体人数详见“供应商须知前附表”，其中评审专家人数不得少于竞争性谈判小组成员总数的 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 5 人以上单数组成。 </w:t>
      </w:r>
    </w:p>
    <w:p w14:paraId="2351C1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24.2 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 1名法律专家。 </w:t>
      </w:r>
    </w:p>
    <w:p w14:paraId="747617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24.3 采购代理机构应当基于广西政府采购云平台抽（选）取评审专家。 </w:t>
      </w:r>
    </w:p>
    <w:p w14:paraId="05637E2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25. 首次响应文件的开启和解密</w:t>
      </w:r>
      <w:r>
        <w:rPr>
          <w:rFonts w:hint="eastAsia" w:ascii="宋体" w:hAnsi="宋体"/>
          <w:b w:val="0"/>
          <w:color w:val="auto"/>
          <w:highlight w:val="none"/>
          <w:lang w:val="en-US" w:eastAsia="zh-CN"/>
        </w:rPr>
        <w:t xml:space="preserve"> </w:t>
      </w:r>
    </w:p>
    <w:p w14:paraId="0D4DE1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采购代理机构将在“供应商须知前附表”规定的时间通过电子交易平台组织响应文件开启，供应商的法定代表人或其委托代理人须携带加密时所用的 CA 锁，按平台提示和谈判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作无效处理。 </w:t>
      </w:r>
    </w:p>
    <w:p w14:paraId="3A8FCAC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26. 评审程序和评定成交的标准</w:t>
      </w:r>
      <w:r>
        <w:rPr>
          <w:rFonts w:hint="eastAsia" w:ascii="宋体" w:hAnsi="宋体"/>
          <w:b w:val="0"/>
          <w:color w:val="auto"/>
          <w:highlight w:val="none"/>
          <w:lang w:val="en-US" w:eastAsia="zh-CN"/>
        </w:rPr>
        <w:t xml:space="preserve"> </w:t>
      </w:r>
    </w:p>
    <w:p w14:paraId="471CA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26.1 谈判小组按照“第四章 评审程序和评定成交的标准”规定的评审程序对响应文件进行评审，并按照评定成交的标准推荐成交候选供应商。 </w:t>
      </w:r>
    </w:p>
    <w:p w14:paraId="369A26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26.2 商务/技术要求允许负偏离的条款数详见“供应商须知前附表”。 </w:t>
      </w:r>
    </w:p>
    <w:p w14:paraId="22A24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26.3 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 </w:t>
      </w:r>
    </w:p>
    <w:p w14:paraId="1C5509C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26.4 电子交易活动的中止。采购过程中出现以下情形，导致电子交易平台无法正常运行，或者无法保证电子交易的公平、公正和安全时，采购机构可中止电子交易活动： </w:t>
      </w:r>
    </w:p>
    <w:p w14:paraId="501FB33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（1）电子交易平台发生故障而无法登录访问的； </w:t>
      </w:r>
    </w:p>
    <w:p w14:paraId="1510CE1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（2）电子交易平台应用或数据库出现错误，不能进行正常操作的； </w:t>
      </w:r>
    </w:p>
    <w:p w14:paraId="7B66F8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（3）电子交易平台发现严重安全漏洞，有潜在泄密危险的； </w:t>
      </w:r>
    </w:p>
    <w:p w14:paraId="02B42A2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（4）病毒发作导致不能进行正常操作的； </w:t>
      </w:r>
    </w:p>
    <w:p w14:paraId="7D021E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（5）其他无法保证电子交易的公平、公正和安全的情况。 </w:t>
      </w:r>
    </w:p>
    <w:p w14:paraId="66EF5EE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26.5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 </w:t>
      </w:r>
    </w:p>
    <w:p w14:paraId="630334D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27. 确定成交供应商及结果公告 </w:t>
      </w:r>
    </w:p>
    <w:p w14:paraId="1B37EC6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27.1 采购代理机构应当在评审结束后 2 个工作日内将评审报告送采购人确认。采购人应当在收到评审报告后 5 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 </w:t>
      </w:r>
    </w:p>
    <w:p w14:paraId="304EBC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成交供应商享受《政府采购促进中小企业发展管理办法》（财库〔2020〕46 号）规定的中小企业扶持政策的，采购人、采购代理机构应当随成交结果公开成交供应商的《中小企业声明函》。 </w:t>
      </w:r>
    </w:p>
    <w:p w14:paraId="1509D3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27.3 出现下列情形之一的，采购人或者采购代理机构应当终止竞争性谈判采购活动，发布项目终止公告并说明原因，重新开展采购活动： </w:t>
      </w:r>
    </w:p>
    <w:p w14:paraId="0A27D4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（1）因情况变化，不再符合规定的竞争性谈判采购方式适用情形的； </w:t>
      </w:r>
    </w:p>
    <w:p w14:paraId="464A38F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（2）出现影响采购公正的违法、违规行为的； </w:t>
      </w:r>
    </w:p>
    <w:p w14:paraId="13B4B29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（3）在采购过程中符合竞争要求的供应商或者报价未超过采购预算的供应商不足 3 家的，但“第四章 评审程序和评定成交的标准”第 3.7 条规定的情形除外。 </w:t>
      </w:r>
    </w:p>
    <w:p w14:paraId="2C05AF6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27.4 在采购活动中因重大变故，采购任务取消的，采购人或者采购代理机构应当终止采购活动，通知所有参加采购活动的供应商，并将项目实施情况和采购任务取消原因报送本级财政部门。 </w:t>
      </w:r>
    </w:p>
    <w:p w14:paraId="2F86BB7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28. 履约保证金</w:t>
      </w:r>
      <w:r>
        <w:rPr>
          <w:rFonts w:hint="eastAsia" w:ascii="宋体" w:hAnsi="宋体"/>
          <w:b w:val="0"/>
          <w:color w:val="auto"/>
          <w:highlight w:val="none"/>
          <w:lang w:val="en-US" w:eastAsia="zh-CN"/>
        </w:rPr>
        <w:t xml:space="preserve"> </w:t>
      </w:r>
    </w:p>
    <w:p w14:paraId="7991B61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28.1 履约保证金的金额、提交方式、退付的时间和条件详见 “供应商须知前附表”。成交供应商未按规定提交履约保证金的，视为拒绝与采购人签订合同。 </w:t>
      </w:r>
    </w:p>
    <w:p w14:paraId="4E2D3C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28.2 在履约保证金退还日期前，若成交供应商的开户名称、开户银行、账号有变动的，请以书面形式通知履约保证金收取单位，否则由此产生的后果由成交供应商自负。 </w:t>
      </w:r>
    </w:p>
    <w:p w14:paraId="7552B4F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29. 签订合同 </w:t>
      </w:r>
    </w:p>
    <w:p w14:paraId="2C81AD8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 线下签订纸质合同：供应商领取成交通知书后，按“供应商须知前附表”规定向采购人出示相关证明材料，经采购人核验合格后方可签订合同。 </w:t>
      </w:r>
    </w:p>
    <w:p w14:paraId="60FF2FD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29.2 签订合同时间：按成交通知书规定的时间与采购人签订合同。 </w:t>
      </w:r>
    </w:p>
    <w:p w14:paraId="0B18E44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 </w:t>
      </w:r>
    </w:p>
    <w:p w14:paraId="6D8004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 </w:t>
      </w:r>
    </w:p>
    <w:p w14:paraId="59EF77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29.5 采购人或成交供应商不得单方面向合同另一方提出任何谈判文件没有约定的条件或不合理的要求，作为签订合同的条件；也不得协商另行订立背离谈判文件和合同实质性内容的协议。 </w:t>
      </w:r>
    </w:p>
    <w:p w14:paraId="51500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29.6 如签订合同并生效后，供应商无故拒绝或延期，除按照合同条款处理外，将承担相应的法律责任。 </w:t>
      </w:r>
    </w:p>
    <w:p w14:paraId="22D4D2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29.7 政府采购合同履行中，采购人需追加与合同标的相同的货物、工程或者服务的，在不改变合同其他条款的前提下，可以与供应商协商签订补充合同，但所有补充合同的采购金额不得超过原合同采购金额的 10%。 </w:t>
      </w:r>
    </w:p>
    <w:p w14:paraId="46D0579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30. 政府采购合同公告 </w:t>
      </w:r>
    </w:p>
    <w:p w14:paraId="4D9375B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 </w:t>
      </w:r>
    </w:p>
    <w:p w14:paraId="642390C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color w:val="auto"/>
          <w:highlight w:val="none"/>
        </w:rPr>
      </w:pPr>
      <w:r>
        <w:rPr>
          <w:rFonts w:hint="eastAsia" w:ascii="黑体" w:hAnsi="黑体" w:eastAsia="黑体" w:cs="黑体"/>
          <w:b/>
          <w:bCs/>
          <w:color w:val="auto"/>
          <w:sz w:val="24"/>
          <w:szCs w:val="24"/>
          <w:highlight w:val="none"/>
          <w:lang w:val="en-US" w:eastAsia="zh-CN"/>
        </w:rPr>
        <w:t xml:space="preserve">31. 询问、质疑和投诉 </w:t>
      </w:r>
    </w:p>
    <w:p w14:paraId="226C16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31.1 供应商对政府采购活动事项有疑问的，可以向采购人、采购代理机构提出询问，采购人或者采购代理机构应当在 3 个工作日内对供应商依法提出的询问作出答复，但答复的内容不得涉及商业秘密。 </w:t>
      </w:r>
    </w:p>
    <w:p w14:paraId="449EC30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31.2 供应商认为谈判文件、采购过程或者成交结果使自己的合法权益受到损害的，应当在知道或者应知其权益受到损害之日起 7 个工作日内，以书面形式向采购人、采购代理机构提出质疑，接收质疑函的方式、联系部门、联系电话和通讯地址等信息详见“供应商须知前附表”。具体质疑起算时间如下： </w:t>
      </w:r>
    </w:p>
    <w:p w14:paraId="5BA927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（1）对可以质疑的谈判文件提出质疑的，为获取谈判文件之日； </w:t>
      </w:r>
    </w:p>
    <w:p w14:paraId="6376122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（2）对采购过程提出质疑的，为各采购程序环节结束之日； </w:t>
      </w:r>
    </w:p>
    <w:p w14:paraId="6962953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（3）对成交结果提出质疑的，为成交结果公告期限届满之日。 </w:t>
      </w:r>
    </w:p>
    <w:p w14:paraId="589A56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31.3 供应商提出的询问或者质疑超出采购人对采购代理机构委托授权范围的，采购代理机构应当告知供应商向采购人提出。政府采购评审专家应当配合采购人或者采购代理机构答复供应商的询问和质疑。 </w:t>
      </w:r>
    </w:p>
    <w:p w14:paraId="13B7237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31.4 供应商提出质疑应当提交质疑函和必要的证明材料，针对同一采购程序环节的质疑必须在法定质疑期内一次性提出。质疑函应当包括下列内容（质疑函格式后附）： </w:t>
      </w:r>
    </w:p>
    <w:p w14:paraId="45B13BF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（1）供应商的姓名或者名称、地址、邮编、联系人及联系电话； </w:t>
      </w:r>
    </w:p>
    <w:p w14:paraId="14F571F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（2）质疑项目的名称、编号； </w:t>
      </w:r>
    </w:p>
    <w:p w14:paraId="0AD8A5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（3）具体、明确的质疑事项和与质疑事项相关的请求； </w:t>
      </w:r>
    </w:p>
    <w:p w14:paraId="29C7C7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（4）事实依据； </w:t>
      </w:r>
    </w:p>
    <w:p w14:paraId="0DDEFD3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（5）必要的法律依据； </w:t>
      </w:r>
    </w:p>
    <w:p w14:paraId="72000DE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（6）提出质疑的日期。 </w:t>
      </w:r>
    </w:p>
    <w:p w14:paraId="47C28B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供应商为自然人的，应当由本人签字；供应商为法人或者其他组织的，应当由法定代表人、主要负责人，或者其委托代理人签字或者盖章，并加盖公章。 </w:t>
      </w:r>
    </w:p>
    <w:p w14:paraId="6628B6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31.5 采购人、采购代理机构认为供应商质疑不成立，或者成立但未对成交结果构成影响的，继续开展采购活动；认为供应商质疑成立且影响或者可能影响成交结果的，按照下列情况处理： </w:t>
      </w:r>
    </w:p>
    <w:p w14:paraId="1CF254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（一）对采购文件提出的质疑，依法通过澄清或者修改可以继续开展采购活动的，澄清或者修改采购文件后继续开展采购活动；否则应当修改采购文件后重新开展采购活动。 </w:t>
      </w:r>
    </w:p>
    <w:p w14:paraId="3B80F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二）对采购过程或者成交结果提出的质疑，合格供应商符合法定数量时，可以从合格的成交候选人中另行确定成交供应商的，应当依法另行确定成交供应商；否则应当重新开展采购活动。质疑答复导致成交结果改变的，采购人或者采购代理机构应当将有关情况书面报告本级财政部门。 </w:t>
      </w:r>
    </w:p>
    <w:p w14:paraId="71A156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31.6 质疑供应商对采购人、采购代理机构的答复不满意，或者采购人、采购代理机构未在规定时间内作出答复的，可以在答复期满后 15 个工作日内向《政府采购质疑和投诉办法》（财政部令第 94 号）第六条规定的财政部门提起投诉（投诉书格式后附）。 </w:t>
      </w:r>
    </w:p>
    <w:p w14:paraId="225EC02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32.其他内容 </w:t>
      </w:r>
    </w:p>
    <w:p w14:paraId="4D6068D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32.1 代理服务收取标准详见“供应商须知前附表”，供应商为联合体的，可以由联合体中的一方或者多方共同交纳代理服务费：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948"/>
        <w:gridCol w:w="1799"/>
        <w:gridCol w:w="1815"/>
      </w:tblGrid>
      <w:tr w14:paraId="642E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077" w:type="dxa"/>
            <w:tcBorders>
              <w:tl2br w:val="single" w:color="auto" w:sz="4" w:space="0"/>
            </w:tcBorders>
            <w:noWrap w:val="0"/>
            <w:vAlign w:val="top"/>
          </w:tcPr>
          <w:p w14:paraId="2D9B92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6D36D61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948" w:type="dxa"/>
            <w:noWrap w:val="0"/>
            <w:vAlign w:val="center"/>
          </w:tcPr>
          <w:p w14:paraId="452CB61B">
            <w:pPr>
              <w:keepNext w:val="0"/>
              <w:keepLines w:val="0"/>
              <w:pageBreakBefore w:val="0"/>
              <w:widowControl w:val="0"/>
              <w:kinsoku/>
              <w:wordWrap/>
              <w:overflowPunct/>
              <w:topLinePunct w:val="0"/>
              <w:autoSpaceDE/>
              <w:autoSpaceDN/>
              <w:bidi w:val="0"/>
              <w:adjustRightInd/>
              <w:snapToGrid/>
              <w:spacing w:line="46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799" w:type="dxa"/>
            <w:noWrap w:val="0"/>
            <w:vAlign w:val="center"/>
          </w:tcPr>
          <w:p w14:paraId="085045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815" w:type="dxa"/>
            <w:noWrap w:val="0"/>
            <w:vAlign w:val="center"/>
          </w:tcPr>
          <w:p w14:paraId="765557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30D7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9C590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948" w:type="dxa"/>
            <w:noWrap w:val="0"/>
            <w:vAlign w:val="top"/>
          </w:tcPr>
          <w:p w14:paraId="2699A1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799" w:type="dxa"/>
            <w:noWrap w:val="0"/>
            <w:vAlign w:val="top"/>
          </w:tcPr>
          <w:p w14:paraId="2C0284A4">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815" w:type="dxa"/>
            <w:noWrap w:val="0"/>
            <w:vAlign w:val="top"/>
          </w:tcPr>
          <w:p w14:paraId="03E529F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40D0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50A1B2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948" w:type="dxa"/>
            <w:noWrap w:val="0"/>
            <w:vAlign w:val="top"/>
          </w:tcPr>
          <w:p w14:paraId="6E8670DA">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799" w:type="dxa"/>
            <w:noWrap w:val="0"/>
            <w:vAlign w:val="top"/>
          </w:tcPr>
          <w:p w14:paraId="1A48105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815" w:type="dxa"/>
            <w:noWrap w:val="0"/>
            <w:vAlign w:val="top"/>
          </w:tcPr>
          <w:p w14:paraId="7D4BEA3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372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21CA765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948" w:type="dxa"/>
            <w:noWrap w:val="0"/>
            <w:vAlign w:val="top"/>
          </w:tcPr>
          <w:p w14:paraId="35E6E7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799" w:type="dxa"/>
            <w:noWrap w:val="0"/>
            <w:vAlign w:val="top"/>
          </w:tcPr>
          <w:p w14:paraId="3647D5CB">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815" w:type="dxa"/>
            <w:noWrap w:val="0"/>
            <w:vAlign w:val="top"/>
          </w:tcPr>
          <w:p w14:paraId="70F880B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39E0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8CE87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948" w:type="dxa"/>
            <w:noWrap w:val="0"/>
            <w:vAlign w:val="top"/>
          </w:tcPr>
          <w:p w14:paraId="1EF8BA1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799" w:type="dxa"/>
            <w:noWrap w:val="0"/>
            <w:vAlign w:val="top"/>
          </w:tcPr>
          <w:p w14:paraId="5835232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815" w:type="dxa"/>
            <w:noWrap w:val="0"/>
            <w:vAlign w:val="top"/>
          </w:tcPr>
          <w:p w14:paraId="613675F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019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029EDB3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948" w:type="dxa"/>
            <w:noWrap w:val="0"/>
            <w:vAlign w:val="top"/>
          </w:tcPr>
          <w:p w14:paraId="0EABE71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799" w:type="dxa"/>
            <w:noWrap w:val="0"/>
            <w:vAlign w:val="top"/>
          </w:tcPr>
          <w:p w14:paraId="21E0C5E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815" w:type="dxa"/>
            <w:noWrap w:val="0"/>
            <w:vAlign w:val="top"/>
          </w:tcPr>
          <w:p w14:paraId="1FD9B33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50C7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A373A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948" w:type="dxa"/>
            <w:noWrap w:val="0"/>
            <w:vAlign w:val="top"/>
          </w:tcPr>
          <w:p w14:paraId="1610C36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799" w:type="dxa"/>
            <w:noWrap w:val="0"/>
            <w:vAlign w:val="top"/>
          </w:tcPr>
          <w:p w14:paraId="4E4EDD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815" w:type="dxa"/>
            <w:noWrap w:val="0"/>
            <w:vAlign w:val="top"/>
          </w:tcPr>
          <w:p w14:paraId="6CEDCF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49A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6AB4FE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948" w:type="dxa"/>
            <w:noWrap w:val="0"/>
            <w:vAlign w:val="top"/>
          </w:tcPr>
          <w:p w14:paraId="1D3E172E">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799" w:type="dxa"/>
            <w:noWrap w:val="0"/>
            <w:vAlign w:val="top"/>
          </w:tcPr>
          <w:p w14:paraId="3A42B5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815" w:type="dxa"/>
            <w:noWrap w:val="0"/>
            <w:vAlign w:val="top"/>
          </w:tcPr>
          <w:p w14:paraId="4EFBA787">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D54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3249611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948" w:type="dxa"/>
            <w:noWrap w:val="0"/>
            <w:vAlign w:val="top"/>
          </w:tcPr>
          <w:p w14:paraId="53845FF6">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799" w:type="dxa"/>
            <w:noWrap w:val="0"/>
            <w:vAlign w:val="top"/>
          </w:tcPr>
          <w:p w14:paraId="7886EB9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815" w:type="dxa"/>
            <w:noWrap w:val="0"/>
            <w:vAlign w:val="top"/>
          </w:tcPr>
          <w:p w14:paraId="1B8822FF">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186C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7298B3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948" w:type="dxa"/>
            <w:noWrap w:val="0"/>
            <w:vAlign w:val="top"/>
          </w:tcPr>
          <w:p w14:paraId="38CADB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799" w:type="dxa"/>
            <w:noWrap w:val="0"/>
            <w:vAlign w:val="top"/>
          </w:tcPr>
          <w:p w14:paraId="3683610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815" w:type="dxa"/>
            <w:noWrap w:val="0"/>
            <w:vAlign w:val="top"/>
          </w:tcPr>
          <w:p w14:paraId="1A2DA589">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295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077" w:type="dxa"/>
            <w:noWrap w:val="0"/>
            <w:vAlign w:val="top"/>
          </w:tcPr>
          <w:p w14:paraId="799C8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948" w:type="dxa"/>
            <w:noWrap w:val="0"/>
            <w:vAlign w:val="top"/>
          </w:tcPr>
          <w:p w14:paraId="58DB40F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799" w:type="dxa"/>
            <w:noWrap w:val="0"/>
            <w:vAlign w:val="top"/>
          </w:tcPr>
          <w:p w14:paraId="079F2A1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815" w:type="dxa"/>
            <w:noWrap w:val="0"/>
            <w:vAlign w:val="top"/>
          </w:tcPr>
          <w:p w14:paraId="23CE8F0A">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77F7703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highlight w:val="none"/>
        </w:rPr>
      </w:pPr>
      <w:r>
        <w:rPr>
          <w:rFonts w:hint="eastAsia" w:ascii="宋体" w:hAnsi="宋体"/>
          <w:b w:val="0"/>
          <w:color w:val="auto"/>
          <w:highlight w:val="none"/>
        </w:rPr>
        <w:t xml:space="preserve">注： </w:t>
      </w:r>
    </w:p>
    <w:p w14:paraId="453F45F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highlight w:val="none"/>
        </w:rPr>
      </w:pPr>
      <w:r>
        <w:rPr>
          <w:rFonts w:hint="eastAsia" w:ascii="宋体" w:hAnsi="宋体"/>
          <w:b w:val="0"/>
          <w:color w:val="auto"/>
          <w:highlight w:val="none"/>
        </w:rPr>
        <w:t>（1）按本表费率计算的收费为采购代理的收费基准价格；</w:t>
      </w:r>
    </w:p>
    <w:p w14:paraId="513F144F">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highlight w:val="none"/>
        </w:rPr>
      </w:pPr>
      <w:r>
        <w:rPr>
          <w:rFonts w:hint="eastAsia" w:ascii="宋体" w:hAnsi="宋体"/>
          <w:b w:val="0"/>
          <w:color w:val="auto"/>
          <w:highlight w:val="none"/>
        </w:rPr>
        <w:t>（2）采购代理收费按差额定率累进法计算。</w:t>
      </w:r>
    </w:p>
    <w:p w14:paraId="086B404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color w:val="auto"/>
          <w:highlight w:val="none"/>
        </w:rPr>
      </w:pPr>
      <w:r>
        <w:rPr>
          <w:rFonts w:hint="eastAsia" w:ascii="宋体" w:hAnsi="宋体"/>
          <w:b w:val="0"/>
          <w:color w:val="auto"/>
          <w:highlight w:val="none"/>
        </w:rPr>
        <w:t>例如：某货物采购代理业务成交金额或者暂定价为150万元，计算采购代理收费额如下：</w:t>
      </w:r>
    </w:p>
    <w:p w14:paraId="24C98DC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rPr>
        <w:t>100 万元 ×l.5 %＝ 1.5 万元</w:t>
      </w:r>
    </w:p>
    <w:p w14:paraId="62F071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rPr>
        <w:t>（ 150 － 100 ）万元 ×1.1%＝ 0.55 万元</w:t>
      </w:r>
    </w:p>
    <w:p w14:paraId="0C689B5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rPr>
        <w:t>合计收费＝ 1.5 ＋ 0.55＝ 2.05 （万元）</w:t>
      </w:r>
    </w:p>
    <w:p w14:paraId="3F52FD7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33. 需要补充的其他内容 </w:t>
      </w:r>
    </w:p>
    <w:p w14:paraId="78D286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33.1 本谈判文件解释规则详见“供应商须知前附表”。 </w:t>
      </w:r>
    </w:p>
    <w:p w14:paraId="75836C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33.2 其他事项详见“供应商须知前附表”。 </w:t>
      </w:r>
    </w:p>
    <w:p w14:paraId="127DC19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33.3 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 </w:t>
      </w:r>
    </w:p>
    <w:p w14:paraId="3710AF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（1）在货物采购项目中，货物由中小企业制造，即货物由中小企业生产且使用该中小企业商号或者注册商标，不对其中涉及的工程承建商和服务的承接商作出要求； </w:t>
      </w:r>
    </w:p>
    <w:p w14:paraId="1C9C4F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color w:val="auto"/>
          <w:highlight w:val="none"/>
        </w:rPr>
      </w:pPr>
      <w:r>
        <w:rPr>
          <w:rFonts w:hint="eastAsia" w:ascii="宋体" w:hAnsi="宋体"/>
          <w:b w:val="0"/>
          <w:color w:val="auto"/>
          <w:highlight w:val="none"/>
          <w:lang w:val="en-US" w:eastAsia="zh-CN"/>
        </w:rPr>
        <w:t xml:space="preserve">（2）在工程采购项目中，工程由中小企业承建，即工程施工单位为中小企业，不对其中涉及的货物的制造商和服务的承接商作出要求； </w:t>
      </w:r>
    </w:p>
    <w:p w14:paraId="7BC7D5A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黑体" w:hAnsi="黑体" w:eastAsia="黑体" w:cs="黑体"/>
          <w:bCs/>
          <w:color w:val="auto"/>
          <w:sz w:val="32"/>
          <w:szCs w:val="32"/>
          <w:highlight w:val="none"/>
        </w:rPr>
      </w:pPr>
      <w:r>
        <w:rPr>
          <w:rFonts w:hint="eastAsia" w:ascii="宋体" w:hAnsi="宋体"/>
          <w:b w:val="0"/>
          <w:color w:val="auto"/>
          <w:highlight w:val="none"/>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依据本谈判文件规定享受扶持政策获得政府采购合同的，小微企业不得将合同分包给大中型企业，中型企业不得将合同分包给大型企业。</w:t>
      </w:r>
    </w:p>
    <w:tbl>
      <w:tblPr>
        <w:tblStyle w:val="20"/>
        <w:tblpPr w:leftFromText="180" w:rightFromText="180" w:vertAnchor="text" w:tblpX="10879"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549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4C1AA7A8">
            <w:pPr>
              <w:pStyle w:val="26"/>
              <w:jc w:val="both"/>
              <w:rPr>
                <w:rFonts w:hint="eastAsia"/>
                <w:color w:val="auto"/>
                <w:highlight w:val="none"/>
                <w:vertAlign w:val="baseline"/>
                <w:lang w:val="en-US" w:eastAsia="zh-CN"/>
              </w:rPr>
            </w:pPr>
          </w:p>
        </w:tc>
      </w:tr>
    </w:tbl>
    <w:p w14:paraId="35CFF8F6">
      <w:pPr>
        <w:tabs>
          <w:tab w:val="left" w:pos="6861"/>
        </w:tabs>
        <w:spacing w:line="360" w:lineRule="auto"/>
        <w:ind w:firstLine="723" w:firstLineChars="200"/>
        <w:jc w:val="center"/>
        <w:rPr>
          <w:rFonts w:hint="eastAsia" w:ascii="宋体" w:hAnsi="宋体" w:cs="宋体"/>
          <w:b/>
          <w:bCs/>
          <w:color w:val="auto"/>
          <w:sz w:val="36"/>
          <w:szCs w:val="36"/>
          <w:highlight w:val="none"/>
        </w:rPr>
      </w:pPr>
      <w:bookmarkStart w:id="44" w:name="_Toc16307"/>
    </w:p>
    <w:p w14:paraId="35A614CE">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6FB52164">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1296F975">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348BB02C">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45F395F0">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3C7E23DF">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0D1D7171">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747E25A0">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2E4D9997">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408CCA8B">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51E20480">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01E7C390">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222411A6">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3AFDCA60">
      <w:pPr>
        <w:tabs>
          <w:tab w:val="left" w:pos="6861"/>
        </w:tabs>
        <w:spacing w:line="360" w:lineRule="auto"/>
        <w:ind w:firstLine="723" w:firstLineChars="200"/>
        <w:jc w:val="center"/>
        <w:rPr>
          <w:rFonts w:hint="eastAsia" w:ascii="宋体" w:hAnsi="宋体" w:cs="宋体"/>
          <w:b/>
          <w:bCs/>
          <w:color w:val="auto"/>
          <w:sz w:val="36"/>
          <w:szCs w:val="36"/>
          <w:highlight w:val="none"/>
        </w:rPr>
      </w:pPr>
    </w:p>
    <w:p w14:paraId="0A964F28">
      <w:pPr>
        <w:tabs>
          <w:tab w:val="left" w:pos="6861"/>
        </w:tabs>
        <w:spacing w:line="360" w:lineRule="auto"/>
        <w:jc w:val="both"/>
        <w:rPr>
          <w:rFonts w:hint="eastAsia" w:ascii="宋体" w:hAnsi="宋体" w:cs="宋体"/>
          <w:b/>
          <w:bCs/>
          <w:color w:val="auto"/>
          <w:sz w:val="36"/>
          <w:szCs w:val="36"/>
          <w:highlight w:val="none"/>
        </w:rPr>
      </w:pPr>
    </w:p>
    <w:p w14:paraId="3E63CE5D">
      <w:pPr>
        <w:tabs>
          <w:tab w:val="left" w:pos="6861"/>
        </w:tabs>
        <w:spacing w:line="360" w:lineRule="auto"/>
        <w:jc w:val="left"/>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附件1</w:t>
      </w:r>
    </w:p>
    <w:p w14:paraId="399B09A0">
      <w:pPr>
        <w:tabs>
          <w:tab w:val="left" w:pos="6861"/>
        </w:tabs>
        <w:spacing w:line="360" w:lineRule="auto"/>
        <w:ind w:firstLine="2530" w:firstLineChars="700"/>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t>政府采购项目合同验收报告</w:t>
      </w:r>
    </w:p>
    <w:p w14:paraId="59FD23C3">
      <w:pPr>
        <w:tabs>
          <w:tab w:val="left" w:pos="6861"/>
        </w:tabs>
        <w:spacing w:line="400" w:lineRule="exact"/>
        <w:ind w:firstLine="420" w:firstLineChars="200"/>
        <w:rPr>
          <w:rFonts w:ascii="宋体" w:hAnsi="宋体" w:cs="宋体"/>
          <w:color w:val="auto"/>
          <w:kern w:val="0"/>
          <w:szCs w:val="21"/>
          <w:highlight w:val="none"/>
          <w:shd w:val="clear" w:color="auto" w:fill="FFFFFF"/>
        </w:rPr>
      </w:pPr>
      <w:r>
        <w:rPr>
          <w:rFonts w:hint="eastAsia" w:ascii="宋体" w:hAnsi="宋体" w:cs="宋体"/>
          <w:color w:val="auto"/>
          <w:szCs w:val="21"/>
          <w:highlight w:val="none"/>
        </w:rPr>
        <w:t>根据政府采购合同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）的约定，我单位对政府采购项目中标供应商提供的货物进行了验收，验</w:t>
      </w:r>
      <w:r>
        <w:rPr>
          <w:rFonts w:hint="eastAsia" w:ascii="宋体" w:hAnsi="宋体" w:cs="宋体"/>
          <w:color w:val="auto"/>
          <w:kern w:val="0"/>
          <w:szCs w:val="21"/>
          <w:highlight w:val="none"/>
        </w:rPr>
        <w:t>收情况如下</w:t>
      </w:r>
      <w:r>
        <w:rPr>
          <w:rFonts w:hint="eastAsia" w:ascii="宋体" w:hAnsi="宋体" w:cs="宋体"/>
          <w:color w:val="auto"/>
          <w:kern w:val="0"/>
          <w:szCs w:val="21"/>
          <w:highlight w:val="none"/>
          <w:shd w:val="clear" w:color="auto" w:fill="FFFFFF"/>
        </w:rPr>
        <w:t>：</w:t>
      </w:r>
    </w:p>
    <w:p w14:paraId="054D2DDC">
      <w:pPr>
        <w:tabs>
          <w:tab w:val="left" w:pos="6861"/>
        </w:tabs>
        <w:spacing w:line="400" w:lineRule="exact"/>
        <w:ind w:firstLine="420" w:firstLineChars="200"/>
        <w:rPr>
          <w:rFonts w:ascii="宋体" w:hAnsi="宋体" w:cs="宋体"/>
          <w:color w:val="auto"/>
          <w:kern w:val="0"/>
          <w:szCs w:val="21"/>
          <w:highlight w:val="none"/>
          <w:shd w:val="clear" w:color="auto" w:fill="FFFFFF"/>
        </w:rPr>
      </w:pPr>
    </w:p>
    <w:tbl>
      <w:tblPr>
        <w:tblStyle w:val="19"/>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058"/>
        <w:gridCol w:w="747"/>
        <w:gridCol w:w="1340"/>
        <w:gridCol w:w="1247"/>
        <w:gridCol w:w="236"/>
        <w:gridCol w:w="358"/>
        <w:gridCol w:w="1858"/>
        <w:gridCol w:w="1136"/>
        <w:gridCol w:w="1605"/>
        <w:gridCol w:w="137"/>
      </w:tblGrid>
      <w:tr w14:paraId="4CA75F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56" w:hRule="atLeast"/>
          <w:jc w:val="center"/>
        </w:trPr>
        <w:tc>
          <w:tcPr>
            <w:tcW w:w="3145" w:type="dxa"/>
            <w:gridSpan w:val="3"/>
            <w:tcBorders>
              <w:top w:val="single" w:color="auto" w:sz="8" w:space="0"/>
              <w:left w:val="single" w:color="auto" w:sz="8" w:space="0"/>
              <w:bottom w:val="single" w:color="auto" w:sz="8" w:space="0"/>
              <w:right w:val="single" w:color="auto" w:sz="8" w:space="0"/>
            </w:tcBorders>
            <w:noWrap/>
            <w:vAlign w:val="center"/>
          </w:tcPr>
          <w:p w14:paraId="26196C51">
            <w:pPr>
              <w:widowControl/>
              <w:spacing w:before="100" w:beforeAutospacing="1" w:after="100" w:afterAutospacing="1" w:line="320" w:lineRule="atLeast"/>
              <w:ind w:left="-3" w:firstLine="5"/>
              <w:jc w:val="center"/>
              <w:rPr>
                <w:rFonts w:ascii="宋体" w:hAnsi="宋体" w:cs="宋体"/>
                <w:color w:val="auto"/>
                <w:szCs w:val="21"/>
                <w:highlight w:val="none"/>
              </w:rPr>
            </w:pPr>
            <w:r>
              <w:rPr>
                <w:rFonts w:hint="eastAsia" w:ascii="宋体" w:hAnsi="宋体" w:cs="宋体"/>
                <w:color w:val="auto"/>
                <w:kern w:val="0"/>
                <w:szCs w:val="21"/>
                <w:highlight w:val="none"/>
              </w:rPr>
              <w:t>验收方式：</w:t>
            </w:r>
          </w:p>
        </w:tc>
        <w:tc>
          <w:tcPr>
            <w:tcW w:w="6440" w:type="dxa"/>
            <w:gridSpan w:val="6"/>
            <w:tcBorders>
              <w:top w:val="single" w:color="auto" w:sz="8" w:space="0"/>
              <w:left w:val="single" w:color="auto" w:sz="8" w:space="0"/>
              <w:bottom w:val="single" w:color="auto" w:sz="8" w:space="0"/>
              <w:right w:val="single" w:color="auto" w:sz="8" w:space="0"/>
            </w:tcBorders>
            <w:noWrap/>
            <w:vAlign w:val="center"/>
          </w:tcPr>
          <w:p w14:paraId="03E2FA76">
            <w:pPr>
              <w:widowControl/>
              <w:spacing w:before="100" w:beforeAutospacing="1" w:after="100" w:afterAutospacing="1" w:line="320" w:lineRule="atLeast"/>
              <w:ind w:left="-3" w:firstLine="480"/>
              <w:jc w:val="center"/>
              <w:rPr>
                <w:rFonts w:ascii="宋体" w:hAnsi="宋体" w:cs="宋体"/>
                <w:color w:val="auto"/>
                <w:szCs w:val="21"/>
                <w:highlight w:val="none"/>
              </w:rPr>
            </w:pPr>
            <w:r>
              <w:rPr>
                <w:rFonts w:hint="eastAsia" w:ascii="宋体" w:hAnsi="宋体" w:cs="宋体"/>
                <w:color w:val="auto"/>
                <w:spacing w:val="-20"/>
                <w:kern w:val="0"/>
                <w:szCs w:val="21"/>
                <w:highlight w:val="none"/>
              </w:rPr>
              <w:t xml:space="preserve">□ </w:t>
            </w:r>
            <w:r>
              <w:rPr>
                <w:rFonts w:hint="eastAsia" w:ascii="宋体" w:hAnsi="宋体" w:cs="宋体"/>
                <w:color w:val="auto"/>
                <w:kern w:val="0"/>
                <w:szCs w:val="21"/>
                <w:highlight w:val="none"/>
              </w:rPr>
              <w:t>自行验收       </w:t>
            </w:r>
            <w:r>
              <w:rPr>
                <w:rFonts w:hint="eastAsia" w:ascii="宋体" w:hAnsi="宋体" w:cs="宋体"/>
                <w:color w:val="auto"/>
                <w:spacing w:val="-20"/>
                <w:kern w:val="0"/>
                <w:szCs w:val="21"/>
                <w:highlight w:val="none"/>
              </w:rPr>
              <w:t xml:space="preserve">□ </w:t>
            </w:r>
            <w:r>
              <w:rPr>
                <w:rFonts w:hint="eastAsia" w:ascii="宋体" w:hAnsi="宋体" w:cs="宋体"/>
                <w:color w:val="auto"/>
                <w:kern w:val="0"/>
                <w:szCs w:val="21"/>
                <w:highlight w:val="none"/>
              </w:rPr>
              <w:t>联合验收</w:t>
            </w:r>
          </w:p>
        </w:tc>
      </w:tr>
      <w:tr w14:paraId="2C6383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738"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63C61BF9">
            <w:pPr>
              <w:widowControl/>
              <w:spacing w:before="100" w:beforeAutospacing="1" w:after="100" w:afterAutospacing="1" w:line="320" w:lineRule="atLeast"/>
              <w:ind w:firstLine="2"/>
              <w:jc w:val="center"/>
              <w:rPr>
                <w:rFonts w:ascii="宋体" w:hAnsi="宋体" w:cs="宋体"/>
                <w:color w:val="auto"/>
                <w:szCs w:val="21"/>
                <w:highlight w:val="none"/>
              </w:rPr>
            </w:pPr>
            <w:r>
              <w:rPr>
                <w:rFonts w:hint="eastAsia" w:ascii="宋体" w:hAnsi="宋体" w:cs="宋体"/>
                <w:color w:val="auto"/>
                <w:kern w:val="0"/>
                <w:szCs w:val="21"/>
                <w:highlight w:val="none"/>
              </w:rPr>
              <w:t>序号</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0A038181">
            <w:pPr>
              <w:widowControl/>
              <w:spacing w:before="100" w:beforeAutospacing="1" w:after="100" w:afterAutospacing="1" w:line="320" w:lineRule="atLeast"/>
              <w:ind w:left="-3" w:firstLine="2"/>
              <w:jc w:val="center"/>
              <w:rPr>
                <w:rFonts w:ascii="宋体" w:hAnsi="宋体" w:cs="宋体"/>
                <w:color w:val="auto"/>
                <w:szCs w:val="21"/>
                <w:highlight w:val="none"/>
              </w:rPr>
            </w:pPr>
            <w:r>
              <w:rPr>
                <w:rFonts w:hint="eastAsia" w:ascii="宋体" w:hAnsi="宋体" w:cs="宋体"/>
                <w:color w:val="auto"/>
                <w:kern w:val="0"/>
                <w:szCs w:val="21"/>
                <w:highlight w:val="none"/>
              </w:rPr>
              <w:t>名  称</w:t>
            </w: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73F245B0">
            <w:pPr>
              <w:widowControl/>
              <w:spacing w:before="100" w:beforeAutospacing="1" w:after="100" w:afterAutospacing="1" w:line="320" w:lineRule="atLeast"/>
              <w:ind w:left="-3"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w:t>
            </w:r>
          </w:p>
        </w:tc>
        <w:tc>
          <w:tcPr>
            <w:tcW w:w="1136" w:type="dxa"/>
            <w:tcBorders>
              <w:top w:val="single" w:color="auto" w:sz="8" w:space="0"/>
              <w:left w:val="single" w:color="auto" w:sz="8" w:space="0"/>
              <w:bottom w:val="single" w:color="auto" w:sz="8" w:space="0"/>
              <w:right w:val="single" w:color="auto" w:sz="8" w:space="0"/>
            </w:tcBorders>
            <w:noWrap/>
            <w:vAlign w:val="center"/>
          </w:tcPr>
          <w:p w14:paraId="1E53C2E6">
            <w:pPr>
              <w:widowControl/>
              <w:spacing w:before="100" w:beforeAutospacing="1" w:after="100" w:afterAutospacing="1" w:line="320" w:lineRule="atLeast"/>
              <w:jc w:val="center"/>
              <w:rPr>
                <w:rFonts w:ascii="宋体" w:hAnsi="宋体" w:cs="宋体"/>
                <w:color w:val="auto"/>
                <w:szCs w:val="21"/>
                <w:highlight w:val="none"/>
              </w:rPr>
            </w:pPr>
            <w:r>
              <w:rPr>
                <w:rFonts w:hint="eastAsia" w:ascii="宋体" w:hAnsi="宋体" w:cs="宋体"/>
                <w:color w:val="auto"/>
                <w:kern w:val="0"/>
                <w:szCs w:val="21"/>
                <w:highlight w:val="none"/>
              </w:rPr>
              <w:t>数量</w:t>
            </w:r>
          </w:p>
        </w:tc>
        <w:tc>
          <w:tcPr>
            <w:tcW w:w="1605" w:type="dxa"/>
            <w:tcBorders>
              <w:top w:val="single" w:color="auto" w:sz="8" w:space="0"/>
              <w:left w:val="single" w:color="auto" w:sz="8" w:space="0"/>
              <w:bottom w:val="single" w:color="auto" w:sz="8" w:space="0"/>
              <w:right w:val="single" w:color="auto" w:sz="8" w:space="0"/>
            </w:tcBorders>
            <w:noWrap/>
            <w:vAlign w:val="center"/>
          </w:tcPr>
          <w:p w14:paraId="0843F5A1">
            <w:pPr>
              <w:widowControl/>
              <w:spacing w:before="100" w:beforeAutospacing="1" w:after="100" w:afterAutospacing="1" w:line="320" w:lineRule="atLeast"/>
              <w:ind w:left="-3"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与合同约定</w:t>
            </w:r>
          </w:p>
          <w:p w14:paraId="6678A2A1">
            <w:pPr>
              <w:widowControl/>
              <w:spacing w:before="100" w:beforeAutospacing="1" w:after="100" w:afterAutospacing="1" w:line="320" w:lineRule="atLeast"/>
              <w:ind w:left="-3" w:firstLine="2"/>
              <w:jc w:val="center"/>
              <w:rPr>
                <w:rFonts w:ascii="宋体" w:hAnsi="宋体" w:cs="宋体"/>
                <w:color w:val="auto"/>
                <w:szCs w:val="21"/>
                <w:highlight w:val="none"/>
              </w:rPr>
            </w:pPr>
            <w:r>
              <w:rPr>
                <w:rFonts w:hint="eastAsia" w:ascii="宋体" w:hAnsi="宋体" w:cs="宋体"/>
                <w:color w:val="auto"/>
                <w:kern w:val="0"/>
                <w:szCs w:val="21"/>
                <w:highlight w:val="none"/>
              </w:rPr>
              <w:t>是否一致</w:t>
            </w:r>
          </w:p>
        </w:tc>
      </w:tr>
      <w:tr w14:paraId="44D750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47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6868C38B">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1</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1C5D979B">
            <w:pPr>
              <w:ind w:firstLine="630" w:firstLineChars="300"/>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552FCE45">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08EB4E75">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c>
          <w:tcPr>
            <w:tcW w:w="1605" w:type="dxa"/>
            <w:tcBorders>
              <w:top w:val="single" w:color="auto" w:sz="8" w:space="0"/>
              <w:left w:val="single" w:color="auto" w:sz="8" w:space="0"/>
              <w:bottom w:val="single" w:color="auto" w:sz="8" w:space="0"/>
              <w:right w:val="single" w:color="auto" w:sz="8" w:space="0"/>
            </w:tcBorders>
            <w:noWrap/>
            <w:vAlign w:val="center"/>
          </w:tcPr>
          <w:p w14:paraId="79FEAE03">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r>
      <w:tr w14:paraId="79FE30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2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5D0D96CC">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2</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175A7E68">
            <w:pPr>
              <w:jc w:val="center"/>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106968E0">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776F6C62">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c>
          <w:tcPr>
            <w:tcW w:w="1605" w:type="dxa"/>
            <w:tcBorders>
              <w:top w:val="single" w:color="auto" w:sz="8" w:space="0"/>
              <w:left w:val="single" w:color="auto" w:sz="8" w:space="0"/>
              <w:bottom w:val="single" w:color="auto" w:sz="8" w:space="0"/>
              <w:right w:val="single" w:color="auto" w:sz="8" w:space="0"/>
            </w:tcBorders>
            <w:noWrap/>
            <w:vAlign w:val="center"/>
          </w:tcPr>
          <w:p w14:paraId="4684A2AD">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r>
      <w:tr w14:paraId="5F53A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2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7463B2D5">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3</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77AFD3FE">
            <w:pPr>
              <w:jc w:val="center"/>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2401A4B3">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675807B1">
            <w:pPr>
              <w:widowControl/>
              <w:spacing w:before="100" w:beforeAutospacing="1" w:after="100" w:afterAutospacing="1" w:line="320" w:lineRule="atLeast"/>
              <w:ind w:firstLine="480"/>
              <w:jc w:val="left"/>
              <w:rPr>
                <w:rFonts w:ascii="宋体" w:hAnsi="宋体" w:cs="宋体"/>
                <w:color w:val="auto"/>
                <w:kern w:val="0"/>
                <w:szCs w:val="21"/>
                <w:highlight w:val="none"/>
              </w:rPr>
            </w:pPr>
          </w:p>
        </w:tc>
        <w:tc>
          <w:tcPr>
            <w:tcW w:w="1605" w:type="dxa"/>
            <w:tcBorders>
              <w:top w:val="single" w:color="auto" w:sz="8" w:space="0"/>
              <w:left w:val="single" w:color="auto" w:sz="8" w:space="0"/>
              <w:bottom w:val="single" w:color="auto" w:sz="8" w:space="0"/>
              <w:right w:val="single" w:color="auto" w:sz="8" w:space="0"/>
            </w:tcBorders>
            <w:noWrap/>
            <w:vAlign w:val="center"/>
          </w:tcPr>
          <w:p w14:paraId="339328CB">
            <w:pPr>
              <w:widowControl/>
              <w:spacing w:before="100" w:beforeAutospacing="1" w:after="100" w:afterAutospacing="1" w:line="320" w:lineRule="atLeast"/>
              <w:ind w:firstLine="480"/>
              <w:jc w:val="left"/>
              <w:rPr>
                <w:rFonts w:ascii="宋体" w:hAnsi="宋体" w:cs="宋体"/>
                <w:color w:val="auto"/>
                <w:kern w:val="0"/>
                <w:szCs w:val="21"/>
                <w:highlight w:val="none"/>
              </w:rPr>
            </w:pPr>
          </w:p>
        </w:tc>
      </w:tr>
      <w:tr w14:paraId="3839B3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621" w:hRule="atLeast"/>
          <w:jc w:val="center"/>
        </w:trPr>
        <w:tc>
          <w:tcPr>
            <w:tcW w:w="1805" w:type="dxa"/>
            <w:gridSpan w:val="2"/>
            <w:tcBorders>
              <w:top w:val="single" w:color="auto" w:sz="8" w:space="0"/>
              <w:left w:val="single" w:color="auto" w:sz="8" w:space="0"/>
              <w:bottom w:val="single" w:color="auto" w:sz="8" w:space="0"/>
              <w:right w:val="single" w:color="auto" w:sz="4" w:space="0"/>
            </w:tcBorders>
            <w:noWrap/>
            <w:vAlign w:val="center"/>
          </w:tcPr>
          <w:p w14:paraId="2012F85B">
            <w:pPr>
              <w:widowControl/>
              <w:spacing w:before="100" w:beforeAutospacing="1" w:after="100" w:afterAutospacing="1"/>
              <w:rPr>
                <w:rFonts w:ascii="宋体" w:hAnsi="宋体" w:cs="宋体"/>
                <w:color w:val="auto"/>
                <w:szCs w:val="21"/>
                <w:highlight w:val="none"/>
              </w:rPr>
            </w:pPr>
            <w:r>
              <w:rPr>
                <w:rFonts w:hint="eastAsia" w:ascii="宋体" w:hAnsi="宋体" w:cs="宋体"/>
                <w:color w:val="auto"/>
                <w:kern w:val="0"/>
                <w:szCs w:val="21"/>
                <w:highlight w:val="none"/>
              </w:rPr>
              <w:t xml:space="preserve"> 实际供货日期</w:t>
            </w:r>
          </w:p>
        </w:tc>
        <w:tc>
          <w:tcPr>
            <w:tcW w:w="3181" w:type="dxa"/>
            <w:gridSpan w:val="4"/>
            <w:tcBorders>
              <w:top w:val="single" w:color="auto" w:sz="4" w:space="0"/>
              <w:left w:val="single" w:color="auto" w:sz="4" w:space="0"/>
              <w:bottom w:val="single" w:color="auto" w:sz="4" w:space="0"/>
              <w:right w:val="single" w:color="auto" w:sz="4" w:space="0"/>
            </w:tcBorders>
            <w:noWrap/>
            <w:vAlign w:val="center"/>
          </w:tcPr>
          <w:p w14:paraId="5F2718EE">
            <w:pPr>
              <w:widowControl/>
              <w:spacing w:before="100" w:beforeAutospacing="1" w:after="100" w:afterAutospacing="1" w:line="320" w:lineRule="atLeast"/>
              <w:jc w:val="center"/>
              <w:rPr>
                <w:rFonts w:ascii="宋体" w:hAnsi="宋体" w:cs="宋体"/>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ign w:val="center"/>
          </w:tcPr>
          <w:p w14:paraId="6B162BBF">
            <w:pPr>
              <w:spacing w:before="100" w:beforeAutospacing="1" w:after="100" w:afterAutospacing="1" w:line="320" w:lineRule="atLeast"/>
              <w:jc w:val="center"/>
              <w:rPr>
                <w:rFonts w:ascii="宋体" w:hAnsi="宋体" w:cs="宋体"/>
                <w:color w:val="auto"/>
                <w:szCs w:val="21"/>
                <w:highlight w:val="none"/>
              </w:rPr>
            </w:pPr>
            <w:r>
              <w:rPr>
                <w:rFonts w:hint="eastAsia" w:ascii="宋体" w:hAnsi="宋体" w:cs="宋体"/>
                <w:color w:val="auto"/>
                <w:kern w:val="0"/>
                <w:szCs w:val="21"/>
                <w:highlight w:val="none"/>
              </w:rPr>
              <w:t>合同交货验收日期</w:t>
            </w:r>
          </w:p>
        </w:tc>
        <w:tc>
          <w:tcPr>
            <w:tcW w:w="2741" w:type="dxa"/>
            <w:gridSpan w:val="2"/>
            <w:tcBorders>
              <w:top w:val="single" w:color="auto" w:sz="4" w:space="0"/>
              <w:left w:val="single" w:color="auto" w:sz="4" w:space="0"/>
              <w:bottom w:val="single" w:color="auto" w:sz="4" w:space="0"/>
              <w:right w:val="single" w:color="auto" w:sz="4" w:space="0"/>
            </w:tcBorders>
            <w:noWrap/>
            <w:vAlign w:val="center"/>
          </w:tcPr>
          <w:p w14:paraId="14E0887D">
            <w:pPr>
              <w:spacing w:before="100" w:beforeAutospacing="1" w:after="100" w:afterAutospacing="1" w:line="320" w:lineRule="atLeast"/>
              <w:jc w:val="center"/>
              <w:rPr>
                <w:rFonts w:ascii="宋体" w:hAnsi="宋体" w:cs="宋体"/>
                <w:color w:val="auto"/>
                <w:szCs w:val="21"/>
                <w:highlight w:val="none"/>
              </w:rPr>
            </w:pPr>
          </w:p>
        </w:tc>
      </w:tr>
      <w:tr w14:paraId="76B817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873" w:hRule="atLeast"/>
          <w:jc w:val="center"/>
        </w:trPr>
        <w:tc>
          <w:tcPr>
            <w:tcW w:w="1805" w:type="dxa"/>
            <w:gridSpan w:val="2"/>
            <w:tcBorders>
              <w:top w:val="single" w:color="auto" w:sz="8" w:space="0"/>
              <w:left w:val="single" w:color="auto" w:sz="8" w:space="0"/>
              <w:bottom w:val="single" w:color="auto" w:sz="4" w:space="0"/>
              <w:right w:val="single" w:color="auto" w:sz="8" w:space="0"/>
            </w:tcBorders>
            <w:noWrap/>
            <w:tcMar>
              <w:left w:w="108" w:type="dxa"/>
              <w:right w:w="108" w:type="dxa"/>
            </w:tcMar>
            <w:vAlign w:val="center"/>
          </w:tcPr>
          <w:p w14:paraId="6E3CD965">
            <w:pPr>
              <w:widowControl/>
              <w:spacing w:before="100" w:beforeAutospacing="1" w:after="100" w:afterAutospacing="1"/>
              <w:jc w:val="left"/>
              <w:rPr>
                <w:rFonts w:ascii="宋体" w:hAnsi="宋体" w:cs="宋体"/>
                <w:color w:val="auto"/>
                <w:szCs w:val="21"/>
                <w:highlight w:val="none"/>
              </w:rPr>
            </w:pPr>
            <w:r>
              <w:rPr>
                <w:rFonts w:hint="eastAsia" w:ascii="宋体" w:hAnsi="宋体" w:cs="宋体"/>
                <w:color w:val="auto"/>
                <w:kern w:val="0"/>
                <w:szCs w:val="21"/>
                <w:highlight w:val="none"/>
              </w:rPr>
              <w:t>验收具体内容</w:t>
            </w:r>
          </w:p>
        </w:tc>
        <w:tc>
          <w:tcPr>
            <w:tcW w:w="7780" w:type="dxa"/>
            <w:gridSpan w:val="7"/>
            <w:tcBorders>
              <w:top w:val="single" w:color="auto" w:sz="8" w:space="0"/>
              <w:left w:val="single" w:color="auto" w:sz="8" w:space="0"/>
              <w:bottom w:val="single" w:color="auto" w:sz="4" w:space="0"/>
              <w:right w:val="single" w:color="auto" w:sz="8" w:space="0"/>
            </w:tcBorders>
            <w:noWrap/>
            <w:tcMar>
              <w:left w:w="108" w:type="dxa"/>
              <w:right w:w="108" w:type="dxa"/>
            </w:tcMar>
            <w:vAlign w:val="center"/>
          </w:tcPr>
          <w:p w14:paraId="486B2195">
            <w:pPr>
              <w:widowControl/>
              <w:spacing w:before="100" w:beforeAutospacing="1" w:after="100" w:afterAutospacing="1" w:line="320" w:lineRule="atLeast"/>
              <w:jc w:val="left"/>
              <w:rPr>
                <w:rFonts w:ascii="宋体" w:hAnsi="宋体" w:cs="宋体"/>
                <w:color w:val="auto"/>
                <w:szCs w:val="21"/>
                <w:highlight w:val="none"/>
              </w:rPr>
            </w:pPr>
            <w:r>
              <w:rPr>
                <w:rFonts w:hint="eastAsia" w:ascii="宋体" w:hAnsi="宋体" w:cs="宋体"/>
                <w:color w:val="auto"/>
                <w:kern w:val="0"/>
                <w:szCs w:val="21"/>
                <w:highlight w:val="none"/>
              </w:rPr>
              <w:t>（按政府采购合同、</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文件及验收方案等。可附件)</w:t>
            </w:r>
          </w:p>
        </w:tc>
      </w:tr>
      <w:tr w14:paraId="6459E0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687" w:hRule="atLeast"/>
          <w:jc w:val="center"/>
        </w:trPr>
        <w:tc>
          <w:tcPr>
            <w:tcW w:w="1805" w:type="dxa"/>
            <w:gridSpan w:val="2"/>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14:paraId="06DCB091">
            <w:pPr>
              <w:widowControl/>
              <w:spacing w:before="100" w:beforeAutospacing="1" w:after="100" w:afterAutospacing="1" w:line="320" w:lineRule="atLeast"/>
              <w:jc w:val="left"/>
              <w:rPr>
                <w:rFonts w:ascii="宋体" w:hAnsi="宋体" w:cs="宋体"/>
                <w:color w:val="auto"/>
                <w:szCs w:val="21"/>
                <w:highlight w:val="none"/>
              </w:rPr>
            </w:pPr>
            <w:r>
              <w:rPr>
                <w:rFonts w:hint="eastAsia" w:ascii="宋体" w:hAnsi="宋体" w:cs="宋体"/>
                <w:color w:val="auto"/>
                <w:kern w:val="0"/>
                <w:szCs w:val="21"/>
                <w:highlight w:val="none"/>
              </w:rPr>
              <w:t>验收小组意见</w:t>
            </w:r>
          </w:p>
        </w:tc>
        <w:tc>
          <w:tcPr>
            <w:tcW w:w="7780" w:type="dxa"/>
            <w:gridSpan w:val="7"/>
            <w:tcBorders>
              <w:top w:val="single" w:color="auto" w:sz="4" w:space="0"/>
              <w:left w:val="single" w:color="auto" w:sz="4" w:space="0"/>
              <w:bottom w:val="single" w:color="auto" w:sz="4" w:space="0"/>
              <w:right w:val="single" w:color="auto" w:sz="4" w:space="0"/>
            </w:tcBorders>
            <w:noWrap/>
            <w:vAlign w:val="center"/>
          </w:tcPr>
          <w:p w14:paraId="01342CD5">
            <w:pPr>
              <w:widowControl/>
              <w:spacing w:before="100" w:beforeAutospacing="1" w:after="100" w:afterAutospacing="1" w:line="320" w:lineRule="atLeast"/>
              <w:jc w:val="left"/>
              <w:rPr>
                <w:rFonts w:ascii="宋体" w:hAnsi="宋体" w:cs="宋体"/>
                <w:color w:val="auto"/>
                <w:szCs w:val="21"/>
                <w:highlight w:val="none"/>
              </w:rPr>
            </w:pPr>
          </w:p>
        </w:tc>
      </w:tr>
      <w:tr w14:paraId="4095E4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787" w:hRule="atLeast"/>
          <w:jc w:val="center"/>
        </w:trPr>
        <w:tc>
          <w:tcPr>
            <w:tcW w:w="9585" w:type="dxa"/>
            <w:gridSpan w:val="9"/>
            <w:tcBorders>
              <w:top w:val="single" w:color="auto" w:sz="4" w:space="0"/>
              <w:left w:val="single" w:color="auto" w:sz="4" w:space="0"/>
              <w:bottom w:val="single" w:color="auto" w:sz="4" w:space="0"/>
              <w:right w:val="nil"/>
            </w:tcBorders>
            <w:noWrap/>
            <w:tcMar>
              <w:left w:w="108" w:type="dxa"/>
              <w:right w:w="108" w:type="dxa"/>
            </w:tcMar>
            <w:vAlign w:val="center"/>
          </w:tcPr>
          <w:p w14:paraId="06AD7EAB">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CB019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48" w:hRule="atLeast"/>
          <w:jc w:val="center"/>
        </w:trPr>
        <w:tc>
          <w:tcPr>
            <w:tcW w:w="4392" w:type="dxa"/>
            <w:gridSpan w:val="4"/>
            <w:tcBorders>
              <w:top w:val="single" w:color="auto" w:sz="4" w:space="0"/>
              <w:left w:val="single" w:color="auto" w:sz="4" w:space="0"/>
              <w:bottom w:val="single" w:color="auto" w:sz="4" w:space="0"/>
              <w:right w:val="single" w:color="auto" w:sz="4" w:space="0"/>
            </w:tcBorders>
            <w:noWrap/>
            <w:tcMar>
              <w:left w:w="108" w:type="dxa"/>
              <w:right w:w="108" w:type="dxa"/>
            </w:tcMar>
          </w:tcPr>
          <w:p w14:paraId="4F95DB63">
            <w:pPr>
              <w:widowControl/>
              <w:spacing w:before="100" w:beforeAutospacing="1" w:after="100" w:afterAutospacing="1"/>
              <w:rPr>
                <w:rFonts w:ascii="宋体" w:hAnsi="宋体" w:cs="宋体"/>
                <w:color w:val="auto"/>
                <w:kern w:val="0"/>
                <w:szCs w:val="21"/>
                <w:highlight w:val="none"/>
              </w:rPr>
            </w:pPr>
          </w:p>
          <w:p w14:paraId="6704B62D">
            <w:pPr>
              <w:widowControl/>
              <w:spacing w:before="100" w:beforeAutospacing="1" w:after="100" w:afterAutospacing="1"/>
              <w:rPr>
                <w:rFonts w:ascii="宋体" w:hAnsi="宋体" w:cs="宋体"/>
                <w:color w:val="auto"/>
                <w:kern w:val="0"/>
                <w:szCs w:val="21"/>
                <w:highlight w:val="none"/>
              </w:rPr>
            </w:pPr>
          </w:p>
          <w:p w14:paraId="4B0AC0CC">
            <w:pPr>
              <w:widowControl/>
              <w:spacing w:before="100" w:beforeAutospacing="1" w:after="100" w:afterAutospacing="1"/>
              <w:rPr>
                <w:rFonts w:ascii="宋体" w:hAnsi="宋体" w:cs="宋体"/>
                <w:color w:val="auto"/>
                <w:szCs w:val="21"/>
                <w:highlight w:val="none"/>
                <w:u w:val="single"/>
              </w:rPr>
            </w:pPr>
            <w:r>
              <w:rPr>
                <w:rFonts w:hint="eastAsia" w:ascii="宋体" w:hAnsi="宋体" w:cs="宋体"/>
                <w:color w:val="auto"/>
                <w:kern w:val="0"/>
                <w:szCs w:val="21"/>
                <w:highlight w:val="none"/>
              </w:rPr>
              <w:t>供应商（盖章）：</w:t>
            </w:r>
          </w:p>
          <w:p w14:paraId="60369B88">
            <w:pPr>
              <w:widowControl/>
              <w:spacing w:before="100" w:beforeAutospacing="1" w:after="100" w:afterAutospacing="1"/>
              <w:rPr>
                <w:rFonts w:ascii="宋体" w:hAnsi="宋体" w:cs="宋体"/>
                <w:color w:val="auto"/>
                <w:szCs w:val="21"/>
                <w:highlight w:val="none"/>
                <w:u w:val="single"/>
              </w:rPr>
            </w:pPr>
          </w:p>
          <w:p w14:paraId="79B3D9FE">
            <w:pPr>
              <w:widowControl/>
              <w:spacing w:before="100" w:beforeAutospacing="1" w:after="100" w:afterAutospacing="1"/>
              <w:rPr>
                <w:rFonts w:ascii="宋体" w:hAnsi="宋体" w:cs="宋体"/>
                <w:color w:val="auto"/>
                <w:szCs w:val="21"/>
                <w:highlight w:val="none"/>
                <w:u w:val="single"/>
              </w:rPr>
            </w:pPr>
          </w:p>
          <w:p w14:paraId="4D9EF2E3">
            <w:pPr>
              <w:widowControl/>
              <w:spacing w:before="100" w:beforeAutospacing="1" w:after="100" w:afterAutospacing="1" w:line="320" w:lineRule="atLeast"/>
              <w:ind w:right="480"/>
              <w:jc w:val="right"/>
              <w:rPr>
                <w:rFonts w:ascii="宋体" w:hAnsi="宋体" w:cs="宋体"/>
                <w:color w:val="auto"/>
                <w:szCs w:val="21"/>
                <w:highlight w:val="none"/>
              </w:rPr>
            </w:pPr>
            <w:r>
              <w:rPr>
                <w:rFonts w:hint="eastAsia" w:ascii="宋体" w:hAnsi="宋体" w:cs="宋体"/>
                <w:color w:val="auto"/>
                <w:kern w:val="0"/>
                <w:szCs w:val="21"/>
                <w:highlight w:val="none"/>
              </w:rPr>
              <w:t>年  月  日</w:t>
            </w:r>
          </w:p>
        </w:tc>
        <w:tc>
          <w:tcPr>
            <w:tcW w:w="236" w:type="dxa"/>
            <w:tcBorders>
              <w:top w:val="single" w:color="auto" w:sz="4" w:space="0"/>
              <w:left w:val="single" w:color="auto" w:sz="4" w:space="0"/>
              <w:bottom w:val="single" w:color="auto" w:sz="4" w:space="0"/>
              <w:right w:val="nil"/>
            </w:tcBorders>
            <w:noWrap/>
            <w:tcMar>
              <w:left w:w="108" w:type="dxa"/>
              <w:right w:w="108" w:type="dxa"/>
            </w:tcMar>
          </w:tcPr>
          <w:p w14:paraId="10508FAD">
            <w:pPr>
              <w:widowControl/>
              <w:spacing w:before="100" w:beforeAutospacing="1" w:after="100" w:afterAutospacing="1" w:line="320" w:lineRule="atLeast"/>
              <w:ind w:right="480"/>
              <w:jc w:val="right"/>
              <w:rPr>
                <w:rFonts w:ascii="宋体" w:hAnsi="宋体" w:cs="宋体"/>
                <w:color w:val="auto"/>
                <w:kern w:val="0"/>
                <w:szCs w:val="21"/>
                <w:highlight w:val="none"/>
              </w:rPr>
            </w:pPr>
          </w:p>
        </w:tc>
        <w:tc>
          <w:tcPr>
            <w:tcW w:w="4957" w:type="dxa"/>
            <w:gridSpan w:val="4"/>
            <w:tcBorders>
              <w:top w:val="single" w:color="auto" w:sz="4" w:space="0"/>
              <w:left w:val="nil"/>
              <w:bottom w:val="single" w:color="auto" w:sz="4" w:space="0"/>
              <w:right w:val="single" w:color="auto" w:sz="4" w:space="0"/>
            </w:tcBorders>
            <w:noWrap/>
          </w:tcPr>
          <w:p w14:paraId="397F4168">
            <w:pPr>
              <w:widowControl/>
              <w:spacing w:before="100" w:beforeAutospacing="1" w:after="100" w:afterAutospacing="1" w:line="320" w:lineRule="atLeast"/>
              <w:rPr>
                <w:rFonts w:ascii="宋体" w:hAnsi="宋体" w:cs="宋体"/>
                <w:color w:val="auto"/>
                <w:kern w:val="0"/>
                <w:szCs w:val="21"/>
                <w:highlight w:val="none"/>
              </w:rPr>
            </w:pPr>
          </w:p>
          <w:p w14:paraId="632DAFB0">
            <w:pPr>
              <w:widowControl/>
              <w:spacing w:before="100" w:beforeAutospacing="1" w:after="100" w:afterAutospacing="1" w:line="320" w:lineRule="atLeast"/>
              <w:rPr>
                <w:rFonts w:ascii="宋体" w:hAnsi="宋体" w:cs="宋体"/>
                <w:color w:val="auto"/>
                <w:kern w:val="0"/>
                <w:szCs w:val="21"/>
                <w:highlight w:val="none"/>
              </w:rPr>
            </w:pPr>
          </w:p>
          <w:p w14:paraId="7AB1FFAA">
            <w:pPr>
              <w:widowControl/>
              <w:spacing w:before="100" w:beforeAutospacing="1" w:after="100" w:afterAutospacing="1" w:line="320" w:lineRule="atLeast"/>
              <w:rPr>
                <w:rFonts w:ascii="宋体" w:hAnsi="宋体" w:cs="宋体"/>
                <w:color w:val="auto"/>
                <w:kern w:val="0"/>
                <w:szCs w:val="21"/>
                <w:highlight w:val="none"/>
              </w:rPr>
            </w:pPr>
            <w:r>
              <w:rPr>
                <w:rFonts w:hint="eastAsia" w:ascii="宋体" w:hAnsi="宋体" w:cs="宋体"/>
                <w:color w:val="auto"/>
                <w:kern w:val="0"/>
                <w:szCs w:val="21"/>
                <w:highlight w:val="none"/>
              </w:rPr>
              <w:t>采购单位（盖章）：</w:t>
            </w:r>
          </w:p>
          <w:p w14:paraId="455C3DB8">
            <w:pPr>
              <w:widowControl/>
              <w:spacing w:before="100" w:beforeAutospacing="1" w:after="100" w:afterAutospacing="1" w:line="320" w:lineRule="atLeast"/>
              <w:rPr>
                <w:rFonts w:ascii="宋体" w:hAnsi="宋体" w:cs="宋体"/>
                <w:color w:val="auto"/>
                <w:kern w:val="0"/>
                <w:szCs w:val="21"/>
                <w:highlight w:val="none"/>
              </w:rPr>
            </w:pPr>
          </w:p>
          <w:p w14:paraId="0435158A">
            <w:pPr>
              <w:widowControl/>
              <w:spacing w:before="100" w:beforeAutospacing="1" w:after="100" w:afterAutospacing="1" w:line="320" w:lineRule="atLeast"/>
              <w:ind w:left="191" w:hanging="191" w:hangingChars="91"/>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49643C48">
            <w:pPr>
              <w:widowControl/>
              <w:spacing w:before="100" w:beforeAutospacing="1" w:after="100" w:afterAutospacing="1" w:line="320" w:lineRule="atLeast"/>
              <w:ind w:left="208" w:leftChars="99" w:firstLine="1690" w:firstLineChars="805"/>
              <w:rPr>
                <w:rFonts w:ascii="宋体" w:hAnsi="宋体" w:cs="宋体"/>
                <w:color w:val="auto"/>
                <w:szCs w:val="21"/>
                <w:highlight w:val="none"/>
              </w:rPr>
            </w:pPr>
            <w:r>
              <w:rPr>
                <w:rFonts w:hint="eastAsia" w:ascii="宋体" w:hAnsi="宋体" w:cs="宋体"/>
                <w:color w:val="auto"/>
                <w:kern w:val="0"/>
                <w:szCs w:val="21"/>
                <w:highlight w:val="none"/>
              </w:rPr>
              <w:t xml:space="preserve">  年   月  日</w:t>
            </w:r>
          </w:p>
        </w:tc>
        <w:tc>
          <w:tcPr>
            <w:tcW w:w="137" w:type="dxa"/>
            <w:tcBorders>
              <w:top w:val="single" w:color="auto" w:sz="4" w:space="0"/>
              <w:left w:val="single" w:color="auto" w:sz="4" w:space="0"/>
              <w:bottom w:val="single" w:color="auto" w:sz="4" w:space="0"/>
              <w:right w:val="nil"/>
            </w:tcBorders>
            <w:noWrap/>
          </w:tcPr>
          <w:p w14:paraId="48C34BF3">
            <w:pPr>
              <w:widowControl/>
              <w:spacing w:before="100" w:beforeAutospacing="1" w:after="100" w:afterAutospacing="1" w:line="320" w:lineRule="atLeast"/>
              <w:ind w:left="208" w:leftChars="99" w:firstLine="1690" w:firstLineChars="805"/>
              <w:rPr>
                <w:rFonts w:ascii="宋体" w:hAnsi="宋体" w:cs="宋体"/>
                <w:color w:val="auto"/>
                <w:kern w:val="0"/>
                <w:szCs w:val="21"/>
                <w:highlight w:val="none"/>
              </w:rPr>
            </w:pPr>
          </w:p>
        </w:tc>
      </w:tr>
    </w:tbl>
    <w:p w14:paraId="6F6179EC">
      <w:pPr>
        <w:rPr>
          <w:rFonts w:ascii="宋体" w:hAnsi="宋体" w:cs="宋体"/>
          <w:color w:val="auto"/>
          <w:highlight w:val="none"/>
        </w:rPr>
      </w:pPr>
      <w:r>
        <w:rPr>
          <w:rFonts w:hint="eastAsia" w:ascii="宋体" w:hAnsi="宋体" w:cs="宋体"/>
          <w:color w:val="auto"/>
          <w:szCs w:val="21"/>
          <w:highlight w:val="none"/>
        </w:rPr>
        <w:t>备注：本报告单一式4份（采购单位1份、供应商1份、相关部门1份、采购代理机构1份）。</w:t>
      </w:r>
    </w:p>
    <w:p w14:paraId="326E8CD4">
      <w:pPr>
        <w:rPr>
          <w:color w:val="auto"/>
          <w:highlight w:val="none"/>
        </w:rPr>
      </w:pPr>
    </w:p>
    <w:p w14:paraId="44A9579A">
      <w:pPr>
        <w:pStyle w:val="12"/>
        <w:snapToGrid w:val="0"/>
        <w:rPr>
          <w:rFonts w:hint="eastAsia" w:hAnsi="宋体" w:cs="黑体"/>
          <w:color w:val="auto"/>
          <w:sz w:val="32"/>
          <w:szCs w:val="32"/>
          <w:highlight w:val="none"/>
        </w:rPr>
      </w:pPr>
      <w:r>
        <w:rPr>
          <w:rFonts w:hAnsi="宋体"/>
          <w:color w:val="auto"/>
          <w:highlight w:val="none"/>
        </w:rPr>
        <w:br w:type="page"/>
      </w:r>
      <w:r>
        <w:rPr>
          <w:rFonts w:hint="eastAsia" w:hAnsi="宋体" w:cs="黑体"/>
          <w:color w:val="auto"/>
          <w:sz w:val="32"/>
          <w:szCs w:val="32"/>
          <w:highlight w:val="none"/>
        </w:rPr>
        <w:t>附件2：</w:t>
      </w:r>
    </w:p>
    <w:p w14:paraId="778138AF">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72652693">
      <w:pPr>
        <w:jc w:val="center"/>
        <w:rPr>
          <w:rFonts w:hint="eastAsia" w:ascii="宋体" w:hAnsi="宋体"/>
          <w:color w:val="auto"/>
          <w:sz w:val="36"/>
          <w:szCs w:val="36"/>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E85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1E72882">
            <w:pPr>
              <w:jc w:val="center"/>
              <w:rPr>
                <w:rFonts w:hint="eastAsia" w:ascii="宋体" w:hAnsi="宋体"/>
                <w:color w:val="auto"/>
                <w:sz w:val="24"/>
                <w:highlight w:val="none"/>
              </w:rPr>
            </w:pPr>
            <w:r>
              <w:rPr>
                <w:rFonts w:hint="eastAsia" w:ascii="宋体" w:hAnsi="宋体"/>
                <w:color w:val="auto"/>
                <w:sz w:val="24"/>
                <w:highlight w:val="none"/>
              </w:rPr>
              <w:t>供</w:t>
            </w:r>
          </w:p>
          <w:p w14:paraId="5F59CA5F">
            <w:pPr>
              <w:jc w:val="center"/>
              <w:rPr>
                <w:rFonts w:hint="eastAsia" w:ascii="宋体" w:hAnsi="宋体"/>
                <w:color w:val="auto"/>
                <w:sz w:val="24"/>
                <w:highlight w:val="none"/>
              </w:rPr>
            </w:pPr>
            <w:r>
              <w:rPr>
                <w:rFonts w:hint="eastAsia" w:ascii="宋体" w:hAnsi="宋体"/>
                <w:color w:val="auto"/>
                <w:sz w:val="24"/>
                <w:highlight w:val="none"/>
              </w:rPr>
              <w:t>应</w:t>
            </w:r>
          </w:p>
          <w:p w14:paraId="0F502B77">
            <w:pPr>
              <w:jc w:val="center"/>
              <w:rPr>
                <w:rFonts w:hint="eastAsia" w:ascii="宋体" w:hAnsi="宋体"/>
                <w:color w:val="auto"/>
                <w:sz w:val="24"/>
                <w:highlight w:val="none"/>
              </w:rPr>
            </w:pPr>
            <w:r>
              <w:rPr>
                <w:rFonts w:hint="eastAsia" w:ascii="宋体" w:hAnsi="宋体"/>
                <w:color w:val="auto"/>
                <w:sz w:val="24"/>
                <w:highlight w:val="none"/>
              </w:rPr>
              <w:t>商</w:t>
            </w:r>
          </w:p>
          <w:p w14:paraId="31D9C002">
            <w:pPr>
              <w:jc w:val="center"/>
              <w:rPr>
                <w:rFonts w:hint="eastAsia" w:ascii="宋体" w:hAnsi="宋体"/>
                <w:color w:val="auto"/>
                <w:sz w:val="24"/>
                <w:highlight w:val="none"/>
              </w:rPr>
            </w:pPr>
            <w:r>
              <w:rPr>
                <w:rFonts w:hint="eastAsia" w:ascii="宋体" w:hAnsi="宋体"/>
                <w:color w:val="auto"/>
                <w:sz w:val="24"/>
                <w:highlight w:val="none"/>
              </w:rPr>
              <w:t>申</w:t>
            </w:r>
          </w:p>
          <w:p w14:paraId="2ABDEF0D">
            <w:pPr>
              <w:jc w:val="center"/>
              <w:rPr>
                <w:rFonts w:hint="eastAsia" w:ascii="宋体" w:hAnsi="宋体"/>
                <w:color w:val="auto"/>
                <w:sz w:val="24"/>
                <w:highlight w:val="none"/>
              </w:rPr>
            </w:pPr>
            <w:r>
              <w:rPr>
                <w:rFonts w:hint="eastAsia" w:ascii="宋体" w:hAnsi="宋体"/>
                <w:color w:val="auto"/>
                <w:sz w:val="24"/>
                <w:highlight w:val="none"/>
              </w:rPr>
              <w:t>请</w:t>
            </w:r>
          </w:p>
        </w:tc>
        <w:tc>
          <w:tcPr>
            <w:tcW w:w="8009" w:type="dxa"/>
            <w:noWrap w:val="0"/>
            <w:vAlign w:val="center"/>
          </w:tcPr>
          <w:p w14:paraId="540005BE">
            <w:pPr>
              <w:rPr>
                <w:rFonts w:hint="eastAsia" w:ascii="宋体" w:hAnsi="宋体"/>
                <w:color w:val="auto"/>
                <w:sz w:val="24"/>
                <w:highlight w:val="none"/>
              </w:rPr>
            </w:pPr>
            <w:r>
              <w:rPr>
                <w:rFonts w:hint="eastAsia" w:ascii="宋体" w:hAnsi="宋体"/>
                <w:color w:val="auto"/>
                <w:sz w:val="24"/>
                <w:highlight w:val="none"/>
              </w:rPr>
              <w:t>项目编号：</w:t>
            </w:r>
          </w:p>
        </w:tc>
      </w:tr>
      <w:tr w14:paraId="03A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7948AC23">
            <w:pPr>
              <w:rPr>
                <w:rFonts w:hint="eastAsia" w:ascii="宋体" w:hAnsi="宋体"/>
                <w:color w:val="auto"/>
                <w:sz w:val="24"/>
                <w:highlight w:val="none"/>
              </w:rPr>
            </w:pPr>
          </w:p>
        </w:tc>
        <w:tc>
          <w:tcPr>
            <w:tcW w:w="8009" w:type="dxa"/>
            <w:noWrap w:val="0"/>
            <w:vAlign w:val="center"/>
          </w:tcPr>
          <w:p w14:paraId="1E3BD2DF">
            <w:pPr>
              <w:rPr>
                <w:rFonts w:hint="eastAsia" w:ascii="宋体" w:hAnsi="宋体"/>
                <w:color w:val="auto"/>
                <w:sz w:val="24"/>
                <w:highlight w:val="none"/>
              </w:rPr>
            </w:pPr>
            <w:r>
              <w:rPr>
                <w:rFonts w:hint="eastAsia" w:ascii="宋体" w:hAnsi="宋体"/>
                <w:color w:val="auto"/>
                <w:sz w:val="24"/>
                <w:highlight w:val="none"/>
              </w:rPr>
              <w:t>项目名称：</w:t>
            </w:r>
          </w:p>
        </w:tc>
      </w:tr>
      <w:tr w14:paraId="68B7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34A0D6B2">
            <w:pPr>
              <w:rPr>
                <w:rFonts w:hint="eastAsia" w:ascii="宋体" w:hAnsi="宋体"/>
                <w:color w:val="auto"/>
                <w:sz w:val="24"/>
                <w:highlight w:val="none"/>
              </w:rPr>
            </w:pPr>
          </w:p>
        </w:tc>
        <w:tc>
          <w:tcPr>
            <w:tcW w:w="8009" w:type="dxa"/>
            <w:noWrap w:val="0"/>
            <w:vAlign w:val="top"/>
          </w:tcPr>
          <w:p w14:paraId="2091A807">
            <w:pPr>
              <w:rPr>
                <w:rFonts w:hint="eastAsia" w:ascii="宋体" w:hAnsi="宋体"/>
                <w:color w:val="auto"/>
                <w:sz w:val="24"/>
                <w:highlight w:val="none"/>
              </w:rPr>
            </w:pPr>
            <w:r>
              <w:rPr>
                <w:rFonts w:hint="eastAsia" w:ascii="宋体" w:hAnsi="宋体"/>
                <w:color w:val="auto"/>
                <w:sz w:val="24"/>
                <w:highlight w:val="none"/>
              </w:rPr>
              <w:t xml:space="preserve">  </w:t>
            </w:r>
          </w:p>
          <w:p w14:paraId="2191A9FD">
            <w:pPr>
              <w:ind w:firstLine="480" w:firstLineChars="200"/>
              <w:rPr>
                <w:rFonts w:hint="eastAsia" w:ascii="宋体" w:hAnsi="宋体"/>
                <w:color w:val="auto"/>
                <w:sz w:val="24"/>
                <w:highlight w:val="none"/>
              </w:rPr>
            </w:pPr>
            <w:r>
              <w:rPr>
                <w:rFonts w:hint="eastAsia" w:ascii="宋体" w:hAnsi="宋体"/>
                <w:color w:val="auto"/>
                <w:sz w:val="24"/>
                <w:highlight w:val="none"/>
              </w:rPr>
              <w:t>该项目已于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日验收并交付使用。根据合同规定，该项目的履约保证金期限于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日已满，请将履约保证金</w:t>
            </w:r>
          </w:p>
          <w:p w14:paraId="0EAF71FD">
            <w:pPr>
              <w:rPr>
                <w:rFonts w:hint="eastAsia" w:ascii="宋体" w:hAnsi="宋体"/>
                <w:color w:val="auto"/>
                <w:sz w:val="24"/>
                <w:highlight w:val="none"/>
              </w:rPr>
            </w:pPr>
            <w:r>
              <w:rPr>
                <w:rFonts w:hint="eastAsia" w:ascii="宋体" w:hAnsi="宋体"/>
                <w:color w:val="auto"/>
                <w:sz w:val="24"/>
                <w:highlight w:val="none"/>
              </w:rPr>
              <w:t>（大写）人民币</w:t>
            </w:r>
            <w:r>
              <w:rPr>
                <w:rFonts w:hint="eastAsia" w:ascii="宋体" w:hAnsi="宋体"/>
                <w:color w:val="auto"/>
                <w:sz w:val="24"/>
                <w:highlight w:val="none"/>
                <w:u w:val="single"/>
              </w:rPr>
              <w:t xml:space="preserve">                              </w:t>
            </w: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退付到达以下账户。</w:t>
            </w:r>
          </w:p>
          <w:p w14:paraId="5056F13A">
            <w:pPr>
              <w:rPr>
                <w:rFonts w:hint="eastAsia" w:ascii="宋体" w:hAnsi="宋体"/>
                <w:color w:val="auto"/>
                <w:sz w:val="24"/>
                <w:highlight w:val="none"/>
              </w:rPr>
            </w:pPr>
            <w:r>
              <w:rPr>
                <w:rFonts w:hint="eastAsia" w:ascii="宋体" w:hAnsi="宋体"/>
                <w:color w:val="auto"/>
                <w:sz w:val="24"/>
                <w:highlight w:val="none"/>
              </w:rPr>
              <w:t>单位名称：</w:t>
            </w:r>
          </w:p>
          <w:p w14:paraId="4698B24D">
            <w:pPr>
              <w:rPr>
                <w:rFonts w:hint="eastAsia" w:ascii="宋体" w:hAnsi="宋体"/>
                <w:color w:val="auto"/>
                <w:sz w:val="24"/>
                <w:highlight w:val="none"/>
              </w:rPr>
            </w:pPr>
            <w:r>
              <w:rPr>
                <w:rFonts w:hint="eastAsia" w:ascii="宋体" w:hAnsi="宋体"/>
                <w:color w:val="auto"/>
                <w:sz w:val="24"/>
                <w:highlight w:val="none"/>
              </w:rPr>
              <w:t>开户银行：</w:t>
            </w:r>
          </w:p>
          <w:p w14:paraId="58349493">
            <w:pPr>
              <w:rPr>
                <w:rFonts w:hint="eastAsia" w:ascii="宋体" w:hAnsi="宋体"/>
                <w:color w:val="auto"/>
                <w:sz w:val="24"/>
                <w:highlight w:val="none"/>
              </w:rPr>
            </w:pPr>
            <w:r>
              <w:rPr>
                <w:rFonts w:hint="eastAsia" w:ascii="宋体" w:hAnsi="宋体"/>
                <w:color w:val="auto"/>
                <w:sz w:val="24"/>
                <w:highlight w:val="none"/>
              </w:rPr>
              <w:t>账    号：</w:t>
            </w:r>
          </w:p>
          <w:p w14:paraId="26BE07D6">
            <w:pPr>
              <w:rPr>
                <w:rFonts w:hint="eastAsia" w:ascii="宋体" w:hAnsi="宋体"/>
                <w:color w:val="auto"/>
                <w:sz w:val="24"/>
                <w:highlight w:val="none"/>
              </w:rPr>
            </w:pPr>
            <w:r>
              <w:rPr>
                <w:rFonts w:hint="eastAsia" w:ascii="宋体" w:hAnsi="宋体"/>
                <w:color w:val="auto"/>
                <w:sz w:val="24"/>
                <w:highlight w:val="none"/>
              </w:rPr>
              <w:t>联系人及电话：</w:t>
            </w:r>
          </w:p>
          <w:p w14:paraId="52A3FFA9">
            <w:pPr>
              <w:rPr>
                <w:rFonts w:hint="eastAsia" w:ascii="宋体" w:hAnsi="宋体"/>
                <w:color w:val="auto"/>
                <w:sz w:val="24"/>
                <w:highlight w:val="none"/>
              </w:rPr>
            </w:pPr>
          </w:p>
          <w:p w14:paraId="3F44AD0D">
            <w:pPr>
              <w:jc w:val="center"/>
              <w:rPr>
                <w:rFonts w:hint="eastAsia" w:ascii="宋体" w:hAnsi="宋体"/>
                <w:color w:val="auto"/>
                <w:sz w:val="24"/>
                <w:highlight w:val="none"/>
              </w:rPr>
            </w:pPr>
            <w:r>
              <w:rPr>
                <w:rFonts w:hint="eastAsia" w:ascii="宋体" w:hAnsi="宋体"/>
                <w:color w:val="auto"/>
                <w:sz w:val="24"/>
                <w:highlight w:val="none"/>
              </w:rPr>
              <w:t xml:space="preserve">                           供应商签章：</w:t>
            </w:r>
          </w:p>
          <w:p w14:paraId="45ED18A3">
            <w:pPr>
              <w:jc w:val="center"/>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66A9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2D63417A">
            <w:pPr>
              <w:jc w:val="center"/>
              <w:rPr>
                <w:rFonts w:hint="eastAsia" w:ascii="宋体" w:hAnsi="宋体"/>
                <w:color w:val="auto"/>
                <w:sz w:val="24"/>
                <w:highlight w:val="none"/>
              </w:rPr>
            </w:pPr>
            <w:r>
              <w:rPr>
                <w:rFonts w:hint="eastAsia" w:ascii="宋体" w:hAnsi="宋体"/>
                <w:color w:val="auto"/>
                <w:sz w:val="24"/>
                <w:highlight w:val="none"/>
              </w:rPr>
              <w:t>采</w:t>
            </w:r>
          </w:p>
          <w:p w14:paraId="7CE66E98">
            <w:pPr>
              <w:jc w:val="center"/>
              <w:rPr>
                <w:rFonts w:hint="eastAsia" w:ascii="宋体" w:hAnsi="宋体"/>
                <w:color w:val="auto"/>
                <w:sz w:val="24"/>
                <w:highlight w:val="none"/>
              </w:rPr>
            </w:pPr>
            <w:r>
              <w:rPr>
                <w:rFonts w:hint="eastAsia" w:ascii="宋体" w:hAnsi="宋体"/>
                <w:color w:val="auto"/>
                <w:sz w:val="24"/>
                <w:highlight w:val="none"/>
              </w:rPr>
              <w:t>购</w:t>
            </w:r>
          </w:p>
          <w:p w14:paraId="6A60FB7F">
            <w:pPr>
              <w:jc w:val="center"/>
              <w:rPr>
                <w:rFonts w:hint="eastAsia" w:ascii="宋体" w:hAnsi="宋体"/>
                <w:color w:val="auto"/>
                <w:sz w:val="24"/>
                <w:highlight w:val="none"/>
              </w:rPr>
            </w:pPr>
            <w:r>
              <w:rPr>
                <w:rFonts w:hint="eastAsia" w:ascii="宋体" w:hAnsi="宋体"/>
                <w:color w:val="auto"/>
                <w:sz w:val="24"/>
                <w:highlight w:val="none"/>
              </w:rPr>
              <w:t>单</w:t>
            </w:r>
          </w:p>
          <w:p w14:paraId="59201242">
            <w:pPr>
              <w:jc w:val="center"/>
              <w:rPr>
                <w:rFonts w:hint="eastAsia" w:ascii="宋体" w:hAnsi="宋体"/>
                <w:color w:val="auto"/>
                <w:sz w:val="24"/>
                <w:highlight w:val="none"/>
              </w:rPr>
            </w:pPr>
            <w:r>
              <w:rPr>
                <w:rFonts w:hint="eastAsia" w:ascii="宋体" w:hAnsi="宋体"/>
                <w:color w:val="auto"/>
                <w:sz w:val="24"/>
                <w:highlight w:val="none"/>
              </w:rPr>
              <w:t>位</w:t>
            </w:r>
          </w:p>
          <w:p w14:paraId="2A48ED6A">
            <w:pPr>
              <w:jc w:val="center"/>
              <w:rPr>
                <w:rFonts w:hint="eastAsia" w:ascii="宋体" w:hAnsi="宋体"/>
                <w:color w:val="auto"/>
                <w:sz w:val="24"/>
                <w:highlight w:val="none"/>
              </w:rPr>
            </w:pPr>
            <w:r>
              <w:rPr>
                <w:rFonts w:hint="eastAsia" w:ascii="宋体" w:hAnsi="宋体"/>
                <w:color w:val="auto"/>
                <w:sz w:val="24"/>
                <w:highlight w:val="none"/>
              </w:rPr>
              <w:t>意</w:t>
            </w:r>
          </w:p>
          <w:p w14:paraId="7FAE175C">
            <w:pPr>
              <w:jc w:val="center"/>
              <w:rPr>
                <w:rFonts w:hint="eastAsia" w:ascii="宋体" w:hAnsi="宋体"/>
                <w:color w:val="auto"/>
                <w:sz w:val="24"/>
                <w:highlight w:val="none"/>
              </w:rPr>
            </w:pPr>
            <w:r>
              <w:rPr>
                <w:rFonts w:hint="eastAsia" w:ascii="宋体" w:hAnsi="宋体"/>
                <w:color w:val="auto"/>
                <w:sz w:val="24"/>
                <w:highlight w:val="none"/>
              </w:rPr>
              <w:t>见</w:t>
            </w:r>
          </w:p>
        </w:tc>
        <w:tc>
          <w:tcPr>
            <w:tcW w:w="8009" w:type="dxa"/>
            <w:noWrap w:val="0"/>
            <w:vAlign w:val="top"/>
          </w:tcPr>
          <w:p w14:paraId="02BA237A">
            <w:pPr>
              <w:rPr>
                <w:rFonts w:hint="eastAsia" w:ascii="宋体" w:hAnsi="宋体"/>
                <w:color w:val="auto"/>
                <w:sz w:val="24"/>
                <w:highlight w:val="none"/>
              </w:rPr>
            </w:pPr>
          </w:p>
          <w:p w14:paraId="356ECD1E">
            <w:pPr>
              <w:rPr>
                <w:rFonts w:hint="eastAsia" w:ascii="宋体" w:hAnsi="宋体"/>
                <w:color w:val="auto"/>
                <w:sz w:val="24"/>
                <w:highlight w:val="none"/>
              </w:rPr>
            </w:pPr>
            <w:r>
              <w:rPr>
                <w:rFonts w:hint="eastAsia" w:ascii="宋体" w:hAnsi="宋体"/>
                <w:color w:val="auto"/>
                <w:sz w:val="24"/>
                <w:highlight w:val="none"/>
              </w:rPr>
              <w:t>退付意见：是否同意退付履约保证金及退付金额：</w:t>
            </w:r>
          </w:p>
          <w:p w14:paraId="0DAB12F2">
            <w:pPr>
              <w:rPr>
                <w:rFonts w:hint="eastAsia" w:ascii="宋体" w:hAnsi="宋体"/>
                <w:color w:val="auto"/>
                <w:sz w:val="24"/>
                <w:highlight w:val="none"/>
              </w:rPr>
            </w:pPr>
          </w:p>
          <w:p w14:paraId="2FDF1576">
            <w:pPr>
              <w:rPr>
                <w:rFonts w:hint="eastAsia" w:ascii="宋体" w:hAnsi="宋体"/>
                <w:color w:val="auto"/>
                <w:sz w:val="24"/>
                <w:highlight w:val="none"/>
              </w:rPr>
            </w:pPr>
          </w:p>
          <w:p w14:paraId="257A209A">
            <w:pPr>
              <w:rPr>
                <w:rFonts w:hint="eastAsia" w:ascii="宋体" w:hAnsi="宋体"/>
                <w:color w:val="auto"/>
                <w:sz w:val="24"/>
                <w:highlight w:val="none"/>
              </w:rPr>
            </w:pPr>
            <w:r>
              <w:rPr>
                <w:rFonts w:hint="eastAsia" w:ascii="宋体" w:hAnsi="宋体"/>
                <w:color w:val="auto"/>
                <w:sz w:val="24"/>
                <w:highlight w:val="none"/>
              </w:rPr>
              <w:t xml:space="preserve">联系人及电话：                                </w:t>
            </w:r>
          </w:p>
          <w:p w14:paraId="5BD0B653">
            <w:pPr>
              <w:rPr>
                <w:rFonts w:hint="eastAsia" w:ascii="宋体" w:hAnsi="宋体"/>
                <w:color w:val="auto"/>
                <w:sz w:val="24"/>
                <w:highlight w:val="none"/>
              </w:rPr>
            </w:pPr>
          </w:p>
          <w:p w14:paraId="1FA1D77B">
            <w:pPr>
              <w:ind w:firstLine="4560" w:firstLineChars="1900"/>
              <w:rPr>
                <w:rFonts w:hint="eastAsia" w:ascii="宋体" w:hAnsi="宋体"/>
                <w:color w:val="auto"/>
                <w:sz w:val="24"/>
                <w:highlight w:val="none"/>
              </w:rPr>
            </w:pPr>
            <w:r>
              <w:rPr>
                <w:rFonts w:hint="eastAsia" w:ascii="宋体" w:hAnsi="宋体"/>
                <w:color w:val="auto"/>
                <w:sz w:val="24"/>
                <w:highlight w:val="none"/>
              </w:rPr>
              <w:t xml:space="preserve"> 采购单位签章：</w:t>
            </w:r>
          </w:p>
          <w:p w14:paraId="48C05CEC">
            <w:pPr>
              <w:jc w:val="center"/>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5651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5F779998">
            <w:pPr>
              <w:jc w:val="center"/>
              <w:rPr>
                <w:rFonts w:hint="eastAsia" w:ascii="宋体" w:hAnsi="宋体"/>
                <w:color w:val="auto"/>
                <w:sz w:val="24"/>
                <w:highlight w:val="none"/>
              </w:rPr>
            </w:pPr>
            <w:r>
              <w:rPr>
                <w:rFonts w:hint="eastAsia" w:ascii="宋体" w:hAnsi="宋体"/>
                <w:color w:val="auto"/>
                <w:sz w:val="24"/>
                <w:highlight w:val="none"/>
              </w:rPr>
              <w:t>财</w:t>
            </w:r>
          </w:p>
          <w:p w14:paraId="340D8DF3">
            <w:pPr>
              <w:jc w:val="center"/>
              <w:rPr>
                <w:rFonts w:hint="eastAsia" w:ascii="宋体" w:hAnsi="宋体"/>
                <w:color w:val="auto"/>
                <w:sz w:val="24"/>
                <w:highlight w:val="none"/>
              </w:rPr>
            </w:pPr>
            <w:r>
              <w:rPr>
                <w:rFonts w:hint="eastAsia" w:ascii="宋体" w:hAnsi="宋体"/>
                <w:color w:val="auto"/>
                <w:sz w:val="24"/>
                <w:highlight w:val="none"/>
              </w:rPr>
              <w:t>务</w:t>
            </w:r>
          </w:p>
          <w:p w14:paraId="54219CB6">
            <w:pPr>
              <w:jc w:val="center"/>
              <w:rPr>
                <w:rFonts w:hint="eastAsia" w:ascii="宋体" w:hAnsi="宋体"/>
                <w:color w:val="auto"/>
                <w:sz w:val="24"/>
                <w:highlight w:val="none"/>
              </w:rPr>
            </w:pPr>
            <w:r>
              <w:rPr>
                <w:rFonts w:hint="eastAsia" w:ascii="宋体" w:hAnsi="宋体"/>
                <w:color w:val="auto"/>
                <w:sz w:val="24"/>
                <w:highlight w:val="none"/>
              </w:rPr>
              <w:t>部</w:t>
            </w:r>
          </w:p>
          <w:p w14:paraId="3991CE2B">
            <w:pPr>
              <w:jc w:val="center"/>
              <w:rPr>
                <w:rFonts w:hint="eastAsia" w:ascii="宋体" w:hAnsi="宋体"/>
                <w:color w:val="auto"/>
                <w:sz w:val="24"/>
                <w:highlight w:val="none"/>
              </w:rPr>
            </w:pPr>
            <w:r>
              <w:rPr>
                <w:rFonts w:hint="eastAsia" w:ascii="宋体" w:hAnsi="宋体"/>
                <w:color w:val="auto"/>
                <w:sz w:val="24"/>
                <w:highlight w:val="none"/>
              </w:rPr>
              <w:t>门</w:t>
            </w:r>
          </w:p>
          <w:p w14:paraId="49C17827">
            <w:pPr>
              <w:jc w:val="center"/>
              <w:rPr>
                <w:rFonts w:hint="eastAsia" w:ascii="宋体" w:hAnsi="宋体"/>
                <w:color w:val="auto"/>
                <w:sz w:val="24"/>
                <w:highlight w:val="none"/>
              </w:rPr>
            </w:pPr>
            <w:r>
              <w:rPr>
                <w:rFonts w:hint="eastAsia" w:ascii="宋体" w:hAnsi="宋体"/>
                <w:color w:val="auto"/>
                <w:sz w:val="24"/>
                <w:highlight w:val="none"/>
              </w:rPr>
              <w:t>意</w:t>
            </w:r>
          </w:p>
          <w:p w14:paraId="156BD1C2">
            <w:pPr>
              <w:jc w:val="center"/>
              <w:rPr>
                <w:rFonts w:hint="eastAsia" w:ascii="宋体" w:hAnsi="宋体"/>
                <w:color w:val="auto"/>
                <w:sz w:val="24"/>
                <w:highlight w:val="none"/>
              </w:rPr>
            </w:pPr>
            <w:r>
              <w:rPr>
                <w:rFonts w:hint="eastAsia" w:ascii="宋体" w:hAnsi="宋体"/>
                <w:color w:val="auto"/>
                <w:sz w:val="24"/>
                <w:highlight w:val="none"/>
              </w:rPr>
              <w:t>见</w:t>
            </w:r>
          </w:p>
        </w:tc>
        <w:tc>
          <w:tcPr>
            <w:tcW w:w="8009" w:type="dxa"/>
            <w:noWrap w:val="0"/>
            <w:vAlign w:val="top"/>
          </w:tcPr>
          <w:p w14:paraId="54758E92">
            <w:pPr>
              <w:rPr>
                <w:rFonts w:hint="eastAsia" w:ascii="宋体" w:hAnsi="宋体"/>
                <w:color w:val="auto"/>
                <w:sz w:val="24"/>
                <w:highlight w:val="none"/>
              </w:rPr>
            </w:pPr>
            <w:r>
              <w:rPr>
                <w:rFonts w:hint="eastAsia" w:ascii="宋体" w:hAnsi="宋体"/>
                <w:color w:val="auto"/>
                <w:sz w:val="24"/>
                <w:highlight w:val="none"/>
              </w:rPr>
              <w:t>此表于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日收到。</w:t>
            </w:r>
          </w:p>
          <w:p w14:paraId="17BF28FB">
            <w:pPr>
              <w:rPr>
                <w:rFonts w:hint="eastAsia" w:ascii="宋体" w:hAnsi="宋体"/>
                <w:color w:val="auto"/>
                <w:sz w:val="24"/>
                <w:highlight w:val="none"/>
              </w:rPr>
            </w:pPr>
          </w:p>
          <w:p w14:paraId="52A651A3">
            <w:pPr>
              <w:rPr>
                <w:rFonts w:hint="eastAsia" w:ascii="宋体" w:hAnsi="宋体"/>
                <w:color w:val="auto"/>
                <w:sz w:val="24"/>
                <w:highlight w:val="none"/>
              </w:rPr>
            </w:pPr>
            <w:r>
              <w:rPr>
                <w:rFonts w:hint="eastAsia" w:ascii="宋体" w:hAnsi="宋体"/>
                <w:color w:val="auto"/>
                <w:sz w:val="24"/>
                <w:highlight w:val="none"/>
              </w:rPr>
              <w:t>会计审核：</w:t>
            </w:r>
          </w:p>
          <w:p w14:paraId="23EAF443">
            <w:pPr>
              <w:rPr>
                <w:rFonts w:hint="eastAsia" w:ascii="宋体" w:hAnsi="宋体"/>
                <w:color w:val="auto"/>
                <w:sz w:val="24"/>
                <w:highlight w:val="none"/>
              </w:rPr>
            </w:pPr>
          </w:p>
          <w:p w14:paraId="079E30EA">
            <w:pPr>
              <w:rPr>
                <w:rFonts w:hint="eastAsia" w:ascii="宋体" w:hAnsi="宋体"/>
                <w:color w:val="auto"/>
                <w:sz w:val="24"/>
                <w:highlight w:val="none"/>
              </w:rPr>
            </w:pPr>
            <w:r>
              <w:rPr>
                <w:rFonts w:hint="eastAsia" w:ascii="宋体" w:hAnsi="宋体"/>
                <w:color w:val="auto"/>
                <w:sz w:val="24"/>
                <w:highlight w:val="none"/>
              </w:rPr>
              <w:t>财务负责人审核：</w:t>
            </w:r>
          </w:p>
          <w:p w14:paraId="6BA26ABB">
            <w:pPr>
              <w:rPr>
                <w:rFonts w:hint="eastAsia" w:ascii="宋体" w:hAnsi="宋体"/>
                <w:color w:val="auto"/>
                <w:sz w:val="24"/>
                <w:highlight w:val="none"/>
              </w:rPr>
            </w:pPr>
          </w:p>
          <w:p w14:paraId="37914744">
            <w:pPr>
              <w:rPr>
                <w:rFonts w:hint="eastAsia" w:ascii="宋体" w:hAnsi="宋体"/>
                <w:color w:val="auto"/>
                <w:sz w:val="24"/>
                <w:highlight w:val="none"/>
              </w:rPr>
            </w:pPr>
            <w:r>
              <w:rPr>
                <w:rFonts w:hint="eastAsia" w:ascii="宋体" w:hAnsi="宋体"/>
                <w:color w:val="auto"/>
                <w:sz w:val="24"/>
                <w:highlight w:val="none"/>
              </w:rPr>
              <w:t>单位负责人签字：</w:t>
            </w:r>
          </w:p>
          <w:p w14:paraId="043AA243">
            <w:pPr>
              <w:rPr>
                <w:rFonts w:hint="eastAsia" w:ascii="宋体" w:hAnsi="宋体"/>
                <w:color w:val="auto"/>
                <w:sz w:val="24"/>
                <w:highlight w:val="none"/>
              </w:rPr>
            </w:pPr>
          </w:p>
          <w:p w14:paraId="2784A12E">
            <w:pPr>
              <w:rPr>
                <w:rFonts w:hint="eastAsia" w:ascii="宋体" w:hAnsi="宋体"/>
                <w:color w:val="auto"/>
                <w:sz w:val="24"/>
                <w:highlight w:val="none"/>
              </w:rPr>
            </w:pPr>
            <w:r>
              <w:rPr>
                <w:rFonts w:hint="eastAsia" w:ascii="宋体" w:hAnsi="宋体"/>
                <w:color w:val="auto"/>
                <w:sz w:val="24"/>
                <w:highlight w:val="none"/>
              </w:rPr>
              <w:t>出纳办理转账日期：</w:t>
            </w:r>
          </w:p>
        </w:tc>
      </w:tr>
    </w:tbl>
    <w:p w14:paraId="6280C662">
      <w:pPr>
        <w:pStyle w:val="2"/>
        <w:ind w:left="1" w:firstLine="2" w:firstLineChars="1"/>
        <w:rPr>
          <w:rFonts w:hint="eastAsia" w:ascii="宋体" w:hAnsi="宋体"/>
          <w:b/>
          <w:bCs/>
          <w:color w:val="auto"/>
          <w:sz w:val="18"/>
          <w:szCs w:val="18"/>
          <w:highlight w:val="none"/>
        </w:rPr>
      </w:pPr>
      <w:r>
        <w:rPr>
          <w:rFonts w:hint="eastAsia" w:ascii="宋体" w:hAnsi="宋体"/>
          <w:b/>
          <w:bCs/>
          <w:color w:val="auto"/>
          <w:sz w:val="18"/>
          <w:szCs w:val="18"/>
          <w:highlight w:val="none"/>
        </w:rPr>
        <w:t>注：供应商凭经采购单位审批的退付意见书到履约保证金收取单位财务部门办理履约保证金退付事宜。</w:t>
      </w:r>
    </w:p>
    <w:p w14:paraId="694DB986">
      <w:pPr>
        <w:pStyle w:val="12"/>
        <w:snapToGrid w:val="0"/>
        <w:spacing w:before="120" w:after="120"/>
        <w:rPr>
          <w:rFonts w:hint="eastAsia" w:hAnsi="宋体"/>
          <w:color w:val="auto"/>
          <w:highlight w:val="none"/>
        </w:rPr>
      </w:pPr>
    </w:p>
    <w:p w14:paraId="377BDEFF">
      <w:pPr>
        <w:rPr>
          <w:rFonts w:hint="eastAsia" w:hAnsi="宋体"/>
          <w:color w:val="auto"/>
          <w:highlight w:val="none"/>
        </w:rPr>
      </w:pPr>
    </w:p>
    <w:p w14:paraId="2C054EF7">
      <w:pPr>
        <w:pStyle w:val="23"/>
        <w:rPr>
          <w:rFonts w:hint="eastAsia"/>
          <w:color w:val="auto"/>
          <w:highlight w:val="none"/>
        </w:rPr>
      </w:pPr>
    </w:p>
    <w:p w14:paraId="48E47E16">
      <w:pPr>
        <w:widowControl/>
        <w:rPr>
          <w:rFonts w:hint="eastAsia" w:ascii="宋体" w:hAnsi="宋体" w:cs="宋体"/>
          <w:bCs/>
          <w:color w:val="auto"/>
          <w:sz w:val="28"/>
          <w:szCs w:val="28"/>
          <w:highlight w:val="none"/>
          <w:u w:val="single"/>
        </w:rPr>
      </w:pPr>
    </w:p>
    <w:p w14:paraId="14E2DD8D">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3213" w:firstLineChars="1000"/>
        <w:jc w:val="both"/>
        <w:textAlignment w:val="auto"/>
        <w:outlineLvl w:val="0"/>
        <w:rPr>
          <w:color w:val="auto"/>
          <w:highlight w:val="none"/>
        </w:rPr>
      </w:pPr>
      <w:r>
        <w:rPr>
          <w:rFonts w:hint="eastAsia"/>
          <w:color w:val="auto"/>
          <w:highlight w:val="none"/>
          <w:lang w:val="en-US" w:eastAsia="zh-CN"/>
        </w:rPr>
        <w:t>第三章 采购需求</w:t>
      </w:r>
      <w:bookmarkEnd w:id="44"/>
    </w:p>
    <w:p w14:paraId="15910188">
      <w:pPr>
        <w:pStyle w:val="2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lang w:val="en-US" w:eastAsia="zh-CN"/>
        </w:rPr>
      </w:pPr>
      <w:r>
        <w:rPr>
          <w:rFonts w:hint="eastAsia"/>
          <w:color w:val="auto"/>
          <w:highlight w:val="none"/>
          <w:lang w:val="en-US" w:eastAsia="zh-CN"/>
        </w:rPr>
        <w:t>采购项目技术规格、参数及要求</w:t>
      </w:r>
    </w:p>
    <w:p w14:paraId="5E4CB31F">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highlight w:val="none"/>
        </w:rPr>
      </w:pPr>
      <w:r>
        <w:rPr>
          <w:rFonts w:hint="eastAsia"/>
          <w:color w:val="auto"/>
          <w:highlight w:val="none"/>
        </w:rPr>
        <w:t>说明：</w:t>
      </w:r>
    </w:p>
    <w:p w14:paraId="222AE89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为落实政府采购政策需满足的要求</w:t>
      </w:r>
      <w:r>
        <w:rPr>
          <w:rFonts w:hint="eastAsia" w:ascii="宋体" w:hAnsi="宋体" w:cs="宋体"/>
          <w:color w:val="auto"/>
          <w:highlight w:val="none"/>
          <w:lang w:val="en-US" w:eastAsia="zh-CN"/>
        </w:rPr>
        <w:t>:</w:t>
      </w:r>
    </w:p>
    <w:p w14:paraId="430534B5">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本采购文件所称中小企业必须符合《政府采购促进中小企业发展管理办法》（财库〔2020〕46 号）的规定。</w:t>
      </w:r>
    </w:p>
    <w:p w14:paraId="1F06A3A1">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竞标货物必须使用政府强制采购的节能产品，供应商必须在响应文件中提供所竞标产品的节能产品认证证书复印件（加盖供应商电子签章），否则按无效响应处理。</w:t>
      </w:r>
    </w:p>
    <w:p w14:paraId="6621045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“实质性要求”是指采购文件中已经指明不满足则竞标无效的条款，或者不能负偏离的条款，或者采购需求中带“▲”的条款。未标注的条款为一般条款，每个标的允许负偏离2项。</w:t>
      </w:r>
    </w:p>
    <w:p w14:paraId="7D38A76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需求中出现的品牌、型号或者生产厂家仅起参考作用，不属于指定品牌、型号或者生产厂家的情形。供应商可参照或者选用其他相当的品牌、型号或者生产厂家替代，但选用的竞标产品参数性能必须满足实质性要求。</w:t>
      </w:r>
    </w:p>
    <w:p w14:paraId="10849EB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供应商必须自行为其竞标产品侵犯他人的知识产权或者专利成果的行为承担相应法律责任。</w:t>
      </w:r>
    </w:p>
    <w:p w14:paraId="0E0D697A">
      <w:pPr>
        <w:pStyle w:val="23"/>
        <w:rPr>
          <w:rFonts w:hint="eastAsia"/>
          <w:color w:val="auto"/>
          <w:highlight w:val="none"/>
        </w:rPr>
      </w:pPr>
    </w:p>
    <w:tbl>
      <w:tblPr>
        <w:tblStyle w:val="19"/>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229"/>
        <w:gridCol w:w="969"/>
        <w:gridCol w:w="5372"/>
        <w:gridCol w:w="785"/>
      </w:tblGrid>
      <w:tr w14:paraId="322C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023" w:type="dxa"/>
            <w:gridSpan w:val="5"/>
            <w:noWrap w:val="0"/>
            <w:vAlign w:val="center"/>
          </w:tcPr>
          <w:p w14:paraId="7867BCFD">
            <w:pPr>
              <w:widowControl/>
              <w:jc w:val="left"/>
              <w:outlineLvl w:val="9"/>
              <w:rPr>
                <w:rFonts w:hint="eastAsia" w:asciiTheme="majorEastAsia" w:hAnsiTheme="majorEastAsia" w:eastAsiaTheme="majorEastAsia" w:cstheme="majorEastAsia"/>
                <w:b/>
                <w:color w:val="auto"/>
                <w:kern w:val="0"/>
                <w:sz w:val="21"/>
                <w:szCs w:val="21"/>
                <w:highlight w:val="none"/>
                <w:lang w:val="en-US" w:eastAsia="zh-CN"/>
              </w:rPr>
            </w:pPr>
            <w:r>
              <w:rPr>
                <w:rFonts w:hint="eastAsia" w:asciiTheme="majorEastAsia" w:hAnsiTheme="majorEastAsia" w:eastAsiaTheme="majorEastAsia" w:cstheme="majorEastAsia"/>
                <w:b/>
                <w:color w:val="auto"/>
                <w:kern w:val="0"/>
                <w:sz w:val="21"/>
                <w:szCs w:val="21"/>
                <w:highlight w:val="none"/>
                <w:lang w:val="en-US" w:eastAsia="zh-CN"/>
              </w:rPr>
              <w:t>货物需求一览表</w:t>
            </w:r>
          </w:p>
        </w:tc>
      </w:tr>
      <w:tr w14:paraId="61C1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668" w:type="dxa"/>
            <w:noWrap w:val="0"/>
            <w:vAlign w:val="center"/>
          </w:tcPr>
          <w:p w14:paraId="2EB8AD08">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heme="majorEastAsia" w:hAnsiTheme="majorEastAsia" w:eastAsiaTheme="majorEastAsia" w:cstheme="majorEastAsia"/>
                <w:b/>
                <w:color w:val="auto"/>
                <w:kern w:val="0"/>
                <w:sz w:val="21"/>
                <w:szCs w:val="21"/>
                <w:highlight w:val="none"/>
              </w:rPr>
            </w:pPr>
            <w:r>
              <w:rPr>
                <w:rFonts w:hint="eastAsia" w:asciiTheme="majorEastAsia" w:hAnsiTheme="majorEastAsia" w:eastAsiaTheme="majorEastAsia" w:cstheme="majorEastAsia"/>
                <w:b/>
                <w:color w:val="auto"/>
                <w:kern w:val="0"/>
                <w:sz w:val="21"/>
                <w:szCs w:val="21"/>
                <w:highlight w:val="none"/>
                <w:lang w:val="en-US" w:eastAsia="zh-CN"/>
              </w:rPr>
              <w:t>序</w:t>
            </w:r>
            <w:r>
              <w:rPr>
                <w:rFonts w:hint="eastAsia" w:asciiTheme="majorEastAsia" w:hAnsiTheme="majorEastAsia" w:eastAsiaTheme="majorEastAsia" w:cstheme="majorEastAsia"/>
                <w:b/>
                <w:color w:val="auto"/>
                <w:kern w:val="0"/>
                <w:sz w:val="21"/>
                <w:szCs w:val="21"/>
                <w:highlight w:val="none"/>
              </w:rPr>
              <w:t>号</w:t>
            </w:r>
          </w:p>
        </w:tc>
        <w:tc>
          <w:tcPr>
            <w:tcW w:w="1229" w:type="dxa"/>
            <w:noWrap w:val="0"/>
            <w:tcMar>
              <w:top w:w="0" w:type="dxa"/>
              <w:left w:w="108" w:type="dxa"/>
              <w:bottom w:w="0" w:type="dxa"/>
              <w:right w:w="108" w:type="dxa"/>
            </w:tcMar>
            <w:vAlign w:val="center"/>
          </w:tcPr>
          <w:p w14:paraId="2773F96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heme="majorEastAsia" w:hAnsiTheme="majorEastAsia" w:eastAsiaTheme="majorEastAsia" w:cstheme="majorEastAsia"/>
                <w:b/>
                <w:color w:val="auto"/>
                <w:kern w:val="0"/>
                <w:sz w:val="21"/>
                <w:szCs w:val="21"/>
                <w:highlight w:val="none"/>
              </w:rPr>
            </w:pPr>
            <w:r>
              <w:rPr>
                <w:rFonts w:hint="eastAsia" w:asciiTheme="majorEastAsia" w:hAnsiTheme="majorEastAsia" w:eastAsiaTheme="majorEastAsia" w:cstheme="majorEastAsia"/>
                <w:b/>
                <w:color w:val="auto"/>
                <w:kern w:val="0"/>
                <w:sz w:val="21"/>
                <w:szCs w:val="21"/>
                <w:highlight w:val="none"/>
                <w:lang w:val="en-US" w:eastAsia="zh-CN"/>
              </w:rPr>
              <w:t>标的</w:t>
            </w:r>
            <w:r>
              <w:rPr>
                <w:rFonts w:hint="eastAsia" w:asciiTheme="majorEastAsia" w:hAnsiTheme="majorEastAsia" w:eastAsiaTheme="majorEastAsia" w:cstheme="majorEastAsia"/>
                <w:b/>
                <w:color w:val="auto"/>
                <w:kern w:val="0"/>
                <w:sz w:val="21"/>
                <w:szCs w:val="21"/>
                <w:highlight w:val="none"/>
              </w:rPr>
              <w:t>名称</w:t>
            </w:r>
          </w:p>
        </w:tc>
        <w:tc>
          <w:tcPr>
            <w:tcW w:w="969" w:type="dxa"/>
            <w:noWrap w:val="0"/>
            <w:tcMar>
              <w:top w:w="0" w:type="dxa"/>
              <w:left w:w="108" w:type="dxa"/>
              <w:bottom w:w="0" w:type="dxa"/>
              <w:right w:w="108" w:type="dxa"/>
            </w:tcMar>
            <w:vAlign w:val="center"/>
          </w:tcPr>
          <w:p w14:paraId="01B3D03C">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heme="majorEastAsia" w:hAnsiTheme="majorEastAsia" w:eastAsiaTheme="majorEastAsia" w:cstheme="majorEastAsia"/>
                <w:b/>
                <w:color w:val="auto"/>
                <w:kern w:val="0"/>
                <w:sz w:val="21"/>
                <w:szCs w:val="21"/>
                <w:highlight w:val="none"/>
                <w:lang w:val="en-US" w:eastAsia="zh-CN"/>
              </w:rPr>
            </w:pPr>
            <w:r>
              <w:rPr>
                <w:rFonts w:hint="eastAsia" w:asciiTheme="majorEastAsia" w:hAnsiTheme="majorEastAsia" w:eastAsiaTheme="majorEastAsia" w:cstheme="majorEastAsia"/>
                <w:b/>
                <w:color w:val="auto"/>
                <w:kern w:val="0"/>
                <w:sz w:val="21"/>
                <w:szCs w:val="21"/>
                <w:highlight w:val="none"/>
              </w:rPr>
              <w:t>数量</w:t>
            </w:r>
            <w:r>
              <w:rPr>
                <w:rFonts w:hint="eastAsia" w:asciiTheme="majorEastAsia" w:hAnsiTheme="majorEastAsia" w:eastAsiaTheme="majorEastAsia" w:cstheme="majorEastAsia"/>
                <w:b/>
                <w:color w:val="auto"/>
                <w:kern w:val="0"/>
                <w:sz w:val="21"/>
                <w:szCs w:val="21"/>
                <w:highlight w:val="none"/>
                <w:lang w:val="en-US" w:eastAsia="zh-CN"/>
              </w:rPr>
              <w:t>及单位</w:t>
            </w:r>
          </w:p>
        </w:tc>
        <w:tc>
          <w:tcPr>
            <w:tcW w:w="5372" w:type="dxa"/>
            <w:noWrap w:val="0"/>
            <w:tcMar>
              <w:top w:w="0" w:type="dxa"/>
              <w:left w:w="108" w:type="dxa"/>
              <w:bottom w:w="0" w:type="dxa"/>
              <w:right w:w="108" w:type="dxa"/>
            </w:tcMar>
            <w:vAlign w:val="center"/>
          </w:tcPr>
          <w:p w14:paraId="14419E6B">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heme="majorEastAsia" w:hAnsiTheme="majorEastAsia" w:eastAsiaTheme="majorEastAsia" w:cstheme="majorEastAsia"/>
                <w:b/>
                <w:color w:val="auto"/>
                <w:kern w:val="0"/>
                <w:sz w:val="21"/>
                <w:szCs w:val="21"/>
                <w:highlight w:val="none"/>
              </w:rPr>
            </w:pPr>
            <w:r>
              <w:rPr>
                <w:rFonts w:hint="eastAsia" w:asciiTheme="majorEastAsia" w:hAnsiTheme="majorEastAsia" w:eastAsiaTheme="majorEastAsia" w:cstheme="majorEastAsia"/>
                <w:b/>
                <w:color w:val="auto"/>
                <w:kern w:val="0"/>
                <w:sz w:val="21"/>
                <w:szCs w:val="21"/>
                <w:highlight w:val="none"/>
                <w:lang w:val="zh-CN"/>
              </w:rPr>
              <w:t>技术参数</w:t>
            </w:r>
            <w:r>
              <w:rPr>
                <w:rFonts w:hint="eastAsia" w:asciiTheme="majorEastAsia" w:hAnsiTheme="majorEastAsia" w:eastAsiaTheme="majorEastAsia" w:cstheme="majorEastAsia"/>
                <w:b/>
                <w:color w:val="auto"/>
                <w:kern w:val="0"/>
                <w:sz w:val="21"/>
                <w:szCs w:val="21"/>
                <w:highlight w:val="none"/>
              </w:rPr>
              <w:t>及技术要求</w:t>
            </w:r>
          </w:p>
        </w:tc>
        <w:tc>
          <w:tcPr>
            <w:tcW w:w="785" w:type="dxa"/>
            <w:noWrap w:val="0"/>
            <w:tcMar>
              <w:top w:w="0" w:type="dxa"/>
              <w:left w:w="108" w:type="dxa"/>
              <w:bottom w:w="0" w:type="dxa"/>
              <w:right w:w="108" w:type="dxa"/>
            </w:tcMar>
            <w:vAlign w:val="center"/>
          </w:tcPr>
          <w:p w14:paraId="38EBFC4C">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heme="majorEastAsia" w:hAnsiTheme="majorEastAsia" w:eastAsiaTheme="majorEastAsia" w:cstheme="majorEastAsia"/>
                <w:b/>
                <w:color w:val="auto"/>
                <w:kern w:val="0"/>
                <w:sz w:val="21"/>
                <w:szCs w:val="21"/>
                <w:highlight w:val="none"/>
                <w:lang w:val="en-US" w:eastAsia="zh-CN"/>
              </w:rPr>
            </w:pPr>
            <w:r>
              <w:rPr>
                <w:rFonts w:hint="eastAsia" w:asciiTheme="majorEastAsia" w:hAnsiTheme="majorEastAsia" w:eastAsiaTheme="majorEastAsia" w:cstheme="majorEastAsia"/>
                <w:b/>
                <w:color w:val="auto"/>
                <w:kern w:val="0"/>
                <w:sz w:val="21"/>
                <w:szCs w:val="21"/>
                <w:highlight w:val="none"/>
                <w:lang w:val="en-US" w:eastAsia="zh-CN"/>
              </w:rPr>
              <w:t>所属行业</w:t>
            </w:r>
          </w:p>
        </w:tc>
      </w:tr>
      <w:tr w14:paraId="4D93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668" w:type="dxa"/>
            <w:noWrap w:val="0"/>
            <w:tcMar>
              <w:top w:w="0" w:type="dxa"/>
              <w:left w:w="108" w:type="dxa"/>
              <w:bottom w:w="0" w:type="dxa"/>
              <w:right w:w="108" w:type="dxa"/>
            </w:tcMar>
            <w:vAlign w:val="center"/>
          </w:tcPr>
          <w:p w14:paraId="5562CBE8">
            <w:pPr>
              <w:keepNext w:val="0"/>
              <w:keepLines w:val="0"/>
              <w:pageBreakBefore w:val="0"/>
              <w:widowControl/>
              <w:kinsoku/>
              <w:wordWrap/>
              <w:overflowPunct/>
              <w:topLinePunct w:val="0"/>
              <w:bidi w:val="0"/>
              <w:adjustRightInd/>
              <w:spacing w:line="440" w:lineRule="exact"/>
              <w:jc w:val="center"/>
              <w:textAlignment w:val="auto"/>
              <w:outlineLvl w:val="9"/>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1229" w:type="dxa"/>
            <w:noWrap w:val="0"/>
            <w:tcMar>
              <w:top w:w="0" w:type="dxa"/>
              <w:left w:w="108" w:type="dxa"/>
              <w:bottom w:w="0" w:type="dxa"/>
              <w:right w:w="108" w:type="dxa"/>
            </w:tcMar>
            <w:vAlign w:val="center"/>
          </w:tcPr>
          <w:p w14:paraId="39A24C06">
            <w:pPr>
              <w:keepNext w:val="0"/>
              <w:keepLines w:val="0"/>
              <w:pageBreakBefore w:val="0"/>
              <w:widowControl/>
              <w:kinsoku/>
              <w:wordWrap/>
              <w:overflowPunct/>
              <w:topLinePunct w:val="0"/>
              <w:bidi w:val="0"/>
              <w:adjustRightInd/>
              <w:spacing w:line="440" w:lineRule="exact"/>
              <w:jc w:val="center"/>
              <w:textAlignment w:val="auto"/>
              <w:outlineLvl w:val="9"/>
              <w:rPr>
                <w:rFonts w:hint="eastAsia" w:asciiTheme="majorEastAsia" w:hAnsiTheme="majorEastAsia" w:eastAsiaTheme="majorEastAsia" w:cstheme="majorEastAsia"/>
                <w:bCs/>
                <w:color w:val="auto"/>
                <w:kern w:val="0"/>
                <w:sz w:val="21"/>
                <w:szCs w:val="21"/>
                <w:highlight w:val="none"/>
              </w:rPr>
            </w:pPr>
            <w:r>
              <w:rPr>
                <w:rFonts w:hint="eastAsia" w:asciiTheme="majorEastAsia" w:hAnsiTheme="majorEastAsia" w:eastAsiaTheme="majorEastAsia" w:cstheme="majorEastAsia"/>
                <w:bCs/>
                <w:color w:val="auto"/>
                <w:kern w:val="0"/>
                <w:sz w:val="21"/>
                <w:szCs w:val="21"/>
                <w:highlight w:val="none"/>
                <w:lang w:val="en-US" w:eastAsia="zh-CN"/>
              </w:rPr>
              <w:t>1000KW柴油发电机组</w:t>
            </w:r>
          </w:p>
        </w:tc>
        <w:tc>
          <w:tcPr>
            <w:tcW w:w="969" w:type="dxa"/>
            <w:noWrap w:val="0"/>
            <w:tcMar>
              <w:top w:w="0" w:type="dxa"/>
              <w:left w:w="108" w:type="dxa"/>
              <w:bottom w:w="0" w:type="dxa"/>
              <w:right w:w="108" w:type="dxa"/>
            </w:tcMar>
            <w:vAlign w:val="center"/>
          </w:tcPr>
          <w:p w14:paraId="535565FB">
            <w:pPr>
              <w:keepNext w:val="0"/>
              <w:keepLines w:val="0"/>
              <w:pageBreakBefore w:val="0"/>
              <w:tabs>
                <w:tab w:val="left" w:pos="2155"/>
              </w:tabs>
              <w:kinsoku/>
              <w:wordWrap/>
              <w:overflowPunct/>
              <w:topLinePunct w:val="0"/>
              <w:bidi w:val="0"/>
              <w:adjustRightInd/>
              <w:spacing w:line="440" w:lineRule="exact"/>
              <w:ind w:left="0" w:firstLine="0"/>
              <w:jc w:val="center"/>
              <w:textAlignment w:val="auto"/>
              <w:outlineLvl w:val="9"/>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rPr>
              <w:t>1套</w:t>
            </w:r>
          </w:p>
        </w:tc>
        <w:tc>
          <w:tcPr>
            <w:tcW w:w="5372" w:type="dxa"/>
            <w:noWrap w:val="0"/>
            <w:tcMar>
              <w:top w:w="0" w:type="dxa"/>
              <w:left w:w="108" w:type="dxa"/>
              <w:bottom w:w="0" w:type="dxa"/>
              <w:right w:w="108" w:type="dxa"/>
            </w:tcMar>
            <w:vAlign w:val="center"/>
          </w:tcPr>
          <w:p w14:paraId="2456BAD7">
            <w:pPr>
              <w:keepNext w:val="0"/>
              <w:keepLines w:val="0"/>
              <w:pageBreakBefore w:val="0"/>
              <w:numPr>
                <w:ilvl w:val="0"/>
                <w:numId w:val="0"/>
              </w:numPr>
              <w:kinsoku/>
              <w:wordWrap/>
              <w:overflowPunct/>
              <w:topLinePunct w:val="0"/>
              <w:bidi w:val="0"/>
              <w:adjustRightInd/>
              <w:snapToGrid w:val="0"/>
              <w:spacing w:line="440" w:lineRule="exact"/>
              <w:ind w:left="0" w:firstLine="0" w:firstLineChars="0"/>
              <w:textAlignment w:val="auto"/>
              <w:outlineLvl w:val="9"/>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zh-CN"/>
              </w:rPr>
              <w:t>一、机组主要技术参数及技术要求</w:t>
            </w:r>
          </w:p>
          <w:p w14:paraId="2B0CA0F5">
            <w:pPr>
              <w:keepNext w:val="0"/>
              <w:keepLines w:val="0"/>
              <w:pageBreakBefore w:val="0"/>
              <w:numPr>
                <w:ilvl w:val="1"/>
                <w:numId w:val="3"/>
              </w:numPr>
              <w:kinsoku/>
              <w:wordWrap/>
              <w:overflowPunct/>
              <w:topLinePunct w:val="0"/>
              <w:bidi w:val="0"/>
              <w:adjustRightInd/>
              <w:snapToGrid w:val="0"/>
              <w:spacing w:line="440" w:lineRule="exact"/>
              <w:ind w:left="0" w:firstLine="0" w:firstLineChars="0"/>
              <w:textAlignment w:val="auto"/>
              <w:outlineLvl w:val="9"/>
              <w:rPr>
                <w:rFonts w:hint="eastAsia" w:asciiTheme="majorEastAsia" w:hAnsiTheme="majorEastAsia" w:eastAsiaTheme="majorEastAsia" w:cstheme="majorEastAsia"/>
                <w:b/>
                <w:bCs/>
                <w:color w:val="auto"/>
                <w:sz w:val="21"/>
                <w:szCs w:val="21"/>
                <w:highlight w:val="none"/>
                <w:lang w:val="zh-CN"/>
              </w:rPr>
            </w:pPr>
            <w:r>
              <w:rPr>
                <w:rFonts w:hint="eastAsia" w:asciiTheme="majorEastAsia" w:hAnsiTheme="majorEastAsia" w:eastAsiaTheme="majorEastAsia" w:cstheme="majorEastAsia"/>
                <w:b/>
                <w:bCs/>
                <w:color w:val="auto"/>
                <w:sz w:val="21"/>
                <w:szCs w:val="21"/>
                <w:highlight w:val="none"/>
              </w:rPr>
              <w:t>▲额定</w:t>
            </w:r>
            <w:r>
              <w:rPr>
                <w:rFonts w:hint="eastAsia" w:asciiTheme="majorEastAsia" w:hAnsiTheme="majorEastAsia" w:eastAsiaTheme="majorEastAsia" w:cstheme="majorEastAsia"/>
                <w:b/>
                <w:bCs/>
                <w:color w:val="auto"/>
                <w:sz w:val="21"/>
                <w:szCs w:val="21"/>
                <w:highlight w:val="none"/>
                <w:lang w:val="zh-CN"/>
              </w:rPr>
              <w:t>功率（KW）</w:t>
            </w:r>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bCs/>
                <w:color w:val="auto"/>
                <w:sz w:val="21"/>
                <w:szCs w:val="21"/>
                <w:highlight w:val="none"/>
                <w:lang w:val="en-US" w:eastAsia="zh-CN"/>
              </w:rPr>
              <w:t>1000；</w:t>
            </w:r>
          </w:p>
          <w:p w14:paraId="6D925F3B">
            <w:pPr>
              <w:keepNext w:val="0"/>
              <w:keepLines w:val="0"/>
              <w:pageBreakBefore w:val="0"/>
              <w:numPr>
                <w:ilvl w:val="1"/>
                <w:numId w:val="3"/>
              </w:numPr>
              <w:kinsoku/>
              <w:wordWrap/>
              <w:overflowPunct/>
              <w:topLinePunct w:val="0"/>
              <w:bidi w:val="0"/>
              <w:adjustRightInd/>
              <w:snapToGrid w:val="0"/>
              <w:spacing w:line="440" w:lineRule="exact"/>
              <w:ind w:left="0" w:firstLine="0" w:firstLine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zh-CN"/>
              </w:rPr>
              <w:t>额定电压（V）：三相四线制 400/230；</w:t>
            </w:r>
          </w:p>
          <w:p w14:paraId="6262426D">
            <w:pPr>
              <w:keepNext w:val="0"/>
              <w:keepLines w:val="0"/>
              <w:pageBreakBefore w:val="0"/>
              <w:numPr>
                <w:ilvl w:val="1"/>
                <w:numId w:val="3"/>
              </w:numPr>
              <w:kinsoku/>
              <w:wordWrap/>
              <w:overflowPunct/>
              <w:topLinePunct w:val="0"/>
              <w:bidi w:val="0"/>
              <w:adjustRightInd/>
              <w:snapToGrid w:val="0"/>
              <w:spacing w:line="440" w:lineRule="exact"/>
              <w:ind w:left="0" w:firstLine="0" w:firstLine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zh-CN"/>
              </w:rPr>
              <w:t>额定电流（A）：</w:t>
            </w:r>
            <w:r>
              <w:rPr>
                <w:rFonts w:hint="eastAsia" w:asciiTheme="majorEastAsia" w:hAnsiTheme="majorEastAsia" w:eastAsiaTheme="majorEastAsia" w:cstheme="majorEastAsia"/>
                <w:color w:val="auto"/>
                <w:sz w:val="21"/>
                <w:szCs w:val="21"/>
                <w:highlight w:val="none"/>
                <w:lang w:val="en-US" w:eastAsia="zh-CN"/>
              </w:rPr>
              <w:t>1800</w:t>
            </w:r>
            <w:r>
              <w:rPr>
                <w:rFonts w:hint="eastAsia" w:asciiTheme="majorEastAsia" w:hAnsiTheme="majorEastAsia" w:eastAsiaTheme="majorEastAsia" w:cstheme="majorEastAsia"/>
                <w:b w:val="0"/>
                <w:bCs w:val="0"/>
                <w:color w:val="auto"/>
                <w:sz w:val="21"/>
                <w:szCs w:val="21"/>
                <w:highlight w:val="none"/>
                <w:lang w:val="en-US" w:eastAsia="zh-CN"/>
              </w:rPr>
              <w:t>；</w:t>
            </w:r>
          </w:p>
          <w:p w14:paraId="48E4BED6">
            <w:pPr>
              <w:keepNext w:val="0"/>
              <w:keepLines w:val="0"/>
              <w:pageBreakBefore w:val="0"/>
              <w:numPr>
                <w:ilvl w:val="1"/>
                <w:numId w:val="3"/>
              </w:numPr>
              <w:kinsoku/>
              <w:wordWrap/>
              <w:overflowPunct/>
              <w:topLinePunct w:val="0"/>
              <w:bidi w:val="0"/>
              <w:adjustRightInd/>
              <w:snapToGrid w:val="0"/>
              <w:spacing w:line="440" w:lineRule="exact"/>
              <w:ind w:left="0" w:firstLine="0" w:firstLine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zh-CN"/>
              </w:rPr>
              <w:t>频率（Hz）：50；</w:t>
            </w:r>
          </w:p>
          <w:p w14:paraId="5F0E120C">
            <w:pPr>
              <w:keepNext w:val="0"/>
              <w:keepLines w:val="0"/>
              <w:pageBreakBefore w:val="0"/>
              <w:numPr>
                <w:ilvl w:val="1"/>
                <w:numId w:val="3"/>
              </w:numPr>
              <w:kinsoku/>
              <w:wordWrap/>
              <w:overflowPunct/>
              <w:topLinePunct w:val="0"/>
              <w:bidi w:val="0"/>
              <w:adjustRightInd/>
              <w:snapToGrid w:val="0"/>
              <w:spacing w:line="440" w:lineRule="exact"/>
              <w:ind w:left="0" w:firstLine="0" w:firstLine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zh-CN"/>
              </w:rPr>
              <w:t>转速：（r/mi</w:t>
            </w:r>
            <w:r>
              <w:rPr>
                <w:rFonts w:hint="eastAsia" w:asciiTheme="majorEastAsia" w:hAnsiTheme="majorEastAsia" w:eastAsiaTheme="majorEastAsia" w:cstheme="majorEastAsia"/>
                <w:b w:val="0"/>
                <w:bCs w:val="0"/>
                <w:color w:val="auto"/>
                <w:sz w:val="21"/>
                <w:szCs w:val="21"/>
                <w:highlight w:val="none"/>
                <w:lang w:val="en-US" w:eastAsia="zh-CN"/>
              </w:rPr>
              <w:t>n</w:t>
            </w:r>
            <w:r>
              <w:rPr>
                <w:rFonts w:hint="eastAsia" w:asciiTheme="majorEastAsia" w:hAnsiTheme="majorEastAsia" w:eastAsiaTheme="majorEastAsia" w:cstheme="majorEastAsia"/>
                <w:b w:val="0"/>
                <w:bCs w:val="0"/>
                <w:color w:val="auto"/>
                <w:sz w:val="21"/>
                <w:szCs w:val="21"/>
                <w:highlight w:val="none"/>
                <w:lang w:val="zh-CN"/>
              </w:rPr>
              <w:t>）1500；</w:t>
            </w:r>
          </w:p>
          <w:p w14:paraId="6B85C7AD">
            <w:pPr>
              <w:keepNext w:val="0"/>
              <w:keepLines w:val="0"/>
              <w:pageBreakBefore w:val="0"/>
              <w:numPr>
                <w:ilvl w:val="1"/>
                <w:numId w:val="3"/>
              </w:numPr>
              <w:kinsoku/>
              <w:wordWrap/>
              <w:overflowPunct/>
              <w:topLinePunct w:val="0"/>
              <w:bidi w:val="0"/>
              <w:adjustRightInd/>
              <w:snapToGrid w:val="0"/>
              <w:spacing w:line="440" w:lineRule="exact"/>
              <w:ind w:left="0" w:firstLine="0" w:firstLineChars="0"/>
              <w:textAlignment w:val="auto"/>
              <w:outlineLvl w:val="9"/>
              <w:rPr>
                <w:rFonts w:hint="eastAsia" w:asciiTheme="majorEastAsia" w:hAnsiTheme="majorEastAsia" w:eastAsiaTheme="majorEastAsia" w:cstheme="majorEastAsia"/>
                <w:b w:val="0"/>
                <w:bCs w:val="0"/>
                <w:color w:val="auto"/>
                <w:sz w:val="21"/>
                <w:szCs w:val="21"/>
                <w:highlight w:val="none"/>
                <w:lang w:val="zh-CN" w:eastAsia="zh-CN"/>
              </w:rPr>
            </w:pPr>
            <w:r>
              <w:rPr>
                <w:rFonts w:hint="eastAsia" w:asciiTheme="majorEastAsia" w:hAnsiTheme="majorEastAsia" w:eastAsiaTheme="majorEastAsia" w:cstheme="majorEastAsia"/>
                <w:b w:val="0"/>
                <w:bCs w:val="0"/>
                <w:color w:val="auto"/>
                <w:sz w:val="21"/>
                <w:szCs w:val="21"/>
                <w:highlight w:val="none"/>
                <w:lang w:val="zh-CN" w:eastAsia="zh-CN"/>
              </w:rPr>
              <w:t>功率因数：</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zh-CN" w:eastAsia="zh-CN"/>
              </w:rPr>
              <w:t>0.8（滞后）；</w:t>
            </w:r>
          </w:p>
          <w:p w14:paraId="2CFD0E5E">
            <w:pPr>
              <w:keepNext w:val="0"/>
              <w:keepLines w:val="0"/>
              <w:pageBreakBefore w:val="0"/>
              <w:numPr>
                <w:ilvl w:val="1"/>
                <w:numId w:val="3"/>
              </w:numPr>
              <w:kinsoku/>
              <w:wordWrap/>
              <w:overflowPunct/>
              <w:topLinePunct w:val="0"/>
              <w:bidi w:val="0"/>
              <w:adjustRightInd/>
              <w:snapToGrid w:val="0"/>
              <w:spacing w:line="440" w:lineRule="exact"/>
              <w:ind w:left="0" w:leftChars="0" w:firstLine="0" w:firstLineChars="0"/>
              <w:textAlignment w:val="auto"/>
              <w:outlineLvl w:val="9"/>
              <w:rPr>
                <w:rFonts w:hint="eastAsia" w:asciiTheme="majorEastAsia" w:hAnsiTheme="majorEastAsia" w:eastAsiaTheme="majorEastAsia" w:cstheme="majorEastAsia"/>
                <w:b w:val="0"/>
                <w:bCs w:val="0"/>
                <w:color w:val="auto"/>
                <w:sz w:val="21"/>
                <w:szCs w:val="21"/>
                <w:highlight w:val="none"/>
                <w:lang w:val="zh-CN" w:eastAsia="zh-CN"/>
              </w:rPr>
            </w:pPr>
            <w:r>
              <w:rPr>
                <w:rFonts w:hint="eastAsia" w:asciiTheme="majorEastAsia" w:hAnsiTheme="majorEastAsia" w:eastAsiaTheme="majorEastAsia" w:cstheme="majorEastAsia"/>
                <w:b w:val="0"/>
                <w:bCs w:val="0"/>
                <w:color w:val="auto"/>
                <w:sz w:val="21"/>
                <w:szCs w:val="21"/>
                <w:highlight w:val="none"/>
                <w:lang w:val="zh-CN" w:eastAsia="zh-CN"/>
              </w:rPr>
              <w:t>启动、停机方式：</w:t>
            </w:r>
            <w:r>
              <w:rPr>
                <w:rFonts w:hint="eastAsia" w:asciiTheme="majorEastAsia" w:hAnsiTheme="majorEastAsia" w:eastAsiaTheme="majorEastAsia" w:cstheme="majorEastAsia"/>
                <w:b w:val="0"/>
                <w:bCs w:val="0"/>
                <w:color w:val="auto"/>
                <w:sz w:val="21"/>
                <w:szCs w:val="21"/>
                <w:highlight w:val="none"/>
                <w:lang w:val="en-US" w:eastAsia="zh-CN"/>
              </w:rPr>
              <w:t>自动或手动。</w:t>
            </w:r>
          </w:p>
          <w:p w14:paraId="548F094D">
            <w:pPr>
              <w:keepNext w:val="0"/>
              <w:keepLines w:val="0"/>
              <w:pageBreakBefore w:val="0"/>
              <w:numPr>
                <w:ilvl w:val="0"/>
                <w:numId w:val="4"/>
              </w:numPr>
              <w:kinsoku/>
              <w:wordWrap/>
              <w:overflowPunct/>
              <w:topLinePunct w:val="0"/>
              <w:bidi w:val="0"/>
              <w:adjustRightInd/>
              <w:snapToGrid w:val="0"/>
              <w:spacing w:line="440" w:lineRule="exact"/>
              <w:ind w:left="0" w:firstLine="0" w:firstLineChars="0"/>
              <w:textAlignment w:val="auto"/>
              <w:outlineLvl w:val="9"/>
              <w:rPr>
                <w:rFonts w:hint="eastAsia" w:asciiTheme="majorEastAsia" w:hAnsiTheme="majorEastAsia" w:eastAsiaTheme="majorEastAsia" w:cstheme="majorEastAsia"/>
                <w:b/>
                <w:bCs/>
                <w:color w:val="auto"/>
                <w:sz w:val="21"/>
                <w:szCs w:val="21"/>
                <w:highlight w:val="none"/>
                <w:lang w:val="zh-CN" w:eastAsia="zh-CN"/>
              </w:rPr>
            </w:pPr>
            <w:r>
              <w:rPr>
                <w:rFonts w:hint="eastAsia" w:asciiTheme="majorEastAsia" w:hAnsiTheme="majorEastAsia" w:eastAsiaTheme="majorEastAsia" w:cstheme="majorEastAsia"/>
                <w:b/>
                <w:bCs/>
                <w:color w:val="auto"/>
                <w:sz w:val="21"/>
                <w:szCs w:val="21"/>
                <w:highlight w:val="none"/>
                <w:lang w:val="zh-CN" w:eastAsia="zh-CN"/>
              </w:rPr>
              <w:t>发动机及技术要求</w:t>
            </w:r>
          </w:p>
          <w:p w14:paraId="7FDC36C3">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1.参考品牌：重庆康明斯、潍柴、玉柴等同等品牌；</w:t>
            </w:r>
          </w:p>
          <w:p w14:paraId="64AD36BA">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eastAsia="zh-CN"/>
              </w:rPr>
            </w:pP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lang w:val="zh-CN" w:eastAsia="zh-CN"/>
              </w:rPr>
              <w:t>类型：直列型；</w:t>
            </w:r>
          </w:p>
          <w:p w14:paraId="2633FDF9">
            <w:pPr>
              <w:keepNext w:val="0"/>
              <w:keepLines w:val="0"/>
              <w:pageBreakBefore w:val="0"/>
              <w:widowControl/>
              <w:numPr>
                <w:ilvl w:val="0"/>
                <w:numId w:val="0"/>
              </w:numPr>
              <w:kinsoku/>
              <w:wordWrap/>
              <w:overflowPunct/>
              <w:topLinePunct w:val="0"/>
              <w:bidi w:val="0"/>
              <w:adjustRightInd/>
              <w:snapToGrid w:val="0"/>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rPr>
              <w:t>进气系统：涡轮增压、中冷</w:t>
            </w:r>
            <w:r>
              <w:rPr>
                <w:rFonts w:hint="eastAsia" w:asciiTheme="majorEastAsia" w:hAnsiTheme="majorEastAsia" w:eastAsiaTheme="majorEastAsia" w:cstheme="majorEastAsia"/>
                <w:b w:val="0"/>
                <w:bCs w:val="0"/>
                <w:color w:val="auto"/>
                <w:sz w:val="21"/>
                <w:szCs w:val="21"/>
                <w:highlight w:val="none"/>
                <w:lang w:eastAsia="zh-CN"/>
              </w:rPr>
              <w:t>；</w:t>
            </w:r>
          </w:p>
          <w:p w14:paraId="272EA447">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zh-CN"/>
              </w:rPr>
              <w:t>缸数：</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6</w:t>
            </w:r>
            <w:r>
              <w:rPr>
                <w:rFonts w:hint="eastAsia" w:asciiTheme="majorEastAsia" w:hAnsiTheme="majorEastAsia" w:eastAsiaTheme="majorEastAsia" w:cstheme="majorEastAsia"/>
                <w:b w:val="0"/>
                <w:bCs w:val="0"/>
                <w:color w:val="auto"/>
                <w:sz w:val="21"/>
                <w:szCs w:val="21"/>
                <w:highlight w:val="none"/>
                <w:lang w:val="zh-CN"/>
              </w:rPr>
              <w:t>缸；</w:t>
            </w:r>
          </w:p>
          <w:p w14:paraId="7B6FCB18">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zh-CN"/>
              </w:rPr>
              <w:t>发动机排量（L）：</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35；</w:t>
            </w:r>
          </w:p>
          <w:p w14:paraId="208FBC4C">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6.</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常用</w:t>
            </w:r>
            <w:r>
              <w:rPr>
                <w:rFonts w:hint="eastAsia" w:asciiTheme="majorEastAsia" w:hAnsiTheme="majorEastAsia" w:eastAsiaTheme="majorEastAsia" w:cstheme="majorEastAsia"/>
                <w:b w:val="0"/>
                <w:bCs w:val="0"/>
                <w:color w:val="auto"/>
                <w:sz w:val="21"/>
                <w:szCs w:val="21"/>
                <w:highlight w:val="none"/>
              </w:rPr>
              <w:t>功率：≥</w:t>
            </w:r>
            <w:r>
              <w:rPr>
                <w:rFonts w:hint="eastAsia" w:asciiTheme="majorEastAsia" w:hAnsiTheme="majorEastAsia" w:eastAsiaTheme="majorEastAsia" w:cstheme="majorEastAsia"/>
                <w:b w:val="0"/>
                <w:bCs w:val="0"/>
                <w:color w:val="auto"/>
                <w:sz w:val="21"/>
                <w:szCs w:val="21"/>
                <w:highlight w:val="none"/>
                <w:lang w:val="en-US" w:eastAsia="zh-CN"/>
              </w:rPr>
              <w:t>1000KW，备用功率</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1100KW；</w:t>
            </w:r>
          </w:p>
          <w:p w14:paraId="76867FD4">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7.</w:t>
            </w:r>
            <w:r>
              <w:rPr>
                <w:rFonts w:hint="eastAsia" w:asciiTheme="majorEastAsia" w:hAnsiTheme="majorEastAsia" w:eastAsiaTheme="majorEastAsia" w:cstheme="majorEastAsia"/>
                <w:b w:val="0"/>
                <w:bCs w:val="0"/>
                <w:color w:val="auto"/>
                <w:sz w:val="21"/>
                <w:szCs w:val="21"/>
                <w:highlight w:val="none"/>
                <w:lang w:val="zh-CN"/>
              </w:rPr>
              <w:t>转速：（r/mi</w:t>
            </w:r>
            <w:r>
              <w:rPr>
                <w:rFonts w:hint="eastAsia" w:asciiTheme="majorEastAsia" w:hAnsiTheme="majorEastAsia" w:eastAsiaTheme="majorEastAsia" w:cstheme="majorEastAsia"/>
                <w:b w:val="0"/>
                <w:bCs w:val="0"/>
                <w:color w:val="auto"/>
                <w:sz w:val="21"/>
                <w:szCs w:val="21"/>
                <w:highlight w:val="none"/>
                <w:lang w:val="en-US" w:eastAsia="zh-CN"/>
              </w:rPr>
              <w:t>n</w:t>
            </w:r>
            <w:r>
              <w:rPr>
                <w:rFonts w:hint="eastAsia" w:asciiTheme="majorEastAsia" w:hAnsiTheme="majorEastAsia" w:eastAsiaTheme="majorEastAsia" w:cstheme="majorEastAsia"/>
                <w:b w:val="0"/>
                <w:bCs w:val="0"/>
                <w:color w:val="auto"/>
                <w:sz w:val="21"/>
                <w:szCs w:val="21"/>
                <w:highlight w:val="none"/>
                <w:lang w:val="zh-CN"/>
              </w:rPr>
              <w:t>）1500；</w:t>
            </w:r>
          </w:p>
          <w:p w14:paraId="78E616D4">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8.</w:t>
            </w:r>
            <w:r>
              <w:rPr>
                <w:rFonts w:hint="eastAsia" w:asciiTheme="majorEastAsia" w:hAnsiTheme="majorEastAsia" w:eastAsiaTheme="majorEastAsia" w:cstheme="majorEastAsia"/>
                <w:b w:val="0"/>
                <w:bCs w:val="0"/>
                <w:color w:val="auto"/>
                <w:sz w:val="21"/>
                <w:szCs w:val="21"/>
                <w:highlight w:val="none"/>
                <w:lang w:val="zh-CN"/>
              </w:rPr>
              <w:t>转速降：≤1%；</w:t>
            </w:r>
          </w:p>
          <w:p w14:paraId="6B832CC1">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9.</w:t>
            </w:r>
            <w:r>
              <w:rPr>
                <w:rFonts w:hint="eastAsia" w:asciiTheme="majorEastAsia" w:hAnsiTheme="majorEastAsia" w:eastAsiaTheme="majorEastAsia" w:cstheme="majorEastAsia"/>
                <w:b w:val="0"/>
                <w:bCs w:val="0"/>
                <w:color w:val="auto"/>
                <w:sz w:val="21"/>
                <w:szCs w:val="21"/>
                <w:highlight w:val="none"/>
                <w:lang w:val="zh-CN"/>
              </w:rPr>
              <w:t>转速波动率：≤0.5%；</w:t>
            </w:r>
          </w:p>
          <w:p w14:paraId="54E1DFA2">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10.</w:t>
            </w:r>
            <w:r>
              <w:rPr>
                <w:rFonts w:hint="eastAsia" w:asciiTheme="majorEastAsia" w:hAnsiTheme="majorEastAsia" w:eastAsiaTheme="majorEastAsia" w:cstheme="majorEastAsia"/>
                <w:b w:val="0"/>
                <w:bCs w:val="0"/>
                <w:color w:val="auto"/>
                <w:sz w:val="21"/>
                <w:szCs w:val="21"/>
                <w:highlight w:val="none"/>
                <w:lang w:val="zh-CN"/>
              </w:rPr>
              <w:t>燃油喷射系统：</w:t>
            </w:r>
            <w:r>
              <w:rPr>
                <w:rFonts w:hint="eastAsia" w:asciiTheme="majorEastAsia" w:hAnsiTheme="majorEastAsia" w:eastAsiaTheme="majorEastAsia" w:cstheme="majorEastAsia"/>
                <w:b w:val="0"/>
                <w:bCs w:val="0"/>
                <w:color w:val="auto"/>
                <w:sz w:val="21"/>
                <w:szCs w:val="21"/>
                <w:highlight w:val="none"/>
                <w:lang w:val="en-US" w:eastAsia="zh-CN"/>
              </w:rPr>
              <w:t>电控</w:t>
            </w:r>
            <w:r>
              <w:rPr>
                <w:rFonts w:hint="eastAsia" w:asciiTheme="majorEastAsia" w:hAnsiTheme="majorEastAsia" w:eastAsiaTheme="majorEastAsia" w:cstheme="majorEastAsia"/>
                <w:b w:val="0"/>
                <w:bCs w:val="0"/>
                <w:color w:val="auto"/>
                <w:sz w:val="21"/>
                <w:szCs w:val="21"/>
                <w:highlight w:val="none"/>
                <w:lang w:eastAsia="zh-CN"/>
              </w:rPr>
              <w:t>；</w:t>
            </w:r>
          </w:p>
          <w:p w14:paraId="60507C79">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11.</w:t>
            </w:r>
            <w:r>
              <w:rPr>
                <w:rFonts w:hint="eastAsia" w:asciiTheme="majorEastAsia" w:hAnsiTheme="majorEastAsia" w:eastAsiaTheme="majorEastAsia" w:cstheme="majorEastAsia"/>
                <w:b w:val="0"/>
                <w:bCs w:val="0"/>
                <w:color w:val="auto"/>
                <w:sz w:val="21"/>
                <w:szCs w:val="21"/>
                <w:highlight w:val="none"/>
                <w:lang w:val="zh-CN"/>
              </w:rPr>
              <w:t>冷却系统：</w:t>
            </w:r>
            <w:r>
              <w:rPr>
                <w:rFonts w:hint="eastAsia" w:asciiTheme="majorEastAsia" w:hAnsiTheme="majorEastAsia" w:eastAsiaTheme="majorEastAsia" w:cstheme="majorEastAsia"/>
                <w:b w:val="0"/>
                <w:bCs w:val="0"/>
                <w:color w:val="auto"/>
                <w:sz w:val="21"/>
                <w:szCs w:val="21"/>
                <w:highlight w:val="none"/>
                <w:lang w:val="en-US" w:eastAsia="zh-CN"/>
              </w:rPr>
              <w:t>封闭式</w:t>
            </w:r>
            <w:r>
              <w:rPr>
                <w:rFonts w:hint="eastAsia" w:asciiTheme="majorEastAsia" w:hAnsiTheme="majorEastAsia" w:eastAsiaTheme="majorEastAsia" w:cstheme="majorEastAsia"/>
                <w:b w:val="0"/>
                <w:bCs w:val="0"/>
                <w:color w:val="auto"/>
                <w:sz w:val="21"/>
                <w:szCs w:val="21"/>
                <w:highlight w:val="none"/>
                <w:lang w:val="zh-CN"/>
              </w:rPr>
              <w:t>水冷；</w:t>
            </w:r>
          </w:p>
          <w:p w14:paraId="213DCBED">
            <w:pPr>
              <w:keepNext w:val="0"/>
              <w:keepLines w:val="0"/>
              <w:pageBreakBefore w:val="0"/>
              <w:widowControl w:val="0"/>
              <w:numPr>
                <w:ilvl w:val="0"/>
                <w:numId w:val="0"/>
              </w:numPr>
              <w:kinsoku/>
              <w:wordWrap/>
              <w:overflowPunct/>
              <w:topLinePunct w:val="0"/>
              <w:bidi w:val="0"/>
              <w:adjustRightInd/>
              <w:snapToGrid w:val="0"/>
              <w:spacing w:line="36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12.</w:t>
            </w:r>
            <w:r>
              <w:rPr>
                <w:rFonts w:hint="eastAsia" w:asciiTheme="majorEastAsia" w:hAnsiTheme="majorEastAsia" w:eastAsiaTheme="majorEastAsia" w:cstheme="majorEastAsia"/>
                <w:b w:val="0"/>
                <w:bCs w:val="0"/>
                <w:color w:val="auto"/>
                <w:sz w:val="21"/>
                <w:szCs w:val="21"/>
                <w:highlight w:val="none"/>
                <w:lang w:val="zh-CN"/>
              </w:rPr>
              <w:t>启动方式：24V直流电启动</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zh-CN" w:eastAsia="zh-CN"/>
              </w:rPr>
              <w:t>蓄电池</w:t>
            </w:r>
            <w:r>
              <w:rPr>
                <w:rFonts w:hint="eastAsia" w:asciiTheme="majorEastAsia" w:hAnsiTheme="majorEastAsia" w:eastAsiaTheme="majorEastAsia" w:cstheme="majorEastAsia"/>
                <w:b w:val="0"/>
                <w:bCs w:val="0"/>
                <w:color w:val="auto"/>
                <w:sz w:val="21"/>
                <w:szCs w:val="21"/>
                <w:highlight w:val="none"/>
                <w:lang w:val="en-US" w:eastAsia="zh-CN"/>
              </w:rPr>
              <w:t>4×200Ah；</w:t>
            </w:r>
          </w:p>
          <w:p w14:paraId="46EDDDB8">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zh-CN"/>
              </w:rPr>
            </w:pPr>
            <w:r>
              <w:rPr>
                <w:rFonts w:hint="eastAsia" w:asciiTheme="majorEastAsia" w:hAnsiTheme="majorEastAsia" w:eastAsiaTheme="majorEastAsia" w:cstheme="majorEastAsia"/>
                <w:b w:val="0"/>
                <w:bCs w:val="0"/>
                <w:color w:val="auto"/>
                <w:sz w:val="21"/>
                <w:szCs w:val="21"/>
                <w:highlight w:val="none"/>
                <w:lang w:val="en-US" w:eastAsia="zh-CN"/>
              </w:rPr>
              <w:t>13.</w:t>
            </w:r>
            <w:r>
              <w:rPr>
                <w:rFonts w:hint="eastAsia" w:asciiTheme="majorEastAsia" w:hAnsiTheme="majorEastAsia" w:eastAsiaTheme="majorEastAsia" w:cstheme="majorEastAsia"/>
                <w:b w:val="0"/>
                <w:bCs w:val="0"/>
                <w:color w:val="auto"/>
                <w:sz w:val="21"/>
                <w:szCs w:val="21"/>
                <w:highlight w:val="none"/>
                <w:lang w:val="zh-CN"/>
              </w:rPr>
              <w:t>▲调速方式：</w:t>
            </w:r>
            <w:r>
              <w:rPr>
                <w:rFonts w:hint="eastAsia" w:asciiTheme="majorEastAsia" w:hAnsiTheme="majorEastAsia" w:eastAsiaTheme="majorEastAsia" w:cstheme="majorEastAsia"/>
                <w:b w:val="0"/>
                <w:bCs w:val="0"/>
                <w:color w:val="auto"/>
                <w:sz w:val="21"/>
                <w:szCs w:val="21"/>
                <w:highlight w:val="none"/>
                <w:lang w:val="en-US" w:eastAsia="zh-CN"/>
              </w:rPr>
              <w:t>电子调速</w:t>
            </w:r>
            <w:r>
              <w:rPr>
                <w:rFonts w:hint="eastAsia" w:asciiTheme="majorEastAsia" w:hAnsiTheme="majorEastAsia" w:eastAsiaTheme="majorEastAsia" w:cstheme="majorEastAsia"/>
                <w:b w:val="0"/>
                <w:bCs w:val="0"/>
                <w:color w:val="auto"/>
                <w:sz w:val="21"/>
                <w:szCs w:val="21"/>
                <w:highlight w:val="none"/>
                <w:lang w:val="zh-CN"/>
              </w:rPr>
              <w:t>；</w:t>
            </w:r>
          </w:p>
          <w:p w14:paraId="55889873">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14</w:t>
            </w:r>
            <w:r>
              <w:rPr>
                <w:rFonts w:hint="eastAsia" w:asciiTheme="majorEastAsia" w:hAnsiTheme="majorEastAsia" w:eastAsiaTheme="majorEastAsia" w:cstheme="majorEastAsia"/>
                <w:b w:val="0"/>
                <w:bCs w:val="0"/>
                <w:color w:val="auto"/>
                <w:sz w:val="21"/>
                <w:szCs w:val="21"/>
                <w:highlight w:val="none"/>
                <w:lang w:val="en-US" w:eastAsia="zh-CN"/>
              </w:rPr>
              <w:t>.排放：</w:t>
            </w:r>
            <w:r>
              <w:rPr>
                <w:rFonts w:hint="eastAsia" w:asciiTheme="majorEastAsia" w:hAnsiTheme="majorEastAsia" w:eastAsiaTheme="majorEastAsia" w:cstheme="majorEastAsia"/>
                <w:color w:val="auto"/>
                <w:sz w:val="21"/>
                <w:szCs w:val="21"/>
                <w:highlight w:val="none"/>
                <w:lang w:val="zh-CN"/>
              </w:rPr>
              <w:t>非道路国Ⅲ；</w:t>
            </w:r>
          </w:p>
          <w:p w14:paraId="70B38D49">
            <w:pPr>
              <w:keepNext w:val="0"/>
              <w:keepLines w:val="0"/>
              <w:pageBreakBefore w:val="0"/>
              <w:numPr>
                <w:ilvl w:val="0"/>
                <w:numId w:val="0"/>
              </w:numPr>
              <w:kinsoku/>
              <w:wordWrap/>
              <w:overflowPunct/>
              <w:topLinePunct w:val="0"/>
              <w:bidi w:val="0"/>
              <w:adjustRightInd/>
              <w:snapToGrid w:val="0"/>
              <w:spacing w:line="440" w:lineRule="exact"/>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15.油箱：</w:t>
            </w:r>
            <w:r>
              <w:rPr>
                <w:rFonts w:hint="eastAsia" w:asciiTheme="majorEastAsia" w:hAnsiTheme="majorEastAsia" w:eastAsiaTheme="majorEastAsia" w:cstheme="majorEastAsia"/>
                <w:b w:val="0"/>
                <w:bCs w:val="0"/>
                <w:color w:val="auto"/>
                <w:sz w:val="21"/>
                <w:szCs w:val="21"/>
                <w:highlight w:val="none"/>
                <w:lang w:val="en-US" w:eastAsia="zh-CN"/>
              </w:rPr>
              <w:t>采用不小于2mm厚度的不锈钢材质，容量不小于800L，配备足量调试用油。</w:t>
            </w:r>
          </w:p>
          <w:p w14:paraId="4E27D79B">
            <w:pPr>
              <w:keepNext w:val="0"/>
              <w:keepLines w:val="0"/>
              <w:pageBreakBefore w:val="0"/>
              <w:numPr>
                <w:ilvl w:val="0"/>
                <w:numId w:val="0"/>
              </w:numPr>
              <w:kinsoku/>
              <w:wordWrap/>
              <w:overflowPunct/>
              <w:topLinePunct w:val="0"/>
              <w:bidi w:val="0"/>
              <w:adjustRightInd/>
              <w:snapToGrid w:val="0"/>
              <w:spacing w:line="440" w:lineRule="exact"/>
              <w:textAlignment w:val="auto"/>
              <w:outlineLvl w:val="9"/>
              <w:rPr>
                <w:rFonts w:hint="eastAsia" w:asciiTheme="majorEastAsia" w:hAnsiTheme="majorEastAsia" w:eastAsiaTheme="majorEastAsia" w:cstheme="majorEastAsia"/>
                <w:b/>
                <w:bCs/>
                <w:color w:val="auto"/>
                <w:sz w:val="21"/>
                <w:szCs w:val="21"/>
                <w:highlight w:val="none"/>
                <w:lang w:val="zh-CN" w:eastAsia="zh-CN"/>
              </w:rPr>
            </w:pPr>
            <w:r>
              <w:rPr>
                <w:rFonts w:hint="eastAsia" w:asciiTheme="majorEastAsia" w:hAnsiTheme="majorEastAsia" w:eastAsiaTheme="majorEastAsia" w:cstheme="majorEastAsia"/>
                <w:b/>
                <w:bCs/>
                <w:color w:val="auto"/>
                <w:sz w:val="21"/>
                <w:szCs w:val="21"/>
                <w:highlight w:val="none"/>
                <w:lang w:val="en-US" w:eastAsia="zh-CN"/>
              </w:rPr>
              <w:t>三、发电机</w:t>
            </w:r>
            <w:r>
              <w:rPr>
                <w:rFonts w:hint="eastAsia" w:asciiTheme="majorEastAsia" w:hAnsiTheme="majorEastAsia" w:eastAsiaTheme="majorEastAsia" w:cstheme="majorEastAsia"/>
                <w:b/>
                <w:bCs/>
                <w:color w:val="auto"/>
                <w:sz w:val="21"/>
                <w:szCs w:val="21"/>
                <w:highlight w:val="none"/>
                <w:lang w:val="zh-CN" w:eastAsia="zh-CN"/>
              </w:rPr>
              <w:t>及技术要求</w:t>
            </w:r>
          </w:p>
          <w:p w14:paraId="70F86E11">
            <w:pPr>
              <w:pStyle w:val="29"/>
              <w:keepNext w:val="0"/>
              <w:keepLines w:val="0"/>
              <w:pageBreakBefore w:val="0"/>
              <w:numPr>
                <w:ilvl w:val="0"/>
                <w:numId w:val="0"/>
              </w:numPr>
              <w:kinsoku/>
              <w:wordWrap/>
              <w:overflowPunct/>
              <w:topLinePunct w:val="0"/>
              <w:bidi w:val="0"/>
              <w:adjustRightInd/>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1.参考品牌：航天凯威斯、上海马拉松、斯坦福（康明斯发电机技术有限公司）等同等品牌；</w:t>
            </w:r>
          </w:p>
          <w:p w14:paraId="3F2D2B8A">
            <w:pPr>
              <w:pStyle w:val="29"/>
              <w:keepNext w:val="0"/>
              <w:keepLines w:val="0"/>
              <w:pageBreakBefore w:val="0"/>
              <w:numPr>
                <w:ilvl w:val="0"/>
                <w:numId w:val="0"/>
              </w:numPr>
              <w:kinsoku/>
              <w:wordWrap/>
              <w:overflowPunct/>
              <w:topLinePunct w:val="0"/>
              <w:bidi w:val="0"/>
              <w:adjustRightInd/>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2.额定功率（KW）</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1000；</w:t>
            </w:r>
          </w:p>
          <w:p w14:paraId="11732DE7">
            <w:pPr>
              <w:pStyle w:val="29"/>
              <w:keepNext w:val="0"/>
              <w:keepLines w:val="0"/>
              <w:pageBreakBefore w:val="0"/>
              <w:numPr>
                <w:ilvl w:val="0"/>
                <w:numId w:val="0"/>
              </w:numPr>
              <w:kinsoku/>
              <w:wordWrap/>
              <w:overflowPunct/>
              <w:topLinePunct w:val="0"/>
              <w:bidi w:val="0"/>
              <w:adjustRightInd/>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lang w:val="en" w:eastAsia="zh-CN"/>
              </w:rPr>
              <w:t>励磁方式：</w:t>
            </w:r>
            <w:r>
              <w:rPr>
                <w:rFonts w:hint="eastAsia" w:asciiTheme="majorEastAsia" w:hAnsiTheme="majorEastAsia" w:eastAsiaTheme="majorEastAsia" w:cstheme="majorEastAsia"/>
                <w:b w:val="0"/>
                <w:bCs w:val="0"/>
                <w:color w:val="auto"/>
                <w:sz w:val="21"/>
                <w:szCs w:val="21"/>
                <w:highlight w:val="none"/>
                <w:lang w:val="en-US" w:eastAsia="zh-CN"/>
              </w:rPr>
              <w:t>无</w:t>
            </w:r>
            <w:r>
              <w:rPr>
                <w:rFonts w:hint="eastAsia" w:asciiTheme="majorEastAsia" w:hAnsiTheme="majorEastAsia" w:eastAsiaTheme="majorEastAsia" w:cstheme="majorEastAsia"/>
                <w:b w:val="0"/>
                <w:bCs w:val="0"/>
                <w:color w:val="auto"/>
                <w:sz w:val="21"/>
                <w:szCs w:val="21"/>
                <w:highlight w:val="none"/>
                <w:lang w:val="en" w:eastAsia="zh-CN"/>
              </w:rPr>
              <w:t>刷励磁；</w:t>
            </w:r>
          </w:p>
          <w:p w14:paraId="63870DA1">
            <w:pPr>
              <w:pStyle w:val="29"/>
              <w:keepNext w:val="0"/>
              <w:keepLines w:val="0"/>
              <w:pageBreakBefore w:val="0"/>
              <w:numPr>
                <w:ilvl w:val="0"/>
                <w:numId w:val="0"/>
              </w:numPr>
              <w:kinsoku/>
              <w:wordWrap/>
              <w:overflowPunct/>
              <w:topLinePunct w:val="0"/>
              <w:bidi w:val="0"/>
              <w:adjustRightInd/>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lang w:val="en" w:eastAsia="zh-CN"/>
              </w:rPr>
              <w:t>调压系统：AVR自动电压调节；</w:t>
            </w:r>
          </w:p>
          <w:p w14:paraId="5A0ED923">
            <w:pPr>
              <w:pStyle w:val="29"/>
              <w:keepNext w:val="0"/>
              <w:keepLines w:val="0"/>
              <w:pageBreakBefore w:val="0"/>
              <w:numPr>
                <w:ilvl w:val="0"/>
                <w:numId w:val="0"/>
              </w:numPr>
              <w:kinsoku/>
              <w:wordWrap/>
              <w:overflowPunct/>
              <w:topLinePunct w:val="0"/>
              <w:bidi w:val="0"/>
              <w:adjustRightInd/>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lang w:val="en" w:eastAsia="zh-CN"/>
              </w:rPr>
              <w:t>绝缘等级：H；</w:t>
            </w:r>
          </w:p>
          <w:p w14:paraId="70F4BB18">
            <w:pPr>
              <w:pStyle w:val="29"/>
              <w:keepNext w:val="0"/>
              <w:keepLines w:val="0"/>
              <w:pageBreakBefore w:val="0"/>
              <w:numPr>
                <w:ilvl w:val="0"/>
                <w:numId w:val="0"/>
              </w:numPr>
              <w:kinsoku/>
              <w:wordWrap/>
              <w:overflowPunct/>
              <w:topLinePunct w:val="0"/>
              <w:bidi w:val="0"/>
              <w:adjustRightInd/>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US" w:eastAsia="zh-CN"/>
              </w:rPr>
              <w:t>6.</w:t>
            </w:r>
            <w:r>
              <w:rPr>
                <w:rFonts w:hint="eastAsia" w:asciiTheme="majorEastAsia" w:hAnsiTheme="majorEastAsia" w:eastAsiaTheme="majorEastAsia" w:cstheme="majorEastAsia"/>
                <w:b w:val="0"/>
                <w:bCs w:val="0"/>
                <w:color w:val="auto"/>
                <w:sz w:val="21"/>
                <w:szCs w:val="21"/>
                <w:highlight w:val="none"/>
                <w:lang w:val="en" w:eastAsia="zh-CN"/>
              </w:rPr>
              <w:t>防护等级：IP23；</w:t>
            </w:r>
          </w:p>
          <w:p w14:paraId="555845B4">
            <w:pPr>
              <w:pStyle w:val="29"/>
              <w:keepNext w:val="0"/>
              <w:keepLines w:val="0"/>
              <w:pageBreakBefore w:val="0"/>
              <w:numPr>
                <w:ilvl w:val="0"/>
                <w:numId w:val="0"/>
              </w:numPr>
              <w:kinsoku/>
              <w:wordWrap/>
              <w:overflowPunct/>
              <w:topLinePunct w:val="0"/>
              <w:bidi w:val="0"/>
              <w:adjustRightInd/>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US" w:eastAsia="zh-CN"/>
              </w:rPr>
              <w:t>7.</w:t>
            </w:r>
            <w:r>
              <w:rPr>
                <w:rFonts w:hint="eastAsia" w:asciiTheme="majorEastAsia" w:hAnsiTheme="majorEastAsia" w:eastAsiaTheme="majorEastAsia" w:cstheme="majorEastAsia"/>
                <w:b w:val="0"/>
                <w:bCs w:val="0"/>
                <w:color w:val="auto"/>
                <w:sz w:val="21"/>
                <w:szCs w:val="21"/>
                <w:highlight w:val="none"/>
                <w:lang w:val="en" w:eastAsia="zh-CN"/>
              </w:rPr>
              <w:t>短时过电流：不小于5 S；</w:t>
            </w:r>
          </w:p>
          <w:p w14:paraId="184EFEB6">
            <w:pPr>
              <w:pStyle w:val="29"/>
              <w:keepNext w:val="0"/>
              <w:keepLines w:val="0"/>
              <w:pageBreakBefore w:val="0"/>
              <w:numPr>
                <w:ilvl w:val="0"/>
                <w:numId w:val="0"/>
              </w:numPr>
              <w:kinsoku/>
              <w:wordWrap/>
              <w:overflowPunct/>
              <w:topLinePunct w:val="0"/>
              <w:bidi w:val="0"/>
              <w:adjustRightInd/>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8.</w:t>
            </w:r>
            <w:r>
              <w:rPr>
                <w:rFonts w:hint="eastAsia" w:asciiTheme="majorEastAsia" w:hAnsiTheme="majorEastAsia" w:eastAsiaTheme="majorEastAsia" w:cstheme="majorEastAsia"/>
                <w:b w:val="0"/>
                <w:bCs w:val="0"/>
                <w:color w:val="auto"/>
                <w:sz w:val="21"/>
                <w:szCs w:val="21"/>
                <w:highlight w:val="none"/>
                <w:lang w:val="en" w:eastAsia="zh-CN"/>
              </w:rPr>
              <w:t>过载能力：不小于2min；</w:t>
            </w:r>
          </w:p>
          <w:p w14:paraId="12E8AD49">
            <w:pPr>
              <w:pStyle w:val="29"/>
              <w:keepNext w:val="0"/>
              <w:keepLines w:val="0"/>
              <w:pageBreakBefore w:val="0"/>
              <w:numPr>
                <w:ilvl w:val="0"/>
                <w:numId w:val="0"/>
              </w:numPr>
              <w:kinsoku/>
              <w:wordWrap/>
              <w:overflowPunct/>
              <w:topLinePunct w:val="0"/>
              <w:bidi w:val="0"/>
              <w:adjustRightInd/>
              <w:spacing w:line="440" w:lineRule="exact"/>
              <w:ind w:left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9.线圈材料：纯铜。</w:t>
            </w:r>
          </w:p>
          <w:p w14:paraId="2AEF84BB">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bCs/>
                <w:color w:val="auto"/>
                <w:sz w:val="21"/>
                <w:szCs w:val="21"/>
                <w:highlight w:val="none"/>
                <w:lang w:val="en" w:eastAsia="zh-CN"/>
              </w:rPr>
            </w:pPr>
            <w:r>
              <w:rPr>
                <w:rFonts w:hint="eastAsia" w:asciiTheme="majorEastAsia" w:hAnsiTheme="majorEastAsia" w:eastAsiaTheme="majorEastAsia" w:cstheme="majorEastAsia"/>
                <w:b/>
                <w:bCs/>
                <w:color w:val="auto"/>
                <w:sz w:val="21"/>
                <w:szCs w:val="21"/>
                <w:highlight w:val="none"/>
                <w:lang w:val="en-US" w:eastAsia="zh-CN"/>
              </w:rPr>
              <w:t>四、</w:t>
            </w:r>
            <w:r>
              <w:rPr>
                <w:rFonts w:hint="eastAsia" w:asciiTheme="majorEastAsia" w:hAnsiTheme="majorEastAsia" w:eastAsiaTheme="majorEastAsia" w:cstheme="majorEastAsia"/>
                <w:b/>
                <w:bCs/>
                <w:color w:val="auto"/>
                <w:sz w:val="21"/>
                <w:szCs w:val="21"/>
                <w:highlight w:val="none"/>
                <w:lang w:val="en" w:eastAsia="zh-CN"/>
              </w:rPr>
              <w:t>自动化控制系统：</w:t>
            </w:r>
          </w:p>
          <w:p w14:paraId="3E58809E">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1</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三相电流.电压.频率.充电指示</w:t>
            </w:r>
          </w:p>
          <w:p w14:paraId="06D145AA">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2</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机组功率显示及超载保护</w:t>
            </w:r>
          </w:p>
          <w:p w14:paraId="7044A4B3">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3</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柴油机</w:t>
            </w:r>
            <w:r>
              <w:rPr>
                <w:rFonts w:hint="eastAsia" w:asciiTheme="majorEastAsia" w:hAnsiTheme="majorEastAsia" w:eastAsiaTheme="majorEastAsia" w:cstheme="majorEastAsia"/>
                <w:b w:val="0"/>
                <w:bCs w:val="0"/>
                <w:color w:val="auto"/>
                <w:sz w:val="21"/>
                <w:szCs w:val="21"/>
                <w:highlight w:val="none"/>
                <w:lang w:val="en-US" w:eastAsia="zh-CN"/>
              </w:rPr>
              <w:t>高</w:t>
            </w:r>
            <w:r>
              <w:rPr>
                <w:rFonts w:hint="eastAsia" w:asciiTheme="majorEastAsia" w:hAnsiTheme="majorEastAsia" w:eastAsiaTheme="majorEastAsia" w:cstheme="majorEastAsia"/>
                <w:b w:val="0"/>
                <w:bCs w:val="0"/>
                <w:color w:val="auto"/>
                <w:sz w:val="21"/>
                <w:szCs w:val="21"/>
                <w:highlight w:val="none"/>
                <w:lang w:val="en" w:eastAsia="zh-CN"/>
              </w:rPr>
              <w:t>水温.油温.油压显示保护</w:t>
            </w:r>
          </w:p>
          <w:p w14:paraId="6EE1769D">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4</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柴油机转速显示及超速保护</w:t>
            </w:r>
          </w:p>
          <w:p w14:paraId="062B1053">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5</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国产名牌</w:t>
            </w:r>
            <w:r>
              <w:rPr>
                <w:rFonts w:hint="eastAsia" w:asciiTheme="majorEastAsia" w:hAnsiTheme="majorEastAsia" w:eastAsiaTheme="majorEastAsia" w:cstheme="majorEastAsia"/>
                <w:b w:val="0"/>
                <w:bCs w:val="0"/>
                <w:color w:val="auto"/>
                <w:sz w:val="21"/>
                <w:szCs w:val="21"/>
                <w:highlight w:val="none"/>
                <w:lang w:val="en-US" w:eastAsia="zh-CN"/>
              </w:rPr>
              <w:t>断</w:t>
            </w:r>
            <w:r>
              <w:rPr>
                <w:rFonts w:hint="eastAsia" w:asciiTheme="majorEastAsia" w:hAnsiTheme="majorEastAsia" w:eastAsiaTheme="majorEastAsia" w:cstheme="majorEastAsia"/>
                <w:b w:val="0"/>
                <w:bCs w:val="0"/>
                <w:color w:val="auto"/>
                <w:sz w:val="21"/>
                <w:szCs w:val="21"/>
                <w:highlight w:val="none"/>
                <w:lang w:val="en" w:eastAsia="zh-CN"/>
              </w:rPr>
              <w:t>路器.电调控制器</w:t>
            </w:r>
          </w:p>
          <w:p w14:paraId="47923CDD">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US" w:eastAsia="zh-CN"/>
              </w:rPr>
              <w:t>6.停电后自动启动，有市电后自动停机</w:t>
            </w:r>
          </w:p>
          <w:p w14:paraId="0409CC7F">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bCs/>
                <w:color w:val="auto"/>
                <w:sz w:val="21"/>
                <w:szCs w:val="21"/>
                <w:highlight w:val="none"/>
                <w:lang w:val="en-US" w:eastAsia="zh-CN"/>
              </w:rPr>
              <w:t>五</w:t>
            </w:r>
            <w:r>
              <w:rPr>
                <w:rFonts w:hint="eastAsia" w:asciiTheme="majorEastAsia" w:hAnsiTheme="majorEastAsia" w:eastAsiaTheme="majorEastAsia" w:cstheme="majorEastAsia"/>
                <w:b/>
                <w:bCs/>
                <w:color w:val="auto"/>
                <w:sz w:val="21"/>
                <w:szCs w:val="21"/>
                <w:highlight w:val="none"/>
                <w:lang w:val="en" w:eastAsia="zh-CN"/>
              </w:rPr>
              <w:t>、控制系统：</w:t>
            </w:r>
            <w:r>
              <w:rPr>
                <w:rFonts w:hint="eastAsia" w:asciiTheme="majorEastAsia" w:hAnsiTheme="majorEastAsia" w:eastAsiaTheme="majorEastAsia" w:cstheme="majorEastAsia"/>
                <w:b w:val="0"/>
                <w:bCs w:val="0"/>
                <w:color w:val="auto"/>
                <w:sz w:val="21"/>
                <w:szCs w:val="21"/>
                <w:highlight w:val="none"/>
                <w:lang w:val="en" w:eastAsia="zh-CN"/>
              </w:rPr>
              <w:t>参考品牌型号深海7320系列、</w:t>
            </w:r>
            <w:r>
              <w:rPr>
                <w:rFonts w:hint="eastAsia" w:asciiTheme="majorEastAsia" w:hAnsiTheme="majorEastAsia" w:eastAsiaTheme="majorEastAsia" w:cstheme="majorEastAsia"/>
                <w:b w:val="0"/>
                <w:bCs w:val="0"/>
                <w:color w:val="auto"/>
                <w:sz w:val="21"/>
                <w:szCs w:val="21"/>
                <w:highlight w:val="none"/>
                <w:lang w:val="en-US" w:eastAsia="zh-CN"/>
              </w:rPr>
              <w:t>科迈、众智等</w:t>
            </w:r>
            <w:r>
              <w:rPr>
                <w:rFonts w:hint="eastAsia" w:asciiTheme="majorEastAsia" w:hAnsiTheme="majorEastAsia" w:eastAsiaTheme="majorEastAsia" w:cstheme="majorEastAsia"/>
                <w:b w:val="0"/>
                <w:bCs w:val="0"/>
                <w:color w:val="auto"/>
                <w:sz w:val="21"/>
                <w:szCs w:val="21"/>
                <w:highlight w:val="none"/>
                <w:lang w:val="en" w:eastAsia="zh-CN"/>
              </w:rPr>
              <w:t>同等品牌型号</w:t>
            </w:r>
          </w:p>
          <w:p w14:paraId="4CDEAD6E">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bCs/>
                <w:color w:val="auto"/>
                <w:sz w:val="21"/>
                <w:szCs w:val="21"/>
                <w:highlight w:val="none"/>
                <w:lang w:val="en" w:eastAsia="zh-CN"/>
              </w:rPr>
            </w:pPr>
            <w:r>
              <w:rPr>
                <w:rFonts w:hint="eastAsia" w:asciiTheme="majorEastAsia" w:hAnsiTheme="majorEastAsia" w:eastAsiaTheme="majorEastAsia" w:cstheme="majorEastAsia"/>
                <w:b/>
                <w:bCs/>
                <w:color w:val="auto"/>
                <w:sz w:val="21"/>
                <w:szCs w:val="21"/>
                <w:highlight w:val="none"/>
                <w:lang w:val="en" w:eastAsia="zh-CN"/>
              </w:rPr>
              <w:t>（1）自动化控制器：</w:t>
            </w:r>
          </w:p>
          <w:p w14:paraId="360E1512">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lang w:val="en" w:eastAsia="zh-CN"/>
              </w:rPr>
              <w:t>集成了数字化、智能化、网络化技术，用于单台柴油发电机组自动化及监控系统，实现发电机组的自动开机／停机、数据测量、报警保护及“三遥”功能。控制器采用大屏幕液晶（LCD）显示，中文、英文可选界面操作，操作简单，运行可靠。</w:t>
            </w:r>
          </w:p>
          <w:p w14:paraId="244C64B2">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2.采用微处理器技术，实现多种参数的精密测量，定值调节以及定时、阈值整定等功能，控制器所有参数可从控制器前面板调整，或使用PC机通过编程接口调整，也可使用机通过RS485接口调整及监测。</w:t>
            </w:r>
          </w:p>
          <w:p w14:paraId="0297EFE6">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bCs/>
                <w:color w:val="auto"/>
                <w:sz w:val="21"/>
                <w:szCs w:val="21"/>
                <w:highlight w:val="none"/>
                <w:lang w:val="en" w:eastAsia="zh-CN"/>
              </w:rPr>
            </w:pPr>
            <w:r>
              <w:rPr>
                <w:rFonts w:hint="eastAsia" w:asciiTheme="majorEastAsia" w:hAnsiTheme="majorEastAsia" w:eastAsiaTheme="majorEastAsia" w:cstheme="majorEastAsia"/>
                <w:b/>
                <w:bCs/>
                <w:color w:val="auto"/>
                <w:sz w:val="21"/>
                <w:szCs w:val="21"/>
                <w:highlight w:val="none"/>
                <w:lang w:val="en" w:eastAsia="zh-CN"/>
              </w:rPr>
              <w:t>（2）性能和特点：</w:t>
            </w:r>
          </w:p>
          <w:p w14:paraId="7F4FD10B">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1</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用于单机自动化，通过远端开机信号控制发电机组自动开机与停机。</w:t>
            </w:r>
          </w:p>
          <w:p w14:paraId="6BBA027F">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2</w:t>
            </w:r>
            <w:r>
              <w:rPr>
                <w:rFonts w:hint="eastAsia" w:asciiTheme="majorEastAsia" w:hAnsiTheme="majorEastAsia" w:eastAsiaTheme="majorEastAsia" w:cstheme="majorEastAsia"/>
                <w:b w:val="0"/>
                <w:bCs w:val="0"/>
                <w:color w:val="auto"/>
                <w:sz w:val="21"/>
                <w:szCs w:val="21"/>
                <w:highlight w:val="none"/>
                <w:lang w:val="en-US" w:eastAsia="zh-CN"/>
              </w:rPr>
              <w:t>.液晶显示屏分辨率≥128*64</w:t>
            </w:r>
            <w:r>
              <w:rPr>
                <w:rFonts w:hint="eastAsia" w:asciiTheme="majorEastAsia" w:hAnsiTheme="majorEastAsia" w:eastAsiaTheme="majorEastAsia" w:cstheme="majorEastAsia"/>
                <w:b w:val="0"/>
                <w:bCs w:val="0"/>
                <w:color w:val="auto"/>
                <w:sz w:val="21"/>
                <w:szCs w:val="21"/>
                <w:highlight w:val="none"/>
                <w:lang w:val="en" w:eastAsia="zh-CN"/>
              </w:rPr>
              <w:t>，带背光，简体中文显示，轻触按钮操作。</w:t>
            </w:r>
          </w:p>
          <w:p w14:paraId="11DADDF5">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3</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适合于三相四线、单相二线、二相三线（120/240V）电源50/60HZ系统。</w:t>
            </w:r>
          </w:p>
          <w:p w14:paraId="6A81B13A">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4</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采集并显示市电/发电三相电压、三相电流、频率、功率参数。</w:t>
            </w:r>
          </w:p>
          <w:p w14:paraId="3ACA4BFF">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5</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市电具有过压、欠压、缺相功能，发电具有过压、欠压、过频、欠频、过流功能。</w:t>
            </w:r>
          </w:p>
          <w:p w14:paraId="4808A09F">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6</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精密采集发动机各种参量。</w:t>
            </w:r>
          </w:p>
          <w:p w14:paraId="4509A634">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7</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控制保护功能：实现柴油发电机组自动开机/停机、合分闸（ATS切换）及完善的故障显示保护等功能；</w:t>
            </w:r>
          </w:p>
          <w:p w14:paraId="3F1CA906">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8</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具有停电停机、怠速控制、预热控制、升降速控制功能，且均为继电器输出。</w:t>
            </w:r>
          </w:p>
          <w:p w14:paraId="544C53EF">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9</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参数设置功能：允许用户对其参数进行更改设定，同时记忆在内部FLASH存储器内，在系统掉电时也不会丢失，控制器所有参数可从控制器前面板调整，或使用PC机通过编程接口调整（使用SG72适配器），也可使用PC机通RS485接口调整。</w:t>
            </w:r>
          </w:p>
          <w:p w14:paraId="11217602">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10</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多种温度、压力、油位传感器可直接使用，并可自定义参数。</w:t>
            </w:r>
          </w:p>
          <w:p w14:paraId="36E49348">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11</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多种超动成功条件（转速传感器、油压、发电）可选择。</w:t>
            </w:r>
          </w:p>
          <w:p w14:paraId="337EEC06">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1</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lang w:val="en" w:eastAsia="zh-CN"/>
              </w:rPr>
              <w:t>所有参数均采用数字化调整，摒弃了常规电位器的模拟调整方法，提高了整机的可靠性和稳定性。</w:t>
            </w:r>
          </w:p>
          <w:p w14:paraId="287284BB">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1</w:t>
            </w: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lang w:val="en" w:eastAsia="zh-CN"/>
              </w:rPr>
              <w:t>模块化结构设计，阻燃ABS外壳，可插拔式接线端子，嵌式安装方式，结构紧凑，安装方便。</w:t>
            </w:r>
          </w:p>
          <w:p w14:paraId="3FD1D322">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bCs/>
                <w:color w:val="auto"/>
                <w:sz w:val="21"/>
                <w:szCs w:val="21"/>
                <w:highlight w:val="none"/>
                <w:lang w:val="en" w:eastAsia="zh-CN"/>
              </w:rPr>
            </w:pPr>
            <w:r>
              <w:rPr>
                <w:rFonts w:hint="eastAsia" w:asciiTheme="majorEastAsia" w:hAnsiTheme="majorEastAsia" w:eastAsiaTheme="majorEastAsia" w:cstheme="majorEastAsia"/>
                <w:b/>
                <w:bCs/>
                <w:color w:val="auto"/>
                <w:sz w:val="21"/>
                <w:szCs w:val="21"/>
                <w:highlight w:val="none"/>
                <w:lang w:val="en" w:eastAsia="zh-CN"/>
              </w:rPr>
              <w:t>（3）自动开机停机操作：</w:t>
            </w:r>
          </w:p>
          <w:p w14:paraId="63941BB0">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1</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当远程开机输入有效时，进入“开机延时”。</w:t>
            </w:r>
          </w:p>
          <w:p w14:paraId="3FACC7C8">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2</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LCD屏幕显示“开机延时”倒计时。</w:t>
            </w:r>
          </w:p>
          <w:p w14:paraId="6BC92FB8">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3</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开机延时结束后，燃油继电器输出（如果被配置），LCD屏幕显示“开机预热延时XXS”。</w:t>
            </w:r>
          </w:p>
          <w:p w14:paraId="5B0D3221">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4</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预热延时结束后，燃油继电器输出1S，然后起动继电器输出；如果在“起动时间”内发动机组没有起动成功，燃油继电器和起动继电器停止输出，进入“起动间隔时间”，等待下一次起动。</w:t>
            </w:r>
          </w:p>
          <w:p w14:paraId="7856DB9B">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5</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在设定的起动次数内，如果发电机组没有起动成功，LCD显示窗第车轮战行反黑，同时LCD显示窗第四行显示起动失败报警。</w:t>
            </w:r>
          </w:p>
          <w:p w14:paraId="1CC64871">
            <w:pPr>
              <w:pStyle w:val="29"/>
              <w:keepNext w:val="0"/>
              <w:keepLines w:val="0"/>
              <w:pageBreakBefore w:val="0"/>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 w:eastAsia="zh-CN"/>
              </w:rPr>
            </w:pPr>
            <w:r>
              <w:rPr>
                <w:rFonts w:hint="eastAsia" w:asciiTheme="majorEastAsia" w:hAnsiTheme="majorEastAsia" w:eastAsiaTheme="majorEastAsia" w:cstheme="majorEastAsia"/>
                <w:b w:val="0"/>
                <w:bCs w:val="0"/>
                <w:color w:val="auto"/>
                <w:sz w:val="21"/>
                <w:szCs w:val="21"/>
                <w:highlight w:val="none"/>
                <w:lang w:val="en" w:eastAsia="zh-CN"/>
              </w:rPr>
              <w:t>6</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lang w:val="en" w:eastAsia="zh-CN"/>
              </w:rPr>
              <w:t>在任意一次行动时，若起动成功，则进入“安全运行时间”，在此时间内油压低、水温高、欠速、充电失败以及辅助输入（已配置）报警量等均无效，安全运行延时结束后则进入“开机怠速延时”（如果高速暖机延时被配置）。</w:t>
            </w:r>
          </w:p>
          <w:p w14:paraId="083DA64D">
            <w:pPr>
              <w:keepNext w:val="0"/>
              <w:keepLines w:val="0"/>
              <w:pageBreakBefore w:val="0"/>
              <w:numPr>
                <w:ilvl w:val="0"/>
                <w:numId w:val="0"/>
              </w:numPr>
              <w:kinsoku/>
              <w:wordWrap/>
              <w:overflowPunct/>
              <w:topLinePunct w:val="0"/>
              <w:bidi w:val="0"/>
              <w:adjustRightInd/>
              <w:snapToGrid w:val="0"/>
              <w:spacing w:line="440" w:lineRule="exact"/>
              <w:ind w:leftChars="0"/>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7.</w:t>
            </w:r>
            <w:r>
              <w:rPr>
                <w:rFonts w:hint="eastAsia" w:asciiTheme="majorEastAsia" w:hAnsiTheme="majorEastAsia" w:eastAsiaTheme="majorEastAsia" w:cstheme="majorEastAsia"/>
                <w:b w:val="0"/>
                <w:bCs w:val="0"/>
                <w:color w:val="auto"/>
                <w:sz w:val="21"/>
                <w:szCs w:val="21"/>
                <w:highlight w:val="none"/>
                <w:lang w:val="en" w:eastAsia="zh-CN"/>
              </w:rPr>
              <w:t>当高速暖机延时结束时，若发电正常则发电机状态指示灯亮，如发电机电压、频率达到带载要求，则发电合闸继电器输出，发电机组带载，发电供电指示灯亮，发电机组进入正常运行状态；如果发电机组电压或频率不正常，则控制器报警停机（LCD屏幕显示发电报警量）。</w:t>
            </w:r>
          </w:p>
        </w:tc>
        <w:tc>
          <w:tcPr>
            <w:tcW w:w="785" w:type="dxa"/>
            <w:noWrap w:val="0"/>
            <w:tcMar>
              <w:top w:w="0" w:type="dxa"/>
              <w:left w:w="108" w:type="dxa"/>
              <w:bottom w:w="0" w:type="dxa"/>
              <w:right w:w="108" w:type="dxa"/>
            </w:tcMar>
            <w:vAlign w:val="center"/>
          </w:tcPr>
          <w:p w14:paraId="780B4132">
            <w:pPr>
              <w:keepNext w:val="0"/>
              <w:keepLines w:val="0"/>
              <w:pageBreakBefore w:val="0"/>
              <w:kinsoku/>
              <w:wordWrap/>
              <w:overflowPunct/>
              <w:topLinePunct w:val="0"/>
              <w:bidi w:val="0"/>
              <w:adjustRightInd/>
              <w:spacing w:line="440" w:lineRule="exact"/>
              <w:ind w:firstLine="0"/>
              <w:jc w:val="center"/>
              <w:textAlignment w:val="auto"/>
              <w:outlineLvl w:val="9"/>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kern w:val="2"/>
                <w:sz w:val="21"/>
                <w:szCs w:val="21"/>
                <w:highlight w:val="none"/>
                <w:lang w:val="en-US" w:eastAsia="zh-CN" w:bidi="ar-SA"/>
              </w:rPr>
              <w:t>工业</w:t>
            </w:r>
          </w:p>
        </w:tc>
      </w:tr>
      <w:tr w14:paraId="0FC7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66" w:type="dxa"/>
            <w:gridSpan w:val="3"/>
            <w:noWrap w:val="0"/>
            <w:tcMar>
              <w:top w:w="0" w:type="dxa"/>
              <w:left w:w="108" w:type="dxa"/>
              <w:bottom w:w="0" w:type="dxa"/>
              <w:right w:w="108" w:type="dxa"/>
            </w:tcMar>
            <w:vAlign w:val="center"/>
          </w:tcPr>
          <w:p w14:paraId="01A83DD8">
            <w:pPr>
              <w:keepNext w:val="0"/>
              <w:keepLines w:val="0"/>
              <w:pageBreakBefore w:val="0"/>
              <w:kinsoku/>
              <w:wordWrap/>
              <w:overflowPunct/>
              <w:topLinePunct w:val="0"/>
              <w:bidi w:val="0"/>
              <w:adjustRightInd/>
              <w:spacing w:line="440" w:lineRule="exact"/>
              <w:jc w:val="center"/>
              <w:textAlignment w:val="auto"/>
              <w:outlineLvl w:val="9"/>
              <w:rPr>
                <w:rFonts w:hint="eastAsia" w:asciiTheme="majorEastAsia" w:hAnsiTheme="majorEastAsia" w:eastAsiaTheme="majorEastAsia" w:cstheme="majorEastAsia"/>
                <w:i w:val="0"/>
                <w:color w:val="auto"/>
                <w:kern w:val="2"/>
                <w:sz w:val="21"/>
                <w:szCs w:val="21"/>
                <w:highlight w:val="none"/>
                <w:u w:val="none"/>
                <w:lang w:val="en-US" w:eastAsia="zh-CN" w:bidi="ar-SA"/>
              </w:rPr>
            </w:pPr>
            <w:r>
              <w:rPr>
                <w:rFonts w:hint="eastAsia" w:asciiTheme="majorEastAsia" w:hAnsiTheme="majorEastAsia" w:eastAsiaTheme="majorEastAsia" w:cstheme="majorEastAsia"/>
                <w:b/>
                <w:bCs/>
                <w:color w:val="auto"/>
                <w:sz w:val="21"/>
                <w:szCs w:val="21"/>
                <w:highlight w:val="none"/>
              </w:rPr>
              <w:t>▲商务条款</w:t>
            </w:r>
          </w:p>
        </w:tc>
        <w:tc>
          <w:tcPr>
            <w:tcW w:w="6157" w:type="dxa"/>
            <w:gridSpan w:val="2"/>
            <w:noWrap w:val="0"/>
            <w:tcMar>
              <w:top w:w="0" w:type="dxa"/>
              <w:left w:w="108" w:type="dxa"/>
              <w:bottom w:w="0" w:type="dxa"/>
              <w:right w:w="108" w:type="dxa"/>
            </w:tcMar>
            <w:vAlign w:val="center"/>
          </w:tcPr>
          <w:p w14:paraId="0386E9C9">
            <w:pPr>
              <w:keepNext w:val="0"/>
              <w:keepLines w:val="0"/>
              <w:pageBreakBefore w:val="0"/>
              <w:widowControl/>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一、合同签订期：</w:t>
            </w:r>
            <w:r>
              <w:rPr>
                <w:rFonts w:hint="eastAsia" w:asciiTheme="majorEastAsia" w:hAnsiTheme="majorEastAsia" w:eastAsiaTheme="majorEastAsia" w:cstheme="majorEastAsia"/>
                <w:b w:val="0"/>
                <w:bCs w:val="0"/>
                <w:color w:val="auto"/>
                <w:sz w:val="21"/>
                <w:szCs w:val="21"/>
                <w:highlight w:val="none"/>
              </w:rPr>
              <w:t>自</w:t>
            </w:r>
            <w:r>
              <w:rPr>
                <w:rFonts w:hint="eastAsia" w:asciiTheme="majorEastAsia" w:hAnsiTheme="majorEastAsia" w:eastAsiaTheme="majorEastAsia" w:cstheme="majorEastAsia"/>
                <w:b w:val="0"/>
                <w:bCs w:val="0"/>
                <w:color w:val="auto"/>
                <w:sz w:val="21"/>
                <w:szCs w:val="21"/>
                <w:highlight w:val="none"/>
                <w:lang w:eastAsia="zh-CN"/>
              </w:rPr>
              <w:t>成交</w:t>
            </w:r>
            <w:r>
              <w:rPr>
                <w:rFonts w:hint="eastAsia" w:asciiTheme="majorEastAsia" w:hAnsiTheme="majorEastAsia" w:eastAsiaTheme="majorEastAsia" w:cstheme="majorEastAsia"/>
                <w:b w:val="0"/>
                <w:bCs w:val="0"/>
                <w:color w:val="auto"/>
                <w:sz w:val="21"/>
                <w:szCs w:val="21"/>
                <w:highlight w:val="none"/>
              </w:rPr>
              <w:t>通知书发出之日起</w:t>
            </w:r>
            <w:r>
              <w:rPr>
                <w:rFonts w:hint="eastAsia" w:asciiTheme="majorEastAsia" w:hAnsiTheme="majorEastAsia" w:eastAsiaTheme="majorEastAsia" w:cstheme="majorEastAsia"/>
                <w:b w:val="0"/>
                <w:bCs w:val="0"/>
                <w:color w:val="auto"/>
                <w:sz w:val="21"/>
                <w:szCs w:val="21"/>
                <w:highlight w:val="none"/>
                <w:lang w:val="en-US" w:eastAsia="zh-CN"/>
              </w:rPr>
              <w:t>25日</w:t>
            </w:r>
            <w:r>
              <w:rPr>
                <w:rFonts w:hint="eastAsia" w:asciiTheme="majorEastAsia" w:hAnsiTheme="majorEastAsia" w:eastAsiaTheme="majorEastAsia" w:cstheme="majorEastAsia"/>
                <w:b w:val="0"/>
                <w:bCs w:val="0"/>
                <w:color w:val="auto"/>
                <w:sz w:val="21"/>
                <w:szCs w:val="21"/>
                <w:highlight w:val="none"/>
              </w:rPr>
              <w:t>内</w:t>
            </w:r>
            <w:r>
              <w:rPr>
                <w:rFonts w:hint="eastAsia" w:asciiTheme="majorEastAsia" w:hAnsiTheme="majorEastAsia" w:eastAsiaTheme="majorEastAsia" w:cstheme="majorEastAsia"/>
                <w:b w:val="0"/>
                <w:bCs w:val="0"/>
                <w:color w:val="auto"/>
                <w:sz w:val="21"/>
                <w:szCs w:val="21"/>
                <w:highlight w:val="none"/>
                <w:lang w:eastAsia="zh-CN"/>
              </w:rPr>
              <w:t>。</w:t>
            </w:r>
          </w:p>
          <w:p w14:paraId="74FD7AD7">
            <w:pPr>
              <w:keepNext w:val="0"/>
              <w:keepLines w:val="0"/>
              <w:pageBreakBefore w:val="0"/>
              <w:widowControl/>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二、</w:t>
            </w:r>
            <w:r>
              <w:rPr>
                <w:rFonts w:hint="eastAsia" w:asciiTheme="majorEastAsia" w:hAnsiTheme="majorEastAsia" w:eastAsiaTheme="majorEastAsia" w:cstheme="majorEastAsia"/>
                <w:b w:val="0"/>
                <w:bCs/>
                <w:color w:val="auto"/>
                <w:sz w:val="21"/>
                <w:szCs w:val="21"/>
                <w:highlight w:val="none"/>
                <w:lang w:val="en-US" w:eastAsia="zh-CN"/>
              </w:rPr>
              <w:t>交付</w:t>
            </w:r>
            <w:r>
              <w:rPr>
                <w:rFonts w:hint="eastAsia" w:asciiTheme="majorEastAsia" w:hAnsiTheme="majorEastAsia" w:eastAsiaTheme="majorEastAsia" w:cstheme="majorEastAsia"/>
                <w:b w:val="0"/>
                <w:bCs/>
                <w:color w:val="auto"/>
                <w:sz w:val="21"/>
                <w:szCs w:val="21"/>
                <w:highlight w:val="none"/>
              </w:rPr>
              <w:t>期限</w:t>
            </w:r>
            <w:r>
              <w:rPr>
                <w:rFonts w:hint="eastAsia" w:asciiTheme="majorEastAsia" w:hAnsiTheme="majorEastAsia" w:eastAsiaTheme="majorEastAsia" w:cstheme="majorEastAsia"/>
                <w:color w:val="auto"/>
                <w:sz w:val="21"/>
                <w:szCs w:val="21"/>
                <w:highlight w:val="none"/>
              </w:rPr>
              <w:t>：自签订合同之日起</w:t>
            </w:r>
            <w:r>
              <w:rPr>
                <w:rFonts w:hint="eastAsia" w:asciiTheme="majorEastAsia" w:hAnsiTheme="majorEastAsia" w:eastAsiaTheme="majorEastAsia" w:cstheme="majorEastAsia"/>
                <w:color w:val="auto"/>
                <w:sz w:val="21"/>
                <w:szCs w:val="21"/>
                <w:highlight w:val="none"/>
                <w:lang w:val="en-US" w:eastAsia="zh-CN"/>
              </w:rPr>
              <w:t>30</w:t>
            </w:r>
            <w:r>
              <w:rPr>
                <w:rFonts w:hint="eastAsia" w:asciiTheme="majorEastAsia" w:hAnsiTheme="majorEastAsia" w:eastAsiaTheme="majorEastAsia" w:cstheme="majorEastAsia"/>
                <w:color w:val="auto"/>
                <w:sz w:val="21"/>
                <w:szCs w:val="21"/>
                <w:highlight w:val="none"/>
              </w:rPr>
              <w:t>天内供货安装调试完毕交付正常使用。</w:t>
            </w:r>
          </w:p>
          <w:p w14:paraId="40BFDC89">
            <w:pPr>
              <w:keepNext w:val="0"/>
              <w:keepLines w:val="0"/>
              <w:pageBreakBefore w:val="0"/>
              <w:widowControl/>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三、</w:t>
            </w:r>
            <w:r>
              <w:rPr>
                <w:rFonts w:hint="eastAsia" w:asciiTheme="majorEastAsia" w:hAnsiTheme="majorEastAsia" w:eastAsiaTheme="majorEastAsia" w:cstheme="majorEastAsia"/>
                <w:color w:val="auto"/>
                <w:sz w:val="21"/>
                <w:szCs w:val="21"/>
                <w:highlight w:val="none"/>
                <w:lang w:val="en-US" w:eastAsia="zh-CN"/>
              </w:rPr>
              <w:t>交付</w:t>
            </w:r>
            <w:r>
              <w:rPr>
                <w:rFonts w:hint="eastAsia" w:asciiTheme="majorEastAsia" w:hAnsiTheme="majorEastAsia" w:eastAsiaTheme="majorEastAsia" w:cstheme="majorEastAsia"/>
                <w:color w:val="auto"/>
                <w:sz w:val="21"/>
                <w:szCs w:val="21"/>
                <w:highlight w:val="none"/>
              </w:rPr>
              <w:t>地点：</w:t>
            </w:r>
            <w:r>
              <w:rPr>
                <w:rFonts w:hint="eastAsia" w:asciiTheme="majorEastAsia" w:hAnsiTheme="majorEastAsia" w:eastAsiaTheme="majorEastAsia" w:cstheme="majorEastAsia"/>
                <w:b w:val="0"/>
                <w:bCs/>
                <w:color w:val="auto"/>
                <w:sz w:val="21"/>
                <w:szCs w:val="21"/>
                <w:highlight w:val="none"/>
              </w:rPr>
              <w:t>广西</w:t>
            </w:r>
            <w:r>
              <w:rPr>
                <w:rFonts w:hint="eastAsia" w:asciiTheme="majorEastAsia" w:hAnsiTheme="majorEastAsia" w:eastAsiaTheme="majorEastAsia" w:cstheme="majorEastAsia"/>
                <w:b w:val="0"/>
                <w:bCs/>
                <w:color w:val="auto"/>
                <w:sz w:val="21"/>
                <w:szCs w:val="21"/>
                <w:highlight w:val="none"/>
                <w:lang w:val="en-US" w:eastAsia="zh-CN"/>
              </w:rPr>
              <w:t>玉林</w:t>
            </w:r>
            <w:r>
              <w:rPr>
                <w:rFonts w:hint="eastAsia" w:asciiTheme="majorEastAsia" w:hAnsiTheme="majorEastAsia" w:eastAsiaTheme="majorEastAsia" w:cstheme="majorEastAsia"/>
                <w:b w:val="0"/>
                <w:bCs/>
                <w:color w:val="auto"/>
                <w:sz w:val="21"/>
                <w:szCs w:val="21"/>
                <w:highlight w:val="none"/>
              </w:rPr>
              <w:t>市（采购人指定地点）</w:t>
            </w:r>
            <w:r>
              <w:rPr>
                <w:rFonts w:hint="eastAsia" w:asciiTheme="majorEastAsia" w:hAnsiTheme="majorEastAsia" w:eastAsiaTheme="majorEastAsia" w:cstheme="majorEastAsia"/>
                <w:color w:val="auto"/>
                <w:sz w:val="21"/>
                <w:szCs w:val="21"/>
                <w:highlight w:val="none"/>
              </w:rPr>
              <w:t>。</w:t>
            </w:r>
          </w:p>
          <w:p w14:paraId="3FA264DC">
            <w:pPr>
              <w:keepNext w:val="0"/>
              <w:keepLines w:val="0"/>
              <w:pageBreakBefore w:val="0"/>
              <w:widowControl/>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四、验收标准、规范：符合现行国家相关标准、行业标准、地方标准或者其他标准、规范，符合</w:t>
            </w:r>
            <w:r>
              <w:rPr>
                <w:rFonts w:hint="eastAsia" w:asciiTheme="majorEastAsia" w:hAnsiTheme="majorEastAsia" w:eastAsiaTheme="majorEastAsia" w:cstheme="majorEastAsia"/>
                <w:color w:val="auto"/>
                <w:sz w:val="21"/>
                <w:szCs w:val="21"/>
                <w:highlight w:val="none"/>
                <w:lang w:val="en-US" w:eastAsia="zh-CN"/>
              </w:rPr>
              <w:t>采购</w:t>
            </w:r>
            <w:r>
              <w:rPr>
                <w:rFonts w:hint="eastAsia" w:asciiTheme="majorEastAsia" w:hAnsiTheme="majorEastAsia" w:eastAsiaTheme="majorEastAsia" w:cstheme="majorEastAsia"/>
                <w:color w:val="auto"/>
                <w:sz w:val="21"/>
                <w:szCs w:val="21"/>
                <w:highlight w:val="none"/>
              </w:rPr>
              <w:t>文件的要求。</w:t>
            </w:r>
          </w:p>
          <w:p w14:paraId="346BD300">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outlineLvl w:val="9"/>
              <w:rPr>
                <w:rFonts w:hint="eastAsia" w:asciiTheme="majorEastAsia" w:hAnsiTheme="majorEastAsia" w:eastAsiaTheme="majorEastAsia" w:cstheme="majorEastAsia"/>
                <w:b w:val="0"/>
                <w:bCs/>
                <w:color w:val="auto"/>
                <w:kern w:val="0"/>
                <w:sz w:val="21"/>
                <w:szCs w:val="21"/>
                <w:highlight w:val="none"/>
                <w:lang w:eastAsia="zh-CN"/>
              </w:rPr>
            </w:pPr>
            <w:r>
              <w:rPr>
                <w:rFonts w:hint="eastAsia" w:asciiTheme="majorEastAsia" w:hAnsiTheme="majorEastAsia" w:eastAsiaTheme="majorEastAsia" w:cstheme="majorEastAsia"/>
                <w:color w:val="auto"/>
                <w:sz w:val="21"/>
                <w:szCs w:val="21"/>
                <w:highlight w:val="none"/>
              </w:rPr>
              <w:t>五、</w:t>
            </w:r>
            <w:r>
              <w:rPr>
                <w:rFonts w:hint="eastAsia" w:asciiTheme="majorEastAsia" w:hAnsiTheme="majorEastAsia" w:eastAsiaTheme="majorEastAsia" w:cstheme="majorEastAsia"/>
                <w:b w:val="0"/>
                <w:bCs/>
                <w:color w:val="auto"/>
                <w:kern w:val="0"/>
                <w:sz w:val="21"/>
                <w:szCs w:val="21"/>
                <w:highlight w:val="none"/>
                <w:lang w:eastAsia="zh-CN"/>
              </w:rPr>
              <w:t>质保期及</w:t>
            </w:r>
            <w:r>
              <w:rPr>
                <w:rFonts w:hint="eastAsia" w:asciiTheme="majorEastAsia" w:hAnsiTheme="majorEastAsia" w:eastAsiaTheme="majorEastAsia" w:cstheme="majorEastAsia"/>
                <w:b w:val="0"/>
                <w:bCs/>
                <w:color w:val="auto"/>
                <w:kern w:val="0"/>
                <w:sz w:val="21"/>
                <w:szCs w:val="21"/>
                <w:highlight w:val="none"/>
              </w:rPr>
              <w:t>售后服务要求</w:t>
            </w:r>
            <w:r>
              <w:rPr>
                <w:rFonts w:hint="eastAsia" w:asciiTheme="majorEastAsia" w:hAnsiTheme="majorEastAsia" w:eastAsiaTheme="majorEastAsia" w:cstheme="majorEastAsia"/>
                <w:b w:val="0"/>
                <w:bCs/>
                <w:color w:val="auto"/>
                <w:kern w:val="0"/>
                <w:sz w:val="21"/>
                <w:szCs w:val="21"/>
                <w:highlight w:val="none"/>
                <w:lang w:eastAsia="zh-CN"/>
              </w:rPr>
              <w:t>：</w:t>
            </w:r>
          </w:p>
          <w:p w14:paraId="3384DBE4">
            <w:pPr>
              <w:keepNext w:val="0"/>
              <w:keepLines w:val="0"/>
              <w:pageBreakBefore w:val="0"/>
              <w:widowControl/>
              <w:numPr>
                <w:ilvl w:val="0"/>
                <w:numId w:val="0"/>
              </w:numPr>
              <w:kinsoku/>
              <w:wordWrap/>
              <w:overflowPunct/>
              <w:topLinePunct w:val="0"/>
              <w:bidi w:val="0"/>
              <w:adjustRightInd/>
              <w:spacing w:line="440" w:lineRule="exact"/>
              <w:ind w:left="0" w:leftChars="0"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质量保证期：自验收合格之日起不少于1年（若国家“三包”有明确规定的质量保证期高于此质量保证期的，执行国家规定；若生产厂家承诺的质量保证期超过以上要求年限的，则按生产厂家承诺执行）。</w:t>
            </w:r>
          </w:p>
          <w:p w14:paraId="02AAFDB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1.成交供应商</w:t>
            </w:r>
            <w:r>
              <w:rPr>
                <w:rFonts w:hint="eastAsia" w:asciiTheme="majorEastAsia" w:hAnsiTheme="majorEastAsia" w:eastAsiaTheme="majorEastAsia" w:cstheme="majorEastAsia"/>
                <w:color w:val="auto"/>
                <w:sz w:val="21"/>
                <w:szCs w:val="21"/>
                <w:highlight w:val="none"/>
              </w:rPr>
              <w:t>在</w:t>
            </w:r>
            <w:r>
              <w:rPr>
                <w:rFonts w:hint="eastAsia" w:asciiTheme="majorEastAsia" w:hAnsiTheme="majorEastAsia" w:eastAsiaTheme="majorEastAsia" w:cstheme="majorEastAsia"/>
                <w:b/>
                <w:bCs/>
                <w:color w:val="auto"/>
                <w:sz w:val="21"/>
                <w:szCs w:val="21"/>
                <w:highlight w:val="none"/>
              </w:rPr>
              <w:t>质量保证期内</w:t>
            </w:r>
            <w:r>
              <w:rPr>
                <w:rFonts w:hint="eastAsia" w:asciiTheme="majorEastAsia" w:hAnsiTheme="majorEastAsia" w:eastAsiaTheme="majorEastAsia" w:cstheme="majorEastAsia"/>
                <w:color w:val="auto"/>
                <w:sz w:val="21"/>
                <w:szCs w:val="21"/>
                <w:highlight w:val="none"/>
              </w:rPr>
              <w:t>应当为采购人提供以下技术支持和服务</w:t>
            </w:r>
            <w:r>
              <w:rPr>
                <w:rFonts w:hint="eastAsia" w:asciiTheme="majorEastAsia" w:hAnsiTheme="majorEastAsia" w:eastAsiaTheme="majorEastAsia" w:cstheme="majorEastAsia"/>
                <w:color w:val="auto"/>
                <w:sz w:val="21"/>
                <w:szCs w:val="21"/>
                <w:highlight w:val="none"/>
                <w:lang w:eastAsia="zh-CN"/>
              </w:rPr>
              <w:t>：</w:t>
            </w:r>
          </w:p>
          <w:p w14:paraId="2C8152A0">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）电话咨询：供应商应当为采购人提供技术援助电话，解答采购人在使用中遇到的问题，及时为采购人提出解决问题的建议；</w:t>
            </w:r>
          </w:p>
          <w:p w14:paraId="5B92379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上门维修和维护</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按</w:t>
            </w:r>
            <w:r>
              <w:rPr>
                <w:rFonts w:hint="eastAsia" w:asciiTheme="majorEastAsia" w:hAnsiTheme="majorEastAsia" w:eastAsiaTheme="majorEastAsia" w:cstheme="majorEastAsia"/>
                <w:color w:val="auto"/>
                <w:sz w:val="21"/>
                <w:szCs w:val="21"/>
                <w:highlight w:val="none"/>
                <w:lang w:eastAsia="zh-CN"/>
              </w:rPr>
              <w:t>国家标准</w:t>
            </w:r>
            <w:r>
              <w:rPr>
                <w:rFonts w:hint="eastAsia" w:asciiTheme="majorEastAsia" w:hAnsiTheme="majorEastAsia" w:eastAsiaTheme="majorEastAsia" w:cstheme="majorEastAsia"/>
                <w:color w:val="auto"/>
                <w:sz w:val="21"/>
                <w:szCs w:val="21"/>
                <w:highlight w:val="none"/>
              </w:rPr>
              <w:t>实行“三包”；</w:t>
            </w:r>
            <w:r>
              <w:rPr>
                <w:rFonts w:hint="eastAsia" w:asciiTheme="majorEastAsia" w:hAnsiTheme="majorEastAsia" w:eastAsiaTheme="majorEastAsia" w:cstheme="majorEastAsia"/>
                <w:color w:val="auto"/>
                <w:sz w:val="21"/>
                <w:szCs w:val="21"/>
                <w:highlight w:val="none"/>
                <w:lang w:val="en-US" w:eastAsia="zh-CN"/>
              </w:rPr>
              <w:t>成交供应商</w:t>
            </w:r>
            <w:r>
              <w:rPr>
                <w:rFonts w:hint="eastAsia" w:asciiTheme="majorEastAsia" w:hAnsiTheme="majorEastAsia" w:eastAsiaTheme="majorEastAsia" w:cstheme="majorEastAsia"/>
                <w:color w:val="auto"/>
                <w:sz w:val="21"/>
                <w:szCs w:val="21"/>
                <w:highlight w:val="none"/>
              </w:rPr>
              <w:t>需提供保修服务</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非因操作不当造成</w:t>
            </w:r>
            <w:r>
              <w:rPr>
                <w:rFonts w:hint="eastAsia" w:asciiTheme="majorEastAsia" w:hAnsiTheme="majorEastAsia" w:eastAsiaTheme="majorEastAsia" w:cstheme="majorEastAsia"/>
                <w:color w:val="auto"/>
                <w:sz w:val="21"/>
                <w:szCs w:val="21"/>
                <w:highlight w:val="none"/>
                <w:lang w:eastAsia="zh-CN"/>
              </w:rPr>
              <w:t>需要</w:t>
            </w:r>
            <w:r>
              <w:rPr>
                <w:rFonts w:hint="eastAsia" w:asciiTheme="majorEastAsia" w:hAnsiTheme="majorEastAsia" w:eastAsiaTheme="majorEastAsia" w:cstheme="majorEastAsia"/>
                <w:color w:val="auto"/>
                <w:sz w:val="21"/>
                <w:szCs w:val="21"/>
                <w:highlight w:val="none"/>
              </w:rPr>
              <w:t>更换零配件及设备</w:t>
            </w:r>
            <w:r>
              <w:rPr>
                <w:rFonts w:hint="eastAsia" w:asciiTheme="majorEastAsia" w:hAnsiTheme="majorEastAsia" w:eastAsiaTheme="majorEastAsia" w:cstheme="majorEastAsia"/>
                <w:color w:val="auto"/>
                <w:sz w:val="21"/>
                <w:szCs w:val="21"/>
                <w:highlight w:val="none"/>
                <w:lang w:eastAsia="zh-CN"/>
              </w:rPr>
              <w:t>的</w:t>
            </w:r>
            <w:r>
              <w:rPr>
                <w:rFonts w:hint="eastAsia" w:asciiTheme="majorEastAsia" w:hAnsiTheme="majorEastAsia" w:eastAsiaTheme="majorEastAsia" w:cstheme="majorEastAsia"/>
                <w:color w:val="auto"/>
                <w:sz w:val="21"/>
                <w:szCs w:val="21"/>
                <w:highlight w:val="none"/>
              </w:rPr>
              <w:t>由</w:t>
            </w:r>
            <w:r>
              <w:rPr>
                <w:rFonts w:hint="eastAsia" w:asciiTheme="majorEastAsia" w:hAnsiTheme="majorEastAsia" w:eastAsiaTheme="majorEastAsia" w:cstheme="majorEastAsia"/>
                <w:color w:val="auto"/>
                <w:sz w:val="21"/>
                <w:szCs w:val="21"/>
                <w:highlight w:val="none"/>
                <w:lang w:val="en-US" w:eastAsia="zh-CN"/>
              </w:rPr>
              <w:t>成交供应商</w:t>
            </w:r>
            <w:r>
              <w:rPr>
                <w:rFonts w:hint="eastAsia" w:asciiTheme="majorEastAsia" w:hAnsiTheme="majorEastAsia" w:eastAsiaTheme="majorEastAsia" w:cstheme="majorEastAsia"/>
                <w:color w:val="auto"/>
                <w:sz w:val="21"/>
                <w:szCs w:val="21"/>
                <w:highlight w:val="none"/>
              </w:rPr>
              <w:t>负责</w:t>
            </w:r>
            <w:r>
              <w:rPr>
                <w:rFonts w:hint="eastAsia" w:asciiTheme="majorEastAsia" w:hAnsiTheme="majorEastAsia" w:eastAsiaTheme="majorEastAsia" w:cstheme="majorEastAsia"/>
                <w:color w:val="auto"/>
                <w:sz w:val="21"/>
                <w:szCs w:val="21"/>
                <w:highlight w:val="none"/>
                <w:lang w:eastAsia="zh-CN"/>
              </w:rPr>
              <w:t>更换、维修</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position w:val="0"/>
                <w:sz w:val="21"/>
                <w:szCs w:val="21"/>
                <w:highlight w:val="none"/>
                <w:u w:val="none"/>
                <w:lang w:eastAsia="zh-CN"/>
              </w:rPr>
              <w:t>所有设备、</w:t>
            </w:r>
            <w:r>
              <w:rPr>
                <w:rFonts w:hint="eastAsia" w:asciiTheme="majorEastAsia" w:hAnsiTheme="majorEastAsia" w:eastAsiaTheme="majorEastAsia" w:cstheme="majorEastAsia"/>
                <w:color w:val="auto"/>
                <w:sz w:val="21"/>
                <w:szCs w:val="21"/>
                <w:highlight w:val="none"/>
              </w:rPr>
              <w:t>零配件</w:t>
            </w:r>
            <w:r>
              <w:rPr>
                <w:rFonts w:hint="eastAsia" w:asciiTheme="majorEastAsia" w:hAnsiTheme="majorEastAsia" w:eastAsiaTheme="majorEastAsia" w:cstheme="majorEastAsia"/>
                <w:color w:val="auto"/>
                <w:position w:val="0"/>
                <w:sz w:val="21"/>
                <w:szCs w:val="21"/>
                <w:highlight w:val="none"/>
                <w:u w:val="none"/>
                <w:lang w:val="en-US" w:eastAsia="zh-CN"/>
              </w:rPr>
              <w:t>由成交供应商负责</w:t>
            </w:r>
            <w:r>
              <w:rPr>
                <w:rFonts w:hint="eastAsia" w:asciiTheme="majorEastAsia" w:hAnsiTheme="majorEastAsia" w:eastAsiaTheme="majorEastAsia" w:cstheme="majorEastAsia"/>
                <w:color w:val="auto"/>
                <w:position w:val="0"/>
                <w:sz w:val="21"/>
                <w:szCs w:val="21"/>
                <w:highlight w:val="none"/>
                <w:u w:val="none"/>
                <w:lang w:eastAsia="zh-CN"/>
              </w:rPr>
              <w:t>送货上门、安装</w:t>
            </w:r>
            <w:r>
              <w:rPr>
                <w:rFonts w:hint="eastAsia" w:asciiTheme="majorEastAsia" w:hAnsiTheme="majorEastAsia" w:eastAsiaTheme="majorEastAsia" w:cstheme="majorEastAsia"/>
                <w:color w:val="auto"/>
                <w:position w:val="0"/>
                <w:sz w:val="21"/>
                <w:szCs w:val="21"/>
                <w:highlight w:val="none"/>
                <w:u w:val="none"/>
                <w:lang w:val="en-US" w:eastAsia="zh-CN"/>
              </w:rPr>
              <w:t>及</w:t>
            </w:r>
            <w:r>
              <w:rPr>
                <w:rFonts w:hint="eastAsia" w:asciiTheme="majorEastAsia" w:hAnsiTheme="majorEastAsia" w:eastAsiaTheme="majorEastAsia" w:cstheme="majorEastAsia"/>
                <w:color w:val="auto"/>
                <w:position w:val="0"/>
                <w:sz w:val="21"/>
                <w:szCs w:val="21"/>
                <w:highlight w:val="none"/>
                <w:u w:val="none"/>
                <w:lang w:eastAsia="zh-CN"/>
              </w:rPr>
              <w:t>调试。</w:t>
            </w:r>
          </w:p>
          <w:p w14:paraId="7EDC9FB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2" w:firstLineChars="200"/>
              <w:jc w:val="left"/>
              <w:textAlignment w:val="auto"/>
              <w:outlineLvl w:val="9"/>
              <w:rPr>
                <w:rFonts w:hint="eastAsia" w:asciiTheme="majorEastAsia" w:hAnsiTheme="majorEastAsia" w:eastAsiaTheme="majorEastAsia" w:cstheme="majorEastAsia"/>
                <w:color w:val="auto"/>
                <w:kern w:val="2"/>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故障响应时间</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kern w:val="0"/>
                <w:sz w:val="21"/>
                <w:szCs w:val="21"/>
                <w:highlight w:val="none"/>
                <w:lang w:val="en-US" w:eastAsia="zh-CN" w:bidi="ar-SA"/>
              </w:rPr>
              <w:t>设备出现损坏或故障时</w:t>
            </w:r>
            <w:r>
              <w:rPr>
                <w:rFonts w:hint="eastAsia" w:asciiTheme="majorEastAsia" w:hAnsiTheme="majorEastAsia" w:eastAsiaTheme="majorEastAsia" w:cstheme="majorEastAsia"/>
                <w:color w:val="auto"/>
                <w:kern w:val="2"/>
                <w:sz w:val="21"/>
                <w:szCs w:val="21"/>
                <w:highlight w:val="none"/>
              </w:rPr>
              <w:t>，</w:t>
            </w:r>
            <w:r>
              <w:rPr>
                <w:rFonts w:hint="eastAsia" w:asciiTheme="majorEastAsia" w:hAnsiTheme="majorEastAsia" w:eastAsiaTheme="majorEastAsia" w:cstheme="majorEastAsia"/>
                <w:color w:val="auto"/>
                <w:kern w:val="2"/>
                <w:sz w:val="21"/>
                <w:szCs w:val="21"/>
                <w:highlight w:val="none"/>
                <w:lang w:val="en-US" w:eastAsia="zh-CN"/>
              </w:rPr>
              <w:t>成交供应商</w:t>
            </w:r>
            <w:r>
              <w:rPr>
                <w:rFonts w:hint="eastAsia" w:asciiTheme="majorEastAsia" w:hAnsiTheme="majorEastAsia" w:eastAsiaTheme="majorEastAsia" w:cstheme="majorEastAsia"/>
                <w:color w:val="auto"/>
                <w:kern w:val="2"/>
                <w:sz w:val="21"/>
                <w:szCs w:val="21"/>
                <w:highlight w:val="none"/>
              </w:rPr>
              <w:t>在接到采购人电话通知后</w:t>
            </w:r>
            <w:r>
              <w:rPr>
                <w:rFonts w:hint="eastAsia" w:asciiTheme="majorEastAsia" w:hAnsiTheme="majorEastAsia" w:eastAsiaTheme="majorEastAsia" w:cstheme="majorEastAsia"/>
                <w:color w:val="auto"/>
                <w:kern w:val="2"/>
                <w:sz w:val="21"/>
                <w:szCs w:val="21"/>
                <w:highlight w:val="none"/>
                <w:lang w:val="en-US" w:eastAsia="zh-CN"/>
              </w:rPr>
              <w:t>2</w:t>
            </w:r>
            <w:r>
              <w:rPr>
                <w:rFonts w:hint="eastAsia" w:asciiTheme="majorEastAsia" w:hAnsiTheme="majorEastAsia" w:eastAsiaTheme="majorEastAsia" w:cstheme="majorEastAsia"/>
                <w:color w:val="auto"/>
                <w:kern w:val="2"/>
                <w:sz w:val="21"/>
                <w:szCs w:val="21"/>
                <w:highlight w:val="none"/>
              </w:rPr>
              <w:t>小时内有效响应（含电话指导、网上诊断协助排除故障等），当采购人设备出现严重</w:t>
            </w:r>
            <w:r>
              <w:rPr>
                <w:rFonts w:hint="eastAsia" w:asciiTheme="majorEastAsia" w:hAnsiTheme="majorEastAsia" w:eastAsiaTheme="majorEastAsia" w:cstheme="majorEastAsia"/>
                <w:color w:val="auto"/>
                <w:kern w:val="0"/>
                <w:sz w:val="21"/>
                <w:szCs w:val="21"/>
                <w:highlight w:val="none"/>
                <w:lang w:val="en-US" w:eastAsia="zh-CN" w:bidi="ar-SA"/>
              </w:rPr>
              <w:t>损坏或</w:t>
            </w:r>
            <w:r>
              <w:rPr>
                <w:rFonts w:hint="eastAsia" w:asciiTheme="majorEastAsia" w:hAnsiTheme="majorEastAsia" w:eastAsiaTheme="majorEastAsia" w:cstheme="majorEastAsia"/>
                <w:color w:val="auto"/>
                <w:kern w:val="2"/>
                <w:sz w:val="21"/>
                <w:szCs w:val="21"/>
                <w:highlight w:val="none"/>
              </w:rPr>
              <w:t>故障时，</w:t>
            </w:r>
            <w:r>
              <w:rPr>
                <w:rFonts w:hint="eastAsia" w:asciiTheme="majorEastAsia" w:hAnsiTheme="majorEastAsia" w:eastAsiaTheme="majorEastAsia" w:cstheme="majorEastAsia"/>
                <w:color w:val="auto"/>
                <w:kern w:val="2"/>
                <w:sz w:val="21"/>
                <w:szCs w:val="21"/>
                <w:highlight w:val="none"/>
                <w:lang w:val="en-US" w:eastAsia="zh-CN"/>
              </w:rPr>
              <w:t>成交供应商</w:t>
            </w:r>
            <w:r>
              <w:rPr>
                <w:rFonts w:hint="eastAsia" w:asciiTheme="majorEastAsia" w:hAnsiTheme="majorEastAsia" w:eastAsiaTheme="majorEastAsia" w:cstheme="majorEastAsia"/>
                <w:color w:val="auto"/>
                <w:kern w:val="2"/>
                <w:sz w:val="21"/>
                <w:szCs w:val="21"/>
                <w:highlight w:val="none"/>
              </w:rPr>
              <w:t>在接到采购人通知后，必须在</w:t>
            </w:r>
            <w:r>
              <w:rPr>
                <w:rFonts w:hint="eastAsia" w:asciiTheme="majorEastAsia" w:hAnsiTheme="majorEastAsia" w:eastAsiaTheme="majorEastAsia" w:cstheme="majorEastAsia"/>
                <w:color w:val="auto"/>
                <w:kern w:val="2"/>
                <w:sz w:val="21"/>
                <w:szCs w:val="21"/>
                <w:highlight w:val="none"/>
                <w:lang w:val="en-US" w:eastAsia="zh-CN"/>
              </w:rPr>
              <w:t>12</w:t>
            </w:r>
            <w:r>
              <w:rPr>
                <w:rFonts w:hint="eastAsia" w:asciiTheme="majorEastAsia" w:hAnsiTheme="majorEastAsia" w:eastAsiaTheme="majorEastAsia" w:cstheme="majorEastAsia"/>
                <w:color w:val="auto"/>
                <w:kern w:val="2"/>
                <w:sz w:val="21"/>
                <w:szCs w:val="21"/>
                <w:highlight w:val="none"/>
              </w:rPr>
              <w:t>小时内赶到现场检修，在24小时内修复不了的，出具书面报告给采购人，双方按实际情况协商修复时限</w:t>
            </w:r>
            <w:r>
              <w:rPr>
                <w:rFonts w:hint="eastAsia" w:asciiTheme="majorEastAsia" w:hAnsiTheme="majorEastAsia" w:eastAsiaTheme="majorEastAsia" w:cstheme="majorEastAsia"/>
                <w:color w:val="auto"/>
                <w:kern w:val="2"/>
                <w:sz w:val="21"/>
                <w:szCs w:val="21"/>
                <w:highlight w:val="none"/>
                <w:lang w:eastAsia="zh-CN"/>
              </w:rPr>
              <w:t>。</w:t>
            </w:r>
          </w:p>
          <w:p w14:paraId="63082490">
            <w:pPr>
              <w:keepNext w:val="0"/>
              <w:keepLines w:val="0"/>
              <w:pageBreakBefore w:val="0"/>
              <w:widowControl/>
              <w:numPr>
                <w:ilvl w:val="0"/>
                <w:numId w:val="0"/>
              </w:numPr>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lang w:eastAsia="zh-CN"/>
              </w:rPr>
              <w:t>质量保证期</w:t>
            </w:r>
            <w:r>
              <w:rPr>
                <w:rFonts w:hint="eastAsia" w:asciiTheme="majorEastAsia" w:hAnsiTheme="majorEastAsia" w:eastAsiaTheme="majorEastAsia" w:cstheme="majorEastAsia"/>
                <w:b w:val="0"/>
                <w:bCs w:val="0"/>
                <w:color w:val="auto"/>
                <w:sz w:val="21"/>
                <w:szCs w:val="21"/>
                <w:highlight w:val="none"/>
              </w:rPr>
              <w:t>外服务要求</w:t>
            </w:r>
          </w:p>
          <w:p w14:paraId="0DCE9203">
            <w:pPr>
              <w:keepNext w:val="0"/>
              <w:keepLines w:val="0"/>
              <w:pageBreakBefore w:val="0"/>
              <w:widowControl/>
              <w:numPr>
                <w:ilvl w:val="0"/>
                <w:numId w:val="0"/>
              </w:numPr>
              <w:kinsoku/>
              <w:wordWrap/>
              <w:overflowPunct/>
              <w:topLinePunct w:val="0"/>
              <w:bidi w:val="0"/>
              <w:adjustRightInd/>
              <w:snapToGri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成交供应商</w:t>
            </w:r>
            <w:r>
              <w:rPr>
                <w:rFonts w:hint="eastAsia" w:asciiTheme="majorEastAsia" w:hAnsiTheme="majorEastAsia" w:eastAsiaTheme="majorEastAsia" w:cstheme="majorEastAsia"/>
                <w:color w:val="auto"/>
                <w:sz w:val="21"/>
                <w:szCs w:val="21"/>
                <w:highlight w:val="none"/>
              </w:rPr>
              <w:t>应同样提供免费电话咨询服务。</w:t>
            </w:r>
          </w:p>
          <w:p w14:paraId="0B1275E1">
            <w:pPr>
              <w:keepNext w:val="0"/>
              <w:keepLines w:val="0"/>
              <w:pageBreakBefore w:val="0"/>
              <w:widowControl/>
              <w:numPr>
                <w:ilvl w:val="0"/>
                <w:numId w:val="0"/>
              </w:numPr>
              <w:kinsoku/>
              <w:wordWrap/>
              <w:overflowPunct/>
              <w:topLinePunct w:val="0"/>
              <w:bidi w:val="0"/>
              <w:adjustRightInd/>
              <w:spacing w:line="440" w:lineRule="exact"/>
              <w:ind w:left="0" w:leftChars="0" w:firstLine="420" w:firstLineChars="200"/>
              <w:jc w:val="left"/>
              <w:textAlignment w:val="auto"/>
              <w:outlineLvl w:val="9"/>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）若设备出现故障，需更换配件的，只收取配件费，免收其余费用</w:t>
            </w:r>
            <w:r>
              <w:rPr>
                <w:rFonts w:hint="eastAsia" w:asciiTheme="majorEastAsia" w:hAnsiTheme="majorEastAsia" w:eastAsiaTheme="majorEastAsia" w:cstheme="majorEastAsia"/>
                <w:color w:val="auto"/>
                <w:sz w:val="21"/>
                <w:szCs w:val="21"/>
                <w:highlight w:val="none"/>
              </w:rPr>
              <w:t>。</w:t>
            </w:r>
          </w:p>
          <w:p w14:paraId="39E569D0">
            <w:pPr>
              <w:keepNext w:val="0"/>
              <w:keepLines w:val="0"/>
              <w:pageBreakBefore w:val="0"/>
              <w:widowControl/>
              <w:kinsoku/>
              <w:wordWrap/>
              <w:overflowPunct/>
              <w:topLinePunct w:val="0"/>
              <w:bidi w:val="0"/>
              <w:adjustRightInd/>
              <w:spacing w:line="440" w:lineRule="exact"/>
              <w:ind w:firstLine="0" w:firstLineChars="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六、</w:t>
            </w:r>
            <w:r>
              <w:rPr>
                <w:rFonts w:hint="eastAsia" w:asciiTheme="majorEastAsia" w:hAnsiTheme="majorEastAsia" w:eastAsiaTheme="majorEastAsia" w:cstheme="majorEastAsia"/>
                <w:color w:val="auto"/>
                <w:sz w:val="21"/>
                <w:szCs w:val="21"/>
                <w:highlight w:val="none"/>
              </w:rPr>
              <w:t>其他要求：</w:t>
            </w:r>
          </w:p>
          <w:p w14:paraId="2A86FEC0">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.竞标总报价包含以下部分：</w:t>
            </w:r>
          </w:p>
          <w:p w14:paraId="37604E55">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（1）竞标货物的总价；</w:t>
            </w:r>
          </w:p>
          <w:p w14:paraId="75A950BB">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（2）货物的标准附件、备品备件、专用工具的价格；</w:t>
            </w:r>
          </w:p>
          <w:p w14:paraId="4077E8FD">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（3）运输、装卸、调试、验收、培训、保修、技术支持、检测费、售后服务等费用；</w:t>
            </w:r>
          </w:p>
          <w:p w14:paraId="1876868F">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（4）必要的保险费用和各项税费等，采购人不再支付其它任何费用；</w:t>
            </w:r>
          </w:p>
          <w:p w14:paraId="56025E62">
            <w:pPr>
              <w:keepNext w:val="0"/>
              <w:keepLines w:val="0"/>
              <w:pageBreakBefore w:val="0"/>
              <w:widowControl/>
              <w:kinsoku/>
              <w:wordWrap/>
              <w:overflowPunct/>
              <w:topLinePunct w:val="0"/>
              <w:bidi w:val="0"/>
              <w:adjustRightInd/>
              <w:spacing w:line="440" w:lineRule="exact"/>
              <w:ind w:firstLine="422"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付款方式：合同签订后 10 个工作日内支付合同总金额的 30%;交货后 10 个工作日内支付至合同总金额的60%:全部安装调试完毕并验收合格后20个工作日内支付至合同总金额的 100%,每次付款前必须提供相应金额的增值税普通发票。</w:t>
            </w:r>
          </w:p>
          <w:p w14:paraId="148DD07B">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3.其他</w:t>
            </w:r>
          </w:p>
          <w:p w14:paraId="57935896">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所有产品必须是全新、原装的，未使用过的产品。交货时，成交供应商和采购人应在现场进行清点，所有产品均严格按签订的政府采购合同、成交供应商响应和承诺的技术参数及性能和国家有关标准进行验收；清点过程中如果发现因包装或运输不当引起的设备外观或内部的损坏，成交供应商应负责更换；若发现错发/漏发情况，成交供应商应负责更换和补发；更换和补发后仍然达不到要求的不予验收，视为产品验收不合格，采购人可解除双方的供货合同。</w:t>
            </w:r>
          </w:p>
          <w:p w14:paraId="02230546">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（2）安装调试须严格执行国家有关的技术标准和本项目的要求，成交供应商自负施工人员、设备安全责任。</w:t>
            </w:r>
          </w:p>
          <w:p w14:paraId="43EC3CFF">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（3）根据采购人实际需要，免费为现场操作使用及维护人员提供培训直至能熟练操作。</w:t>
            </w:r>
          </w:p>
          <w:p w14:paraId="256382F2">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（4）成交供应商需定期派固定的技术人员到现场回访，了解整套设备的使用情况，并对主要设备进行检查和维护。</w:t>
            </w:r>
          </w:p>
          <w:p w14:paraId="6A88F740">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所有产品均严格按签订的政府采购合同执行、以</w:t>
            </w:r>
            <w:r>
              <w:rPr>
                <w:rFonts w:hint="eastAsia" w:asciiTheme="majorEastAsia" w:hAnsiTheme="majorEastAsia" w:eastAsiaTheme="majorEastAsia" w:cstheme="majorEastAsia"/>
                <w:color w:val="auto"/>
                <w:sz w:val="21"/>
                <w:szCs w:val="21"/>
                <w:highlight w:val="none"/>
                <w:lang w:eastAsia="zh-CN"/>
              </w:rPr>
              <w:t>响应文件</w:t>
            </w:r>
            <w:r>
              <w:rPr>
                <w:rFonts w:hint="eastAsia" w:asciiTheme="majorEastAsia" w:hAnsiTheme="majorEastAsia" w:eastAsiaTheme="majorEastAsia" w:cstheme="majorEastAsia"/>
                <w:color w:val="auto"/>
                <w:sz w:val="21"/>
                <w:szCs w:val="21"/>
                <w:highlight w:val="none"/>
              </w:rPr>
              <w:t>的技术参数及性能和国家强制标准进行验收；验收由</w:t>
            </w: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rPr>
              <w:t>、技术人员、采购人一同现场验收，达不到要求的不予验收，视为产品验收不合格，采购单位可解除双方的供货合同。</w:t>
            </w:r>
          </w:p>
          <w:p w14:paraId="25151C78">
            <w:pPr>
              <w:keepNext w:val="0"/>
              <w:keepLines w:val="0"/>
              <w:pageBreakBefore w:val="0"/>
              <w:widowControl/>
              <w:kinsoku/>
              <w:wordWrap/>
              <w:overflowPunct/>
              <w:topLinePunct w:val="0"/>
              <w:bidi w:val="0"/>
              <w:adjustRightInd/>
              <w:spacing w:line="440" w:lineRule="exact"/>
              <w:ind w:firstLine="422"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lang w:val="zh-CN"/>
              </w:rPr>
              <w:t>▲</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b/>
                <w:bCs/>
                <w:color w:val="auto"/>
                <w:sz w:val="21"/>
                <w:szCs w:val="21"/>
                <w:highlight w:val="none"/>
              </w:rPr>
              <w:t>为确保采购人的合法权益，</w:t>
            </w:r>
            <w:r>
              <w:rPr>
                <w:rFonts w:hint="eastAsia" w:asciiTheme="majorEastAsia" w:hAnsiTheme="majorEastAsia" w:eastAsiaTheme="majorEastAsia" w:cstheme="majorEastAsia"/>
                <w:b/>
                <w:bCs/>
                <w:color w:val="auto"/>
                <w:sz w:val="21"/>
                <w:szCs w:val="21"/>
                <w:highlight w:val="none"/>
                <w:lang w:eastAsia="zh-CN"/>
              </w:rPr>
              <w:t>成交供应商</w:t>
            </w:r>
            <w:r>
              <w:rPr>
                <w:rFonts w:hint="eastAsia" w:asciiTheme="majorEastAsia" w:hAnsiTheme="majorEastAsia" w:eastAsiaTheme="majorEastAsia" w:cstheme="majorEastAsia"/>
                <w:b/>
                <w:bCs/>
                <w:color w:val="auto"/>
                <w:sz w:val="21"/>
                <w:szCs w:val="21"/>
                <w:highlight w:val="none"/>
              </w:rPr>
              <w:t>必须配合采购人进行测试，采购人将对所提供产品参数的真实性和实际效果进行验证，通过测试方可验收。</w:t>
            </w:r>
            <w:r>
              <w:rPr>
                <w:rFonts w:hint="eastAsia" w:asciiTheme="majorEastAsia" w:hAnsiTheme="majorEastAsia" w:eastAsiaTheme="majorEastAsia" w:cstheme="majorEastAsia"/>
                <w:b/>
                <w:bCs/>
                <w:color w:val="auto"/>
                <w:sz w:val="21"/>
                <w:szCs w:val="21"/>
                <w:highlight w:val="none"/>
                <w:lang w:val="en-US" w:eastAsia="zh-CN"/>
              </w:rPr>
              <w:t>成交供应商必须在设备出厂前对设备进行100%满负载测试，100%满负载测试需连续运行4小时，每小时记录一次电压、电流、频率、水温、油温等关键数据；同时提供测试视频（测试视频需清晰拍摄设备运行状态、测试数据显示界面，时长不少于30分钟）和第三方检测机构出具的满负载测试报告，并且能配合采购人到设备生产厂家进行现场测试验货，否则采购人有权取消其成交资格。</w:t>
            </w:r>
            <w:r>
              <w:rPr>
                <w:rFonts w:hint="eastAsia" w:asciiTheme="majorEastAsia" w:hAnsiTheme="majorEastAsia" w:eastAsiaTheme="majorEastAsia" w:cstheme="majorEastAsia"/>
                <w:b/>
                <w:bCs/>
                <w:color w:val="auto"/>
                <w:sz w:val="21"/>
                <w:szCs w:val="21"/>
                <w:highlight w:val="none"/>
              </w:rPr>
              <w:t>在测试过程中如发现有虚假应答行为的，采购人将拒绝验收该产品并报政府采购有关管理部门。</w:t>
            </w:r>
          </w:p>
          <w:p w14:paraId="5FB0F638">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（7）供应商</w:t>
            </w:r>
            <w:r>
              <w:rPr>
                <w:rFonts w:hint="eastAsia" w:asciiTheme="majorEastAsia" w:hAnsiTheme="majorEastAsia" w:eastAsiaTheme="majorEastAsia" w:cstheme="majorEastAsia"/>
                <w:color w:val="auto"/>
                <w:sz w:val="21"/>
                <w:szCs w:val="21"/>
                <w:highlight w:val="none"/>
              </w:rPr>
              <w:t>提供的产品必须符合双方签订的采购合同要求，不许弄虚作假，否则一旦发现，即使设备已交付使用，采购人有权中止合同，无条件退货，且成交人还应赔偿采购人的相关损失。</w:t>
            </w:r>
          </w:p>
          <w:p w14:paraId="361512AA">
            <w:pPr>
              <w:pStyle w:val="23"/>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jc w:val="left"/>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8）包装和运输：①包装：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成交供应商承担；②运输方式：不限。</w:t>
            </w:r>
          </w:p>
        </w:tc>
      </w:tr>
      <w:tr w14:paraId="506C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66" w:type="dxa"/>
            <w:gridSpan w:val="3"/>
            <w:noWrap w:val="0"/>
            <w:tcMar>
              <w:top w:w="0" w:type="dxa"/>
              <w:left w:w="108" w:type="dxa"/>
              <w:bottom w:w="0" w:type="dxa"/>
              <w:right w:w="108" w:type="dxa"/>
            </w:tcMar>
            <w:vAlign w:val="center"/>
          </w:tcPr>
          <w:p w14:paraId="73A19691">
            <w:pPr>
              <w:keepNext w:val="0"/>
              <w:keepLines w:val="0"/>
              <w:pageBreakBefore w:val="0"/>
              <w:widowControl/>
              <w:kinsoku/>
              <w:wordWrap/>
              <w:overflowPunct/>
              <w:topLinePunct w:val="0"/>
              <w:bidi w:val="0"/>
              <w:adjustRightInd/>
              <w:spacing w:line="440" w:lineRule="exact"/>
              <w:ind w:firstLine="630" w:firstLineChars="300"/>
              <w:jc w:val="left"/>
              <w:textAlignment w:val="auto"/>
              <w:outlineLvl w:val="9"/>
              <w:rPr>
                <w:rFonts w:hint="eastAsia" w:asciiTheme="majorEastAsia" w:hAnsiTheme="majorEastAsia" w:eastAsiaTheme="majorEastAsia" w:cstheme="majorEastAsia"/>
                <w:i w:val="0"/>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rPr>
              <w:t>进口产品说明</w:t>
            </w:r>
          </w:p>
        </w:tc>
        <w:tc>
          <w:tcPr>
            <w:tcW w:w="6157" w:type="dxa"/>
            <w:gridSpan w:val="2"/>
            <w:noWrap w:val="0"/>
            <w:tcMar>
              <w:top w:w="0" w:type="dxa"/>
              <w:left w:w="108" w:type="dxa"/>
              <w:bottom w:w="0" w:type="dxa"/>
              <w:right w:w="108" w:type="dxa"/>
            </w:tcMar>
            <w:vAlign w:val="center"/>
          </w:tcPr>
          <w:p w14:paraId="75C447C0">
            <w:pPr>
              <w:keepNext w:val="0"/>
              <w:keepLines w:val="0"/>
              <w:pageBreakBefore w:val="0"/>
              <w:widowControl/>
              <w:kinsoku/>
              <w:wordWrap/>
              <w:overflowPunct/>
              <w:topLinePunct w:val="0"/>
              <w:bidi w:val="0"/>
              <w:adjustRightInd/>
              <w:spacing w:line="440" w:lineRule="exact"/>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 xml:space="preserve">本项目货物所涉及的货物不接受进口产品（即通过中国海关报关验放进入中国境内且产自关境外的产品）参与竞标，如有进口产品参与竞标的作无效标处理。 </w:t>
            </w:r>
          </w:p>
        </w:tc>
      </w:tr>
      <w:tr w14:paraId="51F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866" w:type="dxa"/>
            <w:gridSpan w:val="3"/>
            <w:noWrap w:val="0"/>
            <w:tcMar>
              <w:top w:w="0" w:type="dxa"/>
              <w:left w:w="108" w:type="dxa"/>
              <w:bottom w:w="0" w:type="dxa"/>
              <w:right w:w="108" w:type="dxa"/>
            </w:tcMar>
            <w:vAlign w:val="center"/>
          </w:tcPr>
          <w:p w14:paraId="3BC9E642">
            <w:pPr>
              <w:keepNext w:val="0"/>
              <w:keepLines w:val="0"/>
              <w:pageBreakBefore w:val="0"/>
              <w:kinsoku/>
              <w:wordWrap/>
              <w:overflowPunct/>
              <w:topLinePunct w:val="0"/>
              <w:bidi w:val="0"/>
              <w:adjustRightInd/>
              <w:spacing w:line="440" w:lineRule="exact"/>
              <w:jc w:val="center"/>
              <w:textAlignment w:val="auto"/>
              <w:outlineLvl w:val="9"/>
              <w:rPr>
                <w:rFonts w:hint="eastAsia" w:asciiTheme="majorEastAsia" w:hAnsiTheme="majorEastAsia" w:eastAsiaTheme="majorEastAsia" w:cstheme="majorEastAsia"/>
                <w:i w:val="0"/>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rPr>
              <w:t>▲验收方法及方案</w:t>
            </w:r>
          </w:p>
        </w:tc>
        <w:tc>
          <w:tcPr>
            <w:tcW w:w="6157" w:type="dxa"/>
            <w:gridSpan w:val="2"/>
            <w:noWrap w:val="0"/>
            <w:tcMar>
              <w:top w:w="0" w:type="dxa"/>
              <w:left w:w="108" w:type="dxa"/>
              <w:bottom w:w="0" w:type="dxa"/>
              <w:right w:w="108" w:type="dxa"/>
            </w:tcMar>
            <w:vAlign w:val="center"/>
          </w:tcPr>
          <w:p w14:paraId="307F692D">
            <w:pPr>
              <w:keepNext w:val="0"/>
              <w:keepLines w:val="0"/>
              <w:pageBreakBefore w:val="0"/>
              <w:kinsoku/>
              <w:wordWrap/>
              <w:overflowPunct/>
              <w:topLinePunct w:val="0"/>
              <w:bidi w:val="0"/>
              <w:adjustRightInd/>
              <w:snapToGrid w:val="0"/>
              <w:spacing w:line="440" w:lineRule="exact"/>
              <w:ind w:firstLine="0" w:firstLineChars="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一、</w:t>
            </w:r>
            <w:r>
              <w:rPr>
                <w:rFonts w:hint="eastAsia" w:asciiTheme="majorEastAsia" w:hAnsiTheme="majorEastAsia" w:eastAsiaTheme="majorEastAsia" w:cstheme="majorEastAsia"/>
                <w:color w:val="auto"/>
                <w:sz w:val="21"/>
                <w:szCs w:val="21"/>
                <w:highlight w:val="none"/>
              </w:rPr>
              <w:t>验收</w:t>
            </w:r>
            <w:r>
              <w:rPr>
                <w:rFonts w:hint="eastAsia" w:asciiTheme="majorEastAsia" w:hAnsiTheme="majorEastAsia" w:eastAsiaTheme="majorEastAsia" w:cstheme="majorEastAsia"/>
                <w:color w:val="auto"/>
                <w:sz w:val="21"/>
                <w:szCs w:val="21"/>
                <w:highlight w:val="none"/>
                <w:lang w:val="en-US" w:eastAsia="zh-CN"/>
              </w:rPr>
              <w:t>方法</w:t>
            </w:r>
            <w:r>
              <w:rPr>
                <w:rFonts w:hint="eastAsia" w:asciiTheme="majorEastAsia" w:hAnsiTheme="majorEastAsia" w:eastAsiaTheme="majorEastAsia" w:cstheme="majorEastAsia"/>
                <w:color w:val="auto"/>
                <w:sz w:val="21"/>
                <w:szCs w:val="21"/>
                <w:highlight w:val="none"/>
              </w:rPr>
              <w:t>。</w:t>
            </w:r>
          </w:p>
          <w:p w14:paraId="441CA096">
            <w:pPr>
              <w:keepNext w:val="0"/>
              <w:keepLines w:val="0"/>
              <w:pageBreakBefore w:val="0"/>
              <w:kinsoku/>
              <w:wordWrap/>
              <w:overflowPunct/>
              <w:topLinePunct w:val="0"/>
              <w:bidi w:val="0"/>
              <w:adjustRightInd/>
              <w:snapToGrid w:val="0"/>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验收活动开始前，由</w:t>
            </w: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rPr>
              <w:t>对本次项目履约情况作出全面检查和对验收需出具的文件进行整理，并列出清单。</w:t>
            </w:r>
          </w:p>
          <w:p w14:paraId="0AF26AA4">
            <w:pPr>
              <w:keepNext w:val="0"/>
              <w:keepLines w:val="0"/>
              <w:pageBreakBefore w:val="0"/>
              <w:kinsoku/>
              <w:wordWrap/>
              <w:overflowPunct/>
              <w:topLinePunct w:val="0"/>
              <w:bidi w:val="0"/>
              <w:adjustRightInd/>
              <w:snapToGrid w:val="0"/>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专家和采购人组成验收小组，</w:t>
            </w:r>
            <w:r>
              <w:rPr>
                <w:rFonts w:hint="eastAsia" w:asciiTheme="majorEastAsia" w:hAnsiTheme="majorEastAsia" w:eastAsiaTheme="majorEastAsia" w:cstheme="majorEastAsia"/>
                <w:color w:val="auto"/>
                <w:sz w:val="21"/>
                <w:szCs w:val="21"/>
                <w:highlight w:val="none"/>
                <w:lang w:eastAsia="zh-CN"/>
              </w:rPr>
              <w:t>成交</w:t>
            </w:r>
            <w:r>
              <w:rPr>
                <w:rFonts w:hint="eastAsia" w:asciiTheme="majorEastAsia" w:hAnsiTheme="majorEastAsia" w:eastAsiaTheme="majorEastAsia" w:cstheme="majorEastAsia"/>
                <w:color w:val="auto"/>
                <w:sz w:val="21"/>
                <w:szCs w:val="21"/>
                <w:highlight w:val="none"/>
              </w:rPr>
              <w:t>供应商委派至少1名授权代表，对合同履约情况进行全程协助验收。采购人需对整个验收活动的全过程进行跟踪、协作，协调解决验收过程中出现的有关问题。</w:t>
            </w:r>
          </w:p>
          <w:p w14:paraId="1ED20E44">
            <w:pPr>
              <w:keepNext w:val="0"/>
              <w:keepLines w:val="0"/>
              <w:pageBreakBefore w:val="0"/>
              <w:kinsoku/>
              <w:wordWrap/>
              <w:overflowPunct/>
              <w:topLinePunct w:val="0"/>
              <w:bidi w:val="0"/>
              <w:adjustRightInd/>
              <w:snapToGrid w:val="0"/>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根据</w:t>
            </w:r>
            <w:r>
              <w:rPr>
                <w:rFonts w:hint="eastAsia" w:asciiTheme="majorEastAsia" w:hAnsiTheme="majorEastAsia" w:eastAsiaTheme="majorEastAsia" w:cstheme="majorEastAsia"/>
                <w:color w:val="auto"/>
                <w:sz w:val="21"/>
                <w:szCs w:val="21"/>
                <w:highlight w:val="none"/>
                <w:lang w:val="en-US" w:eastAsia="zh-CN"/>
              </w:rPr>
              <w:t>采购</w:t>
            </w:r>
            <w:r>
              <w:rPr>
                <w:rFonts w:hint="eastAsia" w:asciiTheme="majorEastAsia" w:hAnsiTheme="majorEastAsia" w:eastAsiaTheme="majorEastAsia" w:cstheme="majorEastAsia"/>
                <w:color w:val="auto"/>
                <w:sz w:val="21"/>
                <w:szCs w:val="21"/>
                <w:highlight w:val="none"/>
              </w:rPr>
              <w:t>文件、</w:t>
            </w: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lang w:val="en-US" w:eastAsia="zh-CN"/>
              </w:rPr>
              <w:t>响应</w:t>
            </w:r>
            <w:r>
              <w:rPr>
                <w:rFonts w:hint="eastAsia" w:asciiTheme="majorEastAsia" w:hAnsiTheme="majorEastAsia" w:eastAsiaTheme="majorEastAsia" w:cstheme="majorEastAsia"/>
                <w:color w:val="auto"/>
                <w:sz w:val="21"/>
                <w:szCs w:val="21"/>
                <w:highlight w:val="none"/>
              </w:rPr>
              <w:t>文件、政府采购合同以及补充合同（如有）的有关要求，对该项目进行现场资料验收。</w:t>
            </w:r>
          </w:p>
          <w:p w14:paraId="73BD143B">
            <w:pPr>
              <w:keepNext w:val="0"/>
              <w:keepLines w:val="0"/>
              <w:pageBreakBefore w:val="0"/>
              <w:kinsoku/>
              <w:wordWrap/>
              <w:overflowPunct/>
              <w:topLinePunct w:val="0"/>
              <w:bidi w:val="0"/>
              <w:adjustRightInd/>
              <w:snapToGrid w:val="0"/>
              <w:spacing w:line="440" w:lineRule="exact"/>
              <w:ind w:firstLine="0" w:firstLineChars="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二</w:t>
            </w:r>
            <w:r>
              <w:rPr>
                <w:rFonts w:hint="eastAsia" w:asciiTheme="majorEastAsia" w:hAnsiTheme="majorEastAsia" w:eastAsiaTheme="majorEastAsia" w:cstheme="majorEastAsia"/>
                <w:color w:val="auto"/>
                <w:sz w:val="21"/>
                <w:szCs w:val="21"/>
                <w:highlight w:val="none"/>
              </w:rPr>
              <w:t>、验收内容</w:t>
            </w:r>
          </w:p>
          <w:p w14:paraId="4A381774">
            <w:pPr>
              <w:keepNext w:val="0"/>
              <w:keepLines w:val="0"/>
              <w:pageBreakBefore w:val="0"/>
              <w:kinsoku/>
              <w:wordWrap/>
              <w:overflowPunct/>
              <w:topLinePunct w:val="0"/>
              <w:bidi w:val="0"/>
              <w:adjustRightInd/>
              <w:snapToGrid w:val="0"/>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验收内容如下：</w:t>
            </w:r>
          </w:p>
          <w:p w14:paraId="66646F55">
            <w:pPr>
              <w:keepNext w:val="0"/>
              <w:keepLines w:val="0"/>
              <w:pageBreakBefore w:val="0"/>
              <w:kinsoku/>
              <w:wordWrap/>
              <w:overflowPunct/>
              <w:topLinePunct w:val="0"/>
              <w:bidi w:val="0"/>
              <w:adjustRightInd/>
              <w:snapToGrid w:val="0"/>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rPr>
              <w:t>提供原始记录、核查过程质量控制等档案资料，确保原始记录信息完整，可以溯源。以上档案资料按照对应验收期次提交。</w:t>
            </w:r>
          </w:p>
          <w:p w14:paraId="0B2263ED">
            <w:pPr>
              <w:keepNext w:val="0"/>
              <w:keepLines w:val="0"/>
              <w:pageBreakBefore w:val="0"/>
              <w:kinsoku/>
              <w:wordWrap/>
              <w:overflowPunct/>
              <w:topLinePunct w:val="0"/>
              <w:bidi w:val="0"/>
              <w:adjustRightInd/>
              <w:snapToGrid w:val="0"/>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2.采购</w:t>
            </w:r>
            <w:r>
              <w:rPr>
                <w:rFonts w:hint="eastAsia" w:asciiTheme="majorEastAsia" w:hAnsiTheme="majorEastAsia" w:eastAsiaTheme="majorEastAsia" w:cstheme="majorEastAsia"/>
                <w:color w:val="auto"/>
                <w:sz w:val="21"/>
                <w:szCs w:val="21"/>
                <w:highlight w:val="none"/>
              </w:rPr>
              <w:t>文件、</w:t>
            </w: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lang w:val="en-US" w:eastAsia="zh-CN"/>
              </w:rPr>
              <w:t>响应</w:t>
            </w:r>
            <w:r>
              <w:rPr>
                <w:rFonts w:hint="eastAsia" w:asciiTheme="majorEastAsia" w:hAnsiTheme="majorEastAsia" w:eastAsiaTheme="majorEastAsia" w:cstheme="majorEastAsia"/>
                <w:color w:val="auto"/>
                <w:sz w:val="21"/>
                <w:szCs w:val="21"/>
                <w:highlight w:val="none"/>
              </w:rPr>
              <w:t>文件、政府采购合同以及补充合同（如有）中要求的内容。</w:t>
            </w:r>
          </w:p>
          <w:p w14:paraId="6DF2539B">
            <w:pPr>
              <w:keepNext w:val="0"/>
              <w:keepLines w:val="0"/>
              <w:pageBreakBefore w:val="0"/>
              <w:kinsoku/>
              <w:wordWrap/>
              <w:overflowPunct/>
              <w:topLinePunct w:val="0"/>
              <w:bidi w:val="0"/>
              <w:adjustRightInd/>
              <w:snapToGrid w:val="0"/>
              <w:spacing w:line="440" w:lineRule="exact"/>
              <w:ind w:firstLine="0" w:firstLineChars="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三、</w:t>
            </w:r>
            <w:r>
              <w:rPr>
                <w:rFonts w:hint="eastAsia" w:asciiTheme="majorEastAsia" w:hAnsiTheme="majorEastAsia" w:eastAsiaTheme="majorEastAsia" w:cstheme="majorEastAsia"/>
                <w:color w:val="auto"/>
                <w:sz w:val="21"/>
                <w:szCs w:val="21"/>
                <w:highlight w:val="none"/>
              </w:rPr>
              <w:t>验收标准</w:t>
            </w:r>
          </w:p>
          <w:p w14:paraId="36D7A810">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验收标准包括所有客观、量化指标。不能明确客观标准、涉及主观判断的，由采购人和验收小组通过内部商定，转化为客观、量化的验收标准。</w:t>
            </w:r>
          </w:p>
          <w:p w14:paraId="6B6C543B">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验收过程中所产生的一切费用均由</w:t>
            </w: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rPr>
              <w:t>承担。报价时应考虑相关费用。</w:t>
            </w:r>
          </w:p>
          <w:p w14:paraId="41C428B1">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rPr>
              <w:t>在</w:t>
            </w: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验收时由采购人对照采购文件的功能目标及技术指标全面核对检验</w:t>
            </w:r>
            <w:r>
              <w:rPr>
                <w:rFonts w:hint="eastAsia" w:asciiTheme="majorEastAsia" w:hAnsiTheme="majorEastAsia" w:eastAsiaTheme="majorEastAsia" w:cstheme="majorEastAsia"/>
                <w:color w:val="auto"/>
                <w:sz w:val="21"/>
                <w:szCs w:val="21"/>
                <w:highlight w:val="none"/>
                <w:lang w:val="en-US" w:eastAsia="zh-CN"/>
              </w:rPr>
              <w:t>或检测</w:t>
            </w:r>
            <w:r>
              <w:rPr>
                <w:rFonts w:hint="eastAsia" w:asciiTheme="majorEastAsia" w:hAnsiTheme="majorEastAsia" w:eastAsiaTheme="majorEastAsia" w:cstheme="majorEastAsia"/>
                <w:color w:val="auto"/>
                <w:sz w:val="21"/>
                <w:szCs w:val="21"/>
                <w:highlight w:val="none"/>
              </w:rPr>
              <w:t>，对所有要求出具的证明文件的原件进行核查，如不符合采购文件的技术需求及要求以及提供虚假承诺的，按相关规定做不接收服务处理及违约处理，</w:t>
            </w: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rPr>
              <w:t>承担所有责任和费用，采购人保留进一步追究责任的权利。</w:t>
            </w:r>
          </w:p>
          <w:p w14:paraId="683A7929">
            <w:pPr>
              <w:keepNext w:val="0"/>
              <w:keepLines w:val="0"/>
              <w:pageBreakBefore w:val="0"/>
              <w:widowControl/>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合同条款有约定按其约定。</w:t>
            </w:r>
          </w:p>
          <w:p w14:paraId="0680FA74">
            <w:pPr>
              <w:keepNext w:val="0"/>
              <w:keepLines w:val="0"/>
              <w:pageBreakBefore w:val="0"/>
              <w:kinsoku/>
              <w:wordWrap/>
              <w:overflowPunct/>
              <w:topLinePunct w:val="0"/>
              <w:bidi w:val="0"/>
              <w:adjustRightInd/>
              <w:snapToGrid w:val="0"/>
              <w:spacing w:line="440" w:lineRule="exact"/>
              <w:ind w:firstLine="0" w:firstLineChars="0"/>
              <w:jc w:val="left"/>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四</w:t>
            </w:r>
            <w:r>
              <w:rPr>
                <w:rFonts w:hint="eastAsia" w:asciiTheme="majorEastAsia" w:hAnsiTheme="majorEastAsia" w:eastAsiaTheme="majorEastAsia" w:cstheme="majorEastAsia"/>
                <w:color w:val="auto"/>
                <w:sz w:val="21"/>
                <w:szCs w:val="21"/>
                <w:highlight w:val="none"/>
              </w:rPr>
              <w:t>、验收其他要求</w:t>
            </w:r>
          </w:p>
          <w:p w14:paraId="3425A207">
            <w:pPr>
              <w:keepNext w:val="0"/>
              <w:keepLines w:val="0"/>
              <w:pageBreakBefore w:val="0"/>
              <w:kinsoku/>
              <w:wordWrap/>
              <w:overflowPunct/>
              <w:topLinePunct w:val="0"/>
              <w:bidi w:val="0"/>
              <w:adjustRightInd/>
              <w:spacing w:line="440" w:lineRule="exact"/>
              <w:ind w:firstLine="420" w:firstLineChars="200"/>
              <w:jc w:val="left"/>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因验收不合格导致多次验收所产生的费用均由该项目</w:t>
            </w: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rPr>
              <w:t>或认定的责任方承担。</w:t>
            </w:r>
          </w:p>
        </w:tc>
      </w:tr>
    </w:tbl>
    <w:p w14:paraId="4FA05DFC">
      <w:pPr>
        <w:pStyle w:val="26"/>
        <w:ind w:left="0" w:leftChars="0" w:firstLine="0" w:firstLineChars="0"/>
        <w:rPr>
          <w:rFonts w:hint="eastAsia"/>
          <w:color w:val="auto"/>
          <w:highlight w:val="none"/>
          <w:lang w:val="en-US" w:eastAsia="zh-CN"/>
        </w:rPr>
      </w:pPr>
    </w:p>
    <w:p w14:paraId="242A1FB9">
      <w:pPr>
        <w:rPr>
          <w:rFonts w:hint="eastAsia"/>
          <w:color w:val="auto"/>
          <w:highlight w:val="none"/>
          <w:lang w:val="en-US" w:eastAsia="zh-CN"/>
        </w:rPr>
      </w:pPr>
    </w:p>
    <w:p w14:paraId="2D21FBF1">
      <w:pPr>
        <w:rPr>
          <w:rFonts w:hint="eastAsia"/>
          <w:color w:val="auto"/>
          <w:highlight w:val="none"/>
          <w:lang w:val="en-US" w:eastAsia="zh-CN"/>
        </w:rPr>
      </w:pPr>
    </w:p>
    <w:p w14:paraId="7BBEFB38">
      <w:pPr>
        <w:pStyle w:val="2"/>
        <w:rPr>
          <w:rFonts w:hint="eastAsia"/>
          <w:color w:val="auto"/>
          <w:highlight w:val="none"/>
          <w:lang w:val="en-US" w:eastAsia="zh-CN"/>
        </w:rPr>
      </w:pPr>
    </w:p>
    <w:p w14:paraId="227E614A">
      <w:pPr>
        <w:rPr>
          <w:rFonts w:hint="eastAsia"/>
          <w:color w:val="auto"/>
          <w:highlight w:val="none"/>
          <w:lang w:val="en-US" w:eastAsia="zh-CN"/>
        </w:rPr>
      </w:pPr>
    </w:p>
    <w:p w14:paraId="26028FDF">
      <w:pPr>
        <w:pStyle w:val="2"/>
        <w:rPr>
          <w:rFonts w:hint="eastAsia"/>
          <w:color w:val="auto"/>
          <w:highlight w:val="none"/>
          <w:lang w:val="en-US" w:eastAsia="zh-CN"/>
        </w:rPr>
      </w:pPr>
    </w:p>
    <w:p w14:paraId="3A2445D3">
      <w:pPr>
        <w:pStyle w:val="12"/>
        <w:jc w:val="left"/>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hint="eastAsia" w:ascii="微软雅黑" w:hAnsi="微软雅黑" w:eastAsia="微软雅黑" w:cs="微软雅黑"/>
          <w:color w:val="auto"/>
          <w:sz w:val="32"/>
          <w:szCs w:val="32"/>
          <w:highlight w:val="none"/>
          <w:lang w:val="en-US" w:eastAsia="zh-CN"/>
        </w:rPr>
        <w:t>3</w:t>
      </w:r>
      <w:r>
        <w:rPr>
          <w:rFonts w:hint="eastAsia" w:ascii="微软雅黑" w:hAnsi="微软雅黑" w:eastAsia="微软雅黑" w:cs="微软雅黑"/>
          <w:color w:val="auto"/>
          <w:sz w:val="32"/>
          <w:szCs w:val="32"/>
          <w:highlight w:val="none"/>
        </w:rPr>
        <w:t>：</w:t>
      </w:r>
    </w:p>
    <w:p w14:paraId="4415A6D0">
      <w:pPr>
        <w:spacing w:line="528" w:lineRule="exact"/>
        <w:ind w:left="1871" w:firstLine="2000" w:firstLineChars="5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464E97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219B5D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505CA9BC">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5F69031">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8FEA193">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569D9EF">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127068BB">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6B77A9C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5B7444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2FEE57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530BF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57FE5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65B355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F92AD8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2BDD1D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B6B91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13C769F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A682E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A8BB8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B88E13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5A685D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5E8FB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B26E83">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3EEE4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C18C1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F719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750F2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1FF0581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5DAF8F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855F8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91AC42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3C3E46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175CE3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19B19AE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44B85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32B901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D53FD8F">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96C79E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EB2D4E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4FDE3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408B659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713DEA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1F090A1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09990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0C15D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83CB11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5250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24A76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4F84FB0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0D7EB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44DCCC">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8B5ED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A020C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64209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4D851DA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027BD7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253F5B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BDF9A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B855D3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555B67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59B2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55494CB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0437A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D461E5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A642BA">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3E15C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6E1C4C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46A0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2F00C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71521FA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B8094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E24B4A">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F1A939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FE9F51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44952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25938E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D3D6CD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24384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61EE20">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D98B3B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3F0C9E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04B6C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3D6A1E2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B5773E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6D573F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49CF9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9CBCFE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232967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38916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0E63DB5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7ABA2A0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74A6C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56DE44">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F7A91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52EB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ECB3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6AB0657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C20012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13359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B4463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AAAF56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0199F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F39361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FDA900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C3C22C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6F17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40C0AE1">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6A052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343C02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70FF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E80EC3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9F6B48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467FC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D246B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607B418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72373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F934C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1C191E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94482B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2B423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A8A6FC">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B91D8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14D9DA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353A3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4983F3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4EA656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569FD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BFD44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70178F1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098B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7E00D4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96C3EC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692B43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27F97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AC7868">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E31BB9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4D58E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1B624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9CB76B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01604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B81CF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D5304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23EAF0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3483C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7DC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22289DD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CD65B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0A7B1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6CCB7">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33F944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D9153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1755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0FC32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14B44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66D73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2D3C4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34AA4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C87C45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2E182C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BE1A45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05A8E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A5FCB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C0B7FF">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EAF9D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CA341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3543D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6CF9157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B91B9E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5C3450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93141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7321B1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CFA10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E1830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75BE8E5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78910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2E6978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7739CC">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E9CD48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8BFCDD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8ED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A6E766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23D40D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479F9E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53AA9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4BF4D17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6795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9FB65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75C7FE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86FB47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7B739DA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27EB9F">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2CF8A6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3A670E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24C95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5608D8D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F27FA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702A96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8CCF1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A83BE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9899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4C6CF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D7B81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FCD6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FD679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A362CD">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149EF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586D68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2EFA5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7C71EC1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A7294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CA4409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9D3CA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BCC658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BC44F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6844A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268657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017D52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4AFC37C3">
      <w:pPr>
        <w:pStyle w:val="12"/>
        <w:snapToGrid w:val="0"/>
        <w:spacing w:line="360" w:lineRule="auto"/>
        <w:rPr>
          <w:rFonts w:hint="eastAsia" w:ascii="黑体" w:hAnsi="黑体" w:eastAsia="黑体" w:cs="黑体"/>
          <w:bCs/>
          <w:color w:val="auto"/>
          <w:sz w:val="21"/>
          <w:szCs w:val="21"/>
          <w:highlight w:val="none"/>
        </w:rPr>
      </w:pPr>
    </w:p>
    <w:p w14:paraId="50D70370">
      <w:pPr>
        <w:pStyle w:val="12"/>
        <w:snapToGrid w:val="0"/>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D55A239">
      <w:pPr>
        <w:pStyle w:val="26"/>
        <w:ind w:left="0" w:leftChars="0" w:firstLine="0" w:firstLineChars="0"/>
        <w:jc w:val="both"/>
        <w:outlineLvl w:val="0"/>
        <w:rPr>
          <w:rFonts w:hint="eastAsia"/>
          <w:color w:val="auto"/>
          <w:highlight w:val="none"/>
          <w:lang w:val="en-US" w:eastAsia="zh-CN"/>
        </w:rPr>
      </w:pPr>
    </w:p>
    <w:p w14:paraId="1C1CAEF1">
      <w:pPr>
        <w:spacing w:line="428" w:lineRule="exact"/>
        <w:rPr>
          <w:rFonts w:hint="eastAsia" w:ascii="微软雅黑" w:hAnsi="微软雅黑" w:eastAsia="微软雅黑" w:cs="微软雅黑"/>
          <w:color w:val="auto"/>
          <w:sz w:val="32"/>
          <w:szCs w:val="32"/>
          <w:highlight w:val="none"/>
        </w:rPr>
      </w:pPr>
    </w:p>
    <w:p w14:paraId="24453AFA">
      <w:pPr>
        <w:spacing w:line="428" w:lineRule="exact"/>
        <w:rPr>
          <w:rFonts w:hint="eastAsia" w:ascii="微软雅黑" w:hAnsi="微软雅黑" w:eastAsia="微软雅黑" w:cs="微软雅黑"/>
          <w:color w:val="auto"/>
          <w:sz w:val="32"/>
          <w:szCs w:val="32"/>
          <w:highlight w:val="none"/>
        </w:rPr>
      </w:pPr>
    </w:p>
    <w:p w14:paraId="5E5EDDD9">
      <w:pPr>
        <w:pStyle w:val="2"/>
        <w:rPr>
          <w:rFonts w:hint="eastAsia" w:ascii="微软雅黑" w:hAnsi="微软雅黑" w:eastAsia="微软雅黑" w:cs="微软雅黑"/>
          <w:color w:val="auto"/>
          <w:sz w:val="32"/>
          <w:szCs w:val="32"/>
          <w:highlight w:val="none"/>
        </w:rPr>
      </w:pPr>
    </w:p>
    <w:p w14:paraId="3846FFA2">
      <w:pPr>
        <w:rPr>
          <w:rFonts w:hint="eastAsia"/>
          <w:color w:val="auto"/>
          <w:highlight w:val="none"/>
        </w:rPr>
      </w:pPr>
    </w:p>
    <w:p w14:paraId="790C666D">
      <w:pPr>
        <w:spacing w:line="428" w:lineRule="exact"/>
        <w:rPr>
          <w:rFonts w:hint="eastAsia" w:ascii="微软雅黑" w:hAnsi="微软雅黑" w:eastAsia="微软雅黑" w:cs="微软雅黑"/>
          <w:color w:val="auto"/>
          <w:sz w:val="32"/>
          <w:szCs w:val="32"/>
          <w:highlight w:val="none"/>
        </w:rPr>
      </w:pPr>
    </w:p>
    <w:p w14:paraId="78AFBAEE">
      <w:pPr>
        <w:spacing w:line="428" w:lineRule="exact"/>
        <w:rPr>
          <w:rFonts w:hint="eastAsia" w:ascii="微软雅黑" w:hAnsi="微软雅黑" w:eastAsia="微软雅黑" w:cs="微软雅黑"/>
          <w:color w:val="auto"/>
          <w:sz w:val="32"/>
          <w:szCs w:val="32"/>
          <w:highlight w:val="none"/>
        </w:rPr>
      </w:pPr>
    </w:p>
    <w:p w14:paraId="70C556CD">
      <w:pPr>
        <w:spacing w:line="428" w:lineRule="exact"/>
        <w:rPr>
          <w:rFonts w:hint="eastAsia"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r>
        <w:rPr>
          <w:rFonts w:hint="eastAsia" w:ascii="微软雅黑" w:hAnsi="微软雅黑" w:eastAsia="微软雅黑" w:cs="微软雅黑"/>
          <w:color w:val="auto"/>
          <w:sz w:val="32"/>
          <w:szCs w:val="32"/>
          <w:highlight w:val="none"/>
          <w:lang w:val="en-US" w:eastAsia="zh-CN"/>
        </w:rPr>
        <w:t>4</w:t>
      </w:r>
      <w:r>
        <w:rPr>
          <w:rFonts w:hint="eastAsia" w:ascii="微软雅黑" w:hAnsi="微软雅黑" w:eastAsia="微软雅黑" w:cs="微软雅黑"/>
          <w:color w:val="auto"/>
          <w:sz w:val="32"/>
          <w:szCs w:val="32"/>
          <w:highlight w:val="none"/>
        </w:rPr>
        <w:t>：</w:t>
      </w:r>
    </w:p>
    <w:p w14:paraId="2231A666">
      <w:pPr>
        <w:spacing w:line="528" w:lineRule="exact"/>
        <w:ind w:left="1871"/>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19"/>
        <w:tblW w:w="9558" w:type="dxa"/>
        <w:tblInd w:w="93" w:type="dxa"/>
        <w:tblLayout w:type="autofit"/>
        <w:tblCellMar>
          <w:top w:w="0" w:type="dxa"/>
          <w:left w:w="108" w:type="dxa"/>
          <w:bottom w:w="0" w:type="dxa"/>
          <w:right w:w="108" w:type="dxa"/>
        </w:tblCellMar>
      </w:tblPr>
      <w:tblGrid>
        <w:gridCol w:w="664"/>
        <w:gridCol w:w="1157"/>
        <w:gridCol w:w="1571"/>
        <w:gridCol w:w="1672"/>
        <w:gridCol w:w="4494"/>
      </w:tblGrid>
      <w:tr w14:paraId="39C7C972">
        <w:tblPrEx>
          <w:tblCellMar>
            <w:top w:w="0" w:type="dxa"/>
            <w:left w:w="108" w:type="dxa"/>
            <w:bottom w:w="0" w:type="dxa"/>
            <w:right w:w="108" w:type="dxa"/>
          </w:tblCellMar>
        </w:tblPrEx>
        <w:trPr>
          <w:trHeight w:val="1264" w:hRule="atLeast"/>
        </w:trPr>
        <w:tc>
          <w:tcPr>
            <w:tcW w:w="664" w:type="dxa"/>
            <w:tcBorders>
              <w:top w:val="single" w:color="000000" w:sz="8" w:space="0"/>
              <w:left w:val="single" w:color="000000" w:sz="8" w:space="0"/>
              <w:bottom w:val="single" w:color="000000" w:sz="8" w:space="0"/>
              <w:right w:val="single" w:color="000000" w:sz="8" w:space="0"/>
            </w:tcBorders>
            <w:noWrap w:val="0"/>
            <w:vAlign w:val="top"/>
          </w:tcPr>
          <w:p w14:paraId="7FBB5F24">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400" w:type="dxa"/>
            <w:gridSpan w:val="3"/>
            <w:tcBorders>
              <w:top w:val="single" w:color="000000" w:sz="8" w:space="0"/>
              <w:left w:val="nil"/>
              <w:bottom w:val="single" w:color="000000" w:sz="8" w:space="0"/>
              <w:right w:val="single" w:color="000000" w:sz="8" w:space="0"/>
            </w:tcBorders>
            <w:noWrap w:val="0"/>
            <w:vAlign w:val="center"/>
          </w:tcPr>
          <w:p w14:paraId="4CEAD0BB">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494" w:type="dxa"/>
            <w:tcBorders>
              <w:top w:val="single" w:color="000000" w:sz="8" w:space="0"/>
              <w:left w:val="nil"/>
              <w:bottom w:val="single" w:color="000000" w:sz="8" w:space="0"/>
              <w:right w:val="single" w:color="000000" w:sz="8" w:space="0"/>
            </w:tcBorders>
            <w:noWrap w:val="0"/>
            <w:vAlign w:val="center"/>
          </w:tcPr>
          <w:p w14:paraId="49234804">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78C56F3D">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5BADD8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53CE6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71" w:type="dxa"/>
            <w:tcBorders>
              <w:top w:val="nil"/>
              <w:left w:val="nil"/>
              <w:bottom w:val="single" w:color="000000" w:sz="8" w:space="0"/>
              <w:right w:val="single" w:color="000000" w:sz="8" w:space="0"/>
            </w:tcBorders>
            <w:noWrap w:val="0"/>
            <w:vAlign w:val="center"/>
          </w:tcPr>
          <w:p w14:paraId="2FAF39A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72" w:type="dxa"/>
            <w:tcBorders>
              <w:top w:val="nil"/>
              <w:left w:val="nil"/>
              <w:bottom w:val="single" w:color="000000" w:sz="8" w:space="0"/>
              <w:right w:val="single" w:color="000000" w:sz="8" w:space="0"/>
            </w:tcBorders>
            <w:noWrap w:val="0"/>
            <w:vAlign w:val="center"/>
          </w:tcPr>
          <w:p w14:paraId="79F6462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4D08A2F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06C0D1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F46665">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43493C">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474AD0E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72" w:type="dxa"/>
            <w:tcBorders>
              <w:top w:val="nil"/>
              <w:left w:val="nil"/>
              <w:bottom w:val="single" w:color="000000" w:sz="8" w:space="0"/>
              <w:right w:val="single" w:color="000000" w:sz="8" w:space="0"/>
            </w:tcBorders>
            <w:noWrap w:val="0"/>
            <w:vAlign w:val="center"/>
          </w:tcPr>
          <w:p w14:paraId="592BF2F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46C50E9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37F785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2DD09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C04460">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53FF4F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72" w:type="dxa"/>
            <w:tcBorders>
              <w:top w:val="nil"/>
              <w:left w:val="nil"/>
              <w:bottom w:val="single" w:color="000000" w:sz="8" w:space="0"/>
              <w:right w:val="single" w:color="000000" w:sz="8" w:space="0"/>
            </w:tcBorders>
            <w:noWrap w:val="0"/>
            <w:vAlign w:val="center"/>
          </w:tcPr>
          <w:p w14:paraId="1788C4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75F7705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0E1557A">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353511D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CFA1F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184248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72" w:type="dxa"/>
            <w:tcBorders>
              <w:top w:val="nil"/>
              <w:left w:val="nil"/>
              <w:bottom w:val="single" w:color="000000" w:sz="8" w:space="0"/>
              <w:right w:val="single" w:color="000000" w:sz="8" w:space="0"/>
            </w:tcBorders>
            <w:noWrap w:val="0"/>
            <w:vAlign w:val="center"/>
          </w:tcPr>
          <w:p w14:paraId="0A6E21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494" w:type="dxa"/>
            <w:tcBorders>
              <w:top w:val="nil"/>
              <w:left w:val="nil"/>
              <w:bottom w:val="single" w:color="000000" w:sz="8" w:space="0"/>
              <w:right w:val="single" w:color="000000" w:sz="8" w:space="0"/>
            </w:tcBorders>
            <w:noWrap w:val="0"/>
            <w:vAlign w:val="center"/>
          </w:tcPr>
          <w:p w14:paraId="3730C5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1CD6E16">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3EF84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FFDE2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A9A1A">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1F6CA57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494" w:type="dxa"/>
            <w:tcBorders>
              <w:top w:val="nil"/>
              <w:left w:val="nil"/>
              <w:bottom w:val="single" w:color="000000" w:sz="8" w:space="0"/>
              <w:right w:val="single" w:color="000000" w:sz="8" w:space="0"/>
            </w:tcBorders>
            <w:noWrap w:val="0"/>
            <w:vAlign w:val="center"/>
          </w:tcPr>
          <w:p w14:paraId="6AEB302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5F3189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2E240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BE6E42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505977">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0ABEEC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494" w:type="dxa"/>
            <w:tcBorders>
              <w:top w:val="nil"/>
              <w:left w:val="nil"/>
              <w:bottom w:val="single" w:color="000000" w:sz="8" w:space="0"/>
              <w:right w:val="single" w:color="000000" w:sz="8" w:space="0"/>
            </w:tcBorders>
            <w:noWrap w:val="0"/>
            <w:vAlign w:val="center"/>
          </w:tcPr>
          <w:p w14:paraId="10E743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7174CD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D817D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CFEB18">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72FCFC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72" w:type="dxa"/>
            <w:tcBorders>
              <w:top w:val="nil"/>
              <w:left w:val="nil"/>
              <w:bottom w:val="single" w:color="000000" w:sz="8" w:space="0"/>
              <w:right w:val="single" w:color="000000" w:sz="8" w:space="0"/>
            </w:tcBorders>
            <w:noWrap w:val="0"/>
            <w:vAlign w:val="center"/>
          </w:tcPr>
          <w:p w14:paraId="023ED7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494" w:type="dxa"/>
            <w:tcBorders>
              <w:top w:val="nil"/>
              <w:left w:val="nil"/>
              <w:bottom w:val="single" w:color="000000" w:sz="8" w:space="0"/>
              <w:right w:val="single" w:color="000000" w:sz="8" w:space="0"/>
            </w:tcBorders>
            <w:noWrap w:val="0"/>
            <w:vAlign w:val="center"/>
          </w:tcPr>
          <w:p w14:paraId="015D7D1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46E3A977">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C62C7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26053B">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1CCC4D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72" w:type="dxa"/>
            <w:tcBorders>
              <w:top w:val="nil"/>
              <w:left w:val="nil"/>
              <w:bottom w:val="single" w:color="000000" w:sz="8" w:space="0"/>
              <w:right w:val="single" w:color="000000" w:sz="8" w:space="0"/>
            </w:tcBorders>
            <w:noWrap w:val="0"/>
            <w:vAlign w:val="center"/>
          </w:tcPr>
          <w:p w14:paraId="02E6072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494" w:type="dxa"/>
            <w:tcBorders>
              <w:top w:val="nil"/>
              <w:left w:val="nil"/>
              <w:bottom w:val="single" w:color="000000" w:sz="8" w:space="0"/>
              <w:right w:val="single" w:color="000000" w:sz="8" w:space="0"/>
            </w:tcBorders>
            <w:noWrap w:val="0"/>
            <w:vAlign w:val="center"/>
          </w:tcPr>
          <w:p w14:paraId="64CC57B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E80A549">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353703F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57" w:type="dxa"/>
            <w:tcBorders>
              <w:top w:val="nil"/>
              <w:left w:val="nil"/>
              <w:bottom w:val="single" w:color="000000" w:sz="8" w:space="0"/>
              <w:right w:val="single" w:color="000000" w:sz="8" w:space="0"/>
            </w:tcBorders>
            <w:noWrap w:val="0"/>
            <w:vAlign w:val="center"/>
          </w:tcPr>
          <w:p w14:paraId="18CCE6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71" w:type="dxa"/>
            <w:tcBorders>
              <w:top w:val="nil"/>
              <w:left w:val="nil"/>
              <w:bottom w:val="single" w:color="000000" w:sz="8" w:space="0"/>
              <w:right w:val="single" w:color="000000" w:sz="8" w:space="0"/>
            </w:tcBorders>
            <w:noWrap w:val="0"/>
            <w:vAlign w:val="center"/>
          </w:tcPr>
          <w:p w14:paraId="787B52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72" w:type="dxa"/>
            <w:tcBorders>
              <w:top w:val="nil"/>
              <w:left w:val="nil"/>
              <w:bottom w:val="single" w:color="000000" w:sz="8" w:space="0"/>
              <w:right w:val="single" w:color="000000" w:sz="8" w:space="0"/>
            </w:tcBorders>
            <w:noWrap w:val="0"/>
            <w:vAlign w:val="center"/>
          </w:tcPr>
          <w:p w14:paraId="6590E4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794E0AC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7C38D27A">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5D8ACE6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57" w:type="dxa"/>
            <w:tcBorders>
              <w:top w:val="nil"/>
              <w:left w:val="nil"/>
              <w:bottom w:val="single" w:color="000000" w:sz="8" w:space="0"/>
              <w:right w:val="single" w:color="000000" w:sz="8" w:space="0"/>
            </w:tcBorders>
            <w:noWrap w:val="0"/>
            <w:vAlign w:val="center"/>
          </w:tcPr>
          <w:p w14:paraId="2E4F009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71" w:type="dxa"/>
            <w:tcBorders>
              <w:top w:val="nil"/>
              <w:left w:val="nil"/>
              <w:bottom w:val="single" w:color="000000" w:sz="8" w:space="0"/>
              <w:right w:val="single" w:color="000000" w:sz="8" w:space="0"/>
            </w:tcBorders>
            <w:noWrap w:val="0"/>
            <w:vAlign w:val="center"/>
          </w:tcPr>
          <w:p w14:paraId="14F2697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72" w:type="dxa"/>
            <w:tcBorders>
              <w:top w:val="nil"/>
              <w:left w:val="nil"/>
              <w:bottom w:val="single" w:color="000000" w:sz="8" w:space="0"/>
              <w:right w:val="single" w:color="000000" w:sz="8" w:space="0"/>
            </w:tcBorders>
            <w:noWrap w:val="0"/>
            <w:vAlign w:val="center"/>
          </w:tcPr>
          <w:p w14:paraId="4E7DFA7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6DCF71E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988B56A">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60EE26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57" w:type="dxa"/>
            <w:tcBorders>
              <w:top w:val="nil"/>
              <w:left w:val="nil"/>
              <w:bottom w:val="single" w:color="000000" w:sz="8" w:space="0"/>
              <w:right w:val="single" w:color="000000" w:sz="8" w:space="0"/>
            </w:tcBorders>
            <w:noWrap w:val="0"/>
            <w:vAlign w:val="center"/>
          </w:tcPr>
          <w:p w14:paraId="52F3A2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71" w:type="dxa"/>
            <w:tcBorders>
              <w:top w:val="nil"/>
              <w:left w:val="nil"/>
              <w:bottom w:val="single" w:color="000000" w:sz="8" w:space="0"/>
              <w:right w:val="single" w:color="000000" w:sz="8" w:space="0"/>
            </w:tcBorders>
            <w:noWrap w:val="0"/>
            <w:vAlign w:val="center"/>
          </w:tcPr>
          <w:p w14:paraId="4F3DB6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72" w:type="dxa"/>
            <w:tcBorders>
              <w:top w:val="nil"/>
              <w:left w:val="nil"/>
              <w:bottom w:val="single" w:color="000000" w:sz="8" w:space="0"/>
              <w:right w:val="single" w:color="000000" w:sz="8" w:space="0"/>
            </w:tcBorders>
            <w:noWrap w:val="0"/>
            <w:vAlign w:val="center"/>
          </w:tcPr>
          <w:p w14:paraId="4B2781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2220A44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59DC5743">
        <w:tblPrEx>
          <w:tblCellMar>
            <w:top w:w="0" w:type="dxa"/>
            <w:left w:w="108" w:type="dxa"/>
            <w:bottom w:w="0" w:type="dxa"/>
            <w:right w:w="108" w:type="dxa"/>
          </w:tblCellMar>
        </w:tblPrEx>
        <w:trPr>
          <w:trHeight w:val="953"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45ED40C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4B0E3CA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20AA9E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72" w:type="dxa"/>
            <w:tcBorders>
              <w:top w:val="nil"/>
              <w:left w:val="nil"/>
              <w:bottom w:val="single" w:color="000000" w:sz="8" w:space="0"/>
              <w:right w:val="single" w:color="000000" w:sz="8" w:space="0"/>
            </w:tcBorders>
            <w:noWrap w:val="0"/>
            <w:vAlign w:val="center"/>
          </w:tcPr>
          <w:p w14:paraId="62CE4EA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494" w:type="dxa"/>
            <w:tcBorders>
              <w:top w:val="nil"/>
              <w:left w:val="nil"/>
              <w:bottom w:val="single" w:color="000000" w:sz="8" w:space="0"/>
              <w:right w:val="single" w:color="000000" w:sz="8" w:space="0"/>
            </w:tcBorders>
            <w:noWrap w:val="0"/>
            <w:vAlign w:val="center"/>
          </w:tcPr>
          <w:p w14:paraId="0F5AB8A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4F686FAC">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08477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D5297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F57053">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2E2F83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494" w:type="dxa"/>
            <w:tcBorders>
              <w:top w:val="nil"/>
              <w:left w:val="nil"/>
              <w:bottom w:val="single" w:color="000000" w:sz="8" w:space="0"/>
              <w:right w:val="single" w:color="000000" w:sz="8" w:space="0"/>
            </w:tcBorders>
            <w:noWrap w:val="0"/>
            <w:vAlign w:val="center"/>
          </w:tcPr>
          <w:p w14:paraId="5F1E3DB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04B40D39">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39F09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3D2A2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D4E3F9">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3E6C00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494" w:type="dxa"/>
            <w:tcBorders>
              <w:top w:val="nil"/>
              <w:left w:val="nil"/>
              <w:bottom w:val="single" w:color="000000" w:sz="8" w:space="0"/>
              <w:right w:val="single" w:color="000000" w:sz="8" w:space="0"/>
            </w:tcBorders>
            <w:noWrap w:val="0"/>
            <w:vAlign w:val="center"/>
          </w:tcPr>
          <w:p w14:paraId="26E41E8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7B66F10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DA22A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5447E2">
            <w:pPr>
              <w:widowControl/>
              <w:jc w:val="left"/>
              <w:rPr>
                <w:rFonts w:ascii="宋体" w:hAnsi="宋体" w:cs="宋体"/>
                <w:color w:val="auto"/>
                <w:kern w:val="0"/>
                <w:sz w:val="20"/>
                <w:szCs w:val="20"/>
                <w:highlight w:val="none"/>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482EFC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72" w:type="dxa"/>
            <w:tcBorders>
              <w:top w:val="nil"/>
              <w:left w:val="nil"/>
              <w:bottom w:val="single" w:color="000000" w:sz="8" w:space="0"/>
              <w:right w:val="single" w:color="000000" w:sz="8" w:space="0"/>
            </w:tcBorders>
            <w:noWrap w:val="0"/>
            <w:vAlign w:val="center"/>
          </w:tcPr>
          <w:p w14:paraId="40E35B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494" w:type="dxa"/>
            <w:tcBorders>
              <w:top w:val="nil"/>
              <w:left w:val="nil"/>
              <w:bottom w:val="single" w:color="000000" w:sz="8" w:space="0"/>
              <w:right w:val="single" w:color="000000" w:sz="8" w:space="0"/>
            </w:tcBorders>
            <w:noWrap w:val="0"/>
            <w:vAlign w:val="center"/>
          </w:tcPr>
          <w:p w14:paraId="3233E2C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BAB151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5A1C7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8B5BB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235C68">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69C7E3F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494" w:type="dxa"/>
            <w:tcBorders>
              <w:top w:val="nil"/>
              <w:left w:val="nil"/>
              <w:bottom w:val="single" w:color="000000" w:sz="8" w:space="0"/>
              <w:right w:val="single" w:color="000000" w:sz="8" w:space="0"/>
            </w:tcBorders>
            <w:noWrap w:val="0"/>
            <w:vAlign w:val="center"/>
          </w:tcPr>
          <w:p w14:paraId="1778FA9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1EE6CC0">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F1284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E27D72">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7292453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72" w:type="dxa"/>
            <w:tcBorders>
              <w:top w:val="nil"/>
              <w:left w:val="nil"/>
              <w:bottom w:val="single" w:color="000000" w:sz="8" w:space="0"/>
              <w:right w:val="single" w:color="000000" w:sz="8" w:space="0"/>
            </w:tcBorders>
            <w:noWrap w:val="0"/>
            <w:vAlign w:val="center"/>
          </w:tcPr>
          <w:p w14:paraId="3A30A9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494" w:type="dxa"/>
            <w:tcBorders>
              <w:top w:val="nil"/>
              <w:left w:val="nil"/>
              <w:bottom w:val="single" w:color="000000" w:sz="8" w:space="0"/>
              <w:right w:val="single" w:color="000000" w:sz="8" w:space="0"/>
            </w:tcBorders>
            <w:noWrap w:val="0"/>
            <w:vAlign w:val="center"/>
          </w:tcPr>
          <w:p w14:paraId="5542EB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7891CD2A">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38F46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EBA6AC">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6E85EA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72" w:type="dxa"/>
            <w:tcBorders>
              <w:top w:val="nil"/>
              <w:left w:val="nil"/>
              <w:bottom w:val="single" w:color="000000" w:sz="8" w:space="0"/>
              <w:right w:val="single" w:color="000000" w:sz="8" w:space="0"/>
            </w:tcBorders>
            <w:noWrap w:val="0"/>
            <w:vAlign w:val="center"/>
          </w:tcPr>
          <w:p w14:paraId="477BD98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494" w:type="dxa"/>
            <w:tcBorders>
              <w:top w:val="nil"/>
              <w:left w:val="nil"/>
              <w:bottom w:val="single" w:color="000000" w:sz="8" w:space="0"/>
              <w:right w:val="single" w:color="000000" w:sz="8" w:space="0"/>
            </w:tcBorders>
            <w:noWrap w:val="0"/>
            <w:vAlign w:val="center"/>
          </w:tcPr>
          <w:p w14:paraId="7AB8CDE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715CAAB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08FCC37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57" w:type="dxa"/>
            <w:tcBorders>
              <w:top w:val="nil"/>
              <w:left w:val="nil"/>
              <w:bottom w:val="single" w:color="000000" w:sz="8" w:space="0"/>
              <w:right w:val="single" w:color="000000" w:sz="8" w:space="0"/>
            </w:tcBorders>
            <w:noWrap w:val="0"/>
            <w:vAlign w:val="center"/>
          </w:tcPr>
          <w:p w14:paraId="7B18B1D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71" w:type="dxa"/>
            <w:tcBorders>
              <w:top w:val="nil"/>
              <w:left w:val="nil"/>
              <w:bottom w:val="single" w:color="000000" w:sz="8" w:space="0"/>
              <w:right w:val="single" w:color="000000" w:sz="8" w:space="0"/>
            </w:tcBorders>
            <w:noWrap w:val="0"/>
            <w:vAlign w:val="center"/>
          </w:tcPr>
          <w:p w14:paraId="17F257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72" w:type="dxa"/>
            <w:tcBorders>
              <w:top w:val="nil"/>
              <w:left w:val="nil"/>
              <w:bottom w:val="single" w:color="000000" w:sz="8" w:space="0"/>
              <w:right w:val="single" w:color="000000" w:sz="8" w:space="0"/>
            </w:tcBorders>
            <w:noWrap w:val="0"/>
            <w:vAlign w:val="center"/>
          </w:tcPr>
          <w:p w14:paraId="384A29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3D42B90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7FE987C">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A80AE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57" w:type="dxa"/>
            <w:tcBorders>
              <w:top w:val="nil"/>
              <w:left w:val="nil"/>
              <w:bottom w:val="single" w:color="000000" w:sz="8" w:space="0"/>
              <w:right w:val="single" w:color="000000" w:sz="8" w:space="0"/>
            </w:tcBorders>
            <w:noWrap w:val="0"/>
            <w:vAlign w:val="center"/>
          </w:tcPr>
          <w:p w14:paraId="1CBDA7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71" w:type="dxa"/>
            <w:tcBorders>
              <w:top w:val="nil"/>
              <w:left w:val="nil"/>
              <w:bottom w:val="single" w:color="000000" w:sz="8" w:space="0"/>
              <w:right w:val="single" w:color="000000" w:sz="8" w:space="0"/>
            </w:tcBorders>
            <w:noWrap w:val="0"/>
            <w:vAlign w:val="center"/>
          </w:tcPr>
          <w:p w14:paraId="57CA676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72" w:type="dxa"/>
            <w:tcBorders>
              <w:top w:val="nil"/>
              <w:left w:val="nil"/>
              <w:bottom w:val="single" w:color="000000" w:sz="8" w:space="0"/>
              <w:right w:val="single" w:color="000000" w:sz="8" w:space="0"/>
            </w:tcBorders>
            <w:noWrap w:val="0"/>
            <w:vAlign w:val="center"/>
          </w:tcPr>
          <w:p w14:paraId="592F72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01F895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227047D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31E939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57" w:type="dxa"/>
            <w:tcBorders>
              <w:top w:val="nil"/>
              <w:left w:val="nil"/>
              <w:bottom w:val="single" w:color="000000" w:sz="8" w:space="0"/>
              <w:right w:val="single" w:color="000000" w:sz="8" w:space="0"/>
            </w:tcBorders>
            <w:noWrap w:val="0"/>
            <w:vAlign w:val="center"/>
          </w:tcPr>
          <w:p w14:paraId="27B584F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71" w:type="dxa"/>
            <w:tcBorders>
              <w:top w:val="nil"/>
              <w:left w:val="nil"/>
              <w:bottom w:val="single" w:color="000000" w:sz="8" w:space="0"/>
              <w:right w:val="single" w:color="000000" w:sz="8" w:space="0"/>
            </w:tcBorders>
            <w:noWrap w:val="0"/>
            <w:vAlign w:val="center"/>
          </w:tcPr>
          <w:p w14:paraId="4A2E41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72" w:type="dxa"/>
            <w:tcBorders>
              <w:top w:val="nil"/>
              <w:left w:val="nil"/>
              <w:bottom w:val="single" w:color="000000" w:sz="8" w:space="0"/>
              <w:right w:val="single" w:color="000000" w:sz="8" w:space="0"/>
            </w:tcBorders>
            <w:noWrap w:val="0"/>
            <w:vAlign w:val="center"/>
          </w:tcPr>
          <w:p w14:paraId="29AA7C7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45A6159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76BF587">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1814C1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04092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71" w:type="dxa"/>
            <w:tcBorders>
              <w:top w:val="nil"/>
              <w:left w:val="nil"/>
              <w:bottom w:val="single" w:color="000000" w:sz="8" w:space="0"/>
              <w:right w:val="single" w:color="000000" w:sz="8" w:space="0"/>
            </w:tcBorders>
            <w:noWrap w:val="0"/>
            <w:vAlign w:val="center"/>
          </w:tcPr>
          <w:p w14:paraId="07E8DB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72" w:type="dxa"/>
            <w:tcBorders>
              <w:top w:val="nil"/>
              <w:left w:val="nil"/>
              <w:bottom w:val="single" w:color="000000" w:sz="8" w:space="0"/>
              <w:right w:val="single" w:color="000000" w:sz="8" w:space="0"/>
            </w:tcBorders>
            <w:noWrap w:val="0"/>
            <w:vAlign w:val="center"/>
          </w:tcPr>
          <w:p w14:paraId="5C2A69B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0D7774D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4C71CD9C">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028BD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EF1933">
            <w:pPr>
              <w:widowControl/>
              <w:jc w:val="left"/>
              <w:rPr>
                <w:rFonts w:ascii="宋体" w:hAnsi="宋体" w:cs="宋体"/>
                <w:color w:val="auto"/>
                <w:kern w:val="0"/>
                <w:sz w:val="20"/>
                <w:szCs w:val="20"/>
                <w:highlight w:val="none"/>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49327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72" w:type="dxa"/>
            <w:tcBorders>
              <w:top w:val="nil"/>
              <w:left w:val="nil"/>
              <w:bottom w:val="single" w:color="000000" w:sz="8" w:space="0"/>
              <w:right w:val="single" w:color="000000" w:sz="8" w:space="0"/>
            </w:tcBorders>
            <w:noWrap w:val="0"/>
            <w:vAlign w:val="center"/>
          </w:tcPr>
          <w:p w14:paraId="55B5836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494" w:type="dxa"/>
            <w:tcBorders>
              <w:top w:val="nil"/>
              <w:left w:val="nil"/>
              <w:bottom w:val="single" w:color="000000" w:sz="8" w:space="0"/>
              <w:right w:val="single" w:color="000000" w:sz="8" w:space="0"/>
            </w:tcBorders>
            <w:noWrap w:val="0"/>
            <w:vAlign w:val="center"/>
          </w:tcPr>
          <w:p w14:paraId="26E3F07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06306E19">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33BE72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602E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728F0F">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6B0B55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494" w:type="dxa"/>
            <w:tcBorders>
              <w:top w:val="nil"/>
              <w:left w:val="nil"/>
              <w:bottom w:val="single" w:color="000000" w:sz="8" w:space="0"/>
              <w:right w:val="single" w:color="000000" w:sz="8" w:space="0"/>
            </w:tcBorders>
            <w:noWrap w:val="0"/>
            <w:vAlign w:val="center"/>
          </w:tcPr>
          <w:p w14:paraId="4DE1196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A15525C">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E2138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A2AB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5A271E">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56C8750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494" w:type="dxa"/>
            <w:tcBorders>
              <w:top w:val="nil"/>
              <w:left w:val="nil"/>
              <w:bottom w:val="single" w:color="000000" w:sz="8" w:space="0"/>
              <w:right w:val="single" w:color="000000" w:sz="8" w:space="0"/>
            </w:tcBorders>
            <w:noWrap w:val="0"/>
            <w:vAlign w:val="center"/>
          </w:tcPr>
          <w:p w14:paraId="28A77A4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5957E23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5D6B5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307C11">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2E6E75D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72" w:type="dxa"/>
            <w:tcBorders>
              <w:top w:val="nil"/>
              <w:left w:val="nil"/>
              <w:bottom w:val="single" w:color="000000" w:sz="8" w:space="0"/>
              <w:right w:val="single" w:color="000000" w:sz="8" w:space="0"/>
            </w:tcBorders>
            <w:noWrap w:val="0"/>
            <w:vAlign w:val="center"/>
          </w:tcPr>
          <w:p w14:paraId="5F83CF9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43E6B81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64FF24CD">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384E3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7FBD4B">
            <w:pPr>
              <w:widowControl/>
              <w:jc w:val="left"/>
              <w:rPr>
                <w:rFonts w:ascii="宋体" w:hAnsi="宋体" w:cs="宋体"/>
                <w:color w:val="auto"/>
                <w:kern w:val="0"/>
                <w:sz w:val="20"/>
                <w:szCs w:val="20"/>
                <w:highlight w:val="none"/>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993ADA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72" w:type="dxa"/>
            <w:tcBorders>
              <w:top w:val="nil"/>
              <w:left w:val="nil"/>
              <w:bottom w:val="single" w:color="000000" w:sz="8" w:space="0"/>
              <w:right w:val="single" w:color="000000" w:sz="8" w:space="0"/>
            </w:tcBorders>
            <w:noWrap w:val="0"/>
            <w:vAlign w:val="center"/>
          </w:tcPr>
          <w:p w14:paraId="13221F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494" w:type="dxa"/>
            <w:tcBorders>
              <w:top w:val="nil"/>
              <w:left w:val="nil"/>
              <w:bottom w:val="single" w:color="000000" w:sz="8" w:space="0"/>
              <w:right w:val="single" w:color="000000" w:sz="8" w:space="0"/>
            </w:tcBorders>
            <w:noWrap w:val="0"/>
            <w:vAlign w:val="center"/>
          </w:tcPr>
          <w:p w14:paraId="0ABF61E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12020CB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08E2C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C1CFB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F24B35">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0C38F6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494" w:type="dxa"/>
            <w:tcBorders>
              <w:top w:val="nil"/>
              <w:left w:val="nil"/>
              <w:bottom w:val="single" w:color="000000" w:sz="8" w:space="0"/>
              <w:right w:val="single" w:color="000000" w:sz="8" w:space="0"/>
            </w:tcBorders>
            <w:noWrap w:val="0"/>
            <w:vAlign w:val="center"/>
          </w:tcPr>
          <w:p w14:paraId="0D3B985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75D2255A">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F47BA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17D4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27FF56">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470D308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494" w:type="dxa"/>
            <w:tcBorders>
              <w:top w:val="nil"/>
              <w:left w:val="nil"/>
              <w:bottom w:val="single" w:color="000000" w:sz="8" w:space="0"/>
              <w:right w:val="single" w:color="000000" w:sz="8" w:space="0"/>
            </w:tcBorders>
            <w:noWrap w:val="0"/>
            <w:vAlign w:val="center"/>
          </w:tcPr>
          <w:p w14:paraId="6633A12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7295FF5">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B9035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B1E4A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AE9A40">
            <w:pPr>
              <w:widowControl/>
              <w:jc w:val="left"/>
              <w:rPr>
                <w:rFonts w:ascii="宋体" w:hAnsi="宋体" w:cs="宋体"/>
                <w:color w:val="auto"/>
                <w:kern w:val="0"/>
                <w:sz w:val="20"/>
                <w:szCs w:val="20"/>
                <w:highlight w:val="none"/>
              </w:rPr>
            </w:pPr>
          </w:p>
        </w:tc>
        <w:tc>
          <w:tcPr>
            <w:tcW w:w="1672" w:type="dxa"/>
            <w:tcBorders>
              <w:top w:val="nil"/>
              <w:left w:val="nil"/>
              <w:bottom w:val="single" w:color="000000" w:sz="8" w:space="0"/>
              <w:right w:val="single" w:color="000000" w:sz="8" w:space="0"/>
            </w:tcBorders>
            <w:noWrap w:val="0"/>
            <w:vAlign w:val="center"/>
          </w:tcPr>
          <w:p w14:paraId="4BE476F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494" w:type="dxa"/>
            <w:tcBorders>
              <w:top w:val="nil"/>
              <w:left w:val="nil"/>
              <w:bottom w:val="single" w:color="000000" w:sz="8" w:space="0"/>
              <w:right w:val="single" w:color="000000" w:sz="8" w:space="0"/>
            </w:tcBorders>
            <w:noWrap w:val="0"/>
            <w:vAlign w:val="center"/>
          </w:tcPr>
          <w:p w14:paraId="2E6F80D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8307BD5">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2A06D81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619338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71" w:type="dxa"/>
            <w:tcBorders>
              <w:top w:val="nil"/>
              <w:left w:val="nil"/>
              <w:bottom w:val="single" w:color="000000" w:sz="8" w:space="0"/>
              <w:right w:val="single" w:color="000000" w:sz="8" w:space="0"/>
            </w:tcBorders>
            <w:noWrap w:val="0"/>
            <w:vAlign w:val="center"/>
          </w:tcPr>
          <w:p w14:paraId="7E8089F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72" w:type="dxa"/>
            <w:tcBorders>
              <w:top w:val="nil"/>
              <w:left w:val="nil"/>
              <w:bottom w:val="single" w:color="000000" w:sz="8" w:space="0"/>
              <w:right w:val="single" w:color="000000" w:sz="8" w:space="0"/>
            </w:tcBorders>
            <w:noWrap w:val="0"/>
            <w:vAlign w:val="center"/>
          </w:tcPr>
          <w:p w14:paraId="172518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4339F86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6108EE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F984F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A629BC">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1418662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72" w:type="dxa"/>
            <w:tcBorders>
              <w:top w:val="nil"/>
              <w:left w:val="nil"/>
              <w:bottom w:val="single" w:color="000000" w:sz="8" w:space="0"/>
              <w:right w:val="single" w:color="000000" w:sz="8" w:space="0"/>
            </w:tcBorders>
            <w:noWrap w:val="0"/>
            <w:vAlign w:val="center"/>
          </w:tcPr>
          <w:p w14:paraId="213885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134BAE8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18D15F82">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68E67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4FEE04">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2F7009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72" w:type="dxa"/>
            <w:tcBorders>
              <w:top w:val="nil"/>
              <w:left w:val="nil"/>
              <w:bottom w:val="single" w:color="000000" w:sz="8" w:space="0"/>
              <w:right w:val="single" w:color="000000" w:sz="8" w:space="0"/>
            </w:tcBorders>
            <w:noWrap w:val="0"/>
            <w:vAlign w:val="center"/>
          </w:tcPr>
          <w:p w14:paraId="5428DF0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033FB96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01C3F9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2F799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FC076B8">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52C0D05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72" w:type="dxa"/>
            <w:tcBorders>
              <w:top w:val="nil"/>
              <w:left w:val="nil"/>
              <w:bottom w:val="single" w:color="000000" w:sz="8" w:space="0"/>
              <w:right w:val="single" w:color="000000" w:sz="8" w:space="0"/>
            </w:tcBorders>
            <w:noWrap w:val="0"/>
            <w:vAlign w:val="center"/>
          </w:tcPr>
          <w:p w14:paraId="281DA81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4B0F113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3D32107">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1108BF0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57" w:type="dxa"/>
            <w:tcBorders>
              <w:top w:val="nil"/>
              <w:left w:val="nil"/>
              <w:bottom w:val="single" w:color="000000" w:sz="8" w:space="0"/>
              <w:right w:val="single" w:color="000000" w:sz="8" w:space="0"/>
            </w:tcBorders>
            <w:noWrap w:val="0"/>
            <w:vAlign w:val="center"/>
          </w:tcPr>
          <w:p w14:paraId="23C694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71" w:type="dxa"/>
            <w:tcBorders>
              <w:top w:val="nil"/>
              <w:left w:val="nil"/>
              <w:bottom w:val="single" w:color="000000" w:sz="8" w:space="0"/>
              <w:right w:val="single" w:color="000000" w:sz="8" w:space="0"/>
            </w:tcBorders>
            <w:noWrap w:val="0"/>
            <w:vAlign w:val="center"/>
          </w:tcPr>
          <w:p w14:paraId="6ABB350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72" w:type="dxa"/>
            <w:tcBorders>
              <w:top w:val="nil"/>
              <w:left w:val="nil"/>
              <w:bottom w:val="single" w:color="000000" w:sz="8" w:space="0"/>
              <w:right w:val="single" w:color="000000" w:sz="8" w:space="0"/>
            </w:tcBorders>
            <w:noWrap w:val="0"/>
            <w:vAlign w:val="center"/>
          </w:tcPr>
          <w:p w14:paraId="63D788E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7F8443E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68FF20BC">
        <w:tblPrEx>
          <w:tblCellMar>
            <w:top w:w="0" w:type="dxa"/>
            <w:left w:w="108" w:type="dxa"/>
            <w:bottom w:w="0" w:type="dxa"/>
            <w:right w:w="108" w:type="dxa"/>
          </w:tblCellMar>
        </w:tblPrEx>
        <w:trPr>
          <w:trHeight w:val="1264" w:hRule="atLeast"/>
        </w:trPr>
        <w:tc>
          <w:tcPr>
            <w:tcW w:w="664" w:type="dxa"/>
            <w:tcBorders>
              <w:top w:val="nil"/>
              <w:left w:val="single" w:color="000000" w:sz="8" w:space="0"/>
              <w:bottom w:val="single" w:color="000000" w:sz="8" w:space="0"/>
              <w:right w:val="single" w:color="000000" w:sz="8" w:space="0"/>
            </w:tcBorders>
            <w:noWrap w:val="0"/>
            <w:vAlign w:val="center"/>
          </w:tcPr>
          <w:p w14:paraId="783B1A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57" w:type="dxa"/>
            <w:tcBorders>
              <w:top w:val="nil"/>
              <w:left w:val="nil"/>
              <w:bottom w:val="single" w:color="000000" w:sz="8" w:space="0"/>
              <w:right w:val="single" w:color="000000" w:sz="8" w:space="0"/>
            </w:tcBorders>
            <w:noWrap w:val="0"/>
            <w:vAlign w:val="center"/>
          </w:tcPr>
          <w:p w14:paraId="34444AC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71" w:type="dxa"/>
            <w:tcBorders>
              <w:top w:val="nil"/>
              <w:left w:val="nil"/>
              <w:bottom w:val="single" w:color="000000" w:sz="8" w:space="0"/>
              <w:right w:val="single" w:color="000000" w:sz="8" w:space="0"/>
            </w:tcBorders>
            <w:noWrap w:val="0"/>
            <w:vAlign w:val="center"/>
          </w:tcPr>
          <w:p w14:paraId="5889C3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72" w:type="dxa"/>
            <w:tcBorders>
              <w:top w:val="nil"/>
              <w:left w:val="nil"/>
              <w:bottom w:val="single" w:color="000000" w:sz="8" w:space="0"/>
              <w:right w:val="single" w:color="000000" w:sz="8" w:space="0"/>
            </w:tcBorders>
            <w:noWrap w:val="0"/>
            <w:vAlign w:val="center"/>
          </w:tcPr>
          <w:p w14:paraId="6419266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494" w:type="dxa"/>
            <w:tcBorders>
              <w:top w:val="nil"/>
              <w:left w:val="nil"/>
              <w:bottom w:val="single" w:color="000000" w:sz="8" w:space="0"/>
              <w:right w:val="single" w:color="000000" w:sz="8" w:space="0"/>
            </w:tcBorders>
            <w:noWrap w:val="0"/>
            <w:vAlign w:val="center"/>
          </w:tcPr>
          <w:p w14:paraId="45CA13A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11F894B">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4D43DDE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57" w:type="dxa"/>
            <w:tcBorders>
              <w:top w:val="nil"/>
              <w:left w:val="nil"/>
              <w:bottom w:val="single" w:color="000000" w:sz="8" w:space="0"/>
              <w:right w:val="single" w:color="000000" w:sz="8" w:space="0"/>
            </w:tcBorders>
            <w:noWrap w:val="0"/>
            <w:vAlign w:val="center"/>
          </w:tcPr>
          <w:p w14:paraId="07D8C9A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71" w:type="dxa"/>
            <w:tcBorders>
              <w:top w:val="nil"/>
              <w:left w:val="nil"/>
              <w:bottom w:val="single" w:color="000000" w:sz="8" w:space="0"/>
              <w:right w:val="single" w:color="000000" w:sz="8" w:space="0"/>
            </w:tcBorders>
            <w:noWrap w:val="0"/>
            <w:vAlign w:val="center"/>
          </w:tcPr>
          <w:p w14:paraId="7A88F02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72" w:type="dxa"/>
            <w:tcBorders>
              <w:top w:val="nil"/>
              <w:left w:val="nil"/>
              <w:bottom w:val="single" w:color="000000" w:sz="8" w:space="0"/>
              <w:right w:val="single" w:color="000000" w:sz="8" w:space="0"/>
            </w:tcBorders>
            <w:noWrap w:val="0"/>
            <w:vAlign w:val="center"/>
          </w:tcPr>
          <w:p w14:paraId="15D1E34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411AD5E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208E1DE3">
        <w:tblPrEx>
          <w:tblCellMar>
            <w:top w:w="0" w:type="dxa"/>
            <w:left w:w="108" w:type="dxa"/>
            <w:bottom w:w="0" w:type="dxa"/>
            <w:right w:w="108" w:type="dxa"/>
          </w:tblCellMar>
        </w:tblPrEx>
        <w:trPr>
          <w:trHeight w:val="331"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0B858D4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975005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71" w:type="dxa"/>
            <w:tcBorders>
              <w:top w:val="nil"/>
              <w:left w:val="nil"/>
              <w:bottom w:val="single" w:color="000000" w:sz="8" w:space="0"/>
              <w:right w:val="single" w:color="000000" w:sz="8" w:space="0"/>
            </w:tcBorders>
            <w:noWrap w:val="0"/>
            <w:vAlign w:val="center"/>
          </w:tcPr>
          <w:p w14:paraId="652F9EB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72" w:type="dxa"/>
            <w:tcBorders>
              <w:top w:val="nil"/>
              <w:left w:val="nil"/>
              <w:bottom w:val="single" w:color="000000" w:sz="8" w:space="0"/>
              <w:right w:val="single" w:color="000000" w:sz="8" w:space="0"/>
            </w:tcBorders>
            <w:noWrap w:val="0"/>
            <w:vAlign w:val="center"/>
          </w:tcPr>
          <w:p w14:paraId="73ED18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767B526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51DC65A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D9673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181E97">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531540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72" w:type="dxa"/>
            <w:tcBorders>
              <w:top w:val="nil"/>
              <w:left w:val="nil"/>
              <w:bottom w:val="single" w:color="000000" w:sz="8" w:space="0"/>
              <w:right w:val="single" w:color="000000" w:sz="8" w:space="0"/>
            </w:tcBorders>
            <w:noWrap w:val="0"/>
            <w:vAlign w:val="center"/>
          </w:tcPr>
          <w:p w14:paraId="63A5D5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68C0E9B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4ECCD3E8">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BC61F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D2465F">
            <w:pPr>
              <w:widowControl/>
              <w:jc w:val="left"/>
              <w:rPr>
                <w:rFonts w:ascii="宋体" w:hAnsi="宋体" w:cs="宋体"/>
                <w:color w:val="auto"/>
                <w:kern w:val="0"/>
                <w:sz w:val="20"/>
                <w:szCs w:val="20"/>
                <w:highlight w:val="none"/>
              </w:rPr>
            </w:pPr>
          </w:p>
        </w:tc>
        <w:tc>
          <w:tcPr>
            <w:tcW w:w="1571" w:type="dxa"/>
            <w:tcBorders>
              <w:top w:val="nil"/>
              <w:left w:val="nil"/>
              <w:bottom w:val="single" w:color="000000" w:sz="8" w:space="0"/>
              <w:right w:val="single" w:color="000000" w:sz="8" w:space="0"/>
            </w:tcBorders>
            <w:noWrap w:val="0"/>
            <w:vAlign w:val="center"/>
          </w:tcPr>
          <w:p w14:paraId="4F3121F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72" w:type="dxa"/>
            <w:tcBorders>
              <w:top w:val="nil"/>
              <w:left w:val="nil"/>
              <w:bottom w:val="single" w:color="000000" w:sz="8" w:space="0"/>
              <w:right w:val="single" w:color="000000" w:sz="8" w:space="0"/>
            </w:tcBorders>
            <w:noWrap w:val="0"/>
            <w:vAlign w:val="center"/>
          </w:tcPr>
          <w:p w14:paraId="22461A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0ABF4E5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4F8BED5D">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2274C40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57" w:type="dxa"/>
            <w:tcBorders>
              <w:top w:val="nil"/>
              <w:left w:val="nil"/>
              <w:bottom w:val="single" w:color="000000" w:sz="8" w:space="0"/>
              <w:right w:val="single" w:color="000000" w:sz="8" w:space="0"/>
            </w:tcBorders>
            <w:noWrap w:val="0"/>
            <w:vAlign w:val="center"/>
          </w:tcPr>
          <w:p w14:paraId="750A6A5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71" w:type="dxa"/>
            <w:tcBorders>
              <w:top w:val="nil"/>
              <w:left w:val="nil"/>
              <w:bottom w:val="single" w:color="000000" w:sz="8" w:space="0"/>
              <w:right w:val="single" w:color="000000" w:sz="8" w:space="0"/>
            </w:tcBorders>
            <w:noWrap w:val="0"/>
            <w:vAlign w:val="center"/>
          </w:tcPr>
          <w:p w14:paraId="2487B60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72" w:type="dxa"/>
            <w:tcBorders>
              <w:top w:val="nil"/>
              <w:left w:val="nil"/>
              <w:bottom w:val="single" w:color="000000" w:sz="8" w:space="0"/>
              <w:right w:val="single" w:color="000000" w:sz="8" w:space="0"/>
            </w:tcBorders>
            <w:noWrap w:val="0"/>
            <w:vAlign w:val="center"/>
          </w:tcPr>
          <w:p w14:paraId="08FB0D5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062CCD2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6EECC394">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00E9DFB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57" w:type="dxa"/>
            <w:tcBorders>
              <w:top w:val="nil"/>
              <w:left w:val="nil"/>
              <w:bottom w:val="single" w:color="000000" w:sz="8" w:space="0"/>
              <w:right w:val="single" w:color="000000" w:sz="8" w:space="0"/>
            </w:tcBorders>
            <w:noWrap w:val="0"/>
            <w:vAlign w:val="center"/>
          </w:tcPr>
          <w:p w14:paraId="31BF3D6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71" w:type="dxa"/>
            <w:tcBorders>
              <w:top w:val="nil"/>
              <w:left w:val="nil"/>
              <w:bottom w:val="single" w:color="000000" w:sz="8" w:space="0"/>
              <w:right w:val="single" w:color="000000" w:sz="8" w:space="0"/>
            </w:tcBorders>
            <w:noWrap w:val="0"/>
            <w:vAlign w:val="center"/>
          </w:tcPr>
          <w:p w14:paraId="12166EC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72" w:type="dxa"/>
            <w:tcBorders>
              <w:top w:val="nil"/>
              <w:left w:val="nil"/>
              <w:bottom w:val="single" w:color="000000" w:sz="8" w:space="0"/>
              <w:right w:val="single" w:color="000000" w:sz="8" w:space="0"/>
            </w:tcBorders>
            <w:noWrap w:val="0"/>
            <w:vAlign w:val="center"/>
          </w:tcPr>
          <w:p w14:paraId="1FC8D17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42E1487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70CF8AC5">
        <w:tblPrEx>
          <w:tblCellMar>
            <w:top w:w="0" w:type="dxa"/>
            <w:left w:w="108" w:type="dxa"/>
            <w:bottom w:w="0" w:type="dxa"/>
            <w:right w:w="108" w:type="dxa"/>
          </w:tblCellMar>
        </w:tblPrEx>
        <w:trPr>
          <w:trHeight w:val="662" w:hRule="atLeast"/>
        </w:trPr>
        <w:tc>
          <w:tcPr>
            <w:tcW w:w="664" w:type="dxa"/>
            <w:tcBorders>
              <w:top w:val="nil"/>
              <w:left w:val="single" w:color="000000" w:sz="8" w:space="0"/>
              <w:bottom w:val="single" w:color="000000" w:sz="8" w:space="0"/>
              <w:right w:val="single" w:color="000000" w:sz="8" w:space="0"/>
            </w:tcBorders>
            <w:noWrap w:val="0"/>
            <w:vAlign w:val="center"/>
          </w:tcPr>
          <w:p w14:paraId="0E8AF7F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57" w:type="dxa"/>
            <w:tcBorders>
              <w:top w:val="nil"/>
              <w:left w:val="nil"/>
              <w:bottom w:val="single" w:color="000000" w:sz="8" w:space="0"/>
              <w:right w:val="single" w:color="000000" w:sz="8" w:space="0"/>
            </w:tcBorders>
            <w:noWrap w:val="0"/>
            <w:vAlign w:val="center"/>
          </w:tcPr>
          <w:p w14:paraId="203E6BC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71" w:type="dxa"/>
            <w:tcBorders>
              <w:top w:val="nil"/>
              <w:left w:val="nil"/>
              <w:bottom w:val="single" w:color="000000" w:sz="8" w:space="0"/>
              <w:right w:val="single" w:color="000000" w:sz="8" w:space="0"/>
            </w:tcBorders>
            <w:noWrap w:val="0"/>
            <w:vAlign w:val="center"/>
          </w:tcPr>
          <w:p w14:paraId="3234534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72" w:type="dxa"/>
            <w:tcBorders>
              <w:top w:val="nil"/>
              <w:left w:val="nil"/>
              <w:bottom w:val="single" w:color="000000" w:sz="8" w:space="0"/>
              <w:right w:val="single" w:color="000000" w:sz="8" w:space="0"/>
            </w:tcBorders>
            <w:noWrap w:val="0"/>
            <w:vAlign w:val="center"/>
          </w:tcPr>
          <w:p w14:paraId="298F83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494" w:type="dxa"/>
            <w:tcBorders>
              <w:top w:val="nil"/>
              <w:left w:val="nil"/>
              <w:bottom w:val="single" w:color="000000" w:sz="8" w:space="0"/>
              <w:right w:val="single" w:color="000000" w:sz="8" w:space="0"/>
            </w:tcBorders>
            <w:noWrap w:val="0"/>
            <w:vAlign w:val="center"/>
          </w:tcPr>
          <w:p w14:paraId="33BC93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099C0397">
      <w:pPr>
        <w:spacing w:line="528" w:lineRule="exact"/>
        <w:ind w:left="1871"/>
        <w:rPr>
          <w:rFonts w:hint="eastAsia" w:ascii="微软雅黑" w:hAnsi="微软雅黑" w:eastAsia="微软雅黑" w:cs="微软雅黑"/>
          <w:color w:val="auto"/>
          <w:sz w:val="40"/>
          <w:szCs w:val="40"/>
          <w:highlight w:val="none"/>
        </w:rPr>
      </w:pPr>
    </w:p>
    <w:p w14:paraId="0FC57AFE">
      <w:pPr>
        <w:pStyle w:val="12"/>
        <w:snapToGrid w:val="0"/>
        <w:spacing w:line="360" w:lineRule="auto"/>
        <w:rPr>
          <w:rFonts w:hint="eastAsia" w:ascii="黑体" w:hAnsi="黑体" w:eastAsia="黑体" w:cs="黑体"/>
          <w:bCs/>
          <w:color w:val="auto"/>
          <w:sz w:val="32"/>
          <w:szCs w:val="32"/>
          <w:highlight w:val="none"/>
        </w:rPr>
      </w:pPr>
    </w:p>
    <w:p w14:paraId="2F1DB042">
      <w:pPr>
        <w:pStyle w:val="12"/>
        <w:snapToGrid w:val="0"/>
        <w:spacing w:line="360" w:lineRule="auto"/>
        <w:rPr>
          <w:rFonts w:hint="eastAsia" w:ascii="黑体" w:hAnsi="黑体" w:eastAsia="黑体" w:cs="黑体"/>
          <w:bCs/>
          <w:color w:val="auto"/>
          <w:sz w:val="32"/>
          <w:szCs w:val="32"/>
          <w:highlight w:val="none"/>
        </w:rPr>
      </w:pPr>
    </w:p>
    <w:p w14:paraId="0A65F723">
      <w:pPr>
        <w:pStyle w:val="12"/>
        <w:snapToGrid w:val="0"/>
        <w:spacing w:line="360" w:lineRule="auto"/>
        <w:rPr>
          <w:rFonts w:hint="eastAsia" w:ascii="黑体" w:hAnsi="黑体" w:eastAsia="黑体" w:cs="黑体"/>
          <w:bCs/>
          <w:color w:val="auto"/>
          <w:sz w:val="32"/>
          <w:szCs w:val="32"/>
          <w:highlight w:val="none"/>
        </w:rPr>
      </w:pPr>
    </w:p>
    <w:p w14:paraId="2F2178EE">
      <w:pPr>
        <w:pStyle w:val="12"/>
        <w:snapToGrid w:val="0"/>
        <w:spacing w:line="360" w:lineRule="auto"/>
        <w:rPr>
          <w:rFonts w:hint="eastAsia" w:ascii="黑体" w:hAnsi="黑体" w:eastAsia="黑体" w:cs="黑体"/>
          <w:bCs/>
          <w:color w:val="auto"/>
          <w:sz w:val="32"/>
          <w:szCs w:val="32"/>
          <w:highlight w:val="none"/>
        </w:rPr>
      </w:pPr>
    </w:p>
    <w:p w14:paraId="47A85E3C">
      <w:pPr>
        <w:pStyle w:val="12"/>
        <w:snapToGrid w:val="0"/>
        <w:spacing w:line="360" w:lineRule="auto"/>
        <w:rPr>
          <w:rFonts w:hint="eastAsia" w:ascii="黑体" w:hAnsi="黑体" w:eastAsia="黑体" w:cs="黑体"/>
          <w:bCs/>
          <w:color w:val="auto"/>
          <w:sz w:val="32"/>
          <w:szCs w:val="32"/>
          <w:highlight w:val="none"/>
        </w:rPr>
      </w:pPr>
    </w:p>
    <w:p w14:paraId="5D89C5D8">
      <w:pPr>
        <w:rPr>
          <w:rFonts w:hint="eastAsia" w:ascii="黑体" w:hAnsi="黑体" w:eastAsia="黑体" w:cs="黑体"/>
          <w:bCs/>
          <w:color w:val="auto"/>
          <w:sz w:val="32"/>
          <w:szCs w:val="32"/>
          <w:highlight w:val="none"/>
        </w:rPr>
      </w:pPr>
    </w:p>
    <w:p w14:paraId="56836C7D">
      <w:pPr>
        <w:pStyle w:val="2"/>
        <w:rPr>
          <w:rFonts w:hint="eastAsia"/>
          <w:color w:val="auto"/>
          <w:highlight w:val="none"/>
        </w:rPr>
      </w:pPr>
    </w:p>
    <w:p w14:paraId="34683086">
      <w:pPr>
        <w:pStyle w:val="12"/>
        <w:snapToGrid w:val="0"/>
        <w:spacing w:line="360" w:lineRule="auto"/>
        <w:rPr>
          <w:rFonts w:hint="eastAsia" w:ascii="黑体" w:hAnsi="黑体" w:eastAsia="黑体" w:cs="黑体"/>
          <w:bCs/>
          <w:color w:val="auto"/>
          <w:sz w:val="32"/>
          <w:szCs w:val="32"/>
          <w:highlight w:val="none"/>
        </w:rPr>
      </w:pPr>
    </w:p>
    <w:p w14:paraId="2CEEC098">
      <w:pPr>
        <w:pStyle w:val="26"/>
        <w:jc w:val="center"/>
        <w:outlineLvl w:val="0"/>
        <w:rPr>
          <w:color w:val="auto"/>
          <w:highlight w:val="none"/>
        </w:rPr>
      </w:pPr>
      <w:bookmarkStart w:id="45" w:name="_Toc21292"/>
      <w:r>
        <w:rPr>
          <w:rFonts w:hint="eastAsia"/>
          <w:color w:val="auto"/>
          <w:highlight w:val="none"/>
          <w:lang w:val="en-US" w:eastAsia="zh-CN"/>
        </w:rPr>
        <w:t>第四章 评审程序和评定成交的标准</w:t>
      </w:r>
      <w:bookmarkEnd w:id="45"/>
    </w:p>
    <w:p w14:paraId="4489A5F9">
      <w:pPr>
        <w:pStyle w:val="26"/>
        <w:jc w:val="center"/>
        <w:rPr>
          <w:color w:val="auto"/>
          <w:highlight w:val="none"/>
        </w:rPr>
      </w:pPr>
      <w:r>
        <w:rPr>
          <w:rFonts w:hint="eastAsia"/>
          <w:color w:val="auto"/>
          <w:highlight w:val="none"/>
          <w:lang w:val="en-US" w:eastAsia="zh-CN"/>
        </w:rPr>
        <w:t>一、评审程序</w:t>
      </w:r>
    </w:p>
    <w:p w14:paraId="4920EBF0">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 xml:space="preserve">1.确认谈判文件 </w:t>
      </w:r>
    </w:p>
    <w:p w14:paraId="42AB7C17">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由谈判小组确认谈判文件。 </w:t>
      </w:r>
    </w:p>
    <w:p w14:paraId="79EB9BEF">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2.资格审查 </w:t>
      </w:r>
    </w:p>
    <w:p w14:paraId="609A336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2.1 响应文件开启后，谈判小组依法对供应商的资格证明文件进行审查。 </w:t>
      </w:r>
    </w:p>
    <w:p w14:paraId="1625C95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注：谈判小组在资格审查结束前，对供应商进行信用查询。 </w:t>
      </w:r>
    </w:p>
    <w:p w14:paraId="567340A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（1）查询渠道：广西政府采购云平台“信用中国”网站(www.creditchina.gov.cn)、中国政府采购网(www.ccgp.gov.cn)链接入口。 </w:t>
      </w:r>
    </w:p>
    <w:p w14:paraId="5D24A31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（2）信用查询截止时点：资格审查结束前。 </w:t>
      </w:r>
    </w:p>
    <w:p w14:paraId="7A6B47C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（3）信用信息使用规则：对在“信用中国”网站（www.creditchina.gov.cn）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名单、政府采购严重违法失信行为记录名单及其他不符合《中华人民共和国政府采购法》第二十二条规定条件的供应商）的，视同联合体存在不良信用记录。 </w:t>
      </w:r>
    </w:p>
    <w:p w14:paraId="6303FC48">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2.2 资格审查标准为本谈判文件中载明对供应商资格要求的条件。本项目资格审查采用合格 </w:t>
      </w:r>
    </w:p>
    <w:p w14:paraId="7972FD70">
      <w:pPr>
        <w:pStyle w:val="26"/>
        <w:keepNext w:val="0"/>
        <w:keepLines w:val="0"/>
        <w:pageBreakBefore w:val="0"/>
        <w:widowControl w:val="0"/>
        <w:kinsoku/>
        <w:wordWrap/>
        <w:overflowPunct/>
        <w:topLinePunct w:val="0"/>
        <w:autoSpaceDE/>
        <w:autoSpaceDN/>
        <w:bidi w:val="0"/>
        <w:adjustRightInd/>
        <w:snapToGrid/>
        <w:spacing w:line="360" w:lineRule="auto"/>
        <w:ind w:left="238"/>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制，凡符合谈判文件规定的供应商资格要求的供应商均通过资格审查。 </w:t>
      </w:r>
    </w:p>
    <w:p w14:paraId="069DF2D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2.3 供应商有下列情形之一的，资格审查不通过，其响应文件按无效处理： </w:t>
      </w:r>
    </w:p>
    <w:p w14:paraId="7790CD6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（1）不具备谈判文件中规定的资格要求的； </w:t>
      </w:r>
    </w:p>
    <w:p w14:paraId="5B3C59BA">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（2）未按谈判文件规定的方式获取本谈判文件的供应商； </w:t>
      </w:r>
    </w:p>
    <w:p w14:paraId="01696513">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（3）响应文件中的资格证明文件缺少任一项“供应商须知前附表”资格证明文件规定的“必须提供”的文件资料的； </w:t>
      </w:r>
    </w:p>
    <w:p w14:paraId="7407BE7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（4）响应文件中的资格证明文件出现任一项不符合“供应商须知前附表”资格证明文件规定的“必须提供”的文件资料要求或者无效的； </w:t>
      </w:r>
    </w:p>
    <w:p w14:paraId="38313ECB">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（5）同一合同项下的不同供应商，单位负责人为同一人或者存在直接控股、管理关系的；为本项目提供过整体设计、规范编制或者项目管理、监理、检测等服务的供应商，再参加该采购项目的其他采购活动的。 </w:t>
      </w:r>
    </w:p>
    <w:p w14:paraId="5CB269F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2.4 通过资格审查的合格供应商不足 3 家（本章 3.7 条规定除外）的，不得进入符合性审查环节，应当重新开展采购活动。 </w:t>
      </w:r>
    </w:p>
    <w:p w14:paraId="6E38CF69">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3.符合性审查 </w:t>
      </w:r>
    </w:p>
    <w:p w14:paraId="4D061481">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3.1 谈判小组应当对符合资格的供应商的响应文件进行竞标报价、商务、技术等实质性要求符合性审查，以确定其是否满足谈判文件的实质性要求。 </w:t>
      </w:r>
    </w:p>
    <w:p w14:paraId="3CA22A5A">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3.2 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68AF6074">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3.3 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签章。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 </w:t>
      </w:r>
    </w:p>
    <w:p w14:paraId="36783787">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3.4 首次响应文件报价出现前后不一致的，按照下列规定修正： </w:t>
      </w:r>
    </w:p>
    <w:p w14:paraId="35ED444B">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（1）响应文件中报价表内容与响应文件中相应内容不一致的，以报价表为准； </w:t>
      </w:r>
    </w:p>
    <w:p w14:paraId="6AACD7E6">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（2）大写金额和小写金额不一致的，以大写金额为准； </w:t>
      </w:r>
    </w:p>
    <w:p w14:paraId="5581E7F9">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（3）单价金额小数点或者百分比有明显错位的，以报价表的总价为准，并修改单价； </w:t>
      </w:r>
    </w:p>
    <w:p w14:paraId="1D00DCD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（4）总价金额与按单价汇总金额不一致的，以单价金额计算结果为准。 </w:t>
      </w:r>
    </w:p>
    <w:p w14:paraId="042479B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同时出现两种以上不一致的，按照以上（1）-（4）规定的顺序逐条进行修正。修正后的报价经供应商确认后产生约束力，供应商不确认的，其响应文件按无效响应处理。 </w:t>
      </w:r>
    </w:p>
    <w:p w14:paraId="1165237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3.5 商务技术报价评审 </w:t>
      </w:r>
    </w:p>
    <w:p w14:paraId="42FD4BD1">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在评审时，如发现下列情形之一的，将被视为响应文件无效处理： </w:t>
      </w:r>
    </w:p>
    <w:p w14:paraId="69757EC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（1）商务技术评审 </w:t>
      </w:r>
    </w:p>
    <w:p w14:paraId="6A612889">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1）响应文件未按谈判文件要求签署、盖章的； </w:t>
      </w:r>
    </w:p>
    <w:p w14:paraId="4A3687D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2）委托代理人未能出具有效身份证或者出具的身份证与授权委托书中的信息不符的； </w:t>
      </w:r>
    </w:p>
    <w:p w14:paraId="50990C08">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3）提交的竞标保证金无效的或者未按照谈判文件的规定提交竞标保证金； </w:t>
      </w:r>
    </w:p>
    <w:p w14:paraId="710883D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 </w:t>
      </w:r>
    </w:p>
    <w:p w14:paraId="32B78B39">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5）商务要求允许负偏离的条款数超过“供应商须知前附表”规定项数的； </w:t>
      </w:r>
    </w:p>
    <w:p w14:paraId="6FD7CE82">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6）未对竞标有效期作出响应或者响应文件承诺的竞标有效期不满足谈判文件要求； </w:t>
      </w:r>
    </w:p>
    <w:p w14:paraId="439F3FD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7）响应文件的实质性内容未使用中文表述、使用计量单位不符合谈判文件要求的； </w:t>
      </w:r>
    </w:p>
    <w:p w14:paraId="7DD3194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8）响应文件中的文件资料因填写不齐全或者内容虚假或者出现其他情形而导致被谈判小组认定无效的； </w:t>
      </w:r>
    </w:p>
    <w:p w14:paraId="244EFA3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9）响应文件含有采购人不能接受的附加条件的； </w:t>
      </w:r>
    </w:p>
    <w:p w14:paraId="55105EC4">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10）属于“供应商须知正文”第 7.5 条的情形的； </w:t>
      </w:r>
    </w:p>
    <w:p w14:paraId="6A422F9B">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11）技术评审允许负偏离的条款数超过“供应商须知前附表”规定项数的； </w:t>
      </w:r>
    </w:p>
    <w:p w14:paraId="326EE788">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12）虚假竞标，或者出现其他情形而导致被谈判小组认定无效的； </w:t>
      </w:r>
    </w:p>
    <w:p w14:paraId="1CB8A43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13）谈判文件未载明允许提供备选（替代）竞标方案或明确不允许提供备选（替代）竞标方案时，供应商提供了备选（替代）竞标方案的； </w:t>
      </w:r>
    </w:p>
    <w:p w14:paraId="2866961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14）响应文件标注的项目名称或者项目编号与谈判文件标注的项目名称或者项目编号不一致的； </w:t>
      </w:r>
    </w:p>
    <w:p w14:paraId="7BC17A13">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15）谈判文件明确不允许分包，响应文件拟分包的； </w:t>
      </w:r>
    </w:p>
    <w:p w14:paraId="2F6ED66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16）未响应谈判文件实质性要求； </w:t>
      </w:r>
    </w:p>
    <w:p w14:paraId="7CE1E11A">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17）法律、法规和谈判文件规定的其他无效情形。 </w:t>
      </w:r>
    </w:p>
    <w:p w14:paraId="77E68A4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（2）报价评审 </w:t>
      </w:r>
    </w:p>
    <w:p w14:paraId="0344F19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1）响应文件未提供“供应商须知前附表”报价文件中规定的“竞标报价表”的； </w:t>
      </w:r>
    </w:p>
    <w:p w14:paraId="468403B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2）未采用人民币报价或者未按照谈判文件标明的币种报价的； </w:t>
      </w:r>
    </w:p>
    <w:p w14:paraId="2DA14D4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6C505451">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 </w:t>
      </w:r>
    </w:p>
    <w:p w14:paraId="5851049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 </w:t>
      </w:r>
    </w:p>
    <w:p w14:paraId="47738B0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6）响应文件响应的标的数量及单位与竞争性谈判采购文件要求实质性不一致的。 </w:t>
      </w:r>
    </w:p>
    <w:p w14:paraId="779F3B1B">
      <w:pPr>
        <w:spacing w:line="360" w:lineRule="auto"/>
        <w:rPr>
          <w:rFonts w:hint="default" w:ascii="宋体" w:hAnsi="Calibri" w:eastAsia="宋体" w:cs="Times New Roman"/>
          <w:b w:val="0"/>
          <w:bCs w:val="0"/>
          <w:color w:val="auto"/>
          <w:kern w:val="2"/>
          <w:sz w:val="21"/>
          <w:szCs w:val="21"/>
          <w:highlight w:val="none"/>
          <w:lang w:val="en-US" w:eastAsia="zh-CN" w:bidi="ar-SA"/>
        </w:rPr>
      </w:pPr>
      <w:r>
        <w:rPr>
          <w:rFonts w:hint="eastAsia" w:ascii="宋体" w:hAnsi="Calibri" w:eastAsia="宋体" w:cs="Times New Roman"/>
          <w:b w:val="0"/>
          <w:bCs w:val="0"/>
          <w:color w:val="auto"/>
          <w:kern w:val="2"/>
          <w:sz w:val="21"/>
          <w:szCs w:val="21"/>
          <w:highlight w:val="none"/>
          <w:lang w:val="en-US" w:eastAsia="zh-CN" w:bidi="ar-SA"/>
        </w:rPr>
        <w:t xml:space="preserve">    </w:t>
      </w:r>
      <w:r>
        <w:rPr>
          <w:rFonts w:hint="eastAsia" w:ascii="宋体" w:hAnsi="Calibri" w:cs="Times New Roman"/>
          <w:b w:val="0"/>
          <w:bCs w:val="0"/>
          <w:color w:val="auto"/>
          <w:kern w:val="2"/>
          <w:sz w:val="21"/>
          <w:szCs w:val="21"/>
          <w:highlight w:val="none"/>
          <w:lang w:val="en-US" w:eastAsia="zh-CN" w:bidi="ar-SA"/>
        </w:rPr>
        <w:t xml:space="preserve"> </w:t>
      </w:r>
      <w:r>
        <w:rPr>
          <w:rFonts w:hint="eastAsia" w:ascii="宋体" w:hAnsi="Calibri" w:eastAsia="宋体" w:cs="Times New Roman"/>
          <w:b w:val="0"/>
          <w:bCs w:val="0"/>
          <w:color w:val="auto"/>
          <w:kern w:val="2"/>
          <w:sz w:val="21"/>
          <w:szCs w:val="21"/>
          <w:highlight w:val="none"/>
          <w:lang w:val="en-US" w:eastAsia="zh-CN" w:bidi="ar-SA"/>
        </w:rPr>
        <w:t xml:space="preserve"> 7）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p w14:paraId="14809A7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3.6 谈判小组对响应文件进行评审，未实质性响应谈判文件的响应文件按无效处理。谈判小组应当将资格和符合性不通过的情况告知有关供应商。谈判小组从符合谈判文件规定的相应资格条件的供应商名单中确定不少于 3 家的供应商参加谈判。 </w:t>
      </w:r>
    </w:p>
    <w:p w14:paraId="5580537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3.7 公开招标的货物、服务采购项目，招标过程中提交响应文件或者经评审实质性响应谈判文件要求的供应商只有两家时，采购人、采购代理机构按照《政府采购非招标采购方式管理办法》 （财政部 74 号令）第四条经本级财政部门批准后可以与该两家供应商进行竞争性谈判采购。 </w:t>
      </w:r>
    </w:p>
    <w:p w14:paraId="5EC26034">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3.8 除本章 3.7 条规定的情形外，通过符合性审查的合格供应商不足 3 家的，不得进入谈判环节，应当重新开展采购活动。 </w:t>
      </w:r>
    </w:p>
    <w:p w14:paraId="47DFE0F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 xml:space="preserve">4.谈判程序 </w:t>
      </w:r>
    </w:p>
    <w:p w14:paraId="7F961803">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4.1 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 </w:t>
      </w:r>
    </w:p>
    <w:p w14:paraId="0ED1DA2A">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4.2 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 </w:t>
      </w:r>
    </w:p>
    <w:p w14:paraId="18586447">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4.3 对谈判文件作出的实质性变动是谈判文件的有效组成部分，由谈判小组及时以电子澄清函形式同时通知所有参加谈判的供应商。 </w:t>
      </w:r>
    </w:p>
    <w:p w14:paraId="26B0DC58">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4.4 供应商必须按照谈判文件的变动情况和谈判小组的要求以回函的形式重新提交响应文件，并加盖电子签章。参加谈判的供应商未在规定时间内重新提交响应文件的，视同退出谈判，其响应文件按无效处理。 </w:t>
      </w:r>
    </w:p>
    <w:p w14:paraId="040B51D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4.5 谈判中，谈判的任何一方不得透露与谈判有关的其他供应商的技术资料、价格和其他信息。 </w:t>
      </w:r>
    </w:p>
    <w:p w14:paraId="03A3A39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4.6 谈判小组应对谈判过程和重要谈判内容进行记录。 </w:t>
      </w:r>
    </w:p>
    <w:p w14:paraId="7B4FA59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4.7 除本章第 3.7 条外，对谈判过程提交的响应文件进行有效性、完整性和响应程度审查，通过审查的合格供应商不足 3 家的，采购人或者采购代理机构应当重新开展采购活动。 </w:t>
      </w:r>
    </w:p>
    <w:p w14:paraId="723505B1">
      <w:pPr>
        <w:spacing w:line="360" w:lineRule="auto"/>
        <w:ind w:firstLine="482" w:firstLineChars="200"/>
        <w:rPr>
          <w:rFonts w:hint="eastAsia" w:ascii="黑体" w:hAnsi="黑体" w:eastAsia="黑体" w:cs="宋体"/>
          <w:b/>
          <w:bCs/>
          <w:color w:val="auto"/>
          <w:sz w:val="24"/>
          <w:highlight w:val="none"/>
          <w:lang w:val="en-US" w:eastAsia="zh-CN"/>
        </w:rPr>
      </w:pPr>
      <w:r>
        <w:rPr>
          <w:rFonts w:hint="eastAsia" w:ascii="黑体" w:hAnsi="黑体" w:eastAsia="黑体" w:cs="宋体"/>
          <w:b/>
          <w:bCs/>
          <w:color w:val="auto"/>
          <w:sz w:val="24"/>
          <w:highlight w:val="none"/>
          <w:lang w:val="en-US" w:eastAsia="zh-CN"/>
        </w:rPr>
        <w:t xml:space="preserve">5. 最后报价 </w:t>
      </w:r>
    </w:p>
    <w:p w14:paraId="1C87A80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5.1 谈判文件能够详细列明采购标的的技术、服务要求的，谈判结束后，谈判小组应当要求所有继续参加谈判的供应商在规定时间内在广西政府采购云平台开标大厅提交最后报价，除本章第3.7 条外，提交最后报价的供应商不得少于 3 家，否则应当重新采购。 </w:t>
      </w:r>
    </w:p>
    <w:p w14:paraId="1585EE1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5.2 谈判文件不能详细列明采购标的的技术、服务要求，需经谈判由供应商提供最后设计方案或者解决方案的，谈判结束后，谈判小组应当按照少数服从多数的原则投票推荐 3 家以上供应商的设计方案或者解决方案，并要求其在规定时间内在广西政府采购云平台开标大厅提交最后报价。 </w:t>
      </w:r>
    </w:p>
    <w:p w14:paraId="128A9C7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5.3 最后报价是供应商响应文件的有效组成部分。 </w:t>
      </w:r>
    </w:p>
    <w:p w14:paraId="7201A46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5.4 已经提交响应文件的供应商，在提交最后报价之前，可以根据谈判情况退出谈判，退出谈判的供应商的响应文件按无效响应处理。采购人、采购代理机构将退还退出谈判的供应商的保证金。 </w:t>
      </w:r>
    </w:p>
    <w:p w14:paraId="0A6DF2F2">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5.5 供应商未在规定时间内提交最后报价的，视为退出谈判，其响应文件按无效处理。 </w:t>
      </w:r>
    </w:p>
    <w:p w14:paraId="492A319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5.6 最后报价统一开启后，谈判小组对最后报价进行有效性、完整性和响应程度的审查。 </w:t>
      </w:r>
    </w:p>
    <w:p w14:paraId="71EE67C4">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5.7 最后报价出现前后不一致的，按照本章第 3.4 条的规定修正。 </w:t>
      </w:r>
    </w:p>
    <w:p w14:paraId="685FE3B2">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5.8 修正后的报价出现下列情形的，按无效响应处理： </w:t>
      </w:r>
    </w:p>
    <w:p w14:paraId="4F34544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（1）供应商不确认的（全流程电子化评标采取在线确认）； </w:t>
      </w:r>
    </w:p>
    <w:p w14:paraId="6493F481">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（2）经供应商确认修正后的竞标报价（包含首次报价、最后报价）超过所竞标分标规定的采购预算金额或者最高限价的（如本项目公布了最高限价）； </w:t>
      </w:r>
    </w:p>
    <w:p w14:paraId="688BFDB2">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（3）经供应商确认修正后的竞标报价（包含首次报价、最后报价）超过分项采购预算金额或者最高限价的（如本项目公布了最高限价）。 </w:t>
      </w:r>
    </w:p>
    <w:p w14:paraId="1CF99C83">
      <w:pPr>
        <w:pStyle w:val="26"/>
        <w:keepNext w:val="0"/>
        <w:keepLines w:val="0"/>
        <w:pageBreakBefore w:val="0"/>
        <w:widowControl w:val="0"/>
        <w:kinsoku/>
        <w:wordWrap/>
        <w:overflowPunct/>
        <w:topLinePunct w:val="0"/>
        <w:autoSpaceDE/>
        <w:autoSpaceDN/>
        <w:bidi w:val="0"/>
        <w:adjustRightInd/>
        <w:snapToGrid/>
        <w:spacing w:line="360" w:lineRule="auto"/>
        <w:ind w:left="238" w:firstLine="630" w:firstLineChars="3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5.9 经供应商确认修正后的最后报价作为评审及签订合同的依据。 </w:t>
      </w:r>
    </w:p>
    <w:p w14:paraId="0E5D7F0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5.10 供应商出现最后报价按无效响应处理或者响应文件按无效处理时，谈判小组应当告知有关供应商。 </w:t>
      </w:r>
    </w:p>
    <w:p w14:paraId="772EF91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color w:val="auto"/>
          <w:sz w:val="21"/>
          <w:szCs w:val="21"/>
          <w:highlight w:val="none"/>
        </w:rPr>
      </w:pPr>
      <w:r>
        <w:rPr>
          <w:rFonts w:hint="eastAsia"/>
          <w:b w:val="0"/>
          <w:bCs w:val="0"/>
          <w:color w:val="auto"/>
          <w:sz w:val="21"/>
          <w:szCs w:val="21"/>
          <w:highlight w:val="none"/>
          <w:lang w:val="en-US" w:eastAsia="zh-CN"/>
        </w:rPr>
        <w:t xml:space="preserve">5.11 最后报价结束后，谈判小组不得再与供应商进行任何形式的商谈。 </w:t>
      </w:r>
    </w:p>
    <w:p w14:paraId="5ED67597">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70B36A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90A6F5C">
      <w:pPr>
        <w:spacing w:line="360" w:lineRule="auto"/>
        <w:ind w:firstLine="369" w:firstLineChars="176"/>
        <w:rPr>
          <w:rFonts w:hint="eastAsia"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按照《政府采购促进中小企业发展管理办法》（财库〔2020〕46号）的规定，供应商在其响应文件中提供《中小企业声明函》，且其所竞标产品全部为小型和微型企业产品的，对其最后报价给予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0%的扣除。</w:t>
      </w:r>
    </w:p>
    <w:p w14:paraId="1C57010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ECD2604">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7DC641B">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政策性扣除计算方法。</w:t>
      </w:r>
    </w:p>
    <w:p w14:paraId="7330CB6E">
      <w:pPr>
        <w:spacing w:line="360" w:lineRule="auto"/>
        <w:ind w:firstLine="420" w:firstLineChars="200"/>
        <w:rPr>
          <w:rFonts w:hint="eastAsia" w:ascii="宋体" w:hAnsi="宋体" w:cs="宋体"/>
          <w:color w:val="auto"/>
          <w:highlight w:val="none"/>
        </w:rPr>
      </w:pPr>
      <w:r>
        <w:rPr>
          <w:rFonts w:hint="eastAsia" w:ascii="宋体" w:hAnsi="宋体"/>
          <w:bCs/>
          <w:color w:val="auto"/>
          <w:szCs w:val="21"/>
          <w:highlight w:val="none"/>
        </w:rPr>
        <w:t>在货物采购项目中，供应商竞标全部货物由小型和微型企业制造；对符合上述要求的供应商的竞标报价给予</w:t>
      </w:r>
      <w:r>
        <w:rPr>
          <w:rFonts w:hint="eastAsia" w:ascii="宋体" w:hAnsi="宋体"/>
          <w:bCs/>
          <w:color w:val="auto"/>
          <w:szCs w:val="21"/>
          <w:highlight w:val="none"/>
          <w:lang w:val="en-US" w:eastAsia="zh-CN"/>
        </w:rPr>
        <w:t>2</w:t>
      </w:r>
      <w:r>
        <w:rPr>
          <w:rFonts w:hint="eastAsia" w:ascii="宋体" w:hAnsi="宋体"/>
          <w:bCs/>
          <w:color w:val="auto"/>
          <w:szCs w:val="21"/>
          <w:highlight w:val="none"/>
        </w:rPr>
        <w:t>0%的扣除，扣除后的价格为评审报价，即评审报价=竞标报价×（1-</w:t>
      </w:r>
      <w:r>
        <w:rPr>
          <w:rFonts w:hint="eastAsia" w:ascii="宋体" w:hAnsi="宋体"/>
          <w:bCs/>
          <w:color w:val="auto"/>
          <w:szCs w:val="21"/>
          <w:highlight w:val="none"/>
          <w:lang w:val="en-US" w:eastAsia="zh-CN"/>
        </w:rPr>
        <w:t>2</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 xml:space="preserve">  </w:t>
      </w:r>
      <w:r>
        <w:rPr>
          <w:rFonts w:hint="eastAsia" w:ascii="宋体" w:hAnsi="宋体"/>
          <w:bCs/>
          <w:color w:val="auto"/>
          <w:szCs w:val="21"/>
          <w:highlight w:val="none"/>
          <w:u w:val="none"/>
          <w:lang w:eastAsia="zh-CN"/>
        </w:rPr>
        <w:t>（</w:t>
      </w:r>
      <w:r>
        <w:rPr>
          <w:rFonts w:hint="eastAsia" w:ascii="宋体" w:hAnsi="宋体"/>
          <w:bCs/>
          <w:color w:val="auto"/>
          <w:szCs w:val="21"/>
          <w:highlight w:val="none"/>
        </w:rPr>
        <w:t>范围为</w:t>
      </w:r>
      <w:r>
        <w:rPr>
          <w:rFonts w:hint="eastAsia" w:ascii="宋体" w:hAnsi="宋体"/>
          <w:bCs/>
          <w:color w:val="auto"/>
          <w:szCs w:val="21"/>
          <w:highlight w:val="none"/>
          <w:lang w:val="en-US" w:eastAsia="zh-CN"/>
        </w:rPr>
        <w:t>4</w:t>
      </w: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 的扣除，用扣除后的价格参加评审，扣除后的价格为评审报价，即评审报价=竞标报价×（1-</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ascii="宋体" w:hAnsi="宋体"/>
          <w:bCs/>
          <w:color w:val="auto"/>
          <w:szCs w:val="21"/>
          <w:highlight w:val="none"/>
          <w:u w:val="single"/>
        </w:rPr>
        <w:t xml:space="preserve"> </w:t>
      </w:r>
      <w:r>
        <w:rPr>
          <w:rFonts w:hint="eastAsia" w:ascii="宋体" w:hAnsi="宋体"/>
          <w:bCs/>
          <w:color w:val="auto"/>
          <w:szCs w:val="21"/>
          <w:highlight w:val="none"/>
        </w:rPr>
        <w:t>%）。除上述情况外，评审报价=竞标报价。</w:t>
      </w:r>
    </w:p>
    <w:p w14:paraId="3025675A">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lang w:val="en-US" w:eastAsia="zh-CN"/>
        </w:rPr>
        <w:t>6</w:t>
      </w:r>
      <w:r>
        <w:rPr>
          <w:rFonts w:hint="eastAsia" w:ascii="宋体" w:hAnsi="宋体" w:cs="宋体"/>
          <w:color w:val="auto"/>
          <w:highlight w:val="none"/>
        </w:rPr>
        <w:t>除上述情况外，评审价＝最后报价。</w:t>
      </w:r>
    </w:p>
    <w:p w14:paraId="538B10CE">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color w:val="auto"/>
          <w:sz w:val="24"/>
          <w:szCs w:val="24"/>
          <w:highlight w:val="none"/>
          <w:lang w:val="en-US" w:eastAsia="zh-CN"/>
        </w:rPr>
      </w:pPr>
    </w:p>
    <w:p w14:paraId="046DCC6D">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二、评定成交的标准</w:t>
      </w:r>
    </w:p>
    <w:p w14:paraId="3675E8DB">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 xml:space="preserve">7. 成交候选人推荐 </w:t>
      </w:r>
    </w:p>
    <w:p w14:paraId="070F5DA7">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7.1根据《政府采购法实施条例》第三十四条第三款规定，技术、服务等标准统一的货物和服务项目，应当采用最低评标价法。</w:t>
      </w:r>
    </w:p>
    <w:p w14:paraId="40698D6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7.2本项目采用</w:t>
      </w:r>
      <w:r>
        <w:rPr>
          <w:rFonts w:hint="eastAsia" w:ascii="宋体" w:hAnsi="宋体" w:cs="宋体"/>
          <w:color w:val="auto"/>
          <w:highlight w:val="none"/>
        </w:rPr>
        <w:t>最低评标价法，是指</w:t>
      </w:r>
      <w:r>
        <w:rPr>
          <w:rFonts w:hint="eastAsia" w:ascii="宋体" w:hAnsi="宋体" w:cs="宋体"/>
          <w:color w:val="auto"/>
          <w:highlight w:val="none"/>
          <w:lang w:val="en-US" w:eastAsia="zh-CN"/>
        </w:rPr>
        <w:t>响应</w:t>
      </w:r>
      <w:r>
        <w:rPr>
          <w:rFonts w:hint="eastAsia" w:ascii="宋体" w:hAnsi="宋体" w:cs="宋体"/>
          <w:color w:val="auto"/>
          <w:highlight w:val="none"/>
        </w:rPr>
        <w:t>文件满足</w:t>
      </w:r>
      <w:r>
        <w:rPr>
          <w:rFonts w:hint="eastAsia" w:ascii="宋体" w:hAnsi="宋体" w:cs="宋体"/>
          <w:color w:val="auto"/>
          <w:highlight w:val="none"/>
          <w:lang w:val="en-US" w:eastAsia="zh-CN"/>
        </w:rPr>
        <w:t>竞争性谈判</w:t>
      </w:r>
      <w:r>
        <w:rPr>
          <w:rFonts w:hint="eastAsia" w:ascii="宋体" w:hAnsi="宋体" w:cs="宋体"/>
          <w:color w:val="auto"/>
          <w:highlight w:val="none"/>
        </w:rPr>
        <w:t>文件全部实质性要求且</w:t>
      </w:r>
      <w:r>
        <w:rPr>
          <w:rFonts w:hint="eastAsia" w:ascii="宋体" w:hAnsi="宋体" w:cs="宋体"/>
          <w:color w:val="auto"/>
          <w:highlight w:val="none"/>
          <w:lang w:val="en-US" w:eastAsia="zh-CN"/>
        </w:rPr>
        <w:t>竞标</w:t>
      </w:r>
      <w:r>
        <w:rPr>
          <w:rFonts w:hint="eastAsia" w:ascii="宋体" w:hAnsi="宋体" w:cs="宋体"/>
          <w:color w:val="auto"/>
          <w:highlight w:val="none"/>
        </w:rPr>
        <w:t>报价最低的供应商为</w:t>
      </w:r>
      <w:r>
        <w:rPr>
          <w:rFonts w:hint="eastAsia" w:ascii="宋体" w:hAnsi="宋体" w:cs="宋体"/>
          <w:color w:val="auto"/>
          <w:highlight w:val="none"/>
          <w:lang w:val="en-US" w:eastAsia="zh-CN"/>
        </w:rPr>
        <w:t>成交</w:t>
      </w:r>
      <w:r>
        <w:rPr>
          <w:rFonts w:hint="eastAsia" w:ascii="宋体" w:hAnsi="宋体" w:cs="宋体"/>
          <w:color w:val="auto"/>
          <w:highlight w:val="none"/>
        </w:rPr>
        <w:t>候选人。</w:t>
      </w:r>
    </w:p>
    <w:p w14:paraId="65876F16">
      <w:pPr>
        <w:spacing w:line="360" w:lineRule="auto"/>
        <w:ind w:firstLine="420" w:firstLineChars="200"/>
        <w:rPr>
          <w:b w:val="0"/>
          <w:bCs w:val="0"/>
          <w:color w:val="auto"/>
          <w:sz w:val="21"/>
          <w:szCs w:val="21"/>
          <w:highlight w:val="none"/>
        </w:rPr>
      </w:pPr>
      <w:r>
        <w:rPr>
          <w:rFonts w:hint="eastAsia" w:ascii="宋体" w:hAnsi="宋体" w:cs="宋体"/>
          <w:color w:val="auto"/>
          <w:highlight w:val="none"/>
          <w:lang w:val="en-US" w:eastAsia="zh-CN"/>
        </w:rPr>
        <w:t>7.3</w:t>
      </w: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w:t>
      </w:r>
      <w:r>
        <w:rPr>
          <w:rFonts w:hint="eastAsia"/>
          <w:b w:val="0"/>
          <w:bCs w:val="0"/>
          <w:color w:val="auto"/>
          <w:sz w:val="21"/>
          <w:szCs w:val="21"/>
          <w:highlight w:val="none"/>
          <w:lang w:val="en-US" w:eastAsia="zh-CN"/>
        </w:rPr>
        <w:t>，评审报告通过电子交易平台向采购人、采购代理机构提交。</w:t>
      </w:r>
    </w:p>
    <w:p w14:paraId="03031214">
      <w:pPr>
        <w:pStyle w:val="26"/>
        <w:keepNext w:val="0"/>
        <w:keepLines w:val="0"/>
        <w:pageBreakBefore w:val="0"/>
        <w:widowControl w:val="0"/>
        <w:kinsoku/>
        <w:wordWrap/>
        <w:overflowPunct/>
        <w:topLinePunct w:val="0"/>
        <w:autoSpaceDE/>
        <w:autoSpaceDN/>
        <w:bidi w:val="0"/>
        <w:adjustRightInd/>
        <w:snapToGrid/>
        <w:spacing w:line="360" w:lineRule="auto"/>
        <w:ind w:left="238"/>
        <w:textAlignment w:val="auto"/>
        <w:rPr>
          <w:color w:val="auto"/>
          <w:sz w:val="21"/>
          <w:szCs w:val="21"/>
          <w:highlight w:val="none"/>
        </w:rPr>
      </w:pPr>
    </w:p>
    <w:p w14:paraId="4DFD9B2A">
      <w:pPr>
        <w:rPr>
          <w:color w:val="auto"/>
          <w:sz w:val="21"/>
          <w:szCs w:val="21"/>
          <w:highlight w:val="none"/>
        </w:rPr>
      </w:pPr>
    </w:p>
    <w:p w14:paraId="1F0076B3">
      <w:pPr>
        <w:rPr>
          <w:color w:val="auto"/>
          <w:sz w:val="21"/>
          <w:szCs w:val="21"/>
          <w:highlight w:val="none"/>
        </w:rPr>
      </w:pPr>
    </w:p>
    <w:p w14:paraId="37CBE3A0">
      <w:pPr>
        <w:rPr>
          <w:color w:val="auto"/>
          <w:sz w:val="21"/>
          <w:szCs w:val="21"/>
          <w:highlight w:val="none"/>
        </w:rPr>
      </w:pPr>
    </w:p>
    <w:p w14:paraId="0B9152CB">
      <w:pPr>
        <w:keepNext w:val="0"/>
        <w:keepLines w:val="0"/>
        <w:widowControl/>
        <w:suppressLineNumbers w:val="0"/>
        <w:jc w:val="both"/>
        <w:rPr>
          <w:rFonts w:hint="eastAsia" w:ascii="宋体" w:hAnsi="宋体" w:eastAsia="宋体" w:cs="宋体"/>
          <w:b/>
          <w:bCs/>
          <w:color w:val="auto"/>
          <w:kern w:val="0"/>
          <w:sz w:val="43"/>
          <w:szCs w:val="43"/>
          <w:highlight w:val="none"/>
          <w:lang w:val="en-US" w:eastAsia="zh-CN" w:bidi="ar"/>
        </w:rPr>
      </w:pPr>
    </w:p>
    <w:p w14:paraId="388A293D">
      <w:pPr>
        <w:keepNext w:val="0"/>
        <w:keepLines w:val="0"/>
        <w:widowControl/>
        <w:suppressLineNumbers w:val="0"/>
        <w:jc w:val="center"/>
        <w:rPr>
          <w:rFonts w:hint="eastAsia" w:ascii="宋体" w:hAnsi="宋体" w:eastAsia="宋体" w:cs="宋体"/>
          <w:b/>
          <w:bCs/>
          <w:color w:val="auto"/>
          <w:kern w:val="0"/>
          <w:sz w:val="43"/>
          <w:szCs w:val="43"/>
          <w:highlight w:val="none"/>
          <w:lang w:val="en-US" w:eastAsia="zh-CN" w:bidi="ar"/>
        </w:rPr>
      </w:pPr>
    </w:p>
    <w:p w14:paraId="4FB58807">
      <w:pPr>
        <w:pStyle w:val="23"/>
        <w:rPr>
          <w:rFonts w:hint="eastAsia" w:ascii="宋体" w:hAnsi="宋体" w:eastAsia="宋体" w:cs="宋体"/>
          <w:b/>
          <w:bCs/>
          <w:color w:val="auto"/>
          <w:kern w:val="0"/>
          <w:sz w:val="43"/>
          <w:szCs w:val="43"/>
          <w:highlight w:val="none"/>
          <w:lang w:val="en-US" w:eastAsia="zh-CN" w:bidi="ar"/>
        </w:rPr>
      </w:pPr>
    </w:p>
    <w:p w14:paraId="541105FC">
      <w:pPr>
        <w:pStyle w:val="24"/>
        <w:rPr>
          <w:rFonts w:hint="eastAsia" w:ascii="宋体" w:hAnsi="宋体" w:eastAsia="宋体" w:cs="宋体"/>
          <w:b/>
          <w:bCs/>
          <w:color w:val="auto"/>
          <w:kern w:val="0"/>
          <w:sz w:val="43"/>
          <w:szCs w:val="43"/>
          <w:highlight w:val="none"/>
          <w:lang w:val="en-US" w:eastAsia="zh-CN" w:bidi="ar"/>
        </w:rPr>
      </w:pPr>
    </w:p>
    <w:p w14:paraId="223CBCC6">
      <w:pPr>
        <w:rPr>
          <w:rFonts w:hint="eastAsia" w:ascii="宋体" w:hAnsi="宋体" w:eastAsia="宋体" w:cs="宋体"/>
          <w:b/>
          <w:bCs/>
          <w:color w:val="auto"/>
          <w:kern w:val="0"/>
          <w:sz w:val="43"/>
          <w:szCs w:val="43"/>
          <w:highlight w:val="none"/>
          <w:lang w:val="en-US" w:eastAsia="zh-CN" w:bidi="ar"/>
        </w:rPr>
      </w:pPr>
    </w:p>
    <w:p w14:paraId="7898E268">
      <w:pPr>
        <w:pStyle w:val="23"/>
        <w:rPr>
          <w:rFonts w:hint="eastAsia" w:ascii="宋体" w:hAnsi="宋体" w:eastAsia="宋体" w:cs="宋体"/>
          <w:b/>
          <w:bCs/>
          <w:color w:val="auto"/>
          <w:kern w:val="0"/>
          <w:sz w:val="43"/>
          <w:szCs w:val="43"/>
          <w:highlight w:val="none"/>
          <w:lang w:val="en-US" w:eastAsia="zh-CN" w:bidi="ar"/>
        </w:rPr>
      </w:pPr>
    </w:p>
    <w:p w14:paraId="59127D10">
      <w:pPr>
        <w:pStyle w:val="24"/>
        <w:rPr>
          <w:rFonts w:hint="eastAsia" w:ascii="宋体" w:hAnsi="宋体" w:eastAsia="宋体" w:cs="宋体"/>
          <w:b/>
          <w:bCs/>
          <w:color w:val="auto"/>
          <w:kern w:val="0"/>
          <w:sz w:val="43"/>
          <w:szCs w:val="43"/>
          <w:highlight w:val="none"/>
          <w:lang w:val="en-US" w:eastAsia="zh-CN" w:bidi="ar"/>
        </w:rPr>
      </w:pPr>
    </w:p>
    <w:p w14:paraId="0BD6E8BA">
      <w:pPr>
        <w:rPr>
          <w:rFonts w:hint="eastAsia" w:ascii="宋体" w:hAnsi="宋体" w:eastAsia="宋体" w:cs="宋体"/>
          <w:b/>
          <w:bCs/>
          <w:color w:val="auto"/>
          <w:kern w:val="0"/>
          <w:sz w:val="43"/>
          <w:szCs w:val="43"/>
          <w:highlight w:val="none"/>
          <w:lang w:val="en-US" w:eastAsia="zh-CN" w:bidi="ar"/>
        </w:rPr>
      </w:pPr>
    </w:p>
    <w:p w14:paraId="62DA928D">
      <w:pPr>
        <w:rPr>
          <w:rFonts w:hint="eastAsia" w:ascii="宋体" w:hAnsi="宋体" w:eastAsia="宋体" w:cs="宋体"/>
          <w:b/>
          <w:bCs/>
          <w:color w:val="auto"/>
          <w:kern w:val="0"/>
          <w:sz w:val="43"/>
          <w:szCs w:val="43"/>
          <w:highlight w:val="none"/>
          <w:lang w:val="en-US" w:eastAsia="zh-CN" w:bidi="ar"/>
        </w:rPr>
      </w:pPr>
    </w:p>
    <w:p w14:paraId="4AB43D73">
      <w:pPr>
        <w:pStyle w:val="23"/>
        <w:rPr>
          <w:rFonts w:hint="eastAsia" w:ascii="宋体" w:hAnsi="宋体" w:eastAsia="宋体" w:cs="宋体"/>
          <w:b/>
          <w:bCs/>
          <w:color w:val="auto"/>
          <w:kern w:val="0"/>
          <w:sz w:val="43"/>
          <w:szCs w:val="43"/>
          <w:highlight w:val="none"/>
          <w:lang w:val="en-US" w:eastAsia="zh-CN" w:bidi="ar"/>
        </w:rPr>
      </w:pPr>
    </w:p>
    <w:p w14:paraId="159D243D">
      <w:pPr>
        <w:pStyle w:val="24"/>
        <w:rPr>
          <w:rFonts w:hint="eastAsia" w:ascii="宋体" w:hAnsi="宋体" w:eastAsia="宋体" w:cs="宋体"/>
          <w:b/>
          <w:bCs/>
          <w:color w:val="auto"/>
          <w:kern w:val="0"/>
          <w:sz w:val="43"/>
          <w:szCs w:val="43"/>
          <w:highlight w:val="none"/>
          <w:lang w:val="en-US" w:eastAsia="zh-CN" w:bidi="ar"/>
        </w:rPr>
      </w:pPr>
    </w:p>
    <w:p w14:paraId="58F7169E">
      <w:pPr>
        <w:rPr>
          <w:rFonts w:hint="eastAsia" w:ascii="宋体" w:hAnsi="宋体" w:eastAsia="宋体" w:cs="宋体"/>
          <w:b/>
          <w:bCs/>
          <w:color w:val="auto"/>
          <w:kern w:val="0"/>
          <w:sz w:val="43"/>
          <w:szCs w:val="43"/>
          <w:highlight w:val="none"/>
          <w:lang w:val="en-US" w:eastAsia="zh-CN" w:bidi="ar"/>
        </w:rPr>
      </w:pPr>
    </w:p>
    <w:p w14:paraId="72B01577">
      <w:pPr>
        <w:pStyle w:val="23"/>
        <w:rPr>
          <w:rFonts w:hint="eastAsia" w:ascii="宋体" w:hAnsi="宋体" w:eastAsia="宋体" w:cs="宋体"/>
          <w:b/>
          <w:bCs/>
          <w:color w:val="auto"/>
          <w:kern w:val="0"/>
          <w:sz w:val="43"/>
          <w:szCs w:val="43"/>
          <w:highlight w:val="none"/>
          <w:lang w:val="en-US" w:eastAsia="zh-CN" w:bidi="ar"/>
        </w:rPr>
      </w:pPr>
    </w:p>
    <w:p w14:paraId="741BC76F">
      <w:pPr>
        <w:pStyle w:val="24"/>
        <w:rPr>
          <w:rFonts w:hint="eastAsia" w:ascii="宋体" w:hAnsi="宋体" w:eastAsia="宋体" w:cs="宋体"/>
          <w:b/>
          <w:bCs/>
          <w:color w:val="auto"/>
          <w:kern w:val="0"/>
          <w:sz w:val="43"/>
          <w:szCs w:val="43"/>
          <w:highlight w:val="none"/>
          <w:lang w:val="en-US" w:eastAsia="zh-CN" w:bidi="ar"/>
        </w:rPr>
      </w:pPr>
    </w:p>
    <w:p w14:paraId="3A8A9D77">
      <w:pPr>
        <w:rPr>
          <w:rFonts w:hint="eastAsia" w:ascii="宋体" w:hAnsi="宋体" w:eastAsia="宋体" w:cs="宋体"/>
          <w:b/>
          <w:bCs/>
          <w:color w:val="auto"/>
          <w:kern w:val="0"/>
          <w:sz w:val="43"/>
          <w:szCs w:val="43"/>
          <w:highlight w:val="none"/>
          <w:lang w:val="en-US" w:eastAsia="zh-CN" w:bidi="ar"/>
        </w:rPr>
      </w:pPr>
    </w:p>
    <w:p w14:paraId="51184CC7">
      <w:pPr>
        <w:pStyle w:val="24"/>
        <w:ind w:left="0" w:leftChars="0" w:firstLine="0" w:firstLineChars="0"/>
        <w:rPr>
          <w:rFonts w:hint="eastAsia" w:ascii="宋体" w:hAnsi="宋体" w:eastAsia="宋体" w:cs="宋体"/>
          <w:b/>
          <w:bCs/>
          <w:color w:val="auto"/>
          <w:kern w:val="0"/>
          <w:sz w:val="43"/>
          <w:szCs w:val="43"/>
          <w:highlight w:val="none"/>
          <w:lang w:val="en-US" w:eastAsia="zh-CN" w:bidi="ar"/>
        </w:rPr>
      </w:pPr>
    </w:p>
    <w:p w14:paraId="57AC3D83">
      <w:pPr>
        <w:rPr>
          <w:rFonts w:hint="eastAsia"/>
          <w:color w:val="auto"/>
          <w:highlight w:val="none"/>
          <w:lang w:val="en-US" w:eastAsia="zh-CN"/>
        </w:rPr>
      </w:pPr>
    </w:p>
    <w:p w14:paraId="61C290F3">
      <w:pPr>
        <w:keepNext w:val="0"/>
        <w:keepLines w:val="0"/>
        <w:widowControl/>
        <w:suppressLineNumbers w:val="0"/>
        <w:jc w:val="center"/>
        <w:rPr>
          <w:rFonts w:hint="eastAsia" w:ascii="宋体" w:hAnsi="宋体" w:eastAsia="宋体" w:cs="宋体"/>
          <w:b/>
          <w:bCs/>
          <w:color w:val="auto"/>
          <w:kern w:val="0"/>
          <w:sz w:val="43"/>
          <w:szCs w:val="43"/>
          <w:highlight w:val="none"/>
          <w:lang w:val="en-US" w:eastAsia="zh-CN" w:bidi="ar"/>
        </w:rPr>
      </w:pPr>
    </w:p>
    <w:p w14:paraId="6CD23E29">
      <w:pPr>
        <w:keepNext w:val="0"/>
        <w:keepLines w:val="0"/>
        <w:widowControl/>
        <w:suppressLineNumbers w:val="0"/>
        <w:jc w:val="center"/>
        <w:outlineLvl w:val="0"/>
        <w:rPr>
          <w:color w:val="auto"/>
          <w:highlight w:val="none"/>
        </w:rPr>
      </w:pPr>
      <w:bookmarkStart w:id="46" w:name="_Toc27683"/>
      <w:r>
        <w:rPr>
          <w:rFonts w:hint="eastAsia" w:ascii="宋体" w:hAnsi="宋体" w:eastAsia="宋体" w:cs="宋体"/>
          <w:b/>
          <w:bCs/>
          <w:color w:val="auto"/>
          <w:kern w:val="0"/>
          <w:sz w:val="43"/>
          <w:szCs w:val="43"/>
          <w:highlight w:val="none"/>
          <w:lang w:val="en-US" w:eastAsia="zh-CN" w:bidi="ar"/>
        </w:rPr>
        <w:t>第五章 响应文件格式</w:t>
      </w:r>
      <w:bookmarkEnd w:id="46"/>
    </w:p>
    <w:p w14:paraId="172CF136">
      <w:pPr>
        <w:rPr>
          <w:color w:val="auto"/>
          <w:sz w:val="21"/>
          <w:szCs w:val="21"/>
          <w:highlight w:val="none"/>
        </w:rPr>
      </w:pPr>
    </w:p>
    <w:p w14:paraId="2483382C">
      <w:pPr>
        <w:rPr>
          <w:color w:val="auto"/>
          <w:sz w:val="21"/>
          <w:szCs w:val="21"/>
          <w:highlight w:val="none"/>
        </w:rPr>
      </w:pPr>
    </w:p>
    <w:p w14:paraId="64C61E12">
      <w:pPr>
        <w:rPr>
          <w:color w:val="auto"/>
          <w:sz w:val="21"/>
          <w:szCs w:val="21"/>
          <w:highlight w:val="none"/>
        </w:rPr>
      </w:pPr>
    </w:p>
    <w:p w14:paraId="4E232B4A">
      <w:pPr>
        <w:rPr>
          <w:color w:val="auto"/>
          <w:sz w:val="21"/>
          <w:szCs w:val="21"/>
          <w:highlight w:val="none"/>
        </w:rPr>
      </w:pPr>
    </w:p>
    <w:p w14:paraId="0B4A1C83">
      <w:pPr>
        <w:rPr>
          <w:color w:val="auto"/>
          <w:sz w:val="21"/>
          <w:szCs w:val="21"/>
          <w:highlight w:val="none"/>
        </w:rPr>
      </w:pPr>
    </w:p>
    <w:p w14:paraId="75ECA2AD">
      <w:pPr>
        <w:rPr>
          <w:color w:val="auto"/>
          <w:sz w:val="21"/>
          <w:szCs w:val="21"/>
          <w:highlight w:val="none"/>
        </w:rPr>
      </w:pPr>
    </w:p>
    <w:p w14:paraId="663443C7">
      <w:pPr>
        <w:rPr>
          <w:color w:val="auto"/>
          <w:sz w:val="21"/>
          <w:szCs w:val="21"/>
          <w:highlight w:val="none"/>
        </w:rPr>
      </w:pPr>
    </w:p>
    <w:p w14:paraId="5C1A1A7D">
      <w:pPr>
        <w:rPr>
          <w:color w:val="auto"/>
          <w:sz w:val="21"/>
          <w:szCs w:val="21"/>
          <w:highlight w:val="none"/>
        </w:rPr>
      </w:pPr>
    </w:p>
    <w:p w14:paraId="1E5AA18A">
      <w:pPr>
        <w:rPr>
          <w:color w:val="auto"/>
          <w:sz w:val="21"/>
          <w:szCs w:val="21"/>
          <w:highlight w:val="none"/>
        </w:rPr>
      </w:pPr>
    </w:p>
    <w:p w14:paraId="1B51434F">
      <w:pPr>
        <w:rPr>
          <w:color w:val="auto"/>
          <w:sz w:val="21"/>
          <w:szCs w:val="21"/>
          <w:highlight w:val="none"/>
        </w:rPr>
      </w:pPr>
    </w:p>
    <w:p w14:paraId="7D35223B">
      <w:pPr>
        <w:rPr>
          <w:color w:val="auto"/>
          <w:sz w:val="21"/>
          <w:szCs w:val="21"/>
          <w:highlight w:val="none"/>
        </w:rPr>
      </w:pPr>
    </w:p>
    <w:p w14:paraId="57F24FB8">
      <w:pPr>
        <w:rPr>
          <w:color w:val="auto"/>
          <w:sz w:val="21"/>
          <w:szCs w:val="21"/>
          <w:highlight w:val="none"/>
        </w:rPr>
      </w:pPr>
    </w:p>
    <w:p w14:paraId="5B3731F6">
      <w:pPr>
        <w:rPr>
          <w:color w:val="auto"/>
          <w:sz w:val="21"/>
          <w:szCs w:val="21"/>
          <w:highlight w:val="none"/>
        </w:rPr>
      </w:pPr>
    </w:p>
    <w:p w14:paraId="02312537">
      <w:pPr>
        <w:rPr>
          <w:color w:val="auto"/>
          <w:sz w:val="21"/>
          <w:szCs w:val="21"/>
          <w:highlight w:val="none"/>
        </w:rPr>
      </w:pPr>
    </w:p>
    <w:p w14:paraId="14C24846">
      <w:pPr>
        <w:rPr>
          <w:color w:val="auto"/>
          <w:sz w:val="21"/>
          <w:szCs w:val="21"/>
          <w:highlight w:val="none"/>
        </w:rPr>
      </w:pPr>
    </w:p>
    <w:p w14:paraId="5AA8743D">
      <w:pPr>
        <w:rPr>
          <w:color w:val="auto"/>
          <w:sz w:val="21"/>
          <w:szCs w:val="21"/>
          <w:highlight w:val="none"/>
        </w:rPr>
      </w:pPr>
    </w:p>
    <w:p w14:paraId="5A6CD166">
      <w:pPr>
        <w:rPr>
          <w:color w:val="auto"/>
          <w:sz w:val="21"/>
          <w:szCs w:val="21"/>
          <w:highlight w:val="none"/>
        </w:rPr>
      </w:pPr>
    </w:p>
    <w:p w14:paraId="5EA368CD">
      <w:pPr>
        <w:rPr>
          <w:color w:val="auto"/>
          <w:sz w:val="21"/>
          <w:szCs w:val="21"/>
          <w:highlight w:val="none"/>
        </w:rPr>
      </w:pPr>
    </w:p>
    <w:p w14:paraId="5392C9D6">
      <w:pPr>
        <w:rPr>
          <w:color w:val="auto"/>
          <w:sz w:val="21"/>
          <w:szCs w:val="21"/>
          <w:highlight w:val="none"/>
        </w:rPr>
      </w:pPr>
    </w:p>
    <w:p w14:paraId="36C3FD4E">
      <w:pPr>
        <w:rPr>
          <w:color w:val="auto"/>
          <w:sz w:val="21"/>
          <w:szCs w:val="21"/>
          <w:highlight w:val="none"/>
        </w:rPr>
      </w:pPr>
    </w:p>
    <w:p w14:paraId="58BCF06A">
      <w:pPr>
        <w:rPr>
          <w:color w:val="auto"/>
          <w:sz w:val="21"/>
          <w:szCs w:val="21"/>
          <w:highlight w:val="none"/>
        </w:rPr>
      </w:pPr>
    </w:p>
    <w:p w14:paraId="75C7C80C">
      <w:pPr>
        <w:rPr>
          <w:color w:val="auto"/>
          <w:sz w:val="21"/>
          <w:szCs w:val="21"/>
          <w:highlight w:val="none"/>
        </w:rPr>
      </w:pPr>
    </w:p>
    <w:p w14:paraId="59C3949B">
      <w:pPr>
        <w:rPr>
          <w:color w:val="auto"/>
          <w:sz w:val="21"/>
          <w:szCs w:val="21"/>
          <w:highlight w:val="none"/>
        </w:rPr>
      </w:pPr>
    </w:p>
    <w:p w14:paraId="4BC18D1A">
      <w:pPr>
        <w:rPr>
          <w:color w:val="auto"/>
          <w:sz w:val="21"/>
          <w:szCs w:val="21"/>
          <w:highlight w:val="none"/>
        </w:rPr>
      </w:pPr>
    </w:p>
    <w:p w14:paraId="3DC64FCA">
      <w:pPr>
        <w:rPr>
          <w:color w:val="auto"/>
          <w:sz w:val="21"/>
          <w:szCs w:val="21"/>
          <w:highlight w:val="none"/>
        </w:rPr>
      </w:pPr>
    </w:p>
    <w:p w14:paraId="3CE2793D">
      <w:pPr>
        <w:rPr>
          <w:color w:val="auto"/>
          <w:sz w:val="21"/>
          <w:szCs w:val="21"/>
          <w:highlight w:val="none"/>
        </w:rPr>
      </w:pPr>
    </w:p>
    <w:p w14:paraId="78414593">
      <w:pPr>
        <w:rPr>
          <w:color w:val="auto"/>
          <w:sz w:val="21"/>
          <w:szCs w:val="21"/>
          <w:highlight w:val="none"/>
        </w:rPr>
      </w:pPr>
    </w:p>
    <w:p w14:paraId="6F2F0703">
      <w:pPr>
        <w:rPr>
          <w:color w:val="auto"/>
          <w:sz w:val="21"/>
          <w:szCs w:val="21"/>
          <w:highlight w:val="none"/>
        </w:rPr>
      </w:pPr>
    </w:p>
    <w:p w14:paraId="0A86B5E2">
      <w:pPr>
        <w:rPr>
          <w:color w:val="auto"/>
          <w:sz w:val="21"/>
          <w:szCs w:val="21"/>
          <w:highlight w:val="none"/>
        </w:rPr>
      </w:pPr>
    </w:p>
    <w:p w14:paraId="6CF5F3B8">
      <w:pPr>
        <w:rPr>
          <w:color w:val="auto"/>
          <w:sz w:val="21"/>
          <w:szCs w:val="21"/>
          <w:highlight w:val="none"/>
        </w:rPr>
      </w:pPr>
    </w:p>
    <w:p w14:paraId="2337689C">
      <w:pPr>
        <w:rPr>
          <w:color w:val="auto"/>
          <w:sz w:val="21"/>
          <w:szCs w:val="21"/>
          <w:highlight w:val="none"/>
        </w:rPr>
      </w:pPr>
    </w:p>
    <w:p w14:paraId="54BD8B54">
      <w:pPr>
        <w:rPr>
          <w:color w:val="auto"/>
          <w:sz w:val="21"/>
          <w:szCs w:val="21"/>
          <w:highlight w:val="none"/>
        </w:rPr>
      </w:pPr>
    </w:p>
    <w:p w14:paraId="220CF61C">
      <w:pPr>
        <w:pStyle w:val="23"/>
        <w:rPr>
          <w:color w:val="auto"/>
          <w:sz w:val="21"/>
          <w:szCs w:val="21"/>
          <w:highlight w:val="none"/>
        </w:rPr>
      </w:pPr>
    </w:p>
    <w:p w14:paraId="270EA751">
      <w:pPr>
        <w:pStyle w:val="24"/>
        <w:rPr>
          <w:color w:val="auto"/>
          <w:highlight w:val="none"/>
        </w:rPr>
      </w:pPr>
    </w:p>
    <w:p w14:paraId="7BBAF877">
      <w:pPr>
        <w:rPr>
          <w:color w:val="auto"/>
          <w:sz w:val="21"/>
          <w:szCs w:val="21"/>
          <w:highlight w:val="none"/>
        </w:rPr>
      </w:pPr>
    </w:p>
    <w:p w14:paraId="3EBFACB7">
      <w:pPr>
        <w:rPr>
          <w:color w:val="auto"/>
          <w:sz w:val="21"/>
          <w:szCs w:val="21"/>
          <w:highlight w:val="none"/>
        </w:rPr>
      </w:pPr>
    </w:p>
    <w:p w14:paraId="423D260F">
      <w:pPr>
        <w:rPr>
          <w:color w:val="auto"/>
          <w:sz w:val="21"/>
          <w:szCs w:val="21"/>
          <w:highlight w:val="none"/>
        </w:rPr>
      </w:pPr>
    </w:p>
    <w:p w14:paraId="1B052472">
      <w:pPr>
        <w:rPr>
          <w:color w:val="auto"/>
          <w:sz w:val="21"/>
          <w:szCs w:val="21"/>
          <w:highlight w:val="none"/>
        </w:rPr>
      </w:pPr>
    </w:p>
    <w:p w14:paraId="18F8A20A">
      <w:pPr>
        <w:rPr>
          <w:color w:val="auto"/>
          <w:sz w:val="21"/>
          <w:szCs w:val="21"/>
          <w:highlight w:val="none"/>
        </w:rPr>
      </w:pPr>
    </w:p>
    <w:p w14:paraId="760FB5C4">
      <w:pPr>
        <w:rPr>
          <w:color w:val="auto"/>
          <w:sz w:val="21"/>
          <w:szCs w:val="21"/>
          <w:highlight w:val="none"/>
        </w:rPr>
      </w:pPr>
    </w:p>
    <w:p w14:paraId="241757B7">
      <w:pPr>
        <w:snapToGrid w:val="0"/>
        <w:spacing w:before="120" w:beforeLines="50" w:after="50" w:line="360" w:lineRule="auto"/>
        <w:jc w:val="center"/>
        <w:outlineLvl w:val="9"/>
        <w:rPr>
          <w:rFonts w:hint="eastAsia" w:ascii="宋体" w:hAnsi="宋体"/>
          <w:bCs/>
          <w:color w:val="auto"/>
          <w:sz w:val="32"/>
          <w:szCs w:val="32"/>
          <w:highlight w:val="none"/>
        </w:rPr>
      </w:pPr>
      <w:r>
        <w:rPr>
          <w:rFonts w:hint="eastAsia" w:ascii="宋体" w:hAnsi="宋体"/>
          <w:bCs/>
          <w:color w:val="auto"/>
          <w:sz w:val="32"/>
          <w:szCs w:val="32"/>
          <w:highlight w:val="none"/>
        </w:rPr>
        <w:t>资格证明文件格式</w:t>
      </w:r>
    </w:p>
    <w:p w14:paraId="1B0B7442">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736E6BE9">
      <w:pPr>
        <w:snapToGrid w:val="0"/>
        <w:spacing w:before="120" w:beforeLines="50" w:after="50"/>
        <w:rPr>
          <w:rFonts w:hint="eastAsia" w:ascii="宋体" w:hAnsi="宋体"/>
          <w:color w:val="auto"/>
          <w:sz w:val="24"/>
          <w:szCs w:val="20"/>
          <w:highlight w:val="none"/>
        </w:rPr>
      </w:pPr>
    </w:p>
    <w:p w14:paraId="6CDBFA44">
      <w:pPr>
        <w:snapToGrid w:val="0"/>
        <w:spacing w:before="120" w:beforeLines="50" w:after="50"/>
        <w:rPr>
          <w:rFonts w:hint="eastAsia" w:ascii="宋体" w:hAnsi="宋体"/>
          <w:color w:val="auto"/>
          <w:sz w:val="24"/>
          <w:szCs w:val="20"/>
          <w:highlight w:val="none"/>
        </w:rPr>
      </w:pPr>
    </w:p>
    <w:p w14:paraId="4BC8754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17B608A2">
      <w:pPr>
        <w:snapToGrid w:val="0"/>
        <w:spacing w:before="120" w:beforeLines="50" w:after="50"/>
        <w:rPr>
          <w:rFonts w:hint="eastAsia" w:ascii="宋体" w:hAnsi="宋体"/>
          <w:bCs/>
          <w:color w:val="auto"/>
          <w:sz w:val="24"/>
          <w:szCs w:val="20"/>
          <w:highlight w:val="none"/>
        </w:rPr>
      </w:pPr>
    </w:p>
    <w:p w14:paraId="4160DC9A">
      <w:pPr>
        <w:snapToGrid w:val="0"/>
        <w:spacing w:before="120" w:beforeLines="50" w:after="50"/>
        <w:rPr>
          <w:rFonts w:hint="eastAsia" w:ascii="宋体" w:hAnsi="宋体"/>
          <w:bCs/>
          <w:color w:val="auto"/>
          <w:sz w:val="24"/>
          <w:szCs w:val="20"/>
          <w:highlight w:val="none"/>
        </w:rPr>
      </w:pPr>
    </w:p>
    <w:p w14:paraId="1FB41423">
      <w:pPr>
        <w:snapToGrid w:val="0"/>
        <w:spacing w:before="120" w:beforeLines="50" w:after="50"/>
        <w:rPr>
          <w:rFonts w:hint="eastAsia" w:ascii="宋体" w:hAnsi="宋体"/>
          <w:bCs/>
          <w:color w:val="auto"/>
          <w:sz w:val="24"/>
          <w:szCs w:val="20"/>
          <w:highlight w:val="none"/>
        </w:rPr>
      </w:pPr>
    </w:p>
    <w:p w14:paraId="39ED62A7">
      <w:pPr>
        <w:snapToGrid w:val="0"/>
        <w:spacing w:before="120" w:beforeLines="50" w:after="50"/>
        <w:rPr>
          <w:rFonts w:hint="eastAsia" w:ascii="宋体" w:hAnsi="宋体"/>
          <w:bCs/>
          <w:color w:val="auto"/>
          <w:sz w:val="24"/>
          <w:szCs w:val="20"/>
          <w:highlight w:val="none"/>
        </w:rPr>
      </w:pPr>
    </w:p>
    <w:p w14:paraId="75B9D374">
      <w:pPr>
        <w:snapToGrid w:val="0"/>
        <w:spacing w:before="120" w:beforeLines="50" w:after="50"/>
        <w:rPr>
          <w:rFonts w:hint="eastAsia" w:ascii="宋体" w:hAnsi="宋体"/>
          <w:bCs/>
          <w:color w:val="auto"/>
          <w:sz w:val="24"/>
          <w:szCs w:val="20"/>
          <w:highlight w:val="none"/>
        </w:rPr>
      </w:pPr>
    </w:p>
    <w:p w14:paraId="35496CB8">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4A2D576">
      <w:pPr>
        <w:snapToGrid w:val="0"/>
        <w:spacing w:before="120" w:beforeLines="50" w:after="50"/>
        <w:ind w:firstLine="720" w:firstLineChars="225"/>
        <w:rPr>
          <w:rFonts w:hint="eastAsia" w:ascii="宋体" w:hAnsi="宋体" w:cs="仿宋_GB2312"/>
          <w:bCs/>
          <w:color w:val="auto"/>
          <w:sz w:val="32"/>
          <w:szCs w:val="32"/>
          <w:highlight w:val="none"/>
        </w:rPr>
      </w:pPr>
    </w:p>
    <w:p w14:paraId="69CC467A">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4A1BCB1">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25F216D">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9B610CF">
      <w:pPr>
        <w:snapToGrid w:val="0"/>
        <w:spacing w:before="120" w:beforeLines="50" w:after="50"/>
        <w:ind w:firstLine="720" w:firstLineChars="225"/>
        <w:rPr>
          <w:rFonts w:hint="eastAsia" w:ascii="宋体" w:hAnsi="宋体" w:cs="仿宋_GB2312"/>
          <w:bCs/>
          <w:color w:val="auto"/>
          <w:sz w:val="32"/>
          <w:szCs w:val="32"/>
          <w:highlight w:val="none"/>
        </w:rPr>
      </w:pPr>
    </w:p>
    <w:p w14:paraId="5059C8B2">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01A0DE9">
      <w:pPr>
        <w:pStyle w:val="7"/>
        <w:snapToGrid w:val="0"/>
        <w:spacing w:before="50" w:after="50"/>
        <w:ind w:firstLine="720" w:firstLineChars="225"/>
        <w:rPr>
          <w:rFonts w:hint="eastAsia" w:ascii="宋体" w:hAnsi="宋体" w:cs="仿宋_GB2312"/>
          <w:bCs/>
          <w:color w:val="auto"/>
          <w:sz w:val="32"/>
          <w:szCs w:val="32"/>
          <w:highlight w:val="none"/>
        </w:rPr>
      </w:pPr>
    </w:p>
    <w:p w14:paraId="3E909A0B">
      <w:pPr>
        <w:pStyle w:val="7"/>
        <w:snapToGrid w:val="0"/>
        <w:spacing w:before="50" w:after="50"/>
        <w:ind w:firstLine="720" w:firstLineChars="225"/>
        <w:rPr>
          <w:rFonts w:hint="eastAsia" w:ascii="宋体" w:hAnsi="宋体" w:cs="仿宋_GB2312"/>
          <w:bCs/>
          <w:color w:val="auto"/>
          <w:sz w:val="32"/>
          <w:szCs w:val="32"/>
          <w:highlight w:val="none"/>
        </w:rPr>
      </w:pPr>
    </w:p>
    <w:p w14:paraId="6DB719EB">
      <w:pPr>
        <w:pStyle w:val="7"/>
        <w:snapToGrid w:val="0"/>
        <w:spacing w:before="50" w:after="50"/>
        <w:ind w:firstLine="720" w:firstLineChars="225"/>
        <w:rPr>
          <w:rFonts w:hint="eastAsia" w:ascii="宋体" w:hAnsi="宋体" w:cs="仿宋_GB2312"/>
          <w:bCs/>
          <w:color w:val="auto"/>
          <w:sz w:val="32"/>
          <w:szCs w:val="32"/>
          <w:highlight w:val="none"/>
        </w:rPr>
      </w:pPr>
    </w:p>
    <w:p w14:paraId="4B6BAB89">
      <w:pPr>
        <w:pStyle w:val="7"/>
        <w:snapToGrid w:val="0"/>
        <w:spacing w:before="50" w:after="50"/>
        <w:ind w:firstLine="1280" w:firstLineChars="400"/>
        <w:rPr>
          <w:rFonts w:hint="eastAsia" w:ascii="宋体" w:hAnsi="宋体" w:cs="仿宋_GB2312"/>
          <w:bCs/>
          <w:color w:val="auto"/>
          <w:sz w:val="32"/>
          <w:szCs w:val="32"/>
          <w:highlight w:val="none"/>
        </w:rPr>
      </w:pPr>
    </w:p>
    <w:p w14:paraId="4BA78F39">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E011754">
      <w:pPr>
        <w:rPr>
          <w:rFonts w:ascii="宋体" w:hAnsi="宋体"/>
          <w:color w:val="auto"/>
          <w:sz w:val="24"/>
          <w:highlight w:val="none"/>
        </w:rPr>
      </w:pPr>
      <w:r>
        <w:rPr>
          <w:rFonts w:ascii="宋体" w:hAnsi="宋体"/>
          <w:color w:val="auto"/>
          <w:sz w:val="24"/>
          <w:highlight w:val="none"/>
        </w:rPr>
        <w:br w:type="page"/>
      </w:r>
    </w:p>
    <w:p w14:paraId="73B6F0A0">
      <w:pPr>
        <w:rPr>
          <w:rFonts w:ascii="宋体" w:hAnsi="宋体"/>
          <w:color w:val="auto"/>
          <w:sz w:val="24"/>
          <w:highlight w:val="none"/>
        </w:rPr>
      </w:pPr>
    </w:p>
    <w:p w14:paraId="28E951DC">
      <w:pPr>
        <w:rPr>
          <w:rFonts w:ascii="宋体" w:hAnsi="宋体"/>
          <w:color w:val="auto"/>
          <w:sz w:val="24"/>
          <w:highlight w:val="none"/>
        </w:rPr>
      </w:pPr>
    </w:p>
    <w:p w14:paraId="3D9C42C6">
      <w:pPr>
        <w:rPr>
          <w:rFonts w:ascii="宋体" w:hAnsi="宋体"/>
          <w:color w:val="auto"/>
          <w:sz w:val="24"/>
          <w:highlight w:val="none"/>
        </w:rPr>
      </w:pPr>
    </w:p>
    <w:p w14:paraId="72AD6437">
      <w:pPr>
        <w:rPr>
          <w:rFonts w:ascii="宋体" w:hAnsi="宋体"/>
          <w:color w:val="auto"/>
          <w:sz w:val="24"/>
          <w:highlight w:val="none"/>
        </w:rPr>
      </w:pPr>
    </w:p>
    <w:p w14:paraId="0AD854D1">
      <w:pPr>
        <w:rPr>
          <w:rFonts w:ascii="宋体" w:hAnsi="宋体"/>
          <w:color w:val="auto"/>
          <w:sz w:val="24"/>
          <w:highlight w:val="none"/>
        </w:rPr>
      </w:pPr>
    </w:p>
    <w:p w14:paraId="7B3B0DFD">
      <w:pP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 xml:space="preserve">  </w:t>
      </w:r>
    </w:p>
    <w:p w14:paraId="216512D5">
      <w:pPr>
        <w:keepNext w:val="0"/>
        <w:keepLines w:val="0"/>
        <w:widowControl/>
        <w:numPr>
          <w:ilvl w:val="0"/>
          <w:numId w:val="0"/>
        </w:numPr>
        <w:suppressLineNumbers w:val="0"/>
        <w:ind w:firstLine="2801" w:firstLineChars="900"/>
        <w:jc w:val="both"/>
        <w:rPr>
          <w:rFonts w:hint="eastAsia" w:ascii="宋体" w:hAnsi="宋体" w:eastAsia="宋体" w:cs="宋体"/>
          <w:b/>
          <w:bCs/>
          <w:color w:val="auto"/>
          <w:kern w:val="0"/>
          <w:sz w:val="31"/>
          <w:szCs w:val="31"/>
          <w:highlight w:val="none"/>
          <w:lang w:val="en-US" w:eastAsia="zh-CN" w:bidi="ar"/>
        </w:rPr>
      </w:pPr>
      <w:r>
        <w:rPr>
          <w:rFonts w:hint="eastAsia" w:ascii="宋体" w:hAnsi="宋体" w:cs="宋体"/>
          <w:b/>
          <w:bCs/>
          <w:color w:val="auto"/>
          <w:kern w:val="0"/>
          <w:sz w:val="31"/>
          <w:szCs w:val="31"/>
          <w:highlight w:val="none"/>
          <w:lang w:val="en-US" w:eastAsia="zh-CN" w:bidi="ar"/>
        </w:rPr>
        <w:t>2.</w:t>
      </w:r>
      <w:r>
        <w:rPr>
          <w:rFonts w:hint="eastAsia" w:ascii="宋体" w:hAnsi="宋体" w:eastAsia="宋体" w:cs="宋体"/>
          <w:b/>
          <w:bCs/>
          <w:color w:val="auto"/>
          <w:kern w:val="0"/>
          <w:sz w:val="31"/>
          <w:szCs w:val="31"/>
          <w:highlight w:val="none"/>
          <w:lang w:val="en-US" w:eastAsia="zh-CN" w:bidi="ar"/>
        </w:rPr>
        <w:t>资格证明文件目录</w:t>
      </w:r>
    </w:p>
    <w:p w14:paraId="4823B174">
      <w:pPr>
        <w:keepNext w:val="0"/>
        <w:keepLines w:val="0"/>
        <w:widowControl/>
        <w:numPr>
          <w:ilvl w:val="0"/>
          <w:numId w:val="0"/>
        </w:numPr>
        <w:suppressLineNumbers w:val="0"/>
        <w:jc w:val="both"/>
        <w:rPr>
          <w:rFonts w:hint="eastAsia" w:ascii="宋体" w:hAnsi="宋体" w:eastAsia="宋体" w:cs="宋体"/>
          <w:b/>
          <w:bCs/>
          <w:color w:val="auto"/>
          <w:kern w:val="0"/>
          <w:sz w:val="31"/>
          <w:szCs w:val="31"/>
          <w:highlight w:val="none"/>
          <w:lang w:val="en-US" w:eastAsia="zh-CN" w:bidi="ar"/>
        </w:rPr>
      </w:pPr>
    </w:p>
    <w:p w14:paraId="0EE6F863">
      <w:pPr>
        <w:ind w:firstLine="720" w:firstLineChars="300"/>
        <w:rPr>
          <w:rFonts w:ascii="宋体" w:hAnsi="宋体"/>
          <w:color w:val="auto"/>
          <w:sz w:val="24"/>
          <w:highlight w:val="none"/>
        </w:rPr>
      </w:pPr>
      <w:r>
        <w:rPr>
          <w:rFonts w:hint="eastAsia" w:ascii="宋体" w:hAnsi="宋体"/>
          <w:color w:val="auto"/>
          <w:sz w:val="24"/>
          <w:highlight w:val="none"/>
          <w:lang w:val="en-US" w:eastAsia="zh-CN"/>
        </w:rPr>
        <w:t>根据谈判文件规定及供应商提供的材料自行编写目录（部分格式后附）。</w:t>
      </w:r>
    </w:p>
    <w:p w14:paraId="7CB72364">
      <w:pPr>
        <w:rPr>
          <w:rFonts w:hint="eastAsia" w:ascii="宋体" w:hAnsi="宋体"/>
          <w:color w:val="auto"/>
          <w:sz w:val="24"/>
          <w:highlight w:val="none"/>
          <w:lang w:val="zh-CN"/>
        </w:rPr>
      </w:pPr>
    </w:p>
    <w:p w14:paraId="4B0813CB">
      <w:pPr>
        <w:rPr>
          <w:rFonts w:ascii="宋体" w:hAnsi="宋体"/>
          <w:color w:val="auto"/>
          <w:sz w:val="24"/>
          <w:highlight w:val="none"/>
        </w:rPr>
      </w:pPr>
    </w:p>
    <w:p w14:paraId="06D0DD55">
      <w:pPr>
        <w:rPr>
          <w:rFonts w:ascii="宋体" w:hAnsi="宋体"/>
          <w:color w:val="auto"/>
          <w:sz w:val="24"/>
          <w:highlight w:val="none"/>
        </w:rPr>
      </w:pPr>
    </w:p>
    <w:p w14:paraId="3739A6C9">
      <w:pPr>
        <w:rPr>
          <w:rFonts w:ascii="宋体" w:hAnsi="宋体"/>
          <w:color w:val="auto"/>
          <w:sz w:val="24"/>
          <w:highlight w:val="none"/>
        </w:rPr>
      </w:pPr>
    </w:p>
    <w:p w14:paraId="1BACA8A2">
      <w:pPr>
        <w:rPr>
          <w:rFonts w:ascii="宋体" w:hAnsi="宋体"/>
          <w:color w:val="auto"/>
          <w:sz w:val="24"/>
          <w:highlight w:val="none"/>
        </w:rPr>
      </w:pPr>
    </w:p>
    <w:p w14:paraId="1A9B5347">
      <w:pPr>
        <w:rPr>
          <w:rFonts w:ascii="宋体" w:hAnsi="宋体"/>
          <w:color w:val="auto"/>
          <w:sz w:val="24"/>
          <w:highlight w:val="none"/>
        </w:rPr>
      </w:pPr>
    </w:p>
    <w:p w14:paraId="3E44448D">
      <w:pPr>
        <w:rPr>
          <w:rFonts w:ascii="宋体" w:hAnsi="宋体"/>
          <w:color w:val="auto"/>
          <w:sz w:val="24"/>
          <w:highlight w:val="none"/>
        </w:rPr>
      </w:pPr>
    </w:p>
    <w:p w14:paraId="542A9B9C">
      <w:pPr>
        <w:rPr>
          <w:rFonts w:ascii="宋体" w:hAnsi="宋体"/>
          <w:color w:val="auto"/>
          <w:sz w:val="24"/>
          <w:highlight w:val="none"/>
        </w:rPr>
      </w:pPr>
    </w:p>
    <w:p w14:paraId="2D3B2D91">
      <w:pPr>
        <w:rPr>
          <w:rFonts w:ascii="宋体" w:hAnsi="宋体"/>
          <w:color w:val="auto"/>
          <w:sz w:val="24"/>
          <w:highlight w:val="none"/>
        </w:rPr>
      </w:pPr>
    </w:p>
    <w:p w14:paraId="41EF2FE1">
      <w:pPr>
        <w:rPr>
          <w:rFonts w:ascii="宋体" w:hAnsi="宋体"/>
          <w:color w:val="auto"/>
          <w:sz w:val="24"/>
          <w:highlight w:val="none"/>
        </w:rPr>
      </w:pPr>
    </w:p>
    <w:p w14:paraId="02577F22">
      <w:pPr>
        <w:rPr>
          <w:rFonts w:ascii="宋体" w:hAnsi="宋体"/>
          <w:color w:val="auto"/>
          <w:sz w:val="24"/>
          <w:highlight w:val="none"/>
        </w:rPr>
      </w:pPr>
    </w:p>
    <w:p w14:paraId="0935E844">
      <w:pPr>
        <w:rPr>
          <w:rFonts w:ascii="宋体" w:hAnsi="宋体"/>
          <w:color w:val="auto"/>
          <w:sz w:val="24"/>
          <w:highlight w:val="none"/>
        </w:rPr>
      </w:pPr>
    </w:p>
    <w:p w14:paraId="2856A7AE">
      <w:pPr>
        <w:rPr>
          <w:rFonts w:ascii="宋体" w:hAnsi="宋体"/>
          <w:color w:val="auto"/>
          <w:sz w:val="24"/>
          <w:highlight w:val="none"/>
        </w:rPr>
      </w:pPr>
    </w:p>
    <w:p w14:paraId="73154AA5">
      <w:pPr>
        <w:rPr>
          <w:rFonts w:ascii="宋体" w:hAnsi="宋体"/>
          <w:color w:val="auto"/>
          <w:sz w:val="24"/>
          <w:highlight w:val="none"/>
        </w:rPr>
      </w:pPr>
    </w:p>
    <w:p w14:paraId="312BF72A">
      <w:pPr>
        <w:rPr>
          <w:rFonts w:ascii="宋体" w:hAnsi="宋体"/>
          <w:color w:val="auto"/>
          <w:sz w:val="24"/>
          <w:highlight w:val="none"/>
        </w:rPr>
      </w:pPr>
    </w:p>
    <w:p w14:paraId="7EA33A72">
      <w:pPr>
        <w:rPr>
          <w:rFonts w:ascii="宋体" w:hAnsi="宋体"/>
          <w:color w:val="auto"/>
          <w:sz w:val="24"/>
          <w:highlight w:val="none"/>
        </w:rPr>
      </w:pPr>
    </w:p>
    <w:p w14:paraId="26A75902">
      <w:pPr>
        <w:rPr>
          <w:rFonts w:ascii="宋体" w:hAnsi="宋体"/>
          <w:color w:val="auto"/>
          <w:sz w:val="24"/>
          <w:highlight w:val="none"/>
        </w:rPr>
      </w:pPr>
    </w:p>
    <w:p w14:paraId="17BA2C63">
      <w:pPr>
        <w:rPr>
          <w:rFonts w:ascii="宋体" w:hAnsi="宋体"/>
          <w:color w:val="auto"/>
          <w:sz w:val="24"/>
          <w:highlight w:val="none"/>
        </w:rPr>
      </w:pPr>
    </w:p>
    <w:p w14:paraId="51E44022">
      <w:pPr>
        <w:rPr>
          <w:rFonts w:ascii="宋体" w:hAnsi="宋体"/>
          <w:color w:val="auto"/>
          <w:sz w:val="24"/>
          <w:highlight w:val="none"/>
        </w:rPr>
      </w:pPr>
    </w:p>
    <w:p w14:paraId="7F08E07D">
      <w:pPr>
        <w:rPr>
          <w:rFonts w:ascii="宋体" w:hAnsi="宋体"/>
          <w:color w:val="auto"/>
          <w:sz w:val="24"/>
          <w:highlight w:val="none"/>
        </w:rPr>
      </w:pPr>
    </w:p>
    <w:p w14:paraId="7FD6D1D7">
      <w:pPr>
        <w:rPr>
          <w:rFonts w:ascii="宋体" w:hAnsi="宋体"/>
          <w:color w:val="auto"/>
          <w:sz w:val="24"/>
          <w:highlight w:val="none"/>
        </w:rPr>
      </w:pPr>
    </w:p>
    <w:p w14:paraId="4CA935DF">
      <w:pPr>
        <w:rPr>
          <w:rFonts w:ascii="宋体" w:hAnsi="宋体"/>
          <w:color w:val="auto"/>
          <w:sz w:val="24"/>
          <w:highlight w:val="none"/>
        </w:rPr>
      </w:pPr>
    </w:p>
    <w:p w14:paraId="3938180D">
      <w:pPr>
        <w:rPr>
          <w:rFonts w:ascii="宋体" w:hAnsi="宋体"/>
          <w:color w:val="auto"/>
          <w:sz w:val="24"/>
          <w:highlight w:val="none"/>
        </w:rPr>
      </w:pPr>
    </w:p>
    <w:p w14:paraId="2EA44338">
      <w:pPr>
        <w:rPr>
          <w:rFonts w:ascii="宋体" w:hAnsi="宋体"/>
          <w:color w:val="auto"/>
          <w:sz w:val="24"/>
          <w:highlight w:val="none"/>
        </w:rPr>
      </w:pPr>
    </w:p>
    <w:p w14:paraId="0B42AEBD">
      <w:pPr>
        <w:rPr>
          <w:rFonts w:ascii="宋体" w:hAnsi="宋体"/>
          <w:color w:val="auto"/>
          <w:sz w:val="24"/>
          <w:highlight w:val="none"/>
        </w:rPr>
      </w:pPr>
    </w:p>
    <w:p w14:paraId="64835AC0">
      <w:pPr>
        <w:rPr>
          <w:rFonts w:ascii="宋体" w:hAnsi="宋体"/>
          <w:color w:val="auto"/>
          <w:sz w:val="24"/>
          <w:highlight w:val="none"/>
        </w:rPr>
      </w:pPr>
    </w:p>
    <w:p w14:paraId="3E9D1ED4">
      <w:pPr>
        <w:rPr>
          <w:rFonts w:ascii="宋体" w:hAnsi="宋体"/>
          <w:color w:val="auto"/>
          <w:sz w:val="24"/>
          <w:highlight w:val="none"/>
        </w:rPr>
      </w:pPr>
    </w:p>
    <w:p w14:paraId="778D4139">
      <w:pPr>
        <w:rPr>
          <w:rFonts w:ascii="宋体" w:hAnsi="宋体"/>
          <w:color w:val="auto"/>
          <w:sz w:val="24"/>
          <w:highlight w:val="none"/>
        </w:rPr>
      </w:pPr>
    </w:p>
    <w:p w14:paraId="58063126">
      <w:pPr>
        <w:rPr>
          <w:rFonts w:ascii="宋体" w:hAnsi="宋体"/>
          <w:color w:val="auto"/>
          <w:sz w:val="24"/>
          <w:highlight w:val="none"/>
        </w:rPr>
      </w:pPr>
    </w:p>
    <w:p w14:paraId="69145A36">
      <w:pPr>
        <w:rPr>
          <w:rFonts w:ascii="宋体" w:hAnsi="宋体"/>
          <w:color w:val="auto"/>
          <w:sz w:val="24"/>
          <w:highlight w:val="none"/>
        </w:rPr>
      </w:pPr>
    </w:p>
    <w:p w14:paraId="2F9E99D4">
      <w:pPr>
        <w:rPr>
          <w:rFonts w:ascii="宋体" w:hAnsi="宋体"/>
          <w:color w:val="auto"/>
          <w:sz w:val="24"/>
          <w:highlight w:val="none"/>
        </w:rPr>
      </w:pPr>
    </w:p>
    <w:p w14:paraId="497F71E6">
      <w:pPr>
        <w:rPr>
          <w:rFonts w:ascii="宋体" w:hAnsi="宋体"/>
          <w:color w:val="auto"/>
          <w:sz w:val="24"/>
          <w:highlight w:val="none"/>
        </w:rPr>
      </w:pPr>
    </w:p>
    <w:p w14:paraId="5E1026C3">
      <w:pPr>
        <w:rPr>
          <w:rFonts w:ascii="宋体" w:hAnsi="宋体"/>
          <w:color w:val="auto"/>
          <w:sz w:val="24"/>
          <w:highlight w:val="none"/>
        </w:rPr>
      </w:pPr>
    </w:p>
    <w:p w14:paraId="31E62BA8">
      <w:pPr>
        <w:rPr>
          <w:rFonts w:ascii="宋体" w:hAnsi="宋体"/>
          <w:color w:val="auto"/>
          <w:sz w:val="24"/>
          <w:highlight w:val="none"/>
        </w:rPr>
      </w:pPr>
    </w:p>
    <w:p w14:paraId="76FA3A40">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57B1A97F">
      <w:pPr>
        <w:spacing w:line="360" w:lineRule="auto"/>
        <w:contextualSpacing/>
        <w:jc w:val="center"/>
        <w:rPr>
          <w:rFonts w:hint="eastAsia" w:ascii="宋体" w:hAnsi="宋体"/>
          <w:b/>
          <w:color w:val="auto"/>
          <w:sz w:val="22"/>
          <w:szCs w:val="22"/>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7899B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2C24F">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926B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312F86">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2EB15">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80AE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22258DB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9531C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7E36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B42A6">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88CC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DF87A">
            <w:pPr>
              <w:widowControl/>
              <w:spacing w:line="360" w:lineRule="auto"/>
              <w:contextualSpacing/>
              <w:jc w:val="center"/>
              <w:rPr>
                <w:rFonts w:hint="eastAsia" w:ascii="宋体" w:hAnsi="宋体" w:cs="宋体"/>
                <w:color w:val="auto"/>
                <w:kern w:val="0"/>
                <w:sz w:val="22"/>
                <w:szCs w:val="22"/>
                <w:highlight w:val="none"/>
              </w:rPr>
            </w:pPr>
          </w:p>
        </w:tc>
      </w:tr>
      <w:tr w14:paraId="6EB27DE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DEFAC">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D60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FAF8C4">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565D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B47D0B">
            <w:pPr>
              <w:widowControl/>
              <w:spacing w:line="360" w:lineRule="auto"/>
              <w:contextualSpacing/>
              <w:jc w:val="center"/>
              <w:rPr>
                <w:rFonts w:hint="eastAsia" w:ascii="宋体" w:hAnsi="宋体" w:cs="宋体"/>
                <w:color w:val="auto"/>
                <w:kern w:val="0"/>
                <w:sz w:val="22"/>
                <w:szCs w:val="22"/>
                <w:highlight w:val="none"/>
              </w:rPr>
            </w:pPr>
          </w:p>
        </w:tc>
      </w:tr>
      <w:tr w14:paraId="2A3A5EA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77B02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5AB2F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C80AE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BD8F7">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0CCFBD">
            <w:pPr>
              <w:widowControl/>
              <w:spacing w:line="360" w:lineRule="auto"/>
              <w:contextualSpacing/>
              <w:jc w:val="center"/>
              <w:rPr>
                <w:rFonts w:hint="eastAsia" w:ascii="宋体" w:hAnsi="宋体" w:cs="宋体"/>
                <w:color w:val="auto"/>
                <w:kern w:val="0"/>
                <w:sz w:val="22"/>
                <w:szCs w:val="22"/>
                <w:highlight w:val="none"/>
              </w:rPr>
            </w:pPr>
          </w:p>
        </w:tc>
      </w:tr>
      <w:tr w14:paraId="3CD769C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F413D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33C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C0EC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5D2A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07B41">
            <w:pPr>
              <w:widowControl/>
              <w:spacing w:line="360" w:lineRule="auto"/>
              <w:contextualSpacing/>
              <w:jc w:val="center"/>
              <w:rPr>
                <w:rFonts w:hint="eastAsia" w:ascii="宋体" w:hAnsi="宋体" w:cs="宋体"/>
                <w:color w:val="auto"/>
                <w:kern w:val="0"/>
                <w:sz w:val="22"/>
                <w:szCs w:val="22"/>
                <w:highlight w:val="none"/>
              </w:rPr>
            </w:pPr>
          </w:p>
        </w:tc>
      </w:tr>
    </w:tbl>
    <w:p w14:paraId="0AC53FBE">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FF121C3">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E01279">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48B04794">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10A07B21">
      <w:pPr>
        <w:spacing w:line="360" w:lineRule="auto"/>
        <w:ind w:firstLine="420" w:firstLineChars="200"/>
        <w:contextualSpacing/>
        <w:jc w:val="left"/>
        <w:rPr>
          <w:rFonts w:ascii="宋体" w:hAnsi="宋体" w:cs="宋体"/>
          <w:color w:val="auto"/>
          <w:sz w:val="21"/>
          <w:szCs w:val="21"/>
          <w:highlight w:val="none"/>
        </w:rPr>
      </w:pPr>
    </w:p>
    <w:p w14:paraId="0A44B07B">
      <w:pPr>
        <w:spacing w:line="360" w:lineRule="auto"/>
        <w:ind w:right="480"/>
        <w:contextualSpacing/>
        <w:jc w:val="both"/>
        <w:rPr>
          <w:rFonts w:hint="eastAsia" w:ascii="宋体" w:hAnsi="宋体" w:cs="宋体"/>
          <w:color w:val="auto"/>
          <w:sz w:val="21"/>
          <w:szCs w:val="21"/>
          <w:highlight w:val="none"/>
        </w:rPr>
      </w:pPr>
    </w:p>
    <w:p w14:paraId="7698C03D">
      <w:pPr>
        <w:spacing w:line="360" w:lineRule="auto"/>
        <w:ind w:right="480" w:firstLine="1260" w:firstLineChars="600"/>
        <w:contextualSpacing/>
        <w:jc w:val="both"/>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签字或电子签名）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p>
    <w:p w14:paraId="3316847F">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6A37F80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F66ADC0">
      <w:pPr>
        <w:rPr>
          <w:rFonts w:hint="eastAsia" w:ascii="宋体" w:hAnsi="宋体" w:cs="宋体"/>
          <w:color w:val="auto"/>
          <w:sz w:val="21"/>
          <w:szCs w:val="21"/>
          <w:highlight w:val="none"/>
          <w:lang w:val="en-US" w:eastAsia="zh-CN"/>
        </w:rPr>
      </w:pPr>
    </w:p>
    <w:p w14:paraId="56456874">
      <w:pPr>
        <w:rPr>
          <w:rFonts w:hint="eastAsia" w:ascii="宋体" w:hAnsi="宋体" w:cs="宋体"/>
          <w:color w:val="auto"/>
          <w:sz w:val="21"/>
          <w:szCs w:val="21"/>
          <w:highlight w:val="none"/>
          <w:lang w:val="en-US" w:eastAsia="zh-CN"/>
        </w:rPr>
      </w:pPr>
    </w:p>
    <w:p w14:paraId="235A7A69">
      <w:pPr>
        <w:rPr>
          <w:rFonts w:hint="eastAsia" w:ascii="宋体" w:hAnsi="宋体" w:cs="宋体"/>
          <w:color w:val="auto"/>
          <w:sz w:val="21"/>
          <w:szCs w:val="21"/>
          <w:highlight w:val="none"/>
          <w:lang w:val="en-US" w:eastAsia="zh-CN"/>
        </w:rPr>
      </w:pPr>
    </w:p>
    <w:p w14:paraId="232D5549">
      <w:pPr>
        <w:rPr>
          <w:rFonts w:hint="eastAsia" w:ascii="宋体" w:hAnsi="宋体" w:cs="宋体"/>
          <w:color w:val="auto"/>
          <w:sz w:val="21"/>
          <w:szCs w:val="21"/>
          <w:highlight w:val="none"/>
          <w:lang w:val="en-US" w:eastAsia="zh-CN"/>
        </w:rPr>
      </w:pPr>
    </w:p>
    <w:p w14:paraId="03E86B1C">
      <w:pPr>
        <w:rPr>
          <w:rFonts w:hint="eastAsia" w:ascii="宋体" w:hAnsi="宋体" w:cs="宋体"/>
          <w:color w:val="auto"/>
          <w:sz w:val="21"/>
          <w:szCs w:val="21"/>
          <w:highlight w:val="none"/>
          <w:lang w:val="en-US" w:eastAsia="zh-CN"/>
        </w:rPr>
      </w:pPr>
    </w:p>
    <w:p w14:paraId="617E58C1">
      <w:pPr>
        <w:rPr>
          <w:rFonts w:hint="eastAsia" w:ascii="宋体" w:hAnsi="宋体" w:cs="宋体"/>
          <w:color w:val="auto"/>
          <w:sz w:val="21"/>
          <w:szCs w:val="21"/>
          <w:highlight w:val="none"/>
          <w:lang w:val="en-US" w:eastAsia="zh-CN"/>
        </w:rPr>
      </w:pPr>
    </w:p>
    <w:p w14:paraId="72172338">
      <w:pPr>
        <w:rPr>
          <w:rFonts w:hint="eastAsia" w:ascii="宋体" w:hAnsi="宋体" w:cs="宋体"/>
          <w:color w:val="auto"/>
          <w:sz w:val="21"/>
          <w:szCs w:val="21"/>
          <w:highlight w:val="none"/>
          <w:lang w:val="en-US" w:eastAsia="zh-CN"/>
        </w:rPr>
      </w:pPr>
    </w:p>
    <w:p w14:paraId="6F94A96E">
      <w:pPr>
        <w:rPr>
          <w:rFonts w:hint="eastAsia" w:ascii="宋体" w:hAnsi="宋体" w:cs="宋体"/>
          <w:color w:val="auto"/>
          <w:sz w:val="21"/>
          <w:szCs w:val="21"/>
          <w:highlight w:val="none"/>
          <w:lang w:val="en-US" w:eastAsia="zh-CN"/>
        </w:rPr>
      </w:pPr>
    </w:p>
    <w:p w14:paraId="37EB8B63">
      <w:pPr>
        <w:pStyle w:val="23"/>
        <w:rPr>
          <w:rFonts w:hint="eastAsia"/>
          <w:color w:val="auto"/>
          <w:highlight w:val="none"/>
          <w:lang w:val="en-US" w:eastAsia="zh-CN"/>
        </w:rPr>
      </w:pPr>
    </w:p>
    <w:p w14:paraId="195EF312">
      <w:pPr>
        <w:rPr>
          <w:rFonts w:hint="eastAsia" w:ascii="宋体" w:hAnsi="宋体" w:cs="宋体"/>
          <w:color w:val="auto"/>
          <w:sz w:val="21"/>
          <w:szCs w:val="21"/>
          <w:highlight w:val="none"/>
          <w:lang w:val="en-US" w:eastAsia="zh-CN"/>
        </w:rPr>
      </w:pPr>
    </w:p>
    <w:p w14:paraId="53C212D9">
      <w:pPr>
        <w:rPr>
          <w:rFonts w:hint="eastAsia" w:ascii="宋体" w:hAnsi="宋体" w:cs="宋体"/>
          <w:color w:val="auto"/>
          <w:sz w:val="21"/>
          <w:szCs w:val="21"/>
          <w:highlight w:val="none"/>
          <w:lang w:val="en-US" w:eastAsia="zh-CN"/>
        </w:rPr>
      </w:pPr>
    </w:p>
    <w:p w14:paraId="44FC7C45">
      <w:pPr>
        <w:rPr>
          <w:rFonts w:hint="eastAsia" w:ascii="宋体" w:hAnsi="宋体" w:cs="宋体"/>
          <w:color w:val="auto"/>
          <w:sz w:val="21"/>
          <w:szCs w:val="21"/>
          <w:highlight w:val="none"/>
          <w:lang w:val="en-US" w:eastAsia="zh-CN"/>
        </w:rPr>
      </w:pPr>
    </w:p>
    <w:p w14:paraId="1C77B2D8">
      <w:pPr>
        <w:rPr>
          <w:rFonts w:hint="eastAsia" w:ascii="宋体" w:hAnsi="宋体" w:cs="宋体"/>
          <w:color w:val="auto"/>
          <w:sz w:val="21"/>
          <w:szCs w:val="21"/>
          <w:highlight w:val="none"/>
          <w:lang w:val="en-US" w:eastAsia="zh-CN"/>
        </w:rPr>
      </w:pPr>
    </w:p>
    <w:p w14:paraId="5FA069C8">
      <w:pPr>
        <w:rPr>
          <w:rFonts w:hint="eastAsia" w:ascii="宋体" w:hAnsi="宋体" w:cs="宋体"/>
          <w:color w:val="auto"/>
          <w:sz w:val="21"/>
          <w:szCs w:val="21"/>
          <w:highlight w:val="none"/>
          <w:lang w:val="en-US" w:eastAsia="zh-CN"/>
        </w:rPr>
      </w:pPr>
    </w:p>
    <w:p w14:paraId="17FEC91B">
      <w:pPr>
        <w:rPr>
          <w:rFonts w:hint="eastAsia" w:ascii="宋体" w:hAnsi="宋体" w:cs="宋体"/>
          <w:color w:val="auto"/>
          <w:sz w:val="21"/>
          <w:szCs w:val="21"/>
          <w:highlight w:val="none"/>
          <w:lang w:val="en-US" w:eastAsia="zh-CN"/>
        </w:rPr>
      </w:pPr>
    </w:p>
    <w:p w14:paraId="3C484E6D">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247926BB">
      <w:pPr>
        <w:snapToGrid w:val="0"/>
        <w:spacing w:line="360" w:lineRule="auto"/>
        <w:jc w:val="center"/>
        <w:rPr>
          <w:rFonts w:hint="eastAsia" w:ascii="宋体" w:hAnsi="宋体"/>
          <w:b/>
          <w:color w:val="auto"/>
          <w:sz w:val="22"/>
          <w:szCs w:val="22"/>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31F378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93DB1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116885">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0D93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3020D">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043A0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50265">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7FD5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46514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EF393B">
            <w:pPr>
              <w:widowControl/>
              <w:spacing w:line="360" w:lineRule="auto"/>
              <w:contextualSpacing/>
              <w:jc w:val="center"/>
              <w:rPr>
                <w:rFonts w:ascii="宋体" w:hAnsi="宋体" w:cs="宋体"/>
                <w:color w:val="auto"/>
                <w:kern w:val="0"/>
                <w:sz w:val="22"/>
                <w:szCs w:val="22"/>
                <w:highlight w:val="none"/>
              </w:rPr>
            </w:pPr>
          </w:p>
        </w:tc>
      </w:tr>
      <w:tr w14:paraId="7FDB65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FD88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3FFDD7">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131F3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55067">
            <w:pPr>
              <w:widowControl/>
              <w:spacing w:line="360" w:lineRule="auto"/>
              <w:contextualSpacing/>
              <w:jc w:val="center"/>
              <w:rPr>
                <w:rFonts w:ascii="宋体" w:hAnsi="宋体" w:cs="宋体"/>
                <w:color w:val="auto"/>
                <w:kern w:val="0"/>
                <w:sz w:val="22"/>
                <w:szCs w:val="22"/>
                <w:highlight w:val="none"/>
              </w:rPr>
            </w:pPr>
          </w:p>
        </w:tc>
      </w:tr>
      <w:tr w14:paraId="5B8877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B918C">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F46E4">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151D25">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3388C8">
            <w:pPr>
              <w:widowControl/>
              <w:spacing w:line="360" w:lineRule="auto"/>
              <w:contextualSpacing/>
              <w:jc w:val="center"/>
              <w:rPr>
                <w:rFonts w:ascii="宋体" w:hAnsi="宋体" w:cs="宋体"/>
                <w:color w:val="auto"/>
                <w:kern w:val="0"/>
                <w:sz w:val="22"/>
                <w:szCs w:val="22"/>
                <w:highlight w:val="none"/>
              </w:rPr>
            </w:pPr>
          </w:p>
        </w:tc>
      </w:tr>
      <w:tr w14:paraId="6A6163A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B74F1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835EC5">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D3E51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F1FFE">
            <w:pPr>
              <w:widowControl/>
              <w:spacing w:line="360" w:lineRule="auto"/>
              <w:contextualSpacing/>
              <w:jc w:val="center"/>
              <w:rPr>
                <w:rFonts w:ascii="宋体" w:hAnsi="宋体" w:cs="宋体"/>
                <w:color w:val="auto"/>
                <w:kern w:val="0"/>
                <w:sz w:val="22"/>
                <w:szCs w:val="22"/>
                <w:highlight w:val="none"/>
              </w:rPr>
            </w:pPr>
          </w:p>
        </w:tc>
      </w:tr>
    </w:tbl>
    <w:p w14:paraId="2229C62C">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666B4DE">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0FFCA5A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0D9E2592">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1CBDBD24">
      <w:pPr>
        <w:spacing w:line="360" w:lineRule="auto"/>
        <w:contextualSpacing/>
        <w:jc w:val="left"/>
        <w:rPr>
          <w:rFonts w:hint="eastAsia" w:ascii="宋体" w:hAnsi="宋体"/>
          <w:color w:val="auto"/>
          <w:sz w:val="21"/>
          <w:szCs w:val="21"/>
          <w:highlight w:val="none"/>
        </w:rPr>
      </w:pPr>
    </w:p>
    <w:p w14:paraId="29B0E464">
      <w:pPr>
        <w:spacing w:line="360" w:lineRule="auto"/>
        <w:contextualSpacing/>
        <w:jc w:val="left"/>
        <w:rPr>
          <w:rFonts w:hint="eastAsia" w:ascii="宋体" w:hAnsi="宋体"/>
          <w:color w:val="auto"/>
          <w:sz w:val="21"/>
          <w:szCs w:val="21"/>
          <w:highlight w:val="none"/>
        </w:rPr>
      </w:pPr>
    </w:p>
    <w:p w14:paraId="58869046">
      <w:pPr>
        <w:spacing w:line="360" w:lineRule="auto"/>
        <w:contextualSpacing/>
        <w:jc w:val="left"/>
        <w:rPr>
          <w:rFonts w:hint="eastAsia"/>
          <w:color w:val="auto"/>
          <w:sz w:val="21"/>
          <w:szCs w:val="21"/>
          <w:highlight w:val="none"/>
        </w:rPr>
      </w:pPr>
    </w:p>
    <w:p w14:paraId="7A03D11C">
      <w:pPr>
        <w:spacing w:line="360" w:lineRule="auto"/>
        <w:contextualSpacing/>
        <w:jc w:val="left"/>
        <w:rPr>
          <w:rFonts w:hint="eastAsia"/>
          <w:color w:val="auto"/>
          <w:sz w:val="21"/>
          <w:szCs w:val="21"/>
          <w:highlight w:val="none"/>
        </w:rPr>
      </w:pPr>
    </w:p>
    <w:p w14:paraId="4A5EE1F6">
      <w:pPr>
        <w:spacing w:line="360" w:lineRule="auto"/>
        <w:contextualSpacing/>
        <w:jc w:val="left"/>
        <w:rPr>
          <w:rFonts w:hint="eastAsia"/>
          <w:color w:val="auto"/>
          <w:sz w:val="21"/>
          <w:szCs w:val="21"/>
          <w:highlight w:val="none"/>
        </w:rPr>
      </w:pPr>
    </w:p>
    <w:p w14:paraId="3E656E23">
      <w:pPr>
        <w:spacing w:line="360" w:lineRule="auto"/>
        <w:ind w:right="480" w:firstLine="2730" w:firstLineChars="1300"/>
        <w:contextualSpacing/>
        <w:jc w:val="both"/>
        <w:rPr>
          <w:rFonts w:hint="eastAsia" w:ascii="宋体" w:hAnsi="宋体"/>
          <w:color w:val="auto"/>
          <w:sz w:val="21"/>
          <w:szCs w:val="21"/>
          <w:highlight w:val="none"/>
          <w:u w:val="single"/>
        </w:rPr>
      </w:pPr>
      <w:r>
        <w:rPr>
          <w:rFonts w:hint="eastAsia" w:ascii="宋体" w:hAnsi="宋体"/>
          <w:color w:val="auto"/>
          <w:sz w:val="21"/>
          <w:szCs w:val="21"/>
          <w:highlight w:val="none"/>
        </w:rPr>
        <w:t>法定代表人或者委托代理人（</w:t>
      </w:r>
      <w:r>
        <w:rPr>
          <w:rFonts w:hint="eastAsia" w:ascii="宋体" w:hAnsi="宋体"/>
          <w:color w:val="auto"/>
          <w:sz w:val="21"/>
          <w:szCs w:val="21"/>
          <w:highlight w:val="none"/>
          <w:lang w:val="en-US" w:eastAsia="zh-CN"/>
        </w:rPr>
        <w:t>签字或电子签名）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16FD30A8">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0C8FB02A">
      <w:pPr>
        <w:spacing w:line="360" w:lineRule="auto"/>
        <w:ind w:firstLine="6300" w:firstLineChars="3000"/>
        <w:contextualSpacing/>
        <w:jc w:val="left"/>
        <w:rPr>
          <w:rFonts w:hint="eastAsia" w:ascii="宋体" w:hAnsi="宋体"/>
          <w:color w:val="auto"/>
          <w:sz w:val="21"/>
          <w:szCs w:val="21"/>
          <w:highlight w:val="none"/>
        </w:rPr>
      </w:pP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AFAE349">
      <w:pPr>
        <w:spacing w:line="360" w:lineRule="auto"/>
        <w:ind w:firstLine="6930" w:firstLineChars="3300"/>
        <w:contextualSpacing/>
        <w:jc w:val="left"/>
        <w:rPr>
          <w:rFonts w:hint="eastAsia" w:ascii="宋体" w:hAnsi="宋体"/>
          <w:color w:val="auto"/>
          <w:sz w:val="21"/>
          <w:szCs w:val="21"/>
          <w:highlight w:val="none"/>
        </w:rPr>
      </w:pPr>
    </w:p>
    <w:p w14:paraId="43AE55AF">
      <w:pPr>
        <w:spacing w:line="360" w:lineRule="auto"/>
        <w:ind w:firstLine="6930" w:firstLineChars="3300"/>
        <w:contextualSpacing/>
        <w:jc w:val="left"/>
        <w:rPr>
          <w:rFonts w:hint="eastAsia" w:ascii="宋体" w:hAnsi="宋体"/>
          <w:color w:val="auto"/>
          <w:sz w:val="21"/>
          <w:szCs w:val="21"/>
          <w:highlight w:val="none"/>
        </w:rPr>
      </w:pPr>
    </w:p>
    <w:p w14:paraId="095948F8">
      <w:pPr>
        <w:pStyle w:val="23"/>
        <w:rPr>
          <w:rFonts w:hint="eastAsia" w:ascii="宋体" w:hAnsi="宋体"/>
          <w:color w:val="auto"/>
          <w:sz w:val="21"/>
          <w:szCs w:val="21"/>
          <w:highlight w:val="none"/>
        </w:rPr>
      </w:pPr>
    </w:p>
    <w:p w14:paraId="15C5ED39">
      <w:pPr>
        <w:pStyle w:val="24"/>
        <w:rPr>
          <w:rFonts w:hint="eastAsia" w:ascii="宋体" w:hAnsi="宋体"/>
          <w:color w:val="auto"/>
          <w:sz w:val="21"/>
          <w:szCs w:val="21"/>
          <w:highlight w:val="none"/>
        </w:rPr>
      </w:pPr>
    </w:p>
    <w:p w14:paraId="19A36A63">
      <w:pPr>
        <w:rPr>
          <w:rFonts w:hint="eastAsia" w:ascii="宋体" w:hAnsi="宋体"/>
          <w:color w:val="auto"/>
          <w:sz w:val="21"/>
          <w:szCs w:val="21"/>
          <w:highlight w:val="none"/>
        </w:rPr>
      </w:pPr>
    </w:p>
    <w:p w14:paraId="71A455CE">
      <w:pPr>
        <w:pStyle w:val="23"/>
        <w:rPr>
          <w:rFonts w:hint="eastAsia" w:ascii="宋体" w:hAnsi="宋体"/>
          <w:color w:val="auto"/>
          <w:sz w:val="21"/>
          <w:szCs w:val="21"/>
          <w:highlight w:val="none"/>
        </w:rPr>
      </w:pPr>
    </w:p>
    <w:p w14:paraId="6F48941F">
      <w:pPr>
        <w:pStyle w:val="24"/>
        <w:rPr>
          <w:rFonts w:hint="eastAsia"/>
          <w:color w:val="auto"/>
          <w:highlight w:val="none"/>
        </w:rPr>
      </w:pPr>
    </w:p>
    <w:p w14:paraId="1C6467B0">
      <w:pPr>
        <w:spacing w:line="360" w:lineRule="auto"/>
        <w:ind w:firstLine="6930" w:firstLineChars="3300"/>
        <w:contextualSpacing/>
        <w:jc w:val="left"/>
        <w:rPr>
          <w:rFonts w:hint="eastAsia" w:ascii="宋体" w:hAnsi="宋体"/>
          <w:color w:val="auto"/>
          <w:sz w:val="21"/>
          <w:szCs w:val="21"/>
          <w:highlight w:val="none"/>
        </w:rPr>
      </w:pPr>
    </w:p>
    <w:p w14:paraId="216A9C91">
      <w:pPr>
        <w:spacing w:line="360" w:lineRule="auto"/>
        <w:contextualSpacing/>
        <w:jc w:val="left"/>
        <w:rPr>
          <w:rFonts w:hint="eastAsia" w:ascii="宋体" w:hAnsi="宋体"/>
          <w:color w:val="auto"/>
          <w:sz w:val="21"/>
          <w:szCs w:val="21"/>
          <w:highlight w:val="none"/>
        </w:rPr>
      </w:pPr>
    </w:p>
    <w:p w14:paraId="5125E876">
      <w:pPr>
        <w:spacing w:line="360" w:lineRule="auto"/>
        <w:contextualSpacing/>
        <w:jc w:val="left"/>
        <w:rPr>
          <w:rFonts w:hint="eastAsia" w:ascii="宋体" w:hAnsi="宋体"/>
          <w:color w:val="auto"/>
          <w:sz w:val="21"/>
          <w:szCs w:val="21"/>
          <w:highlight w:val="none"/>
        </w:rPr>
      </w:pPr>
    </w:p>
    <w:p w14:paraId="7DC4BABA">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竞标声明</w:t>
      </w:r>
    </w:p>
    <w:p w14:paraId="42BD653C">
      <w:pPr>
        <w:spacing w:line="320" w:lineRule="exact"/>
        <w:jc w:val="center"/>
        <w:rPr>
          <w:rFonts w:hint="eastAsia" w:ascii="宋体" w:hAnsi="宋体"/>
          <w:color w:val="auto"/>
          <w:sz w:val="22"/>
          <w:szCs w:val="18"/>
          <w:highlight w:val="none"/>
        </w:rPr>
      </w:pPr>
    </w:p>
    <w:p w14:paraId="2FD2254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6008893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供应商名称）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系中华人民共和国合法供应商，经营</w:t>
      </w:r>
      <w:r>
        <w:rPr>
          <w:rFonts w:hint="eastAsia" w:ascii="宋体" w:hAnsi="宋体" w:cs="Times New Roman"/>
          <w:color w:val="auto"/>
          <w:sz w:val="21"/>
          <w:szCs w:val="21"/>
          <w:highlight w:val="none"/>
          <w:lang w:val="en-US" w:eastAsia="zh-CN"/>
        </w:rPr>
        <w:t>地</w:t>
      </w:r>
      <w:r>
        <w:rPr>
          <w:rFonts w:hint="eastAsia" w:ascii="宋体" w:hAnsi="宋体" w:eastAsia="宋体" w:cs="Times New Roman"/>
          <w:color w:val="auto"/>
          <w:sz w:val="21"/>
          <w:szCs w:val="21"/>
          <w:highlight w:val="none"/>
        </w:rPr>
        <w:t>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565AFDC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75BF9EF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16A699B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0B0B96A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5250D4A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文件的约定履行合同责任和义务；</w:t>
      </w:r>
    </w:p>
    <w:p w14:paraId="20BEE4D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文件，包括澄清或者更正公告（如有）；</w:t>
      </w:r>
    </w:p>
    <w:p w14:paraId="383A75B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有关的一切数据或者资料；</w:t>
      </w:r>
    </w:p>
    <w:p w14:paraId="32023C5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文件规定的竞标有效期。</w:t>
      </w:r>
    </w:p>
    <w:p w14:paraId="6D96070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3C488C0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39A551E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0E6F9C6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17CB874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6E2A2AE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D55C79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3B79B9F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69242D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ABE9FE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2BF1B47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72BE3901">
      <w:pPr>
        <w:spacing w:line="360" w:lineRule="auto"/>
        <w:ind w:firstLine="420" w:firstLineChars="200"/>
        <w:contextualSpacing/>
        <w:jc w:val="lef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rPr>
        <w:t>7.与本</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 xml:space="preserve">有关的一切正式往来信函请寄：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邮政编号： </w:t>
      </w:r>
      <w:r>
        <w:rPr>
          <w:rFonts w:hint="eastAsia" w:ascii="宋体" w:hAnsi="宋体" w:eastAsia="宋体" w:cs="Times New Roman"/>
          <w:color w:val="auto"/>
          <w:sz w:val="21"/>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p>
    <w:p w14:paraId="79A669E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7FA1DE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开户银行：</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帐号：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03E9820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728CCC4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316074CC">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注：如为联合体竞标，盖章处须加盖联合体牵头人电子签章并由联合体牵头人法定代表人分别签字或者盖章或者电子签名，否则响应文件按无效处理。</w:t>
      </w:r>
    </w:p>
    <w:p w14:paraId="070554E1">
      <w:pPr>
        <w:spacing w:line="360" w:lineRule="auto"/>
        <w:contextualSpacing/>
        <w:jc w:val="left"/>
        <w:rPr>
          <w:rFonts w:hint="eastAsia" w:ascii="宋体" w:hAnsi="宋体" w:cs="宋体"/>
          <w:color w:val="auto"/>
          <w:sz w:val="20"/>
          <w:szCs w:val="20"/>
          <w:highlight w:val="none"/>
        </w:rPr>
      </w:pPr>
    </w:p>
    <w:p w14:paraId="10B82FF2">
      <w:pPr>
        <w:spacing w:line="360" w:lineRule="auto"/>
        <w:ind w:firstLine="2310" w:firstLineChars="1100"/>
        <w:contextualSpacing/>
        <w:rPr>
          <w:rFonts w:hint="eastAsia"/>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电子签名）</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p>
    <w:p w14:paraId="4C562756">
      <w:pPr>
        <w:spacing w:line="360" w:lineRule="auto"/>
        <w:ind w:firstLine="3990" w:firstLineChars="1900"/>
        <w:contextualSpacing/>
        <w:rPr>
          <w:rFonts w:hint="eastAsia" w:ascii="宋体" w:hAnsi="宋体" w:cs="宋体"/>
          <w:color w:val="auto"/>
          <w:sz w:val="21"/>
          <w:szCs w:val="21"/>
          <w:highlight w:val="none"/>
          <w:u w:val="single"/>
        </w:rPr>
      </w:pPr>
      <w:r>
        <w:rPr>
          <w:rFonts w:hint="eastAsia"/>
          <w:color w:val="auto"/>
          <w:sz w:val="21"/>
          <w:szCs w:val="21"/>
          <w:highlight w:val="none"/>
        </w:rPr>
        <w:t>供应商（电子签章）：</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252F52F1">
      <w:pPr>
        <w:pStyle w:val="11"/>
        <w:tabs>
          <w:tab w:val="left" w:pos="939"/>
        </w:tabs>
        <w:spacing w:line="360" w:lineRule="auto"/>
        <w:ind w:left="0" w:leftChars="0" w:firstLine="420" w:firstLineChars="200"/>
        <w:rPr>
          <w:rFonts w:hint="eastAsia"/>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7AAC910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46122DD">
      <w:pPr>
        <w:rPr>
          <w:rFonts w:hint="eastAsia" w:ascii="宋体" w:hAnsi="宋体" w:cs="宋体"/>
          <w:color w:val="auto"/>
          <w:sz w:val="21"/>
          <w:szCs w:val="21"/>
          <w:highlight w:val="none"/>
          <w:lang w:val="en-US" w:eastAsia="zh-CN"/>
        </w:rPr>
      </w:pPr>
    </w:p>
    <w:p w14:paraId="6E28184C">
      <w:pPr>
        <w:rPr>
          <w:rFonts w:hint="eastAsia" w:ascii="宋体" w:hAnsi="宋体" w:cs="宋体"/>
          <w:color w:val="auto"/>
          <w:sz w:val="21"/>
          <w:szCs w:val="21"/>
          <w:highlight w:val="none"/>
          <w:lang w:val="en-US" w:eastAsia="zh-CN"/>
        </w:rPr>
      </w:pPr>
    </w:p>
    <w:p w14:paraId="3C0BFB74">
      <w:pPr>
        <w:rPr>
          <w:rFonts w:hint="eastAsia" w:ascii="宋体" w:hAnsi="宋体" w:cs="宋体"/>
          <w:color w:val="auto"/>
          <w:sz w:val="21"/>
          <w:szCs w:val="21"/>
          <w:highlight w:val="none"/>
          <w:lang w:val="en-US" w:eastAsia="zh-CN"/>
        </w:rPr>
      </w:pPr>
    </w:p>
    <w:p w14:paraId="39B0A9B9">
      <w:pPr>
        <w:rPr>
          <w:rFonts w:hint="eastAsia" w:ascii="宋体" w:hAnsi="宋体" w:cs="宋体"/>
          <w:color w:val="auto"/>
          <w:sz w:val="21"/>
          <w:szCs w:val="21"/>
          <w:highlight w:val="none"/>
          <w:lang w:val="en-US" w:eastAsia="zh-CN"/>
        </w:rPr>
      </w:pPr>
    </w:p>
    <w:p w14:paraId="485C2429">
      <w:pPr>
        <w:rPr>
          <w:rFonts w:hint="eastAsia" w:ascii="宋体" w:hAnsi="宋体" w:cs="宋体"/>
          <w:color w:val="auto"/>
          <w:sz w:val="21"/>
          <w:szCs w:val="21"/>
          <w:highlight w:val="none"/>
          <w:lang w:val="en-US" w:eastAsia="zh-CN"/>
        </w:rPr>
      </w:pPr>
    </w:p>
    <w:p w14:paraId="4181B5B2">
      <w:pPr>
        <w:rPr>
          <w:rFonts w:hint="eastAsia" w:ascii="宋体" w:hAnsi="宋体" w:cs="宋体"/>
          <w:color w:val="auto"/>
          <w:sz w:val="21"/>
          <w:szCs w:val="21"/>
          <w:highlight w:val="none"/>
          <w:lang w:val="en-US" w:eastAsia="zh-CN"/>
        </w:rPr>
      </w:pPr>
    </w:p>
    <w:p w14:paraId="39A45982">
      <w:pPr>
        <w:rPr>
          <w:rFonts w:hint="eastAsia" w:ascii="宋体" w:hAnsi="宋体" w:cs="宋体"/>
          <w:color w:val="auto"/>
          <w:sz w:val="21"/>
          <w:szCs w:val="21"/>
          <w:highlight w:val="none"/>
          <w:lang w:val="en-US" w:eastAsia="zh-CN"/>
        </w:rPr>
      </w:pPr>
    </w:p>
    <w:p w14:paraId="7D9DB896">
      <w:pPr>
        <w:rPr>
          <w:rFonts w:hint="eastAsia" w:ascii="宋体" w:hAnsi="宋体" w:cs="宋体"/>
          <w:color w:val="auto"/>
          <w:sz w:val="21"/>
          <w:szCs w:val="21"/>
          <w:highlight w:val="none"/>
          <w:lang w:val="en-US" w:eastAsia="zh-CN"/>
        </w:rPr>
      </w:pPr>
    </w:p>
    <w:p w14:paraId="696E347C">
      <w:pPr>
        <w:rPr>
          <w:rFonts w:hint="eastAsia" w:ascii="宋体" w:hAnsi="宋体" w:cs="宋体"/>
          <w:color w:val="auto"/>
          <w:sz w:val="21"/>
          <w:szCs w:val="21"/>
          <w:highlight w:val="none"/>
          <w:lang w:val="en-US" w:eastAsia="zh-CN"/>
        </w:rPr>
      </w:pPr>
    </w:p>
    <w:p w14:paraId="781E5899">
      <w:pPr>
        <w:rPr>
          <w:rFonts w:hint="eastAsia" w:ascii="宋体" w:hAnsi="宋体" w:cs="宋体"/>
          <w:color w:val="auto"/>
          <w:sz w:val="21"/>
          <w:szCs w:val="21"/>
          <w:highlight w:val="none"/>
          <w:lang w:val="en-US" w:eastAsia="zh-CN"/>
        </w:rPr>
      </w:pPr>
    </w:p>
    <w:p w14:paraId="05DB7939">
      <w:pPr>
        <w:rPr>
          <w:rFonts w:hint="eastAsia" w:ascii="宋体" w:hAnsi="宋体" w:cs="宋体"/>
          <w:color w:val="auto"/>
          <w:sz w:val="21"/>
          <w:szCs w:val="21"/>
          <w:highlight w:val="none"/>
          <w:lang w:val="en-US" w:eastAsia="zh-CN"/>
        </w:rPr>
      </w:pPr>
    </w:p>
    <w:p w14:paraId="230939F6">
      <w:pPr>
        <w:rPr>
          <w:rFonts w:hint="eastAsia" w:ascii="宋体" w:hAnsi="宋体" w:cs="宋体"/>
          <w:color w:val="auto"/>
          <w:sz w:val="21"/>
          <w:szCs w:val="21"/>
          <w:highlight w:val="none"/>
          <w:lang w:val="en-US" w:eastAsia="zh-CN"/>
        </w:rPr>
      </w:pPr>
    </w:p>
    <w:p w14:paraId="58CDB0EF">
      <w:pPr>
        <w:rPr>
          <w:rFonts w:hint="eastAsia" w:ascii="宋体" w:hAnsi="宋体" w:cs="宋体"/>
          <w:color w:val="auto"/>
          <w:sz w:val="21"/>
          <w:szCs w:val="21"/>
          <w:highlight w:val="none"/>
          <w:lang w:val="en-US" w:eastAsia="zh-CN"/>
        </w:rPr>
      </w:pPr>
    </w:p>
    <w:p w14:paraId="3BDED4C3">
      <w:pPr>
        <w:rPr>
          <w:rFonts w:hint="eastAsia" w:ascii="宋体" w:hAnsi="宋体" w:cs="宋体"/>
          <w:color w:val="auto"/>
          <w:sz w:val="21"/>
          <w:szCs w:val="21"/>
          <w:highlight w:val="none"/>
          <w:lang w:val="en-US" w:eastAsia="zh-CN"/>
        </w:rPr>
      </w:pPr>
    </w:p>
    <w:p w14:paraId="0C436051">
      <w:pPr>
        <w:rPr>
          <w:rFonts w:hint="eastAsia" w:ascii="宋体" w:hAnsi="宋体" w:cs="宋体"/>
          <w:color w:val="auto"/>
          <w:sz w:val="21"/>
          <w:szCs w:val="21"/>
          <w:highlight w:val="none"/>
          <w:lang w:val="en-US" w:eastAsia="zh-CN"/>
        </w:rPr>
      </w:pPr>
    </w:p>
    <w:p w14:paraId="173664D0">
      <w:pPr>
        <w:pStyle w:val="23"/>
        <w:rPr>
          <w:rFonts w:hint="eastAsia" w:ascii="宋体" w:hAnsi="宋体" w:cs="宋体"/>
          <w:color w:val="auto"/>
          <w:sz w:val="21"/>
          <w:szCs w:val="21"/>
          <w:highlight w:val="none"/>
          <w:lang w:val="en-US" w:eastAsia="zh-CN"/>
        </w:rPr>
      </w:pPr>
    </w:p>
    <w:p w14:paraId="6887CE89">
      <w:pPr>
        <w:pStyle w:val="24"/>
        <w:rPr>
          <w:rFonts w:hint="eastAsia" w:ascii="宋体" w:hAnsi="宋体" w:cs="宋体"/>
          <w:color w:val="auto"/>
          <w:sz w:val="21"/>
          <w:szCs w:val="21"/>
          <w:highlight w:val="none"/>
          <w:lang w:val="en-US" w:eastAsia="zh-CN"/>
        </w:rPr>
      </w:pPr>
    </w:p>
    <w:p w14:paraId="2EC5952E">
      <w:pPr>
        <w:rPr>
          <w:rFonts w:hint="eastAsia" w:ascii="宋体" w:hAnsi="宋体" w:cs="宋体"/>
          <w:color w:val="auto"/>
          <w:sz w:val="21"/>
          <w:szCs w:val="21"/>
          <w:highlight w:val="none"/>
          <w:lang w:val="en-US" w:eastAsia="zh-CN"/>
        </w:rPr>
      </w:pPr>
    </w:p>
    <w:p w14:paraId="54F5B4F2">
      <w:pPr>
        <w:pStyle w:val="23"/>
        <w:rPr>
          <w:rFonts w:hint="eastAsia" w:ascii="宋体" w:hAnsi="宋体" w:cs="宋体"/>
          <w:color w:val="auto"/>
          <w:sz w:val="21"/>
          <w:szCs w:val="21"/>
          <w:highlight w:val="none"/>
          <w:lang w:val="en-US" w:eastAsia="zh-CN"/>
        </w:rPr>
      </w:pPr>
    </w:p>
    <w:p w14:paraId="29F1E61D">
      <w:pPr>
        <w:pStyle w:val="24"/>
        <w:rPr>
          <w:rFonts w:hint="eastAsia" w:ascii="宋体" w:hAnsi="宋体" w:cs="宋体"/>
          <w:color w:val="auto"/>
          <w:sz w:val="21"/>
          <w:szCs w:val="21"/>
          <w:highlight w:val="none"/>
          <w:lang w:val="en-US" w:eastAsia="zh-CN"/>
        </w:rPr>
      </w:pPr>
    </w:p>
    <w:p w14:paraId="54467071">
      <w:pPr>
        <w:rPr>
          <w:rFonts w:hint="eastAsia" w:ascii="宋体" w:hAnsi="宋体" w:cs="宋体"/>
          <w:color w:val="auto"/>
          <w:sz w:val="21"/>
          <w:szCs w:val="21"/>
          <w:highlight w:val="none"/>
          <w:lang w:val="en-US" w:eastAsia="zh-CN"/>
        </w:rPr>
      </w:pPr>
    </w:p>
    <w:p w14:paraId="05E105D5">
      <w:pPr>
        <w:pStyle w:val="23"/>
        <w:rPr>
          <w:rFonts w:hint="eastAsia" w:ascii="宋体" w:hAnsi="宋体" w:cs="宋体"/>
          <w:color w:val="auto"/>
          <w:sz w:val="21"/>
          <w:szCs w:val="21"/>
          <w:highlight w:val="none"/>
          <w:lang w:val="en-US" w:eastAsia="zh-CN"/>
        </w:rPr>
      </w:pPr>
    </w:p>
    <w:p w14:paraId="622C82D7">
      <w:pPr>
        <w:pStyle w:val="24"/>
        <w:rPr>
          <w:rFonts w:hint="eastAsia" w:ascii="宋体" w:hAnsi="宋体" w:cs="宋体"/>
          <w:color w:val="auto"/>
          <w:sz w:val="21"/>
          <w:szCs w:val="21"/>
          <w:highlight w:val="none"/>
          <w:lang w:val="en-US" w:eastAsia="zh-CN"/>
        </w:rPr>
      </w:pPr>
    </w:p>
    <w:p w14:paraId="5AB6A123">
      <w:pPr>
        <w:rPr>
          <w:rFonts w:hint="eastAsia" w:ascii="宋体" w:hAnsi="宋体" w:cs="宋体"/>
          <w:color w:val="auto"/>
          <w:sz w:val="21"/>
          <w:szCs w:val="21"/>
          <w:highlight w:val="none"/>
          <w:lang w:val="en-US" w:eastAsia="zh-CN"/>
        </w:rPr>
      </w:pPr>
    </w:p>
    <w:p w14:paraId="1A8EBA0C">
      <w:pPr>
        <w:pStyle w:val="23"/>
        <w:rPr>
          <w:rFonts w:hint="eastAsia" w:ascii="宋体" w:hAnsi="宋体" w:cs="宋体"/>
          <w:color w:val="auto"/>
          <w:sz w:val="21"/>
          <w:szCs w:val="21"/>
          <w:highlight w:val="none"/>
          <w:lang w:val="en-US" w:eastAsia="zh-CN"/>
        </w:rPr>
      </w:pPr>
    </w:p>
    <w:p w14:paraId="6132177C">
      <w:pPr>
        <w:pStyle w:val="24"/>
        <w:rPr>
          <w:rFonts w:hint="eastAsia" w:ascii="宋体" w:hAnsi="宋体" w:cs="宋体"/>
          <w:color w:val="auto"/>
          <w:sz w:val="21"/>
          <w:szCs w:val="21"/>
          <w:highlight w:val="none"/>
          <w:lang w:val="en-US" w:eastAsia="zh-CN"/>
        </w:rPr>
      </w:pPr>
    </w:p>
    <w:p w14:paraId="01100989">
      <w:pPr>
        <w:rPr>
          <w:rFonts w:hint="eastAsia" w:ascii="宋体" w:hAnsi="宋体" w:cs="宋体"/>
          <w:color w:val="auto"/>
          <w:sz w:val="21"/>
          <w:szCs w:val="21"/>
          <w:highlight w:val="none"/>
          <w:lang w:val="en-US" w:eastAsia="zh-CN"/>
        </w:rPr>
      </w:pPr>
    </w:p>
    <w:p w14:paraId="6E6EC995">
      <w:pPr>
        <w:pStyle w:val="23"/>
        <w:rPr>
          <w:rFonts w:hint="eastAsia" w:ascii="宋体" w:hAnsi="宋体" w:cs="宋体"/>
          <w:color w:val="auto"/>
          <w:sz w:val="21"/>
          <w:szCs w:val="21"/>
          <w:highlight w:val="none"/>
          <w:lang w:val="en-US" w:eastAsia="zh-CN"/>
        </w:rPr>
      </w:pPr>
    </w:p>
    <w:p w14:paraId="63E9068C">
      <w:pPr>
        <w:pStyle w:val="24"/>
        <w:rPr>
          <w:rFonts w:hint="eastAsia" w:ascii="宋体" w:hAnsi="宋体" w:cs="宋体"/>
          <w:color w:val="auto"/>
          <w:sz w:val="21"/>
          <w:szCs w:val="21"/>
          <w:highlight w:val="none"/>
          <w:lang w:val="en-US" w:eastAsia="zh-CN"/>
        </w:rPr>
      </w:pPr>
    </w:p>
    <w:p w14:paraId="1CB4B851">
      <w:pPr>
        <w:rPr>
          <w:rFonts w:hint="eastAsia"/>
          <w:color w:val="auto"/>
          <w:highlight w:val="none"/>
          <w:lang w:val="en-US" w:eastAsia="zh-CN"/>
        </w:rPr>
      </w:pPr>
    </w:p>
    <w:p w14:paraId="7155FCDF">
      <w:pPr>
        <w:rPr>
          <w:rFonts w:hint="eastAsia" w:ascii="宋体" w:hAnsi="宋体" w:cs="宋体"/>
          <w:color w:val="auto"/>
          <w:sz w:val="21"/>
          <w:szCs w:val="21"/>
          <w:highlight w:val="none"/>
          <w:lang w:val="en-US" w:eastAsia="zh-CN"/>
        </w:rPr>
      </w:pPr>
    </w:p>
    <w:p w14:paraId="7DE8FB51">
      <w:pPr>
        <w:rPr>
          <w:rFonts w:hint="eastAsia" w:ascii="宋体" w:hAnsi="宋体" w:cs="宋体"/>
          <w:color w:val="auto"/>
          <w:sz w:val="21"/>
          <w:szCs w:val="21"/>
          <w:highlight w:val="none"/>
          <w:lang w:val="en-US" w:eastAsia="zh-CN"/>
        </w:rPr>
      </w:pPr>
    </w:p>
    <w:p w14:paraId="659A790A">
      <w:pPr>
        <w:rPr>
          <w:rFonts w:hint="eastAsia" w:ascii="宋体" w:hAnsi="宋体" w:cs="宋体"/>
          <w:color w:val="auto"/>
          <w:sz w:val="21"/>
          <w:szCs w:val="21"/>
          <w:highlight w:val="none"/>
          <w:lang w:val="en-US" w:eastAsia="zh-CN"/>
        </w:rPr>
      </w:pPr>
    </w:p>
    <w:p w14:paraId="7FDC9D69">
      <w:pPr>
        <w:rPr>
          <w:rFonts w:hint="eastAsia" w:ascii="宋体" w:hAnsi="宋体" w:cs="宋体"/>
          <w:color w:val="auto"/>
          <w:sz w:val="21"/>
          <w:szCs w:val="21"/>
          <w:highlight w:val="none"/>
          <w:lang w:val="en-US" w:eastAsia="zh-CN"/>
        </w:rPr>
      </w:pPr>
    </w:p>
    <w:p w14:paraId="32775FC9">
      <w:pPr>
        <w:rPr>
          <w:rFonts w:hint="eastAsia" w:ascii="宋体" w:hAnsi="宋体" w:cs="宋体"/>
          <w:color w:val="auto"/>
          <w:sz w:val="21"/>
          <w:szCs w:val="21"/>
          <w:highlight w:val="none"/>
          <w:lang w:val="en-US" w:eastAsia="zh-CN"/>
        </w:rPr>
      </w:pPr>
    </w:p>
    <w:p w14:paraId="3BF48FB2">
      <w:pPr>
        <w:autoSpaceDE w:val="0"/>
        <w:autoSpaceDN w:val="0"/>
        <w:spacing w:line="360" w:lineRule="auto"/>
        <w:rPr>
          <w:rFonts w:hint="eastAsia" w:ascii="宋体" w:hAnsi="宋体" w:eastAsia="宋体" w:cs="宋体"/>
          <w:color w:val="auto"/>
          <w:kern w:val="0"/>
          <w:sz w:val="21"/>
          <w:szCs w:val="21"/>
          <w:highlight w:val="none"/>
          <w:lang w:val="zh-CN"/>
        </w:rPr>
      </w:pPr>
    </w:p>
    <w:p w14:paraId="11AA4A8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49DD03F0">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529E7207">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2276541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609D769A">
      <w:pPr>
        <w:snapToGrid w:val="0"/>
        <w:spacing w:before="156" w:beforeLines="50" w:after="50"/>
        <w:rPr>
          <w:rFonts w:hint="eastAsia" w:ascii="宋体" w:hAnsi="宋体"/>
          <w:color w:val="auto"/>
          <w:sz w:val="22"/>
          <w:szCs w:val="18"/>
          <w:highlight w:val="none"/>
        </w:rPr>
      </w:pPr>
    </w:p>
    <w:p w14:paraId="2C2C1DF6">
      <w:pPr>
        <w:snapToGrid w:val="0"/>
        <w:spacing w:before="156" w:beforeLines="50" w:after="50"/>
        <w:rPr>
          <w:rFonts w:hint="eastAsia" w:ascii="宋体" w:hAnsi="宋体"/>
          <w:color w:val="auto"/>
          <w:sz w:val="22"/>
          <w:szCs w:val="18"/>
          <w:highlight w:val="none"/>
        </w:rPr>
      </w:pPr>
    </w:p>
    <w:p w14:paraId="40784D45">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68ED675C">
      <w:pPr>
        <w:snapToGrid w:val="0"/>
        <w:spacing w:before="156" w:beforeLines="50" w:after="50"/>
        <w:rPr>
          <w:rFonts w:hint="eastAsia" w:ascii="宋体" w:hAnsi="宋体"/>
          <w:bCs/>
          <w:color w:val="auto"/>
          <w:sz w:val="22"/>
          <w:szCs w:val="18"/>
          <w:highlight w:val="none"/>
        </w:rPr>
      </w:pPr>
    </w:p>
    <w:p w14:paraId="61554732">
      <w:pPr>
        <w:snapToGrid w:val="0"/>
        <w:spacing w:before="156" w:beforeLines="50" w:after="50"/>
        <w:rPr>
          <w:rFonts w:hint="eastAsia" w:ascii="宋体" w:hAnsi="宋体"/>
          <w:bCs/>
          <w:color w:val="auto"/>
          <w:sz w:val="22"/>
          <w:szCs w:val="18"/>
          <w:highlight w:val="none"/>
        </w:rPr>
      </w:pPr>
    </w:p>
    <w:p w14:paraId="0A22F35E">
      <w:pPr>
        <w:snapToGrid w:val="0"/>
        <w:spacing w:before="156" w:beforeLines="50" w:after="50"/>
        <w:rPr>
          <w:rFonts w:hint="eastAsia" w:ascii="宋体" w:hAnsi="宋体"/>
          <w:bCs/>
          <w:color w:val="auto"/>
          <w:sz w:val="22"/>
          <w:szCs w:val="18"/>
          <w:highlight w:val="none"/>
        </w:rPr>
      </w:pPr>
    </w:p>
    <w:p w14:paraId="12C09DF6">
      <w:pPr>
        <w:snapToGrid w:val="0"/>
        <w:spacing w:before="156" w:beforeLines="50" w:after="50"/>
        <w:rPr>
          <w:rFonts w:hint="eastAsia" w:ascii="宋体" w:hAnsi="宋体"/>
          <w:bCs/>
          <w:color w:val="auto"/>
          <w:sz w:val="22"/>
          <w:szCs w:val="18"/>
          <w:highlight w:val="none"/>
        </w:rPr>
      </w:pPr>
    </w:p>
    <w:p w14:paraId="42503029">
      <w:pPr>
        <w:snapToGrid w:val="0"/>
        <w:spacing w:before="156" w:beforeLines="50" w:after="50"/>
        <w:rPr>
          <w:rFonts w:hint="eastAsia" w:ascii="宋体" w:hAnsi="宋体"/>
          <w:bCs/>
          <w:color w:val="auto"/>
          <w:sz w:val="22"/>
          <w:szCs w:val="18"/>
          <w:highlight w:val="none"/>
        </w:rPr>
      </w:pPr>
    </w:p>
    <w:p w14:paraId="6C1D431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531C683E">
      <w:pPr>
        <w:snapToGrid w:val="0"/>
        <w:spacing w:before="156" w:beforeLines="50" w:after="50"/>
        <w:ind w:firstLine="630" w:firstLineChars="225"/>
        <w:rPr>
          <w:rFonts w:hint="eastAsia" w:ascii="宋体" w:hAnsi="宋体" w:cs="仿宋_GB2312"/>
          <w:bCs/>
          <w:color w:val="auto"/>
          <w:sz w:val="28"/>
          <w:szCs w:val="28"/>
          <w:highlight w:val="none"/>
        </w:rPr>
      </w:pPr>
    </w:p>
    <w:p w14:paraId="5EAFD48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6E5E650E">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5897C65">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5D068AA9">
      <w:pPr>
        <w:pStyle w:val="7"/>
        <w:snapToGrid w:val="0"/>
        <w:spacing w:before="50" w:after="50"/>
        <w:ind w:firstLine="560" w:firstLineChars="200"/>
        <w:rPr>
          <w:rFonts w:hint="eastAsia" w:ascii="宋体" w:hAnsi="宋体" w:cs="仿宋_GB2312"/>
          <w:bCs/>
          <w:color w:val="auto"/>
          <w:sz w:val="28"/>
          <w:szCs w:val="28"/>
          <w:highlight w:val="none"/>
        </w:rPr>
      </w:pPr>
    </w:p>
    <w:p w14:paraId="040C627E">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27ECEAD9">
      <w:pPr>
        <w:pStyle w:val="7"/>
        <w:snapToGrid w:val="0"/>
        <w:spacing w:before="50" w:after="50"/>
        <w:ind w:firstLine="560" w:firstLineChars="200"/>
        <w:rPr>
          <w:rFonts w:hint="eastAsia" w:ascii="宋体" w:hAnsi="宋体" w:cs="仿宋_GB2312"/>
          <w:bCs/>
          <w:color w:val="auto"/>
          <w:sz w:val="28"/>
          <w:szCs w:val="28"/>
          <w:highlight w:val="none"/>
        </w:rPr>
      </w:pPr>
    </w:p>
    <w:p w14:paraId="574DB379">
      <w:pPr>
        <w:pStyle w:val="7"/>
        <w:snapToGrid w:val="0"/>
        <w:spacing w:before="50" w:after="50"/>
        <w:ind w:firstLine="630" w:firstLineChars="225"/>
        <w:rPr>
          <w:rFonts w:hint="eastAsia" w:ascii="宋体" w:hAnsi="宋体" w:cs="仿宋_GB2312"/>
          <w:bCs/>
          <w:color w:val="auto"/>
          <w:sz w:val="28"/>
          <w:szCs w:val="28"/>
          <w:highlight w:val="none"/>
        </w:rPr>
      </w:pPr>
    </w:p>
    <w:p w14:paraId="48C4DFD3">
      <w:pPr>
        <w:pStyle w:val="7"/>
        <w:snapToGrid w:val="0"/>
        <w:spacing w:before="50" w:after="50"/>
        <w:ind w:firstLine="0"/>
        <w:rPr>
          <w:rFonts w:hint="eastAsia" w:ascii="宋体" w:hAnsi="宋体" w:cs="仿宋_GB2312"/>
          <w:bCs/>
          <w:color w:val="auto"/>
          <w:sz w:val="28"/>
          <w:szCs w:val="28"/>
          <w:highlight w:val="none"/>
        </w:rPr>
      </w:pPr>
    </w:p>
    <w:p w14:paraId="1BD1C9BA">
      <w:pPr>
        <w:pStyle w:val="7"/>
        <w:snapToGrid w:val="0"/>
        <w:spacing w:before="50" w:after="50"/>
        <w:ind w:firstLine="1120" w:firstLineChars="400"/>
        <w:rPr>
          <w:rFonts w:hint="eastAsia" w:ascii="宋体" w:hAnsi="宋体" w:cs="仿宋_GB2312"/>
          <w:bCs/>
          <w:color w:val="auto"/>
          <w:sz w:val="28"/>
          <w:szCs w:val="28"/>
          <w:highlight w:val="none"/>
        </w:rPr>
      </w:pPr>
    </w:p>
    <w:p w14:paraId="6830E626">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5A381819">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1CD74E20">
      <w:pPr>
        <w:autoSpaceDE w:val="0"/>
        <w:autoSpaceDN w:val="0"/>
        <w:spacing w:line="360" w:lineRule="auto"/>
        <w:ind w:firstLine="5355" w:firstLineChars="2550"/>
        <w:rPr>
          <w:rFonts w:hint="eastAsia" w:ascii="宋体" w:hAnsi="宋体" w:eastAsia="宋体" w:cs="宋体"/>
          <w:color w:val="auto"/>
          <w:kern w:val="0"/>
          <w:sz w:val="21"/>
          <w:szCs w:val="21"/>
          <w:highlight w:val="none"/>
          <w:lang w:val="zh-CN"/>
        </w:rPr>
      </w:pPr>
    </w:p>
    <w:p w14:paraId="43CD3506">
      <w:pPr>
        <w:autoSpaceDE w:val="0"/>
        <w:autoSpaceDN w:val="0"/>
        <w:spacing w:line="360" w:lineRule="auto"/>
        <w:ind w:firstLine="5355" w:firstLineChars="2550"/>
        <w:rPr>
          <w:rFonts w:hint="eastAsia" w:ascii="宋体" w:hAnsi="宋体" w:eastAsia="宋体" w:cs="宋体"/>
          <w:color w:val="auto"/>
          <w:kern w:val="0"/>
          <w:sz w:val="21"/>
          <w:szCs w:val="21"/>
          <w:highlight w:val="none"/>
          <w:lang w:val="zh-CN"/>
        </w:rPr>
      </w:pPr>
    </w:p>
    <w:p w14:paraId="09FA962F">
      <w:pPr>
        <w:keepNext w:val="0"/>
        <w:keepLines w:val="0"/>
        <w:widowControl/>
        <w:suppressLineNumbers w:val="0"/>
        <w:jc w:val="center"/>
        <w:rPr>
          <w:color w:val="auto"/>
          <w:highlight w:val="none"/>
        </w:rPr>
      </w:pPr>
      <w:r>
        <w:rPr>
          <w:rFonts w:hint="eastAsia" w:ascii="宋体" w:hAnsi="宋体" w:eastAsia="宋体" w:cs="宋体"/>
          <w:b/>
          <w:bCs/>
          <w:color w:val="auto"/>
          <w:kern w:val="0"/>
          <w:sz w:val="31"/>
          <w:szCs w:val="31"/>
          <w:highlight w:val="none"/>
          <w:lang w:val="en-US" w:eastAsia="zh-CN" w:bidi="ar"/>
        </w:rPr>
        <w:t>报价商务技术文件目录</w:t>
      </w:r>
    </w:p>
    <w:p w14:paraId="124EA91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6149BA5">
      <w:pPr>
        <w:keepNext w:val="0"/>
        <w:keepLines w:val="0"/>
        <w:widowControl/>
        <w:suppressLineNumbers w:val="0"/>
        <w:ind w:firstLine="720" w:firstLineChars="3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根据谈判文件规定及供应商提供的材料自行编写目录（部分格式后附）。</w:t>
      </w:r>
    </w:p>
    <w:p w14:paraId="66FD3163">
      <w:pPr>
        <w:autoSpaceDE w:val="0"/>
        <w:autoSpaceDN w:val="0"/>
        <w:spacing w:line="360" w:lineRule="auto"/>
        <w:ind w:firstLine="5355" w:firstLineChars="2550"/>
        <w:rPr>
          <w:rFonts w:hint="eastAsia" w:ascii="宋体" w:hAnsi="宋体" w:eastAsia="宋体" w:cs="宋体"/>
          <w:color w:val="auto"/>
          <w:kern w:val="0"/>
          <w:sz w:val="21"/>
          <w:szCs w:val="21"/>
          <w:highlight w:val="none"/>
          <w:lang w:val="zh-CN"/>
        </w:rPr>
      </w:pPr>
    </w:p>
    <w:p w14:paraId="362827B0">
      <w:pPr>
        <w:rPr>
          <w:rFonts w:hint="eastAsia" w:ascii="宋体" w:hAnsi="宋体" w:cs="宋体"/>
          <w:color w:val="auto"/>
          <w:sz w:val="21"/>
          <w:szCs w:val="21"/>
          <w:highlight w:val="none"/>
          <w:lang w:val="en-US" w:eastAsia="zh-CN"/>
        </w:rPr>
      </w:pPr>
    </w:p>
    <w:p w14:paraId="5241D849">
      <w:pPr>
        <w:rPr>
          <w:rFonts w:hint="eastAsia" w:ascii="宋体" w:hAnsi="宋体" w:cs="宋体"/>
          <w:color w:val="auto"/>
          <w:sz w:val="21"/>
          <w:szCs w:val="21"/>
          <w:highlight w:val="none"/>
          <w:lang w:val="en-US" w:eastAsia="zh-CN"/>
        </w:rPr>
      </w:pPr>
    </w:p>
    <w:p w14:paraId="3FBED540">
      <w:pPr>
        <w:rPr>
          <w:rFonts w:hint="eastAsia" w:ascii="宋体" w:hAnsi="宋体" w:cs="宋体"/>
          <w:color w:val="auto"/>
          <w:sz w:val="21"/>
          <w:szCs w:val="21"/>
          <w:highlight w:val="none"/>
          <w:lang w:val="en-US" w:eastAsia="zh-CN"/>
        </w:rPr>
      </w:pPr>
    </w:p>
    <w:p w14:paraId="6130A990">
      <w:pPr>
        <w:rPr>
          <w:rFonts w:hint="eastAsia" w:ascii="宋体" w:hAnsi="宋体" w:cs="宋体"/>
          <w:color w:val="auto"/>
          <w:sz w:val="21"/>
          <w:szCs w:val="21"/>
          <w:highlight w:val="none"/>
          <w:lang w:val="en-US" w:eastAsia="zh-CN"/>
        </w:rPr>
      </w:pPr>
    </w:p>
    <w:p w14:paraId="57E0C222">
      <w:pPr>
        <w:rPr>
          <w:rFonts w:hint="eastAsia" w:ascii="宋体" w:hAnsi="宋体" w:cs="宋体"/>
          <w:color w:val="auto"/>
          <w:sz w:val="21"/>
          <w:szCs w:val="21"/>
          <w:highlight w:val="none"/>
          <w:lang w:val="en-US" w:eastAsia="zh-CN"/>
        </w:rPr>
      </w:pPr>
    </w:p>
    <w:p w14:paraId="78651F9F">
      <w:pPr>
        <w:rPr>
          <w:rFonts w:hint="eastAsia" w:ascii="宋体" w:hAnsi="宋体" w:cs="宋体"/>
          <w:color w:val="auto"/>
          <w:sz w:val="21"/>
          <w:szCs w:val="21"/>
          <w:highlight w:val="none"/>
          <w:lang w:val="en-US" w:eastAsia="zh-CN"/>
        </w:rPr>
      </w:pPr>
    </w:p>
    <w:p w14:paraId="74594C52">
      <w:pPr>
        <w:rPr>
          <w:rFonts w:hint="eastAsia" w:ascii="宋体" w:hAnsi="宋体" w:cs="宋体"/>
          <w:color w:val="auto"/>
          <w:sz w:val="21"/>
          <w:szCs w:val="21"/>
          <w:highlight w:val="none"/>
          <w:lang w:val="en-US" w:eastAsia="zh-CN"/>
        </w:rPr>
      </w:pPr>
    </w:p>
    <w:p w14:paraId="4DACF5AA">
      <w:pPr>
        <w:rPr>
          <w:rFonts w:hint="eastAsia" w:ascii="宋体" w:hAnsi="宋体" w:cs="宋体"/>
          <w:color w:val="auto"/>
          <w:sz w:val="21"/>
          <w:szCs w:val="21"/>
          <w:highlight w:val="none"/>
          <w:lang w:val="en-US" w:eastAsia="zh-CN"/>
        </w:rPr>
      </w:pPr>
    </w:p>
    <w:p w14:paraId="219E1227">
      <w:pPr>
        <w:rPr>
          <w:rFonts w:hint="eastAsia" w:ascii="宋体" w:hAnsi="宋体" w:cs="宋体"/>
          <w:color w:val="auto"/>
          <w:sz w:val="21"/>
          <w:szCs w:val="21"/>
          <w:highlight w:val="none"/>
          <w:lang w:val="en-US" w:eastAsia="zh-CN"/>
        </w:rPr>
      </w:pPr>
    </w:p>
    <w:p w14:paraId="0F54D9C2">
      <w:pPr>
        <w:rPr>
          <w:rFonts w:hint="eastAsia" w:ascii="宋体" w:hAnsi="宋体" w:cs="宋体"/>
          <w:color w:val="auto"/>
          <w:sz w:val="21"/>
          <w:szCs w:val="21"/>
          <w:highlight w:val="none"/>
          <w:lang w:val="en-US" w:eastAsia="zh-CN"/>
        </w:rPr>
      </w:pPr>
    </w:p>
    <w:p w14:paraId="598321E0">
      <w:pPr>
        <w:rPr>
          <w:rFonts w:hint="eastAsia" w:ascii="宋体" w:hAnsi="宋体" w:cs="宋体"/>
          <w:color w:val="auto"/>
          <w:sz w:val="21"/>
          <w:szCs w:val="21"/>
          <w:highlight w:val="none"/>
          <w:lang w:val="en-US" w:eastAsia="zh-CN"/>
        </w:rPr>
      </w:pPr>
    </w:p>
    <w:p w14:paraId="75500B8F">
      <w:pPr>
        <w:rPr>
          <w:rFonts w:hint="eastAsia" w:ascii="宋体" w:hAnsi="宋体" w:cs="宋体"/>
          <w:color w:val="auto"/>
          <w:sz w:val="21"/>
          <w:szCs w:val="21"/>
          <w:highlight w:val="none"/>
          <w:lang w:val="en-US" w:eastAsia="zh-CN"/>
        </w:rPr>
      </w:pPr>
    </w:p>
    <w:p w14:paraId="535E5414">
      <w:pPr>
        <w:rPr>
          <w:rFonts w:hint="eastAsia" w:ascii="宋体" w:hAnsi="宋体" w:cs="宋体"/>
          <w:color w:val="auto"/>
          <w:sz w:val="21"/>
          <w:szCs w:val="21"/>
          <w:highlight w:val="none"/>
          <w:lang w:val="en-US" w:eastAsia="zh-CN"/>
        </w:rPr>
      </w:pPr>
    </w:p>
    <w:p w14:paraId="6B26A413">
      <w:pPr>
        <w:rPr>
          <w:rFonts w:hint="eastAsia" w:ascii="宋体" w:hAnsi="宋体" w:cs="宋体"/>
          <w:color w:val="auto"/>
          <w:sz w:val="21"/>
          <w:szCs w:val="21"/>
          <w:highlight w:val="none"/>
          <w:lang w:val="en-US" w:eastAsia="zh-CN"/>
        </w:rPr>
      </w:pPr>
    </w:p>
    <w:p w14:paraId="22308DA9">
      <w:pPr>
        <w:rPr>
          <w:rFonts w:hint="eastAsia" w:ascii="宋体" w:hAnsi="宋体" w:cs="宋体"/>
          <w:color w:val="auto"/>
          <w:sz w:val="21"/>
          <w:szCs w:val="21"/>
          <w:highlight w:val="none"/>
          <w:lang w:val="en-US" w:eastAsia="zh-CN"/>
        </w:rPr>
      </w:pPr>
    </w:p>
    <w:p w14:paraId="0F5EF6F1">
      <w:pPr>
        <w:rPr>
          <w:rFonts w:hint="eastAsia" w:ascii="宋体" w:hAnsi="宋体" w:cs="宋体"/>
          <w:color w:val="auto"/>
          <w:sz w:val="21"/>
          <w:szCs w:val="21"/>
          <w:highlight w:val="none"/>
          <w:lang w:val="en-US" w:eastAsia="zh-CN"/>
        </w:rPr>
      </w:pPr>
    </w:p>
    <w:p w14:paraId="6C8CE2BD">
      <w:pPr>
        <w:rPr>
          <w:rFonts w:hint="eastAsia" w:ascii="宋体" w:hAnsi="宋体" w:cs="宋体"/>
          <w:color w:val="auto"/>
          <w:sz w:val="21"/>
          <w:szCs w:val="21"/>
          <w:highlight w:val="none"/>
          <w:lang w:val="en-US" w:eastAsia="zh-CN"/>
        </w:rPr>
      </w:pPr>
    </w:p>
    <w:p w14:paraId="31A11EFB">
      <w:pPr>
        <w:rPr>
          <w:rFonts w:hint="eastAsia" w:ascii="宋体" w:hAnsi="宋体" w:cs="宋体"/>
          <w:color w:val="auto"/>
          <w:sz w:val="21"/>
          <w:szCs w:val="21"/>
          <w:highlight w:val="none"/>
          <w:lang w:val="en-US" w:eastAsia="zh-CN"/>
        </w:rPr>
      </w:pPr>
    </w:p>
    <w:p w14:paraId="3D92FF8F">
      <w:pPr>
        <w:rPr>
          <w:rFonts w:hint="eastAsia" w:ascii="宋体" w:hAnsi="宋体" w:cs="宋体"/>
          <w:color w:val="auto"/>
          <w:sz w:val="21"/>
          <w:szCs w:val="21"/>
          <w:highlight w:val="none"/>
          <w:lang w:val="en-US" w:eastAsia="zh-CN"/>
        </w:rPr>
      </w:pPr>
    </w:p>
    <w:p w14:paraId="121AD3EB">
      <w:pPr>
        <w:rPr>
          <w:rFonts w:hint="eastAsia" w:ascii="宋体" w:hAnsi="宋体" w:cs="宋体"/>
          <w:color w:val="auto"/>
          <w:sz w:val="21"/>
          <w:szCs w:val="21"/>
          <w:highlight w:val="none"/>
          <w:lang w:val="en-US" w:eastAsia="zh-CN"/>
        </w:rPr>
      </w:pPr>
    </w:p>
    <w:p w14:paraId="58647E22">
      <w:pPr>
        <w:rPr>
          <w:rFonts w:hint="eastAsia" w:ascii="宋体" w:hAnsi="宋体" w:cs="宋体"/>
          <w:color w:val="auto"/>
          <w:sz w:val="21"/>
          <w:szCs w:val="21"/>
          <w:highlight w:val="none"/>
          <w:lang w:val="en-US" w:eastAsia="zh-CN"/>
        </w:rPr>
      </w:pPr>
    </w:p>
    <w:p w14:paraId="32FA0198">
      <w:pPr>
        <w:rPr>
          <w:rFonts w:hint="eastAsia" w:ascii="宋体" w:hAnsi="宋体" w:cs="宋体"/>
          <w:color w:val="auto"/>
          <w:sz w:val="21"/>
          <w:szCs w:val="21"/>
          <w:highlight w:val="none"/>
          <w:lang w:val="en-US" w:eastAsia="zh-CN"/>
        </w:rPr>
      </w:pPr>
    </w:p>
    <w:p w14:paraId="35146007">
      <w:pPr>
        <w:rPr>
          <w:rFonts w:hint="eastAsia" w:ascii="宋体" w:hAnsi="宋体" w:cs="宋体"/>
          <w:color w:val="auto"/>
          <w:sz w:val="21"/>
          <w:szCs w:val="21"/>
          <w:highlight w:val="none"/>
          <w:lang w:val="en-US" w:eastAsia="zh-CN"/>
        </w:rPr>
      </w:pPr>
    </w:p>
    <w:p w14:paraId="55ED8289">
      <w:pPr>
        <w:rPr>
          <w:rFonts w:hint="eastAsia" w:ascii="宋体" w:hAnsi="宋体" w:cs="宋体"/>
          <w:color w:val="auto"/>
          <w:sz w:val="21"/>
          <w:szCs w:val="21"/>
          <w:highlight w:val="none"/>
          <w:lang w:val="en-US" w:eastAsia="zh-CN"/>
        </w:rPr>
      </w:pPr>
    </w:p>
    <w:p w14:paraId="6BD9208E">
      <w:pPr>
        <w:rPr>
          <w:rFonts w:hint="eastAsia" w:ascii="宋体" w:hAnsi="宋体" w:cs="宋体"/>
          <w:color w:val="auto"/>
          <w:sz w:val="21"/>
          <w:szCs w:val="21"/>
          <w:highlight w:val="none"/>
          <w:lang w:val="en-US" w:eastAsia="zh-CN"/>
        </w:rPr>
      </w:pPr>
    </w:p>
    <w:p w14:paraId="2682A9C0">
      <w:pPr>
        <w:rPr>
          <w:rFonts w:hint="eastAsia" w:ascii="宋体" w:hAnsi="宋体" w:cs="宋体"/>
          <w:color w:val="auto"/>
          <w:sz w:val="21"/>
          <w:szCs w:val="21"/>
          <w:highlight w:val="none"/>
          <w:lang w:val="en-US" w:eastAsia="zh-CN"/>
        </w:rPr>
      </w:pPr>
    </w:p>
    <w:p w14:paraId="137A8D88">
      <w:pPr>
        <w:rPr>
          <w:rFonts w:hint="eastAsia" w:ascii="宋体" w:hAnsi="宋体" w:cs="宋体"/>
          <w:color w:val="auto"/>
          <w:sz w:val="21"/>
          <w:szCs w:val="21"/>
          <w:highlight w:val="none"/>
          <w:lang w:val="en-US" w:eastAsia="zh-CN"/>
        </w:rPr>
      </w:pPr>
    </w:p>
    <w:p w14:paraId="7FA4D863">
      <w:pPr>
        <w:rPr>
          <w:rFonts w:hint="eastAsia" w:ascii="宋体" w:hAnsi="宋体" w:cs="宋体"/>
          <w:color w:val="auto"/>
          <w:sz w:val="21"/>
          <w:szCs w:val="21"/>
          <w:highlight w:val="none"/>
          <w:lang w:val="en-US" w:eastAsia="zh-CN"/>
        </w:rPr>
      </w:pPr>
    </w:p>
    <w:p w14:paraId="14FDC02D">
      <w:pPr>
        <w:rPr>
          <w:rFonts w:hint="eastAsia" w:ascii="宋体" w:hAnsi="宋体" w:cs="宋体"/>
          <w:color w:val="auto"/>
          <w:sz w:val="21"/>
          <w:szCs w:val="21"/>
          <w:highlight w:val="none"/>
          <w:lang w:val="en-US" w:eastAsia="zh-CN"/>
        </w:rPr>
      </w:pPr>
    </w:p>
    <w:p w14:paraId="64F38C4D">
      <w:pPr>
        <w:rPr>
          <w:rFonts w:hint="eastAsia" w:ascii="宋体" w:hAnsi="宋体" w:cs="宋体"/>
          <w:color w:val="auto"/>
          <w:sz w:val="21"/>
          <w:szCs w:val="21"/>
          <w:highlight w:val="none"/>
          <w:lang w:val="en-US" w:eastAsia="zh-CN"/>
        </w:rPr>
      </w:pPr>
    </w:p>
    <w:p w14:paraId="74BA16E4">
      <w:pPr>
        <w:rPr>
          <w:rFonts w:hint="eastAsia" w:ascii="宋体" w:hAnsi="宋体" w:cs="宋体"/>
          <w:color w:val="auto"/>
          <w:sz w:val="21"/>
          <w:szCs w:val="21"/>
          <w:highlight w:val="none"/>
          <w:lang w:val="en-US" w:eastAsia="zh-CN"/>
        </w:rPr>
      </w:pPr>
    </w:p>
    <w:p w14:paraId="3A27DB8B">
      <w:pPr>
        <w:rPr>
          <w:rFonts w:hint="eastAsia" w:ascii="宋体" w:hAnsi="宋体" w:cs="宋体"/>
          <w:color w:val="auto"/>
          <w:sz w:val="21"/>
          <w:szCs w:val="21"/>
          <w:highlight w:val="none"/>
          <w:lang w:val="en-US" w:eastAsia="zh-CN"/>
        </w:rPr>
      </w:pPr>
    </w:p>
    <w:p w14:paraId="6BA7B71B">
      <w:pPr>
        <w:rPr>
          <w:rFonts w:hint="eastAsia" w:ascii="宋体" w:hAnsi="宋体" w:cs="宋体"/>
          <w:color w:val="auto"/>
          <w:sz w:val="21"/>
          <w:szCs w:val="21"/>
          <w:highlight w:val="none"/>
          <w:lang w:val="en-US" w:eastAsia="zh-CN"/>
        </w:rPr>
      </w:pPr>
    </w:p>
    <w:p w14:paraId="40AE2155">
      <w:pPr>
        <w:rPr>
          <w:rFonts w:hint="eastAsia" w:ascii="宋体" w:hAnsi="宋体" w:cs="宋体"/>
          <w:color w:val="auto"/>
          <w:sz w:val="21"/>
          <w:szCs w:val="21"/>
          <w:highlight w:val="none"/>
          <w:lang w:val="en-US" w:eastAsia="zh-CN"/>
        </w:rPr>
      </w:pPr>
    </w:p>
    <w:p w14:paraId="00AD1BAA">
      <w:pPr>
        <w:rPr>
          <w:rFonts w:hint="eastAsia" w:ascii="宋体" w:hAnsi="宋体" w:cs="宋体"/>
          <w:color w:val="auto"/>
          <w:sz w:val="21"/>
          <w:szCs w:val="21"/>
          <w:highlight w:val="none"/>
          <w:lang w:val="en-US" w:eastAsia="zh-CN"/>
        </w:rPr>
      </w:pPr>
    </w:p>
    <w:p w14:paraId="20D74474">
      <w:pPr>
        <w:rPr>
          <w:rFonts w:hint="eastAsia" w:ascii="宋体" w:hAnsi="宋体" w:cs="宋体"/>
          <w:color w:val="auto"/>
          <w:sz w:val="21"/>
          <w:szCs w:val="21"/>
          <w:highlight w:val="none"/>
          <w:lang w:val="en-US" w:eastAsia="zh-CN"/>
        </w:rPr>
      </w:pPr>
    </w:p>
    <w:p w14:paraId="04083F93">
      <w:pPr>
        <w:pStyle w:val="23"/>
        <w:rPr>
          <w:rFonts w:hint="eastAsia" w:ascii="宋体" w:hAnsi="宋体" w:cs="宋体"/>
          <w:color w:val="auto"/>
          <w:sz w:val="21"/>
          <w:szCs w:val="21"/>
          <w:highlight w:val="none"/>
          <w:lang w:val="en-US" w:eastAsia="zh-CN"/>
        </w:rPr>
      </w:pPr>
    </w:p>
    <w:p w14:paraId="565BEDF9">
      <w:pPr>
        <w:pStyle w:val="24"/>
        <w:rPr>
          <w:rFonts w:hint="eastAsia" w:ascii="宋体" w:hAnsi="宋体" w:cs="宋体"/>
          <w:color w:val="auto"/>
          <w:sz w:val="21"/>
          <w:szCs w:val="21"/>
          <w:highlight w:val="none"/>
          <w:lang w:val="en-US" w:eastAsia="zh-CN"/>
        </w:rPr>
      </w:pPr>
    </w:p>
    <w:p w14:paraId="2F9752AE">
      <w:pPr>
        <w:rPr>
          <w:rFonts w:hint="eastAsia"/>
          <w:color w:val="auto"/>
          <w:highlight w:val="none"/>
          <w:lang w:val="en-US" w:eastAsia="zh-CN"/>
        </w:rPr>
      </w:pPr>
    </w:p>
    <w:p w14:paraId="7DF7CCD8">
      <w:pPr>
        <w:rPr>
          <w:rFonts w:hint="eastAsia" w:ascii="宋体" w:hAnsi="宋体" w:cs="宋体"/>
          <w:color w:val="auto"/>
          <w:sz w:val="21"/>
          <w:szCs w:val="21"/>
          <w:highlight w:val="none"/>
          <w:lang w:val="en-US" w:eastAsia="zh-CN"/>
        </w:rPr>
      </w:pPr>
    </w:p>
    <w:p w14:paraId="37552EC2">
      <w:pPr>
        <w:rPr>
          <w:rFonts w:hint="eastAsia" w:ascii="宋体" w:hAnsi="宋体" w:cs="宋体"/>
          <w:color w:val="auto"/>
          <w:sz w:val="21"/>
          <w:szCs w:val="21"/>
          <w:highlight w:val="none"/>
          <w:lang w:val="en-US" w:eastAsia="zh-CN"/>
        </w:rPr>
      </w:pPr>
    </w:p>
    <w:p w14:paraId="5896F8A3">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344F7851">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  标  报  价  表</w:t>
      </w:r>
    </w:p>
    <w:p w14:paraId="50F5BDA5">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104EAAF9">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08896E17">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9E3FCD9">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19"/>
        <w:tblpPr w:leftFromText="180" w:rightFromText="180" w:vertAnchor="text" w:horzAnchor="margin" w:tblpXSpec="center" w:tblpY="199"/>
        <w:tblOverlap w:val="never"/>
        <w:tblW w:w="10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627"/>
        <w:gridCol w:w="1410"/>
        <w:gridCol w:w="1350"/>
        <w:gridCol w:w="1737"/>
        <w:gridCol w:w="1282"/>
        <w:gridCol w:w="2030"/>
      </w:tblGrid>
      <w:tr w14:paraId="19FA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678" w:type="dxa"/>
            <w:tcBorders>
              <w:bottom w:val="single" w:color="auto" w:sz="4" w:space="0"/>
            </w:tcBorders>
            <w:noWrap w:val="0"/>
            <w:vAlign w:val="center"/>
          </w:tcPr>
          <w:p w14:paraId="75DA757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627" w:type="dxa"/>
            <w:tcBorders>
              <w:bottom w:val="single" w:color="auto" w:sz="4" w:space="0"/>
            </w:tcBorders>
            <w:noWrap w:val="0"/>
            <w:vAlign w:val="center"/>
          </w:tcPr>
          <w:p w14:paraId="45A58BDE">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w:t>
            </w:r>
          </w:p>
          <w:p w14:paraId="3D5D2B9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名称</w:t>
            </w:r>
          </w:p>
        </w:tc>
        <w:tc>
          <w:tcPr>
            <w:tcW w:w="1410" w:type="dxa"/>
            <w:tcBorders>
              <w:bottom w:val="single" w:color="auto" w:sz="4" w:space="0"/>
            </w:tcBorders>
            <w:noWrap w:val="0"/>
            <w:vAlign w:val="center"/>
          </w:tcPr>
          <w:p w14:paraId="43F2194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r>
              <w:rPr>
                <w:rFonts w:hint="eastAsia" w:ascii="宋体" w:hAnsi="宋体" w:cs="宋体"/>
                <w:b w:val="0"/>
                <w:bCs/>
                <w:color w:val="auto"/>
                <w:sz w:val="21"/>
                <w:szCs w:val="21"/>
                <w:highlight w:val="none"/>
                <w:lang w:val="en-US" w:eastAsia="zh-CN"/>
              </w:rPr>
              <w:t>及单位①</w:t>
            </w:r>
          </w:p>
        </w:tc>
        <w:tc>
          <w:tcPr>
            <w:tcW w:w="1350" w:type="dxa"/>
            <w:tcBorders>
              <w:bottom w:val="single" w:color="auto" w:sz="4" w:space="0"/>
              <w:right w:val="single" w:color="auto" w:sz="4" w:space="0"/>
            </w:tcBorders>
            <w:noWrap w:val="0"/>
            <w:vAlign w:val="center"/>
          </w:tcPr>
          <w:p w14:paraId="7984846E">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品牌</w:t>
            </w:r>
          </w:p>
        </w:tc>
        <w:tc>
          <w:tcPr>
            <w:tcW w:w="1737" w:type="dxa"/>
            <w:tcBorders>
              <w:bottom w:val="single" w:color="auto" w:sz="4" w:space="0"/>
              <w:right w:val="single" w:color="auto" w:sz="4" w:space="0"/>
            </w:tcBorders>
            <w:noWrap w:val="0"/>
            <w:vAlign w:val="center"/>
          </w:tcPr>
          <w:p w14:paraId="68222A29">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 xml:space="preserve">规格 </w:t>
            </w:r>
          </w:p>
          <w:p w14:paraId="367E9F66">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型号</w:t>
            </w:r>
          </w:p>
        </w:tc>
        <w:tc>
          <w:tcPr>
            <w:tcW w:w="1282" w:type="dxa"/>
            <w:tcBorders>
              <w:bottom w:val="single" w:color="auto" w:sz="4" w:space="0"/>
              <w:right w:val="single" w:color="auto" w:sz="4" w:space="0"/>
            </w:tcBorders>
            <w:noWrap w:val="0"/>
            <w:vAlign w:val="center"/>
          </w:tcPr>
          <w:p w14:paraId="5721C4BC">
            <w:pPr>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 xml:space="preserve">单价 </w:t>
            </w:r>
          </w:p>
          <w:p w14:paraId="71B8A657">
            <w:pPr>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②</w:t>
            </w:r>
          </w:p>
        </w:tc>
        <w:tc>
          <w:tcPr>
            <w:tcW w:w="2030" w:type="dxa"/>
            <w:tcBorders>
              <w:bottom w:val="single" w:color="auto" w:sz="4" w:space="0"/>
              <w:right w:val="single" w:color="auto" w:sz="4" w:space="0"/>
            </w:tcBorders>
            <w:noWrap w:val="0"/>
            <w:vAlign w:val="center"/>
          </w:tcPr>
          <w:p w14:paraId="0A8F7986">
            <w:pPr>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单项合计</w:t>
            </w:r>
          </w:p>
          <w:p w14:paraId="4F80BFFC">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③=①×②</w:t>
            </w:r>
          </w:p>
        </w:tc>
      </w:tr>
      <w:tr w14:paraId="53EF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8" w:type="dxa"/>
            <w:noWrap w:val="0"/>
            <w:vAlign w:val="center"/>
          </w:tcPr>
          <w:p w14:paraId="7BA15D71">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627" w:type="dxa"/>
            <w:noWrap w:val="0"/>
            <w:vAlign w:val="center"/>
          </w:tcPr>
          <w:p w14:paraId="2297BE2D">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38DA147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AD6A9CB">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5237F0D0">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0BD17D71">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512C1042">
            <w:pPr>
              <w:spacing w:line="600" w:lineRule="exact"/>
              <w:rPr>
                <w:rFonts w:hint="eastAsia" w:ascii="宋体" w:hAnsi="宋体" w:eastAsia="宋体" w:cs="宋体"/>
                <w:b w:val="0"/>
                <w:bCs/>
                <w:color w:val="auto"/>
                <w:sz w:val="21"/>
                <w:szCs w:val="21"/>
                <w:highlight w:val="none"/>
              </w:rPr>
            </w:pPr>
          </w:p>
        </w:tc>
      </w:tr>
      <w:tr w14:paraId="34E1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8" w:type="dxa"/>
            <w:noWrap w:val="0"/>
            <w:vAlign w:val="center"/>
          </w:tcPr>
          <w:p w14:paraId="7D8ACED6">
            <w:pPr>
              <w:spacing w:line="360" w:lineRule="auto"/>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c>
          <w:tcPr>
            <w:tcW w:w="1627" w:type="dxa"/>
            <w:noWrap w:val="0"/>
            <w:vAlign w:val="center"/>
          </w:tcPr>
          <w:p w14:paraId="4BA6EDBA">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6759B983">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F1B53D9">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30A440B4">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7E1ADC1B">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55C7C1C5">
            <w:pPr>
              <w:spacing w:line="600" w:lineRule="exact"/>
              <w:rPr>
                <w:rFonts w:hint="eastAsia" w:ascii="宋体" w:hAnsi="宋体" w:eastAsia="宋体" w:cs="宋体"/>
                <w:b w:val="0"/>
                <w:bCs/>
                <w:color w:val="auto"/>
                <w:sz w:val="21"/>
                <w:szCs w:val="21"/>
                <w:highlight w:val="none"/>
              </w:rPr>
            </w:pPr>
          </w:p>
        </w:tc>
      </w:tr>
      <w:tr w14:paraId="4971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14" w:type="dxa"/>
            <w:gridSpan w:val="7"/>
            <w:noWrap w:val="0"/>
            <w:vAlign w:val="center"/>
          </w:tcPr>
          <w:p w14:paraId="596FCDE6">
            <w:pPr>
              <w:keepNext w:val="0"/>
              <w:keepLines w:val="0"/>
              <w:widowControl/>
              <w:suppressLineNumbers w:val="0"/>
              <w:spacing w:line="360" w:lineRule="auto"/>
              <w:jc w:val="left"/>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合计金额大写：人民币</w:t>
            </w:r>
            <w:r>
              <w:rPr>
                <w:rFonts w:hint="eastAsia" w:ascii="新宋体" w:hAnsi="新宋体" w:eastAsia="新宋体" w:cs="新宋体"/>
                <w:color w:val="auto"/>
                <w:kern w:val="0"/>
                <w:sz w:val="21"/>
                <w:szCs w:val="21"/>
                <w:highlight w:val="none"/>
                <w:u w:val="single"/>
                <w:lang w:val="en-US" w:eastAsia="zh-CN" w:bidi="ar"/>
              </w:rPr>
              <w:t xml:space="preserve">                  </w:t>
            </w:r>
            <w:r>
              <w:rPr>
                <w:rFonts w:hint="eastAsia" w:ascii="新宋体" w:hAnsi="新宋体" w:eastAsia="新宋体" w:cs="新宋体"/>
                <w:color w:val="auto"/>
                <w:kern w:val="0"/>
                <w:sz w:val="21"/>
                <w:szCs w:val="21"/>
                <w:highlight w:val="none"/>
                <w:lang w:val="en-US" w:eastAsia="zh-CN" w:bidi="ar"/>
              </w:rPr>
              <w:t>（¥</w:t>
            </w:r>
            <w:r>
              <w:rPr>
                <w:rFonts w:hint="eastAsia" w:ascii="新宋体" w:hAnsi="新宋体" w:eastAsia="新宋体" w:cs="新宋体"/>
                <w:color w:val="auto"/>
                <w:kern w:val="0"/>
                <w:sz w:val="21"/>
                <w:szCs w:val="21"/>
                <w:highlight w:val="none"/>
                <w:u w:val="single"/>
                <w:lang w:val="en-US" w:eastAsia="zh-CN" w:bidi="ar"/>
              </w:rPr>
              <w:t xml:space="preserve">              </w:t>
            </w:r>
            <w:r>
              <w:rPr>
                <w:rFonts w:hint="eastAsia" w:ascii="新宋体" w:hAnsi="新宋体" w:eastAsia="新宋体" w:cs="新宋体"/>
                <w:color w:val="auto"/>
                <w:kern w:val="0"/>
                <w:sz w:val="21"/>
                <w:szCs w:val="21"/>
                <w:highlight w:val="none"/>
                <w:lang w:val="en-US" w:eastAsia="zh-CN" w:bidi="ar"/>
              </w:rPr>
              <w:t xml:space="preserve"> ） </w:t>
            </w:r>
          </w:p>
        </w:tc>
      </w:tr>
      <w:tr w14:paraId="681A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114" w:type="dxa"/>
            <w:gridSpan w:val="7"/>
            <w:noWrap w:val="0"/>
            <w:vAlign w:val="center"/>
          </w:tcPr>
          <w:p w14:paraId="7375C20A">
            <w:pPr>
              <w:keepNext w:val="0"/>
              <w:keepLines w:val="0"/>
              <w:widowControl/>
              <w:suppressLineNumbers w:val="0"/>
              <w:spacing w:line="360" w:lineRule="auto"/>
              <w:jc w:val="left"/>
              <w:rPr>
                <w:rFonts w:hint="default"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交付期限：</w:t>
            </w:r>
          </w:p>
        </w:tc>
      </w:tr>
    </w:tbl>
    <w:p w14:paraId="447EB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注: </w:t>
      </w:r>
    </w:p>
    <w:p w14:paraId="0B9570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 以上竞标报价表中“标的名称、数量及单位、品牌、规格型号”必须如实填写完整，品牌、规格型号没有则填无，填写有缺漏的，其响应文件作无效处理。 </w:t>
      </w:r>
    </w:p>
    <w:p w14:paraId="0607A7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2.供应商的报价表必须加盖供应商公章并由法定代表人或者委托代理人签字或者电子签名，否则其响应文件作无效处理。 </w:t>
      </w:r>
    </w:p>
    <w:p w14:paraId="48601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3.报价一经涂改，应在涂改处加盖供应商公章或者由法定代表人或者委托代理人签字或者电子签名，否则其响应文件按无效响应处理。 </w:t>
      </w:r>
    </w:p>
    <w:p w14:paraId="794E0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1B89FF">
      <w:pPr>
        <w:snapToGrid w:val="0"/>
        <w:spacing w:before="50" w:after="50" w:line="440" w:lineRule="exact"/>
        <w:ind w:right="-817" w:rightChars="-389"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lang w:val="en-US" w:eastAsia="zh-CN"/>
        </w:rPr>
        <w:t>签字或电子签名）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61AA1432">
      <w:pPr>
        <w:snapToGrid w:val="0"/>
        <w:spacing w:before="50" w:after="50" w:line="440" w:lineRule="exact"/>
        <w:ind w:right="-817" w:rightChars="-389" w:firstLine="4620" w:firstLineChars="2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3BB37C3">
      <w:pPr>
        <w:spacing w:line="360" w:lineRule="auto"/>
        <w:ind w:right="420" w:firstLine="6090" w:firstLineChars="29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315EA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C15D0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148F53F1">
      <w:pPr>
        <w:pStyle w:val="23"/>
        <w:rPr>
          <w:rFonts w:hint="eastAsia" w:ascii="宋体" w:hAnsi="宋体" w:cs="宋体"/>
          <w:color w:val="auto"/>
          <w:sz w:val="21"/>
          <w:szCs w:val="21"/>
          <w:highlight w:val="none"/>
          <w:lang w:val="en-US" w:eastAsia="zh-CN"/>
        </w:rPr>
      </w:pPr>
    </w:p>
    <w:p w14:paraId="2DD53001">
      <w:pPr>
        <w:pStyle w:val="24"/>
        <w:rPr>
          <w:rFonts w:hint="eastAsia" w:ascii="宋体" w:hAnsi="宋体" w:cs="宋体"/>
          <w:color w:val="auto"/>
          <w:sz w:val="21"/>
          <w:szCs w:val="21"/>
          <w:highlight w:val="none"/>
          <w:lang w:val="en-US" w:eastAsia="zh-CN"/>
        </w:rPr>
      </w:pPr>
    </w:p>
    <w:p w14:paraId="1ED93925">
      <w:pPr>
        <w:rPr>
          <w:rFonts w:hint="eastAsia" w:ascii="宋体" w:hAnsi="宋体" w:cs="宋体"/>
          <w:color w:val="auto"/>
          <w:sz w:val="21"/>
          <w:szCs w:val="21"/>
          <w:highlight w:val="none"/>
          <w:lang w:val="en-US" w:eastAsia="zh-CN"/>
        </w:rPr>
      </w:pPr>
    </w:p>
    <w:p w14:paraId="53268B6B">
      <w:pPr>
        <w:pStyle w:val="23"/>
        <w:rPr>
          <w:rFonts w:hint="eastAsia"/>
          <w:color w:val="auto"/>
          <w:highlight w:val="none"/>
          <w:lang w:val="en-US" w:eastAsia="zh-CN"/>
        </w:rPr>
      </w:pPr>
    </w:p>
    <w:p w14:paraId="39EAD053">
      <w:pPr>
        <w:spacing w:line="520" w:lineRule="exact"/>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中小企业声明函</w:t>
      </w:r>
    </w:p>
    <w:p w14:paraId="4B59ABA1">
      <w:pPr>
        <w:spacing w:before="2" w:line="500" w:lineRule="exact"/>
        <w:rPr>
          <w:rFonts w:ascii="宋体" w:hAnsi="宋体" w:cs="宋体"/>
          <w:b/>
          <w:bCs/>
          <w:color w:val="auto"/>
          <w:sz w:val="27"/>
          <w:szCs w:val="27"/>
          <w:highlight w:val="none"/>
        </w:rPr>
      </w:pPr>
    </w:p>
    <w:p w14:paraId="3A4F9955">
      <w:pPr>
        <w:pStyle w:val="2"/>
        <w:spacing w:after="0" w:line="360" w:lineRule="auto"/>
        <w:ind w:left="-426" w:right="142" w:firstLine="640"/>
        <w:contextualSpacing/>
        <w:rPr>
          <w:rFonts w:ascii="宋体" w:hAnsi="宋体"/>
          <w:color w:val="auto"/>
          <w:sz w:val="21"/>
          <w:szCs w:val="21"/>
          <w:highlight w:val="none"/>
        </w:rPr>
      </w:pPr>
      <w:r>
        <w:rPr>
          <w:rFonts w:ascii="宋体" w:hAnsi="宋体"/>
          <w:color w:val="auto"/>
          <w:sz w:val="21"/>
          <w:szCs w:val="21"/>
          <w:highlight w:val="none"/>
        </w:rPr>
        <w:t>本公司（联合体）郑重声明，根据《政府采购促进中小企业发展管理办法》（财库﹝2020﹞46号）的规定，本公司（联合体）参加</w:t>
      </w:r>
      <w:r>
        <w:rPr>
          <w:rFonts w:ascii="宋体" w:hAnsi="宋体"/>
          <w:color w:val="auto"/>
          <w:sz w:val="21"/>
          <w:szCs w:val="21"/>
          <w:highlight w:val="none"/>
          <w:u w:val="single"/>
        </w:rPr>
        <w:t>（单位名称）</w:t>
      </w:r>
      <w:r>
        <w:rPr>
          <w:rFonts w:ascii="宋体" w:hAnsi="宋体"/>
          <w:color w:val="auto"/>
          <w:sz w:val="21"/>
          <w:szCs w:val="21"/>
          <w:highlight w:val="none"/>
        </w:rPr>
        <w:t>的</w:t>
      </w:r>
      <w:r>
        <w:rPr>
          <w:rFonts w:ascii="宋体" w:hAnsi="宋体"/>
          <w:color w:val="auto"/>
          <w:sz w:val="21"/>
          <w:szCs w:val="21"/>
          <w:highlight w:val="none"/>
          <w:u w:val="single"/>
        </w:rPr>
        <w:t>（项目名称）</w:t>
      </w:r>
      <w:r>
        <w:rPr>
          <w:rFonts w:ascii="宋体" w:hAnsi="宋体"/>
          <w:color w:val="auto"/>
          <w:sz w:val="21"/>
          <w:szCs w:val="21"/>
          <w:highlight w:val="none"/>
        </w:rPr>
        <w:t>采购活动，提供的货物全部由符合政策要求的中小企业制造。相关企业（含联合体中的中小企业、签订分包意向协议的中小企业）的具体情况如下：</w:t>
      </w:r>
    </w:p>
    <w:p w14:paraId="79F3F22E">
      <w:pPr>
        <w:tabs>
          <w:tab w:val="left" w:pos="1384"/>
          <w:tab w:val="left" w:pos="4562"/>
          <w:tab w:val="left" w:pos="6803"/>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5DB4B677">
      <w:pPr>
        <w:tabs>
          <w:tab w:val="left" w:pos="1065"/>
          <w:tab w:val="left" w:pos="6477"/>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2.</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15FC2812">
      <w:pPr>
        <w:pStyle w:val="2"/>
        <w:spacing w:after="0" w:line="360" w:lineRule="auto"/>
        <w:ind w:left="142" w:right="142"/>
        <w:contextualSpacing/>
        <w:rPr>
          <w:rFonts w:ascii="宋体" w:hAnsi="宋体"/>
          <w:color w:val="auto"/>
          <w:sz w:val="21"/>
          <w:szCs w:val="21"/>
          <w:highlight w:val="none"/>
        </w:rPr>
      </w:pPr>
      <w:r>
        <w:rPr>
          <w:rFonts w:ascii="宋体" w:hAnsi="宋体"/>
          <w:color w:val="auto"/>
          <w:sz w:val="21"/>
          <w:szCs w:val="21"/>
          <w:highlight w:val="none"/>
        </w:rPr>
        <w:t xml:space="preserve">…… </w:t>
      </w:r>
    </w:p>
    <w:p w14:paraId="10AEFE63">
      <w:pPr>
        <w:pStyle w:val="2"/>
        <w:spacing w:after="0" w:line="360" w:lineRule="auto"/>
        <w:ind w:left="-405" w:leftChars="-193" w:right="142" w:firstLine="396" w:firstLineChars="189"/>
        <w:contextualSpacing/>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1E47E0B3">
      <w:pPr>
        <w:pStyle w:val="2"/>
        <w:spacing w:after="0" w:line="360" w:lineRule="auto"/>
        <w:ind w:left="-426" w:right="142" w:firstLine="567"/>
        <w:contextualSpacing/>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436A6490">
      <w:pPr>
        <w:pStyle w:val="2"/>
        <w:spacing w:after="0" w:line="360" w:lineRule="auto"/>
        <w:ind w:left="3960" w:right="1808"/>
        <w:contextualSpacing/>
        <w:rPr>
          <w:rFonts w:hint="eastAsia" w:ascii="宋体" w:hAnsi="宋体"/>
          <w:color w:val="auto"/>
          <w:sz w:val="21"/>
          <w:szCs w:val="21"/>
          <w:highlight w:val="none"/>
        </w:rPr>
      </w:pPr>
    </w:p>
    <w:p w14:paraId="57AFF729">
      <w:pPr>
        <w:spacing w:line="360" w:lineRule="auto"/>
        <w:ind w:left="4830" w:leftChars="2000" w:hanging="630" w:hangingChars="3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日</w:t>
      </w:r>
    </w:p>
    <w:p w14:paraId="76FA3828">
      <w:pPr>
        <w:spacing w:line="360" w:lineRule="auto"/>
        <w:ind w:left="4830" w:leftChars="2000" w:hanging="630" w:hangingChars="300"/>
        <w:jc w:val="left"/>
        <w:rPr>
          <w:rFonts w:hint="eastAsia" w:ascii="宋体" w:hAnsi="宋体" w:eastAsia="宋体" w:cs="宋体"/>
          <w:color w:val="auto"/>
          <w:sz w:val="21"/>
          <w:szCs w:val="21"/>
          <w:highlight w:val="none"/>
          <w:u w:val="none"/>
          <w:lang w:eastAsia="zh-CN"/>
        </w:rPr>
      </w:pPr>
    </w:p>
    <w:p w14:paraId="19F810D0">
      <w:pPr>
        <w:spacing w:line="360" w:lineRule="auto"/>
        <w:ind w:left="4830" w:leftChars="2000" w:hanging="630" w:hangingChars="300"/>
        <w:jc w:val="left"/>
        <w:rPr>
          <w:rFonts w:hint="eastAsia" w:ascii="宋体" w:hAnsi="宋体" w:eastAsia="宋体" w:cs="宋体"/>
          <w:color w:val="auto"/>
          <w:sz w:val="21"/>
          <w:szCs w:val="21"/>
          <w:highlight w:val="none"/>
          <w:u w:val="none"/>
          <w:lang w:eastAsia="zh-CN"/>
        </w:rPr>
      </w:pPr>
    </w:p>
    <w:p w14:paraId="4A793198">
      <w:pPr>
        <w:spacing w:line="360" w:lineRule="auto"/>
        <w:ind w:left="4830" w:leftChars="2000" w:hanging="630" w:hangingChars="300"/>
        <w:jc w:val="left"/>
        <w:rPr>
          <w:rFonts w:hint="eastAsia" w:ascii="宋体" w:hAnsi="宋体" w:eastAsia="宋体" w:cs="宋体"/>
          <w:color w:val="auto"/>
          <w:sz w:val="21"/>
          <w:szCs w:val="21"/>
          <w:highlight w:val="none"/>
          <w:u w:val="none"/>
          <w:lang w:eastAsia="zh-CN"/>
        </w:rPr>
      </w:pPr>
    </w:p>
    <w:p w14:paraId="12936DC9">
      <w:pPr>
        <w:spacing w:line="360" w:lineRule="auto"/>
        <w:contextualSpacing/>
        <w:jc w:val="left"/>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3E3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9E616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29556E3">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ab/>
      </w:r>
    </w:p>
    <w:p w14:paraId="4369329C">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17D4E06">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B6595BF">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C6EDEFE">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68F35EA">
      <w:pPr>
        <w:spacing w:line="520" w:lineRule="exact"/>
        <w:jc w:val="center"/>
        <w:rPr>
          <w:rFonts w:hint="eastAsia" w:asciiTheme="minorEastAsia" w:hAnsiTheme="minorEastAsia" w:eastAsiaTheme="minorEastAsia" w:cstheme="minorEastAsia"/>
          <w:b/>
          <w:bCs/>
          <w:color w:val="auto"/>
          <w:sz w:val="30"/>
          <w:szCs w:val="30"/>
          <w:highlight w:val="none"/>
        </w:rPr>
      </w:pPr>
    </w:p>
    <w:p w14:paraId="3C1176B0">
      <w:pPr>
        <w:spacing w:line="520" w:lineRule="exact"/>
        <w:jc w:val="center"/>
        <w:rPr>
          <w:rFonts w:hint="eastAsia" w:asciiTheme="minorEastAsia" w:hAnsiTheme="minorEastAsia" w:eastAsiaTheme="minorEastAsia" w:cstheme="minorEastAsia"/>
          <w:b/>
          <w:bCs/>
          <w:color w:val="auto"/>
          <w:sz w:val="30"/>
          <w:szCs w:val="30"/>
          <w:highlight w:val="none"/>
        </w:rPr>
      </w:pPr>
    </w:p>
    <w:p w14:paraId="0A6DDC87">
      <w:pPr>
        <w:spacing w:line="520" w:lineRule="exact"/>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残疾人福利性单位声明函</w:t>
      </w:r>
    </w:p>
    <w:p w14:paraId="53B25F7B">
      <w:pPr>
        <w:spacing w:line="520" w:lineRule="exact"/>
        <w:rPr>
          <w:rFonts w:hint="eastAsia" w:ascii="仿宋_GB2312" w:hAnsi="仿宋_GB2312" w:eastAsia="仿宋_GB2312" w:cs="仿宋_GB2312"/>
          <w:color w:val="auto"/>
          <w:sz w:val="32"/>
          <w:szCs w:val="32"/>
          <w:highlight w:val="none"/>
        </w:rPr>
      </w:pPr>
    </w:p>
    <w:p w14:paraId="25909555">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单位的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64A254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本单位对上述声明的真实性负责。如有虚假，将依法承担相应责任。</w:t>
      </w:r>
    </w:p>
    <w:p w14:paraId="23959D25">
      <w:pPr>
        <w:spacing w:line="360" w:lineRule="auto"/>
        <w:rPr>
          <w:rFonts w:hint="eastAsia" w:asciiTheme="minorEastAsia" w:hAnsiTheme="minorEastAsia" w:eastAsiaTheme="minorEastAsia" w:cstheme="minorEastAsia"/>
          <w:color w:val="auto"/>
          <w:sz w:val="21"/>
          <w:szCs w:val="21"/>
          <w:highlight w:val="none"/>
        </w:rPr>
      </w:pPr>
    </w:p>
    <w:p w14:paraId="27631569">
      <w:pPr>
        <w:spacing w:line="360" w:lineRule="auto"/>
        <w:rPr>
          <w:rFonts w:hint="eastAsia" w:asciiTheme="minorEastAsia" w:hAnsiTheme="minorEastAsia" w:eastAsiaTheme="minorEastAsia" w:cstheme="minorEastAsia"/>
          <w:color w:val="auto"/>
          <w:sz w:val="21"/>
          <w:szCs w:val="21"/>
          <w:highlight w:val="none"/>
        </w:rPr>
      </w:pPr>
    </w:p>
    <w:p w14:paraId="5AA390E8">
      <w:pPr>
        <w:spacing w:line="360" w:lineRule="auto"/>
        <w:rPr>
          <w:rFonts w:hint="eastAsia" w:asciiTheme="minorEastAsia" w:hAnsiTheme="minorEastAsia" w:eastAsiaTheme="minorEastAsia" w:cstheme="minorEastAsia"/>
          <w:color w:val="auto"/>
          <w:sz w:val="21"/>
          <w:szCs w:val="21"/>
          <w:highlight w:val="none"/>
        </w:rPr>
      </w:pPr>
    </w:p>
    <w:p w14:paraId="1C454503">
      <w:pPr>
        <w:spacing w:line="360" w:lineRule="auto"/>
        <w:ind w:firstLine="4200" w:firstLineChars="2000"/>
        <w:jc w:val="left"/>
        <w:rPr>
          <w:rFonts w:hint="eastAsia" w:ascii="宋体" w:hAnsi="宋体" w:eastAsia="宋体" w:cs="宋体"/>
          <w:color w:val="auto"/>
          <w:highlight w:val="none"/>
          <w:u w:val="single"/>
        </w:rPr>
      </w:pP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u w:val="single"/>
        </w:rPr>
        <w:t xml:space="preserve">                     </w:t>
      </w:r>
    </w:p>
    <w:p w14:paraId="401D3B0E">
      <w:pPr>
        <w:pStyle w:val="31"/>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日</w:t>
      </w:r>
    </w:p>
    <w:p w14:paraId="4D182EB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p w14:paraId="50B31B10">
      <w:pPr>
        <w:spacing w:line="360" w:lineRule="auto"/>
        <w:rPr>
          <w:rFonts w:hint="eastAsia" w:asciiTheme="minorEastAsia" w:hAnsiTheme="minorEastAsia" w:eastAsiaTheme="minorEastAsia" w:cstheme="minorEastAsia"/>
          <w:color w:val="auto"/>
          <w:sz w:val="21"/>
          <w:szCs w:val="21"/>
          <w:highlight w:val="none"/>
        </w:rPr>
      </w:pPr>
    </w:p>
    <w:p w14:paraId="69B810CF">
      <w:pPr>
        <w:spacing w:line="360" w:lineRule="auto"/>
        <w:rPr>
          <w:rFonts w:hint="eastAsia" w:asciiTheme="minorEastAsia" w:hAnsiTheme="minorEastAsia" w:eastAsiaTheme="minorEastAsia" w:cstheme="minorEastAsia"/>
          <w:color w:val="auto"/>
          <w:sz w:val="21"/>
          <w:szCs w:val="21"/>
          <w:highlight w:val="none"/>
        </w:rPr>
      </w:pPr>
    </w:p>
    <w:p w14:paraId="1229418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FF83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52D5C6E">
      <w:pPr>
        <w:spacing w:line="360" w:lineRule="auto"/>
        <w:ind w:right="420" w:firstLine="3373" w:firstLineChars="1200"/>
        <w:contextualSpacing/>
        <w:jc w:val="left"/>
        <w:rPr>
          <w:rFonts w:hint="eastAsia" w:ascii="宋体" w:hAnsi="宋体"/>
          <w:b/>
          <w:bCs/>
          <w:color w:val="auto"/>
          <w:sz w:val="28"/>
          <w:szCs w:val="28"/>
          <w:highlight w:val="none"/>
        </w:rPr>
      </w:pPr>
    </w:p>
    <w:p w14:paraId="77910632">
      <w:pPr>
        <w:spacing w:line="360" w:lineRule="auto"/>
        <w:ind w:right="420" w:firstLine="3373" w:firstLineChars="1200"/>
        <w:contextualSpacing/>
        <w:jc w:val="left"/>
        <w:rPr>
          <w:rFonts w:hint="eastAsia" w:ascii="宋体" w:hAnsi="宋体"/>
          <w:b/>
          <w:bCs/>
          <w:color w:val="auto"/>
          <w:sz w:val="28"/>
          <w:szCs w:val="28"/>
          <w:highlight w:val="none"/>
        </w:rPr>
      </w:pPr>
    </w:p>
    <w:p w14:paraId="7D1DB4F3">
      <w:pPr>
        <w:spacing w:line="360" w:lineRule="auto"/>
        <w:ind w:right="420" w:firstLine="3373" w:firstLineChars="1200"/>
        <w:contextualSpacing/>
        <w:jc w:val="left"/>
        <w:rPr>
          <w:rFonts w:hint="eastAsia" w:ascii="宋体" w:hAnsi="宋体"/>
          <w:b/>
          <w:bCs/>
          <w:color w:val="auto"/>
          <w:sz w:val="28"/>
          <w:szCs w:val="28"/>
          <w:highlight w:val="none"/>
        </w:rPr>
      </w:pPr>
    </w:p>
    <w:p w14:paraId="29CA1AA8">
      <w:pPr>
        <w:spacing w:line="360" w:lineRule="auto"/>
        <w:ind w:right="420" w:firstLine="3373" w:firstLineChars="1200"/>
        <w:contextualSpacing/>
        <w:jc w:val="left"/>
        <w:rPr>
          <w:rFonts w:hint="eastAsia" w:ascii="宋体" w:hAnsi="宋体"/>
          <w:b/>
          <w:bCs/>
          <w:color w:val="auto"/>
          <w:sz w:val="28"/>
          <w:szCs w:val="28"/>
          <w:highlight w:val="none"/>
        </w:rPr>
      </w:pPr>
    </w:p>
    <w:p w14:paraId="5F74E1F0">
      <w:pPr>
        <w:spacing w:line="360" w:lineRule="auto"/>
        <w:ind w:right="420"/>
        <w:contextualSpacing/>
        <w:jc w:val="left"/>
        <w:rPr>
          <w:rFonts w:hint="eastAsia" w:ascii="宋体" w:hAnsi="宋体"/>
          <w:b/>
          <w:bCs/>
          <w:color w:val="auto"/>
          <w:sz w:val="28"/>
          <w:szCs w:val="28"/>
          <w:highlight w:val="none"/>
        </w:rPr>
      </w:pPr>
    </w:p>
    <w:p w14:paraId="1F7AFB2C">
      <w:pPr>
        <w:spacing w:line="360" w:lineRule="auto"/>
        <w:ind w:right="420" w:firstLine="3373" w:firstLineChars="1200"/>
        <w:contextualSpacing/>
        <w:jc w:val="left"/>
        <w:rPr>
          <w:rFonts w:hint="eastAsia" w:ascii="宋体" w:hAnsi="宋体"/>
          <w:b/>
          <w:bCs/>
          <w:color w:val="auto"/>
          <w:sz w:val="28"/>
          <w:szCs w:val="28"/>
          <w:highlight w:val="none"/>
        </w:rPr>
      </w:pPr>
    </w:p>
    <w:p w14:paraId="7A9CF9AD">
      <w:pPr>
        <w:pStyle w:val="23"/>
        <w:rPr>
          <w:rFonts w:hint="eastAsia" w:ascii="宋体" w:hAnsi="宋体"/>
          <w:b/>
          <w:bCs/>
          <w:color w:val="auto"/>
          <w:sz w:val="28"/>
          <w:szCs w:val="28"/>
          <w:highlight w:val="none"/>
        </w:rPr>
      </w:pPr>
    </w:p>
    <w:p w14:paraId="7E41C6C1">
      <w:pPr>
        <w:pStyle w:val="24"/>
        <w:rPr>
          <w:rFonts w:hint="eastAsia" w:ascii="宋体" w:hAnsi="宋体"/>
          <w:b/>
          <w:bCs/>
          <w:color w:val="auto"/>
          <w:sz w:val="28"/>
          <w:szCs w:val="28"/>
          <w:highlight w:val="none"/>
        </w:rPr>
      </w:pPr>
    </w:p>
    <w:p w14:paraId="5A792A7F">
      <w:pPr>
        <w:rPr>
          <w:rFonts w:hint="eastAsia" w:ascii="宋体" w:hAnsi="宋体"/>
          <w:b/>
          <w:bCs/>
          <w:color w:val="auto"/>
          <w:sz w:val="28"/>
          <w:szCs w:val="28"/>
          <w:highlight w:val="none"/>
        </w:rPr>
      </w:pPr>
    </w:p>
    <w:p w14:paraId="42B97723">
      <w:pPr>
        <w:pStyle w:val="23"/>
        <w:rPr>
          <w:rFonts w:hint="eastAsia" w:ascii="宋体" w:hAnsi="宋体"/>
          <w:b/>
          <w:bCs/>
          <w:color w:val="auto"/>
          <w:sz w:val="28"/>
          <w:szCs w:val="28"/>
          <w:highlight w:val="none"/>
        </w:rPr>
      </w:pPr>
    </w:p>
    <w:p w14:paraId="2DD91D7C">
      <w:pPr>
        <w:pStyle w:val="24"/>
        <w:rPr>
          <w:rFonts w:hint="eastAsia" w:ascii="宋体" w:hAnsi="宋体"/>
          <w:b/>
          <w:bCs/>
          <w:color w:val="auto"/>
          <w:sz w:val="28"/>
          <w:szCs w:val="28"/>
          <w:highlight w:val="none"/>
        </w:rPr>
      </w:pPr>
    </w:p>
    <w:p w14:paraId="660F3498">
      <w:pPr>
        <w:rPr>
          <w:rFonts w:hint="eastAsia"/>
          <w:color w:val="auto"/>
          <w:highlight w:val="none"/>
        </w:rPr>
      </w:pPr>
    </w:p>
    <w:p w14:paraId="63CC2CD1">
      <w:pPr>
        <w:spacing w:line="360" w:lineRule="auto"/>
        <w:ind w:right="420" w:firstLine="3373" w:firstLineChars="1200"/>
        <w:contextualSpacing/>
        <w:jc w:val="left"/>
        <w:rPr>
          <w:rFonts w:hint="eastAsia" w:ascii="宋体" w:hAnsi="宋体"/>
          <w:b/>
          <w:bCs/>
          <w:color w:val="auto"/>
          <w:sz w:val="28"/>
          <w:szCs w:val="28"/>
          <w:highlight w:val="none"/>
        </w:rPr>
      </w:pPr>
    </w:p>
    <w:p w14:paraId="00058922">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4279F18C">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08F3724F">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48E1957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3E8AC7A5">
      <w:pPr>
        <w:snapToGrid w:val="0"/>
        <w:spacing w:before="156" w:beforeLines="50" w:after="50"/>
        <w:rPr>
          <w:rFonts w:hint="eastAsia" w:ascii="宋体" w:hAnsi="宋体"/>
          <w:color w:val="auto"/>
          <w:sz w:val="22"/>
          <w:szCs w:val="18"/>
          <w:highlight w:val="none"/>
        </w:rPr>
      </w:pPr>
    </w:p>
    <w:p w14:paraId="508F2930">
      <w:pPr>
        <w:snapToGrid w:val="0"/>
        <w:spacing w:before="156" w:beforeLines="50" w:after="50"/>
        <w:rPr>
          <w:rFonts w:hint="eastAsia" w:ascii="宋体" w:hAnsi="宋体"/>
          <w:color w:val="auto"/>
          <w:sz w:val="22"/>
          <w:szCs w:val="18"/>
          <w:highlight w:val="none"/>
        </w:rPr>
      </w:pPr>
    </w:p>
    <w:p w14:paraId="6113F1AF">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7242FCD0">
      <w:pPr>
        <w:snapToGrid w:val="0"/>
        <w:spacing w:before="156" w:beforeLines="50" w:after="50"/>
        <w:rPr>
          <w:rFonts w:hint="eastAsia" w:ascii="宋体" w:hAnsi="宋体"/>
          <w:bCs/>
          <w:color w:val="auto"/>
          <w:sz w:val="22"/>
          <w:szCs w:val="18"/>
          <w:highlight w:val="none"/>
        </w:rPr>
      </w:pPr>
    </w:p>
    <w:p w14:paraId="590CE4A6">
      <w:pPr>
        <w:snapToGrid w:val="0"/>
        <w:spacing w:before="156" w:beforeLines="50" w:after="50"/>
        <w:rPr>
          <w:rFonts w:hint="eastAsia" w:ascii="宋体" w:hAnsi="宋体"/>
          <w:bCs/>
          <w:color w:val="auto"/>
          <w:sz w:val="22"/>
          <w:szCs w:val="18"/>
          <w:highlight w:val="none"/>
        </w:rPr>
      </w:pPr>
    </w:p>
    <w:p w14:paraId="527052DF">
      <w:pPr>
        <w:snapToGrid w:val="0"/>
        <w:spacing w:before="156" w:beforeLines="50" w:after="50"/>
        <w:rPr>
          <w:rFonts w:hint="eastAsia" w:ascii="宋体" w:hAnsi="宋体"/>
          <w:bCs/>
          <w:color w:val="auto"/>
          <w:sz w:val="22"/>
          <w:szCs w:val="18"/>
          <w:highlight w:val="none"/>
        </w:rPr>
      </w:pPr>
    </w:p>
    <w:p w14:paraId="582A5E82">
      <w:pPr>
        <w:snapToGrid w:val="0"/>
        <w:spacing w:before="156" w:beforeLines="50" w:after="50"/>
        <w:rPr>
          <w:rFonts w:hint="eastAsia" w:ascii="宋体" w:hAnsi="宋体"/>
          <w:bCs/>
          <w:color w:val="auto"/>
          <w:sz w:val="22"/>
          <w:szCs w:val="18"/>
          <w:highlight w:val="none"/>
        </w:rPr>
      </w:pPr>
    </w:p>
    <w:p w14:paraId="4C42CC22">
      <w:pPr>
        <w:snapToGrid w:val="0"/>
        <w:spacing w:before="156" w:beforeLines="50" w:after="50"/>
        <w:rPr>
          <w:rFonts w:hint="eastAsia" w:ascii="宋体" w:hAnsi="宋体"/>
          <w:bCs/>
          <w:color w:val="auto"/>
          <w:sz w:val="22"/>
          <w:szCs w:val="18"/>
          <w:highlight w:val="none"/>
        </w:rPr>
      </w:pPr>
    </w:p>
    <w:p w14:paraId="68D7B26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B2A8C0F">
      <w:pPr>
        <w:snapToGrid w:val="0"/>
        <w:spacing w:before="156" w:beforeLines="50" w:after="50"/>
        <w:ind w:firstLine="630" w:firstLineChars="225"/>
        <w:rPr>
          <w:rFonts w:hint="eastAsia" w:ascii="宋体" w:hAnsi="宋体" w:cs="仿宋_GB2312"/>
          <w:bCs/>
          <w:color w:val="auto"/>
          <w:sz w:val="28"/>
          <w:szCs w:val="28"/>
          <w:highlight w:val="none"/>
        </w:rPr>
      </w:pPr>
    </w:p>
    <w:p w14:paraId="71BBDFD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F46EC66">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45B0994">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2942693A">
      <w:pPr>
        <w:pStyle w:val="7"/>
        <w:snapToGrid w:val="0"/>
        <w:spacing w:before="50" w:after="50"/>
        <w:ind w:firstLine="560" w:firstLineChars="200"/>
        <w:rPr>
          <w:rFonts w:hint="eastAsia" w:ascii="宋体" w:hAnsi="宋体" w:cs="仿宋_GB2312"/>
          <w:bCs/>
          <w:color w:val="auto"/>
          <w:sz w:val="28"/>
          <w:szCs w:val="28"/>
          <w:highlight w:val="none"/>
        </w:rPr>
      </w:pPr>
    </w:p>
    <w:p w14:paraId="321B14A9">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400E098">
      <w:pPr>
        <w:pStyle w:val="7"/>
        <w:snapToGrid w:val="0"/>
        <w:spacing w:before="50" w:after="50"/>
        <w:ind w:firstLine="560" w:firstLineChars="200"/>
        <w:rPr>
          <w:rFonts w:hint="eastAsia" w:ascii="宋体" w:hAnsi="宋体" w:cs="仿宋_GB2312"/>
          <w:bCs/>
          <w:color w:val="auto"/>
          <w:sz w:val="28"/>
          <w:szCs w:val="28"/>
          <w:highlight w:val="none"/>
        </w:rPr>
      </w:pPr>
    </w:p>
    <w:p w14:paraId="0EC9F4A0">
      <w:pPr>
        <w:pStyle w:val="7"/>
        <w:snapToGrid w:val="0"/>
        <w:spacing w:before="50" w:after="50"/>
        <w:ind w:firstLine="630" w:firstLineChars="225"/>
        <w:rPr>
          <w:rFonts w:hint="eastAsia" w:ascii="宋体" w:hAnsi="宋体" w:cs="仿宋_GB2312"/>
          <w:bCs/>
          <w:color w:val="auto"/>
          <w:sz w:val="28"/>
          <w:szCs w:val="28"/>
          <w:highlight w:val="none"/>
        </w:rPr>
      </w:pPr>
    </w:p>
    <w:p w14:paraId="6B805394">
      <w:pPr>
        <w:pStyle w:val="7"/>
        <w:snapToGrid w:val="0"/>
        <w:spacing w:before="50" w:after="50"/>
        <w:ind w:firstLine="0"/>
        <w:rPr>
          <w:rFonts w:hint="eastAsia" w:ascii="宋体" w:hAnsi="宋体" w:cs="仿宋_GB2312"/>
          <w:bCs/>
          <w:color w:val="auto"/>
          <w:sz w:val="28"/>
          <w:szCs w:val="28"/>
          <w:highlight w:val="none"/>
        </w:rPr>
      </w:pPr>
    </w:p>
    <w:p w14:paraId="5E3EB00C">
      <w:pPr>
        <w:pStyle w:val="7"/>
        <w:snapToGrid w:val="0"/>
        <w:spacing w:before="50" w:after="50"/>
        <w:ind w:firstLine="1120" w:firstLineChars="400"/>
        <w:rPr>
          <w:rFonts w:hint="eastAsia" w:ascii="宋体" w:hAnsi="宋体" w:cs="仿宋_GB2312"/>
          <w:bCs/>
          <w:color w:val="auto"/>
          <w:sz w:val="28"/>
          <w:szCs w:val="28"/>
          <w:highlight w:val="none"/>
        </w:rPr>
      </w:pPr>
    </w:p>
    <w:p w14:paraId="2449B7D2">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B7385CC">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2CD16218">
      <w:pPr>
        <w:snapToGrid w:val="0"/>
        <w:spacing w:before="156" w:beforeLines="50" w:after="50" w:line="360" w:lineRule="auto"/>
        <w:ind w:right="480" w:firstLine="281" w:firstLineChars="100"/>
        <w:jc w:val="left"/>
        <w:rPr>
          <w:rFonts w:hint="eastAsia" w:ascii="宋体" w:hAnsi="宋体"/>
          <w:b/>
          <w:bCs/>
          <w:color w:val="auto"/>
          <w:sz w:val="28"/>
          <w:szCs w:val="28"/>
          <w:highlight w:val="none"/>
        </w:rPr>
      </w:pPr>
    </w:p>
    <w:p w14:paraId="4340E6BF">
      <w:pPr>
        <w:snapToGrid w:val="0"/>
        <w:spacing w:before="156" w:beforeLines="50" w:after="50" w:line="360" w:lineRule="auto"/>
        <w:ind w:right="480" w:firstLine="3654" w:firstLineChars="1300"/>
        <w:jc w:val="left"/>
        <w:rPr>
          <w:rFonts w:hint="eastAsia" w:ascii="宋体" w:hAnsi="宋体"/>
          <w:b/>
          <w:bCs/>
          <w:color w:val="auto"/>
          <w:sz w:val="22"/>
          <w:szCs w:val="22"/>
          <w:highlight w:val="none"/>
        </w:rPr>
      </w:pPr>
      <w:r>
        <w:rPr>
          <w:rFonts w:hint="eastAsia" w:ascii="宋体" w:hAnsi="宋体"/>
          <w:b/>
          <w:bCs/>
          <w:color w:val="auto"/>
          <w:sz w:val="28"/>
          <w:szCs w:val="28"/>
          <w:highlight w:val="none"/>
        </w:rPr>
        <w:t>商务技术文件目录</w:t>
      </w:r>
    </w:p>
    <w:p w14:paraId="7B438C4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根据谈判文件规定及供应商提供的材料自行编写目录（部分格式后附）。</w:t>
      </w:r>
    </w:p>
    <w:p w14:paraId="4B27679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5C39C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2B5F373">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61CBF">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2AEF97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20E43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921855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338E9A0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0AA7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8A4F5A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CBEFB7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B02B6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8BE7F2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ADF0AE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0878B2E">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6B1E82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392FB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F15D7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B0C6CED">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83814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2F839E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D0C10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E41E3AB">
      <w:pPr>
        <w:pStyle w:val="23"/>
        <w:rPr>
          <w:rFonts w:hint="eastAsia" w:ascii="宋体" w:hAnsi="宋体" w:cs="宋体"/>
          <w:color w:val="auto"/>
          <w:sz w:val="21"/>
          <w:szCs w:val="21"/>
          <w:highlight w:val="none"/>
          <w:lang w:val="en-US" w:eastAsia="zh-CN"/>
        </w:rPr>
      </w:pPr>
    </w:p>
    <w:p w14:paraId="3ED5A97B">
      <w:pPr>
        <w:pStyle w:val="24"/>
        <w:rPr>
          <w:rFonts w:hint="eastAsia" w:ascii="宋体" w:hAnsi="宋体" w:cs="宋体"/>
          <w:color w:val="auto"/>
          <w:sz w:val="21"/>
          <w:szCs w:val="21"/>
          <w:highlight w:val="none"/>
          <w:lang w:val="en-US" w:eastAsia="zh-CN"/>
        </w:rPr>
      </w:pPr>
    </w:p>
    <w:p w14:paraId="07263937">
      <w:pPr>
        <w:rPr>
          <w:rFonts w:hint="eastAsia"/>
          <w:color w:val="auto"/>
          <w:highlight w:val="none"/>
          <w:lang w:val="en-US" w:eastAsia="zh-CN"/>
        </w:rPr>
      </w:pPr>
    </w:p>
    <w:p w14:paraId="25A1A46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9B1682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FDF215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9DB0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CAF29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B547967">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无串通竞标行为的承诺函</w:t>
      </w:r>
    </w:p>
    <w:p w14:paraId="3B64AAA5">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5944F5FB">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66A9C44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1.不同供应商的响应文件由同一单位或者个人编制；或者不同供应商报名的IP地址一致的； </w:t>
      </w:r>
    </w:p>
    <w:p w14:paraId="144C582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7368188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2FF92DB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58D351EB">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349D3CCD">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70E3E6D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707E8F8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5D61817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6ACB8FD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61AF54B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w:t>
      </w:r>
      <w:r>
        <w:rPr>
          <w:rFonts w:hint="eastAsia" w:ascii="宋体" w:hAnsi="宋体" w:cs="仿宋_GB2312"/>
          <w:color w:val="auto"/>
          <w:sz w:val="22"/>
          <w:szCs w:val="22"/>
          <w:highlight w:val="none"/>
          <w:lang w:eastAsia="zh-CN"/>
        </w:rPr>
        <w:t>谈判</w:t>
      </w:r>
      <w:r>
        <w:rPr>
          <w:rFonts w:hint="eastAsia" w:ascii="宋体" w:hAnsi="宋体" w:cs="仿宋_GB2312"/>
          <w:color w:val="auto"/>
          <w:sz w:val="22"/>
          <w:szCs w:val="22"/>
          <w:highlight w:val="none"/>
        </w:rPr>
        <w:t>项目中事先约定轮流以高价位或者低价位成交，或者事先约定由某一特定供应商成交，然后再参加竞标；</w:t>
      </w:r>
    </w:p>
    <w:p w14:paraId="0F430F2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A168D7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2CF620D2">
      <w:pPr>
        <w:spacing w:line="360" w:lineRule="auto"/>
        <w:ind w:firstLine="440" w:firstLineChars="200"/>
        <w:contextualSpacing/>
        <w:rPr>
          <w:rFonts w:hint="eastAsia" w:ascii="宋体" w:hAnsi="宋体" w:cs="仿宋_GB2312"/>
          <w:color w:val="auto"/>
          <w:sz w:val="22"/>
          <w:szCs w:val="22"/>
          <w:highlight w:val="none"/>
        </w:rPr>
      </w:pPr>
    </w:p>
    <w:p w14:paraId="74E9AC31">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18B9CEFB">
      <w:pPr>
        <w:spacing w:line="360" w:lineRule="auto"/>
        <w:contextualSpacing/>
        <w:rPr>
          <w:rFonts w:hint="eastAsia" w:ascii="宋体" w:hAnsi="宋体" w:cs="仿宋_GB2312"/>
          <w:color w:val="auto"/>
          <w:sz w:val="22"/>
          <w:szCs w:val="22"/>
          <w:highlight w:val="none"/>
        </w:rPr>
      </w:pPr>
    </w:p>
    <w:p w14:paraId="34007E82">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1B61EE18">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3314CB1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5D7B03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234C5F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A48B9D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5E7BE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42CEA1D">
      <w:pPr>
        <w:pStyle w:val="23"/>
        <w:rPr>
          <w:rFonts w:hint="eastAsia" w:ascii="宋体" w:hAnsi="宋体" w:cs="宋体"/>
          <w:color w:val="auto"/>
          <w:sz w:val="21"/>
          <w:szCs w:val="21"/>
          <w:highlight w:val="none"/>
          <w:lang w:val="en-US" w:eastAsia="zh-CN"/>
        </w:rPr>
      </w:pPr>
    </w:p>
    <w:p w14:paraId="237C7F63">
      <w:pPr>
        <w:pStyle w:val="24"/>
        <w:rPr>
          <w:rFonts w:hint="eastAsia"/>
          <w:color w:val="auto"/>
          <w:highlight w:val="none"/>
          <w:lang w:val="en-US" w:eastAsia="zh-CN"/>
        </w:rPr>
      </w:pPr>
    </w:p>
    <w:p w14:paraId="0F5041AF">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法定代表人证明书</w:t>
      </w:r>
    </w:p>
    <w:p w14:paraId="3BEE8BDE">
      <w:pPr>
        <w:spacing w:line="360" w:lineRule="auto"/>
        <w:ind w:left="540"/>
        <w:contextualSpacing/>
        <w:rPr>
          <w:rFonts w:hint="eastAsia" w:ascii="仿宋_GB2312" w:hAnsi="仿宋_GB2312" w:eastAsia="仿宋_GB2312" w:cs="仿宋_GB2312"/>
          <w:color w:val="auto"/>
          <w:sz w:val="28"/>
          <w:szCs w:val="28"/>
          <w:highlight w:val="none"/>
        </w:rPr>
      </w:pPr>
    </w:p>
    <w:p w14:paraId="48C3AA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193C82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49E4543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1484DCB7">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4C9C0A2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03B0414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7762181A">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1237C124">
      <w:pPr>
        <w:spacing w:line="360" w:lineRule="auto"/>
        <w:ind w:left="540"/>
        <w:contextualSpacing/>
        <w:rPr>
          <w:rFonts w:hint="eastAsia" w:ascii="宋体" w:hAnsi="宋体" w:cs="仿宋_GB2312"/>
          <w:color w:val="auto"/>
          <w:sz w:val="22"/>
          <w:szCs w:val="22"/>
          <w:highlight w:val="none"/>
        </w:rPr>
      </w:pPr>
    </w:p>
    <w:p w14:paraId="62BE73DB">
      <w:pPr>
        <w:spacing w:line="360" w:lineRule="auto"/>
        <w:ind w:left="540"/>
        <w:contextualSpacing/>
        <w:rPr>
          <w:rFonts w:hint="eastAsia" w:ascii="宋体" w:hAnsi="宋体" w:cs="仿宋_GB2312"/>
          <w:color w:val="auto"/>
          <w:sz w:val="22"/>
          <w:szCs w:val="22"/>
          <w:highlight w:val="none"/>
        </w:rPr>
      </w:pPr>
    </w:p>
    <w:p w14:paraId="05D2A839">
      <w:pPr>
        <w:spacing w:line="360" w:lineRule="auto"/>
        <w:ind w:left="540"/>
        <w:contextualSpacing/>
        <w:rPr>
          <w:rFonts w:hint="eastAsia" w:ascii="宋体" w:hAnsi="宋体" w:cs="仿宋_GB2312"/>
          <w:color w:val="auto"/>
          <w:sz w:val="22"/>
          <w:szCs w:val="22"/>
          <w:highlight w:val="none"/>
        </w:rPr>
      </w:pPr>
    </w:p>
    <w:p w14:paraId="5ABB53D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13DA501F">
      <w:pPr>
        <w:spacing w:line="360" w:lineRule="auto"/>
        <w:ind w:left="540"/>
        <w:contextualSpacing/>
        <w:rPr>
          <w:rFonts w:hint="eastAsia" w:ascii="宋体" w:hAnsi="宋体" w:cs="仿宋_GB2312"/>
          <w:color w:val="auto"/>
          <w:sz w:val="22"/>
          <w:szCs w:val="22"/>
          <w:highlight w:val="none"/>
        </w:rPr>
      </w:pPr>
    </w:p>
    <w:p w14:paraId="4BD9247F">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2568D0EE">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76DC2128">
      <w:pPr>
        <w:spacing w:line="360" w:lineRule="auto"/>
        <w:contextualSpacing/>
        <w:jc w:val="center"/>
        <w:rPr>
          <w:rFonts w:hint="eastAsia" w:ascii="宋体" w:hAnsi="宋体" w:cs="仿宋_GB2312"/>
          <w:b/>
          <w:color w:val="auto"/>
          <w:sz w:val="22"/>
          <w:szCs w:val="22"/>
          <w:highlight w:val="none"/>
        </w:rPr>
      </w:pPr>
    </w:p>
    <w:p w14:paraId="1CA33675">
      <w:pPr>
        <w:spacing w:line="360" w:lineRule="auto"/>
        <w:contextualSpacing/>
        <w:jc w:val="left"/>
        <w:rPr>
          <w:rFonts w:hint="eastAsia" w:ascii="宋体" w:hAnsi="宋体" w:cs="仿宋_GB2312"/>
          <w:color w:val="auto"/>
          <w:sz w:val="22"/>
          <w:szCs w:val="22"/>
          <w:highlight w:val="none"/>
        </w:rPr>
      </w:pPr>
    </w:p>
    <w:p w14:paraId="046B0624">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309D0AB8">
      <w:pPr>
        <w:adjustRightInd w:val="0"/>
        <w:snapToGrid w:val="0"/>
        <w:spacing w:line="300" w:lineRule="auto"/>
        <w:jc w:val="left"/>
        <w:rPr>
          <w:rFonts w:hint="eastAsia" w:ascii="宋体" w:hAnsi="宋体"/>
          <w:b/>
          <w:color w:val="auto"/>
          <w:sz w:val="20"/>
          <w:szCs w:val="20"/>
          <w:highlight w:val="none"/>
        </w:rPr>
      </w:pPr>
    </w:p>
    <w:p w14:paraId="497BCF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p>
    <w:p w14:paraId="6AD11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p>
    <w:p w14:paraId="55AB2750">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42F2797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F8B0272">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5D1C4803">
      <w:pPr>
        <w:spacing w:line="520" w:lineRule="exact"/>
        <w:rPr>
          <w:rFonts w:hint="eastAsia" w:ascii="仿宋_GB2312" w:hAnsi="仿宋_GB2312" w:eastAsia="仿宋_GB2312" w:cs="仿宋_GB2312"/>
          <w:color w:val="auto"/>
          <w:sz w:val="28"/>
          <w:szCs w:val="28"/>
          <w:highlight w:val="none"/>
        </w:rPr>
      </w:pPr>
    </w:p>
    <w:p w14:paraId="6515FB46">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462B92C8">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05DE6D27">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31BE314D">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0E852B7">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5E6016C1">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附：法定代表人有效身份证及委托代理人有效身份证正反面复印件</w:t>
      </w:r>
    </w:p>
    <w:p w14:paraId="6F331B5F">
      <w:pPr>
        <w:spacing w:line="360" w:lineRule="auto"/>
        <w:ind w:firstLine="440" w:firstLineChars="200"/>
        <w:rPr>
          <w:rFonts w:hint="eastAsia" w:ascii="宋体" w:hAnsi="宋体" w:cs="仿宋_GB2312"/>
          <w:color w:val="auto"/>
          <w:sz w:val="22"/>
          <w:szCs w:val="22"/>
          <w:highlight w:val="none"/>
        </w:rPr>
      </w:pPr>
    </w:p>
    <w:p w14:paraId="77A5C193">
      <w:pPr>
        <w:spacing w:line="360" w:lineRule="auto"/>
        <w:rPr>
          <w:rFonts w:hint="eastAsia" w:ascii="宋体" w:hAnsi="宋体" w:cs="仿宋_GB2312"/>
          <w:color w:val="auto"/>
          <w:sz w:val="22"/>
          <w:szCs w:val="22"/>
          <w:highlight w:val="none"/>
        </w:rPr>
      </w:pPr>
    </w:p>
    <w:p w14:paraId="68328B84">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cs="仿宋_GB2312"/>
          <w:color w:val="auto"/>
          <w:sz w:val="22"/>
          <w:szCs w:val="22"/>
          <w:highlight w:val="none"/>
          <w:lang w:val="en-US" w:eastAsia="zh-CN"/>
        </w:rPr>
        <w:t>签字或电子签名</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法定代表人（签字或盖章</w:t>
      </w:r>
      <w:r>
        <w:rPr>
          <w:rFonts w:hint="eastAsia" w:ascii="宋体" w:hAnsi="宋体"/>
          <w:color w:val="auto"/>
          <w:sz w:val="22"/>
          <w:szCs w:val="22"/>
          <w:highlight w:val="none"/>
        </w:rPr>
        <w:t>或电子签名</w:t>
      </w:r>
      <w:r>
        <w:rPr>
          <w:rFonts w:hint="eastAsia" w:ascii="宋体" w:hAnsi="宋体" w:cs="仿宋_GB2312"/>
          <w:color w:val="auto"/>
          <w:sz w:val="22"/>
          <w:szCs w:val="22"/>
          <w:highlight w:val="none"/>
          <w:lang w:val="en-US" w:eastAsia="zh-CN"/>
        </w:rPr>
        <w:t>）</w:t>
      </w:r>
      <w:r>
        <w:rPr>
          <w:rFonts w:hint="eastAsia" w:ascii="宋体" w:hAnsi="宋体" w:cs="仿宋_GB2312"/>
          <w:color w:val="auto"/>
          <w:sz w:val="22"/>
          <w:szCs w:val="22"/>
          <w:highlight w:val="none"/>
        </w:rPr>
        <w:t xml:space="preserve">：                    </w:t>
      </w:r>
    </w:p>
    <w:p w14:paraId="735399E6">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3BB321FC">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02C0B65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供应商（电子签章）：                      </w:t>
      </w:r>
    </w:p>
    <w:p w14:paraId="427CF8EE">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highlight w:val="none"/>
          <w:lang w:val="en-US" w:eastAsia="zh-CN"/>
        </w:rPr>
        <w:t xml:space="preserve"> </w:t>
      </w: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E1DDB4D">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707B83A6">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47" w:name="_Hlk65853109"/>
      <w:bookmarkStart w:id="48" w:name="_Hlk65853542"/>
      <w:r>
        <w:rPr>
          <w:rFonts w:hint="eastAsia" w:ascii="宋体" w:hAnsi="宋体" w:cs="仿宋_GB2312"/>
          <w:color w:val="auto"/>
          <w:sz w:val="22"/>
          <w:szCs w:val="22"/>
          <w:highlight w:val="none"/>
        </w:rPr>
        <w:t>法人、其他组织竞标时“我方”是指“我单位”，自然人竞标时“我方”是指“本人”。</w:t>
      </w:r>
      <w:bookmarkEnd w:id="47"/>
    </w:p>
    <w:bookmarkEnd w:id="48"/>
    <w:p w14:paraId="14EE47BB">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20741E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lang w:val="en-US" w:eastAsia="zh-CN"/>
        </w:rPr>
      </w:pPr>
    </w:p>
    <w:p w14:paraId="44218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525DC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1C91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84DF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7D2D04E">
      <w:pPr>
        <w:spacing w:line="360" w:lineRule="exact"/>
        <w:jc w:val="center"/>
        <w:rPr>
          <w:rFonts w:hint="eastAsia" w:ascii="宋体" w:hAnsi="宋体" w:eastAsia="宋体" w:cs="宋体"/>
          <w:b/>
          <w:color w:val="auto"/>
          <w:sz w:val="32"/>
          <w:szCs w:val="32"/>
          <w:highlight w:val="none"/>
        </w:rPr>
      </w:pPr>
    </w:p>
    <w:p w14:paraId="39448ED1">
      <w:pPr>
        <w:spacing w:line="360" w:lineRule="exact"/>
        <w:jc w:val="center"/>
        <w:rPr>
          <w:rFonts w:hint="eastAsia" w:ascii="宋体" w:hAnsi="宋体" w:cs="宋体"/>
          <w:b/>
          <w:color w:val="auto"/>
          <w:sz w:val="32"/>
          <w:szCs w:val="32"/>
          <w:highlight w:val="none"/>
          <w:lang w:eastAsia="zh-CN"/>
        </w:rPr>
      </w:pPr>
      <w:r>
        <w:rPr>
          <w:rFonts w:hint="eastAsia" w:ascii="宋体" w:hAnsi="宋体" w:eastAsia="宋体" w:cs="宋体"/>
          <w:b/>
          <w:color w:val="auto"/>
          <w:sz w:val="32"/>
          <w:szCs w:val="32"/>
          <w:highlight w:val="none"/>
        </w:rPr>
        <w:t>商务条款偏离表</w:t>
      </w:r>
    </w:p>
    <w:p w14:paraId="57C292E0">
      <w:pPr>
        <w:spacing w:line="360" w:lineRule="exact"/>
        <w:jc w:val="center"/>
        <w:rPr>
          <w:rFonts w:hint="eastAsia"/>
          <w:color w:val="auto"/>
          <w:highlight w:val="none"/>
        </w:rPr>
      </w:pPr>
      <w:r>
        <w:rPr>
          <w:rFonts w:hint="eastAsia" w:asciiTheme="minorEastAsia" w:hAnsiTheme="minorEastAsia" w:eastAsiaTheme="minorEastAsia" w:cstheme="minorEastAsia"/>
          <w:b/>
          <w:bCs w:val="0"/>
          <w:color w:val="auto"/>
          <w:sz w:val="32"/>
          <w:szCs w:val="32"/>
          <w:highlight w:val="none"/>
        </w:rPr>
        <w:t>(注：按采购需求具体条款修改)</w:t>
      </w:r>
    </w:p>
    <w:p w14:paraId="47BA09DC">
      <w:pPr>
        <w:snapToGrid w:val="0"/>
        <w:spacing w:before="50"/>
        <w:jc w:val="left"/>
        <w:rPr>
          <w:rFonts w:hint="eastAsia" w:ascii="宋体" w:hAnsi="宋体" w:eastAsia="宋体" w:cs="宋体"/>
          <w:color w:val="auto"/>
          <w:sz w:val="22"/>
          <w:szCs w:val="22"/>
          <w:highlight w:val="none"/>
        </w:rPr>
      </w:pPr>
    </w:p>
    <w:tbl>
      <w:tblPr>
        <w:tblStyle w:val="1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9"/>
        <w:gridCol w:w="2497"/>
        <w:gridCol w:w="2350"/>
        <w:gridCol w:w="2112"/>
      </w:tblGrid>
      <w:tr w14:paraId="73C69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49" w:type="dxa"/>
            <w:tcBorders>
              <w:top w:val="single" w:color="auto" w:sz="4" w:space="0"/>
              <w:left w:val="single" w:color="auto" w:sz="4" w:space="0"/>
              <w:bottom w:val="single" w:color="auto" w:sz="4" w:space="0"/>
              <w:right w:val="single" w:color="auto" w:sz="4" w:space="0"/>
            </w:tcBorders>
            <w:noWrap w:val="0"/>
            <w:vAlign w:val="center"/>
          </w:tcPr>
          <w:p w14:paraId="00199AF8">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项目</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7245F371">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eastAsia="zh-CN"/>
              </w:rPr>
              <w:t>竞争性谈判</w:t>
            </w:r>
            <w:r>
              <w:rPr>
                <w:rFonts w:hint="eastAsia" w:ascii="宋体" w:hAnsi="宋体" w:cs="仿宋_GB2312"/>
                <w:color w:val="auto"/>
                <w:sz w:val="21"/>
                <w:szCs w:val="21"/>
                <w:highlight w:val="none"/>
              </w:rPr>
              <w:t>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9646DFA">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供应商的承诺</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5795087">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偏离说明</w:t>
            </w:r>
          </w:p>
        </w:tc>
      </w:tr>
      <w:tr w14:paraId="564F8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49" w:type="dxa"/>
            <w:tcBorders>
              <w:top w:val="single" w:color="auto" w:sz="4" w:space="0"/>
              <w:left w:val="single" w:color="auto" w:sz="4" w:space="0"/>
              <w:bottom w:val="single" w:color="auto" w:sz="4" w:space="0"/>
              <w:right w:val="single" w:color="auto" w:sz="4" w:space="0"/>
            </w:tcBorders>
            <w:noWrap w:val="0"/>
            <w:vAlign w:val="center"/>
          </w:tcPr>
          <w:p w14:paraId="1DA4AFE0">
            <w:pPr>
              <w:spacing w:line="360" w:lineRule="auto"/>
              <w:jc w:val="center"/>
              <w:rPr>
                <w:rFonts w:hint="eastAsia"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rPr>
              <w:t>交货</w:t>
            </w:r>
            <w:r>
              <w:rPr>
                <w:rFonts w:hint="eastAsia" w:ascii="宋体" w:hAnsi="宋体" w:cs="仿宋_GB2312"/>
                <w:color w:val="auto"/>
                <w:sz w:val="21"/>
                <w:szCs w:val="21"/>
                <w:highlight w:val="none"/>
                <w:lang w:val="en-US" w:eastAsia="zh-CN"/>
              </w:rPr>
              <w:t>期限</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25392BB0">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2DFFD93">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20A53A2">
            <w:pPr>
              <w:snapToGrid w:val="0"/>
              <w:spacing w:before="156" w:beforeLines="50" w:line="360" w:lineRule="auto"/>
              <w:jc w:val="center"/>
              <w:rPr>
                <w:rFonts w:hint="eastAsia" w:ascii="宋体" w:hAnsi="宋体" w:cs="仿宋_GB2312"/>
                <w:color w:val="auto"/>
                <w:sz w:val="21"/>
                <w:szCs w:val="21"/>
                <w:highlight w:val="none"/>
              </w:rPr>
            </w:pPr>
          </w:p>
        </w:tc>
      </w:tr>
      <w:tr w14:paraId="7DCD4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349" w:type="dxa"/>
            <w:tcBorders>
              <w:top w:val="single" w:color="auto" w:sz="4" w:space="0"/>
              <w:left w:val="single" w:color="auto" w:sz="4" w:space="0"/>
              <w:bottom w:val="single" w:color="auto" w:sz="4" w:space="0"/>
              <w:right w:val="single" w:color="auto" w:sz="4" w:space="0"/>
            </w:tcBorders>
            <w:noWrap w:val="0"/>
            <w:vAlign w:val="center"/>
          </w:tcPr>
          <w:p w14:paraId="55E9C5CE">
            <w:pPr>
              <w:spacing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交货地点</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506BB0D5">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DB7E75C">
            <w:pPr>
              <w:snapToGrid w:val="0"/>
              <w:spacing w:before="156" w:beforeLines="50" w:line="360" w:lineRule="auto"/>
              <w:ind w:left="43"/>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333E0FD">
            <w:pPr>
              <w:snapToGrid w:val="0"/>
              <w:spacing w:before="156" w:beforeLines="50" w:line="360" w:lineRule="auto"/>
              <w:ind w:left="43"/>
              <w:jc w:val="center"/>
              <w:rPr>
                <w:rFonts w:hint="eastAsia" w:ascii="宋体" w:hAnsi="宋体" w:cs="仿宋_GB2312"/>
                <w:color w:val="auto"/>
                <w:sz w:val="21"/>
                <w:szCs w:val="21"/>
                <w:highlight w:val="none"/>
              </w:rPr>
            </w:pPr>
          </w:p>
        </w:tc>
      </w:tr>
      <w:tr w14:paraId="1FA46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49" w:type="dxa"/>
            <w:tcBorders>
              <w:top w:val="single" w:color="auto" w:sz="4" w:space="0"/>
              <w:left w:val="single" w:color="auto" w:sz="4" w:space="0"/>
              <w:bottom w:val="single" w:color="auto" w:sz="4" w:space="0"/>
              <w:right w:val="single" w:color="auto" w:sz="4" w:space="0"/>
            </w:tcBorders>
            <w:noWrap w:val="0"/>
            <w:vAlign w:val="center"/>
          </w:tcPr>
          <w:p w14:paraId="557D0E43">
            <w:pPr>
              <w:spacing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合同签订时间</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73E56E8E">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8C8474">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E00CE4B">
            <w:pPr>
              <w:snapToGrid w:val="0"/>
              <w:spacing w:before="156" w:beforeLines="50" w:line="360" w:lineRule="auto"/>
              <w:jc w:val="center"/>
              <w:rPr>
                <w:rFonts w:hint="eastAsia" w:ascii="宋体" w:hAnsi="宋体" w:cs="仿宋_GB2312"/>
                <w:color w:val="auto"/>
                <w:sz w:val="21"/>
                <w:szCs w:val="21"/>
                <w:highlight w:val="none"/>
              </w:rPr>
            </w:pPr>
          </w:p>
        </w:tc>
      </w:tr>
      <w:tr w14:paraId="3E8D0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49" w:type="dxa"/>
            <w:tcBorders>
              <w:top w:val="single" w:color="auto" w:sz="4" w:space="0"/>
              <w:left w:val="single" w:color="auto" w:sz="4" w:space="0"/>
              <w:bottom w:val="single" w:color="auto" w:sz="4" w:space="0"/>
              <w:right w:val="single" w:color="auto" w:sz="4" w:space="0"/>
            </w:tcBorders>
            <w:noWrap w:val="0"/>
            <w:vAlign w:val="center"/>
          </w:tcPr>
          <w:p w14:paraId="16CE847B">
            <w:pPr>
              <w:snapToGrid w:val="0"/>
              <w:spacing w:before="156" w:beforeLines="50" w:line="360" w:lineRule="auto"/>
              <w:jc w:val="center"/>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验收标准</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5DEC35D3">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752D935">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908F3C1">
            <w:pPr>
              <w:snapToGrid w:val="0"/>
              <w:spacing w:before="156" w:beforeLines="50" w:line="360" w:lineRule="auto"/>
              <w:jc w:val="center"/>
              <w:rPr>
                <w:rFonts w:hint="eastAsia" w:ascii="宋体" w:hAnsi="宋体" w:cs="仿宋_GB2312"/>
                <w:color w:val="auto"/>
                <w:sz w:val="21"/>
                <w:szCs w:val="21"/>
                <w:highlight w:val="none"/>
              </w:rPr>
            </w:pPr>
          </w:p>
        </w:tc>
      </w:tr>
      <w:tr w14:paraId="314F8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49" w:type="dxa"/>
            <w:tcBorders>
              <w:top w:val="single" w:color="auto" w:sz="4" w:space="0"/>
              <w:left w:val="single" w:color="auto" w:sz="4" w:space="0"/>
              <w:bottom w:val="single" w:color="auto" w:sz="4" w:space="0"/>
              <w:right w:val="single" w:color="auto" w:sz="4" w:space="0"/>
            </w:tcBorders>
            <w:noWrap w:val="0"/>
            <w:vAlign w:val="center"/>
          </w:tcPr>
          <w:p w14:paraId="339685FA">
            <w:pPr>
              <w:snapToGrid w:val="0"/>
              <w:spacing w:before="156" w:beforeLines="50" w:line="360" w:lineRule="auto"/>
              <w:jc w:val="center"/>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质保期和售后服务要求</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4B0FA4B9">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B0D1267">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B6DB8E2">
            <w:pPr>
              <w:snapToGrid w:val="0"/>
              <w:spacing w:before="156" w:beforeLines="50" w:line="360" w:lineRule="auto"/>
              <w:jc w:val="center"/>
              <w:rPr>
                <w:rFonts w:hint="eastAsia" w:ascii="宋体" w:hAnsi="宋体" w:cs="仿宋_GB2312"/>
                <w:color w:val="auto"/>
                <w:sz w:val="21"/>
                <w:szCs w:val="21"/>
                <w:highlight w:val="none"/>
              </w:rPr>
            </w:pPr>
          </w:p>
        </w:tc>
      </w:tr>
      <w:tr w14:paraId="4FAB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49" w:type="dxa"/>
            <w:tcBorders>
              <w:top w:val="single" w:color="auto" w:sz="4" w:space="0"/>
              <w:left w:val="single" w:color="auto" w:sz="4" w:space="0"/>
              <w:bottom w:val="single" w:color="auto" w:sz="4" w:space="0"/>
              <w:right w:val="single" w:color="auto" w:sz="4" w:space="0"/>
            </w:tcBorders>
            <w:noWrap w:val="0"/>
            <w:vAlign w:val="center"/>
          </w:tcPr>
          <w:p w14:paraId="4221E3A5">
            <w:pPr>
              <w:snapToGrid w:val="0"/>
              <w:spacing w:before="156" w:beforeLines="50"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451F4D8D">
            <w:pPr>
              <w:snapToGrid w:val="0"/>
              <w:spacing w:before="156" w:beforeLines="50" w:line="360" w:lineRule="auto"/>
              <w:jc w:val="center"/>
              <w:rPr>
                <w:rFonts w:hint="eastAsia" w:ascii="宋体" w:hAnsi="宋体" w:cs="仿宋_GB2312"/>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133B679">
            <w:pPr>
              <w:snapToGrid w:val="0"/>
              <w:spacing w:before="156" w:beforeLines="50" w:line="360" w:lineRule="auto"/>
              <w:jc w:val="center"/>
              <w:rPr>
                <w:rFonts w:hint="eastAsia" w:ascii="宋体" w:hAnsi="宋体" w:cs="仿宋_GB2312"/>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E803AFD">
            <w:pPr>
              <w:snapToGrid w:val="0"/>
              <w:spacing w:before="156" w:beforeLines="50" w:line="360" w:lineRule="auto"/>
              <w:jc w:val="center"/>
              <w:rPr>
                <w:rFonts w:hint="eastAsia" w:ascii="宋体" w:hAnsi="宋体" w:cs="仿宋_GB2312"/>
                <w:color w:val="auto"/>
                <w:sz w:val="21"/>
                <w:szCs w:val="21"/>
                <w:highlight w:val="none"/>
              </w:rPr>
            </w:pPr>
          </w:p>
        </w:tc>
      </w:tr>
    </w:tbl>
    <w:p w14:paraId="08D931E5">
      <w:pPr>
        <w:pStyle w:val="9"/>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5870329F">
      <w:pPr>
        <w:pStyle w:val="9"/>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1. 说明：应对照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文件“第三章 采购需求”中的商务要求逐条作出明确响应，并作出偏离说明。</w:t>
      </w:r>
    </w:p>
    <w:p w14:paraId="63DD721D">
      <w:pPr>
        <w:spacing w:line="360" w:lineRule="auto"/>
        <w:contextualSpacing/>
        <w:jc w:val="left"/>
        <w:rPr>
          <w:rFonts w:hint="eastAsia" w:ascii="宋体" w:hAnsi="宋体" w:cs="仿宋_GB2312"/>
          <w:color w:val="auto"/>
          <w:sz w:val="21"/>
          <w:szCs w:val="21"/>
          <w:highlight w:val="none"/>
          <w:u w:val="single"/>
        </w:rPr>
      </w:pPr>
      <w:r>
        <w:rPr>
          <w:rFonts w:hint="eastAsia" w:ascii="宋体" w:hAnsi="宋体"/>
          <w:color w:val="auto"/>
          <w:kern w:val="0"/>
          <w:sz w:val="21"/>
          <w:szCs w:val="21"/>
          <w:highlight w:val="none"/>
        </w:rPr>
        <w:t>2.供应商应根据自身的承诺，对照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文件要求在“偏离说明”中注明“正偏离”、“负偏离”或者“无偏离”。既不属于“正偏离”也不属于“负偏离”即为“无偏离”。</w:t>
      </w:r>
    </w:p>
    <w:p w14:paraId="7A09ABD8">
      <w:pPr>
        <w:spacing w:line="360" w:lineRule="auto"/>
        <w:ind w:right="-817" w:rightChars="-389"/>
        <w:contextualSpacing/>
        <w:rPr>
          <w:rFonts w:hint="eastAsia" w:ascii="宋体" w:hAnsi="宋体" w:cs="仿宋_GB2312"/>
          <w:color w:val="auto"/>
          <w:sz w:val="21"/>
          <w:szCs w:val="21"/>
          <w:highlight w:val="none"/>
        </w:rPr>
      </w:pPr>
    </w:p>
    <w:p w14:paraId="7E139EB6">
      <w:pPr>
        <w:keepNext w:val="0"/>
        <w:keepLines w:val="0"/>
        <w:widowControl/>
        <w:suppressLineNumbers w:val="0"/>
        <w:jc w:val="left"/>
        <w:rPr>
          <w:rFonts w:hint="default" w:ascii="宋体" w:hAnsi="宋体" w:eastAsia="宋体" w:cs="仿宋_GB2312"/>
          <w:color w:val="auto"/>
          <w:sz w:val="21"/>
          <w:szCs w:val="21"/>
          <w:highlight w:val="none"/>
          <w:u w:val="single"/>
          <w:lang w:val="en-US" w:eastAsia="zh-CN"/>
        </w:rPr>
      </w:pPr>
      <w:r>
        <w:rPr>
          <w:rFonts w:hint="eastAsia" w:ascii="宋体" w:hAnsi="宋体" w:cs="仿宋_GB2312"/>
          <w:color w:val="auto"/>
          <w:sz w:val="21"/>
          <w:szCs w:val="21"/>
          <w:highlight w:val="none"/>
          <w:lang w:val="en-US" w:eastAsia="zh-CN"/>
        </w:rPr>
        <w:t xml:space="preserve">        </w:t>
      </w:r>
      <w:r>
        <w:rPr>
          <w:rFonts w:hint="eastAsia" w:ascii="宋体" w:hAnsi="宋体" w:cs="仿宋_GB2312"/>
          <w:color w:val="auto"/>
          <w:sz w:val="21"/>
          <w:szCs w:val="21"/>
          <w:highlight w:val="none"/>
        </w:rPr>
        <w:t>法定代表人或者委托代理</w:t>
      </w:r>
      <w:r>
        <w:rPr>
          <w:rFonts w:hint="eastAsia" w:ascii="宋体" w:hAnsi="宋体" w:eastAsia="宋体" w:cs="仿宋_GB2312"/>
          <w:color w:val="auto"/>
          <w:sz w:val="21"/>
          <w:szCs w:val="21"/>
          <w:highlight w:val="none"/>
        </w:rPr>
        <w:t>人（</w:t>
      </w:r>
      <w:r>
        <w:rPr>
          <w:rFonts w:hint="eastAsia" w:ascii="宋体" w:hAnsi="宋体" w:eastAsia="宋体" w:cs="仿宋_GB2312"/>
          <w:color w:val="auto"/>
          <w:sz w:val="21"/>
          <w:szCs w:val="21"/>
          <w:highlight w:val="none"/>
          <w:lang w:val="en-US" w:eastAsia="zh-CN"/>
        </w:rPr>
        <w:t>签字或电子签名</w:t>
      </w:r>
      <w:r>
        <w:rPr>
          <w:rFonts w:hint="eastAsia" w:ascii="宋体" w:hAnsi="宋体" w:eastAsia="宋体" w:cs="仿宋_GB2312"/>
          <w:color w:val="auto"/>
          <w:sz w:val="21"/>
          <w:szCs w:val="21"/>
          <w:highlight w:val="none"/>
        </w:rPr>
        <w:t>）：</w:t>
      </w:r>
      <w:r>
        <w:rPr>
          <w:rFonts w:hint="eastAsia" w:ascii="宋体" w:hAnsi="宋体" w:cs="仿宋_GB2312"/>
          <w:color w:val="auto"/>
          <w:sz w:val="21"/>
          <w:szCs w:val="21"/>
          <w:highlight w:val="none"/>
          <w:u w:val="single"/>
          <w:lang w:val="en-US" w:eastAsia="zh-CN"/>
        </w:rPr>
        <w:t xml:space="preserve">                        </w:t>
      </w:r>
    </w:p>
    <w:p w14:paraId="2CC4E928">
      <w:pPr>
        <w:spacing w:line="360" w:lineRule="auto"/>
        <w:ind w:right="-817" w:rightChars="-389" w:firstLine="3570" w:firstLineChars="17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供应商（电子签章）：</w:t>
      </w:r>
      <w:r>
        <w:rPr>
          <w:rFonts w:hint="eastAsia" w:ascii="宋体" w:hAnsi="宋体" w:cs="仿宋_GB2312"/>
          <w:color w:val="auto"/>
          <w:sz w:val="21"/>
          <w:szCs w:val="21"/>
          <w:highlight w:val="none"/>
          <w:u w:val="single"/>
          <w:lang w:val="en-US" w:eastAsia="zh-CN"/>
        </w:rPr>
        <w:t xml:space="preserve">                     </w:t>
      </w:r>
      <w:r>
        <w:rPr>
          <w:rFonts w:hint="eastAsia" w:ascii="宋体" w:hAnsi="宋体" w:cs="仿宋_GB2312"/>
          <w:color w:val="auto"/>
          <w:sz w:val="21"/>
          <w:szCs w:val="21"/>
          <w:highlight w:val="none"/>
        </w:rPr>
        <w:t xml:space="preserve">      </w:t>
      </w:r>
    </w:p>
    <w:p w14:paraId="4208E7E0">
      <w:pPr>
        <w:spacing w:line="360" w:lineRule="auto"/>
        <w:ind w:right="-817" w:rightChars="-389" w:firstLine="5040" w:firstLineChars="2400"/>
        <w:contextualSpacing/>
        <w:rPr>
          <w:rFonts w:hint="eastAsia" w:ascii="仿宋_GB2312" w:hAnsi="仿宋_GB2312" w:eastAsia="仿宋_GB2312" w:cs="仿宋_GB2312"/>
          <w:b/>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5B8095">
      <w:pPr>
        <w:adjustRightInd w:val="0"/>
        <w:snapToGrid w:val="0"/>
        <w:spacing w:line="520" w:lineRule="exact"/>
        <w:ind w:firstLine="3360" w:firstLineChars="1600"/>
        <w:jc w:val="center"/>
        <w:rPr>
          <w:rFonts w:hint="eastAsia" w:ascii="宋体" w:hAnsi="宋体" w:eastAsia="宋体" w:cs="宋体"/>
          <w:bCs/>
          <w:color w:val="auto"/>
          <w:sz w:val="21"/>
          <w:szCs w:val="21"/>
          <w:highlight w:val="none"/>
        </w:rPr>
      </w:pPr>
    </w:p>
    <w:p w14:paraId="080BC575">
      <w:pPr>
        <w:pStyle w:val="23"/>
        <w:rPr>
          <w:rFonts w:hint="eastAsia" w:ascii="宋体" w:hAnsi="宋体" w:eastAsia="宋体" w:cs="宋体"/>
          <w:bCs/>
          <w:color w:val="auto"/>
          <w:sz w:val="40"/>
          <w:szCs w:val="40"/>
          <w:highlight w:val="none"/>
        </w:rPr>
      </w:pPr>
    </w:p>
    <w:p w14:paraId="154179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144F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14EE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72D86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1E79A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7D34C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6529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BF326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2CBCDF2">
      <w:pPr>
        <w:pStyle w:val="23"/>
        <w:rPr>
          <w:rFonts w:hint="eastAsia" w:ascii="宋体" w:hAnsi="宋体" w:cs="宋体"/>
          <w:color w:val="auto"/>
          <w:sz w:val="21"/>
          <w:szCs w:val="21"/>
          <w:highlight w:val="none"/>
          <w:lang w:val="en-US" w:eastAsia="zh-CN"/>
        </w:rPr>
      </w:pPr>
    </w:p>
    <w:p w14:paraId="6026367A">
      <w:pPr>
        <w:pStyle w:val="24"/>
        <w:rPr>
          <w:rFonts w:hint="eastAsia"/>
          <w:color w:val="auto"/>
          <w:highlight w:val="none"/>
          <w:lang w:val="en-US" w:eastAsia="zh-CN"/>
        </w:rPr>
      </w:pPr>
    </w:p>
    <w:p w14:paraId="0F843D73">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货物配置清单</w:t>
      </w:r>
    </w:p>
    <w:p w14:paraId="3A68FED1">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1BF6462E">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C902E2E">
      <w:pPr>
        <w:spacing w:line="300" w:lineRule="auto"/>
        <w:rPr>
          <w:rFonts w:hint="eastAsia" w:ascii="宋体" w:hAnsi="宋体"/>
          <w:color w:val="auto"/>
          <w:sz w:val="21"/>
          <w:szCs w:val="21"/>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3"/>
        <w:gridCol w:w="1286"/>
        <w:gridCol w:w="830"/>
        <w:gridCol w:w="924"/>
        <w:gridCol w:w="1845"/>
        <w:gridCol w:w="1286"/>
        <w:gridCol w:w="762"/>
        <w:gridCol w:w="1546"/>
      </w:tblGrid>
      <w:tr w14:paraId="3CA70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640B338">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99265B0">
            <w:pPr>
              <w:snapToGrid w:val="0"/>
              <w:spacing w:before="50" w:after="50"/>
              <w:jc w:val="center"/>
              <w:rPr>
                <w:rFonts w:hint="eastAsia" w:ascii="宋体" w:hAnsi="宋体"/>
                <w:color w:val="auto"/>
                <w:sz w:val="21"/>
                <w:szCs w:val="21"/>
                <w:highlight w:val="none"/>
              </w:rPr>
            </w:pPr>
            <w:r>
              <w:rPr>
                <w:rFonts w:hint="eastAsia" w:ascii="宋体" w:hAnsi="宋体" w:eastAsia="宋体" w:cs="宋体"/>
                <w:color w:val="auto"/>
                <w:kern w:val="0"/>
                <w:szCs w:val="21"/>
                <w:highlight w:val="none"/>
                <w:lang w:val="en-US" w:eastAsia="zh-CN"/>
              </w:rPr>
              <w:t>标的名称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35EDC5D4">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58543B8">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F32D7D0">
            <w:pPr>
              <w:snapToGrid w:val="0"/>
              <w:spacing w:before="50" w:after="50"/>
              <w:jc w:val="center"/>
              <w:rPr>
                <w:rFonts w:ascii="宋体" w:hAnsi="宋体"/>
                <w:color w:val="auto"/>
                <w:sz w:val="21"/>
                <w:szCs w:val="21"/>
                <w:highlight w:val="none"/>
              </w:rPr>
            </w:pPr>
          </w:p>
          <w:p w14:paraId="4C51C80E">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5392560">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50AD1100">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1CE4EEC">
            <w:pPr>
              <w:snapToGrid w:val="0"/>
              <w:spacing w:before="50" w:after="50"/>
              <w:jc w:val="center"/>
              <w:rPr>
                <w:rFonts w:hint="eastAsia" w:ascii="宋体" w:hAnsi="宋体"/>
                <w:color w:val="auto"/>
                <w:sz w:val="21"/>
                <w:szCs w:val="21"/>
                <w:highlight w:val="none"/>
              </w:rPr>
            </w:pPr>
            <w:r>
              <w:rPr>
                <w:rFonts w:hint="eastAsia" w:ascii="宋体" w:hAnsi="宋体"/>
                <w:color w:val="auto"/>
                <w:sz w:val="21"/>
                <w:szCs w:val="21"/>
                <w:highlight w:val="none"/>
              </w:rPr>
              <w:t>参数性能、指标及配置</w:t>
            </w:r>
          </w:p>
        </w:tc>
      </w:tr>
      <w:tr w14:paraId="53EC7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F2FB569">
            <w:pPr>
              <w:snapToGrid w:val="0"/>
              <w:spacing w:before="50" w:after="5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4149AE5">
            <w:pPr>
              <w:snapToGrid w:val="0"/>
              <w:spacing w:before="50" w:after="50"/>
              <w:jc w:val="center"/>
              <w:rPr>
                <w:rFonts w:hint="eastAsia" w:ascii="宋体" w:hAnsi="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0DE894C">
            <w:pPr>
              <w:snapToGrid w:val="0"/>
              <w:spacing w:before="50" w:after="50"/>
              <w:jc w:val="center"/>
              <w:rPr>
                <w:rFonts w:hint="eastAsia" w:ascii="宋体" w:hAnsi="宋体"/>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483050">
            <w:pPr>
              <w:snapToGrid w:val="0"/>
              <w:spacing w:before="50" w:after="50"/>
              <w:jc w:val="center"/>
              <w:rPr>
                <w:rFonts w:hint="eastAsia" w:ascii="宋体" w:hAnsi="宋体"/>
                <w:color w:val="auto"/>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4F343DF">
            <w:pPr>
              <w:snapToGrid w:val="0"/>
              <w:spacing w:before="50" w:after="50"/>
              <w:jc w:val="center"/>
              <w:rPr>
                <w:rFonts w:hint="eastAsia" w:ascii="宋体" w:hAnsi="宋体"/>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7229C0E">
            <w:pPr>
              <w:snapToGrid w:val="0"/>
              <w:spacing w:before="50" w:after="50"/>
              <w:jc w:val="center"/>
              <w:rPr>
                <w:rFonts w:hint="eastAsia" w:ascii="宋体" w:hAnsi="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B71886D">
            <w:pPr>
              <w:snapToGrid w:val="0"/>
              <w:spacing w:before="50" w:after="50"/>
              <w:jc w:val="center"/>
              <w:rPr>
                <w:rFonts w:hint="eastAsia" w:ascii="宋体" w:hAnsi="宋体"/>
                <w:color w:val="auto"/>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30CAE8E">
            <w:pPr>
              <w:snapToGrid w:val="0"/>
              <w:spacing w:before="50" w:after="50"/>
              <w:jc w:val="center"/>
              <w:rPr>
                <w:rFonts w:hint="eastAsia" w:ascii="宋体" w:hAnsi="宋体"/>
                <w:color w:val="auto"/>
                <w:sz w:val="21"/>
                <w:szCs w:val="21"/>
                <w:highlight w:val="none"/>
              </w:rPr>
            </w:pPr>
          </w:p>
        </w:tc>
      </w:tr>
      <w:tr w14:paraId="014B2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A3A3605">
            <w:pPr>
              <w:snapToGrid w:val="0"/>
              <w:spacing w:before="50" w:after="5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414BDD2">
            <w:pPr>
              <w:snapToGrid w:val="0"/>
              <w:spacing w:before="50" w:after="50"/>
              <w:jc w:val="center"/>
              <w:rPr>
                <w:rFonts w:hint="eastAsia" w:ascii="宋体" w:hAnsi="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1189BF6">
            <w:pPr>
              <w:snapToGrid w:val="0"/>
              <w:spacing w:before="50" w:after="50"/>
              <w:jc w:val="center"/>
              <w:rPr>
                <w:rFonts w:hint="eastAsia" w:ascii="宋体" w:hAnsi="宋体"/>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E168AE2">
            <w:pPr>
              <w:snapToGrid w:val="0"/>
              <w:spacing w:before="50" w:after="50"/>
              <w:jc w:val="center"/>
              <w:rPr>
                <w:rFonts w:hint="eastAsia" w:ascii="宋体" w:hAnsi="宋体"/>
                <w:color w:val="auto"/>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7BF6C9E">
            <w:pPr>
              <w:snapToGrid w:val="0"/>
              <w:spacing w:before="50" w:after="50"/>
              <w:jc w:val="center"/>
              <w:rPr>
                <w:rFonts w:hint="eastAsia" w:ascii="宋体" w:hAnsi="宋体"/>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F2362FC">
            <w:pPr>
              <w:snapToGrid w:val="0"/>
              <w:spacing w:before="50" w:after="50"/>
              <w:jc w:val="center"/>
              <w:rPr>
                <w:rFonts w:hint="eastAsia" w:ascii="宋体" w:hAnsi="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69094FA">
            <w:pPr>
              <w:snapToGrid w:val="0"/>
              <w:spacing w:before="50" w:after="50"/>
              <w:jc w:val="center"/>
              <w:rPr>
                <w:rFonts w:hint="eastAsia" w:ascii="宋体" w:hAnsi="宋体"/>
                <w:color w:val="auto"/>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3BCB1B5">
            <w:pPr>
              <w:snapToGrid w:val="0"/>
              <w:spacing w:before="50" w:after="50"/>
              <w:jc w:val="center"/>
              <w:rPr>
                <w:rFonts w:hint="eastAsia" w:ascii="宋体" w:hAnsi="宋体"/>
                <w:color w:val="auto"/>
                <w:sz w:val="21"/>
                <w:szCs w:val="21"/>
                <w:highlight w:val="none"/>
              </w:rPr>
            </w:pPr>
          </w:p>
        </w:tc>
      </w:tr>
      <w:tr w14:paraId="56F13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716B4C0">
            <w:pPr>
              <w:snapToGrid w:val="0"/>
              <w:spacing w:before="50" w:after="5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FBCBD9E">
            <w:pPr>
              <w:snapToGrid w:val="0"/>
              <w:spacing w:before="50" w:after="50"/>
              <w:jc w:val="center"/>
              <w:rPr>
                <w:rFonts w:hint="eastAsia" w:ascii="宋体" w:hAnsi="宋体"/>
                <w:color w:val="auto"/>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393737E">
            <w:pPr>
              <w:snapToGrid w:val="0"/>
              <w:spacing w:before="50" w:after="50"/>
              <w:jc w:val="center"/>
              <w:rPr>
                <w:rFonts w:hint="eastAsia" w:ascii="宋体" w:hAnsi="宋体"/>
                <w:color w:val="auto"/>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E48E017">
            <w:pPr>
              <w:snapToGrid w:val="0"/>
              <w:spacing w:before="50" w:after="50"/>
              <w:jc w:val="center"/>
              <w:rPr>
                <w:rFonts w:hint="eastAsia" w:ascii="宋体" w:hAnsi="宋体"/>
                <w:color w:val="auto"/>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5FEA623">
            <w:pPr>
              <w:snapToGrid w:val="0"/>
              <w:spacing w:before="50" w:after="50"/>
              <w:jc w:val="center"/>
              <w:rPr>
                <w:rFonts w:hint="eastAsia" w:ascii="宋体" w:hAnsi="宋体"/>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36C53ED">
            <w:pPr>
              <w:snapToGrid w:val="0"/>
              <w:spacing w:before="50" w:after="50"/>
              <w:jc w:val="center"/>
              <w:rPr>
                <w:rFonts w:hint="eastAsia" w:ascii="宋体" w:hAnsi="宋体"/>
                <w:color w:val="auto"/>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F889C0A">
            <w:pPr>
              <w:snapToGrid w:val="0"/>
              <w:spacing w:before="50" w:after="50"/>
              <w:jc w:val="center"/>
              <w:rPr>
                <w:rFonts w:hint="eastAsia" w:ascii="宋体" w:hAnsi="宋体"/>
                <w:color w:val="auto"/>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29C7013">
            <w:pPr>
              <w:snapToGrid w:val="0"/>
              <w:spacing w:before="50" w:after="50"/>
              <w:jc w:val="center"/>
              <w:rPr>
                <w:rFonts w:hint="eastAsia" w:ascii="宋体" w:hAnsi="宋体"/>
                <w:color w:val="auto"/>
                <w:sz w:val="21"/>
                <w:szCs w:val="21"/>
                <w:highlight w:val="none"/>
              </w:rPr>
            </w:pPr>
          </w:p>
        </w:tc>
      </w:tr>
    </w:tbl>
    <w:p w14:paraId="666C48E3">
      <w:pPr>
        <w:spacing w:line="360" w:lineRule="auto"/>
        <w:contextualSpacing/>
        <w:rPr>
          <w:rFonts w:hint="eastAsia" w:ascii="宋体" w:hAnsi="宋体" w:cs="宋体"/>
          <w:color w:val="auto"/>
          <w:sz w:val="21"/>
          <w:szCs w:val="21"/>
          <w:highlight w:val="none"/>
        </w:rPr>
      </w:pPr>
    </w:p>
    <w:p w14:paraId="2548CD74">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57AB028B">
      <w:pPr>
        <w:tabs>
          <w:tab w:val="left" w:pos="1065"/>
        </w:tabs>
        <w:adjustRightInd w:val="0"/>
        <w:spacing w:line="360" w:lineRule="auto"/>
        <w:contextualSpacing/>
        <w:rPr>
          <w:rFonts w:hint="eastAsia" w:ascii="宋体" w:hAnsi="宋体" w:cs="宋体"/>
          <w:color w:val="auto"/>
          <w:sz w:val="21"/>
          <w:szCs w:val="21"/>
          <w:highlight w:val="none"/>
        </w:rPr>
      </w:pPr>
      <w:r>
        <w:rPr>
          <w:rFonts w:hint="eastAsia" w:ascii="宋体" w:hAnsi="宋体" w:cs="宋体"/>
          <w:b/>
          <w:bCs/>
          <w:color w:val="auto"/>
          <w:sz w:val="21"/>
          <w:szCs w:val="21"/>
          <w:highlight w:val="none"/>
        </w:rPr>
        <w:t>以上性能配置清单中“</w:t>
      </w:r>
      <w:r>
        <w:rPr>
          <w:rFonts w:hint="eastAsia" w:ascii="宋体" w:hAnsi="宋体" w:cs="宋体"/>
          <w:b/>
          <w:bCs/>
          <w:color w:val="auto"/>
          <w:sz w:val="21"/>
          <w:szCs w:val="21"/>
          <w:highlight w:val="none"/>
          <w:lang w:val="en-US" w:eastAsia="zh-CN"/>
        </w:rPr>
        <w:t>标的</w:t>
      </w:r>
      <w:r>
        <w:rPr>
          <w:rFonts w:hint="eastAsia" w:ascii="宋体" w:hAnsi="宋体" w:cs="宋体"/>
          <w:b/>
          <w:bCs/>
          <w:color w:val="auto"/>
          <w:sz w:val="21"/>
          <w:szCs w:val="21"/>
          <w:highlight w:val="none"/>
        </w:rPr>
        <w:t>名称、数量及单位、品牌、规格型号、制造商、原产地、参数性能、指标及配置”必须如实填写完整，品牌、规格型号没有则填无，填写有缺漏的，响应文件作无效处理</w:t>
      </w:r>
      <w:r>
        <w:rPr>
          <w:rFonts w:hint="eastAsia" w:ascii="宋体" w:hAnsi="宋体" w:cs="宋体"/>
          <w:b/>
          <w:color w:val="auto"/>
          <w:sz w:val="21"/>
          <w:szCs w:val="21"/>
          <w:highlight w:val="none"/>
        </w:rPr>
        <w:t>。</w:t>
      </w:r>
      <w:r>
        <w:rPr>
          <w:rFonts w:hint="eastAsia" w:ascii="宋体" w:hAnsi="宋体" w:cs="宋体"/>
          <w:b w:val="0"/>
          <w:bCs/>
          <w:color w:val="auto"/>
          <w:sz w:val="21"/>
          <w:szCs w:val="21"/>
          <w:highlight w:val="none"/>
          <w:lang w:val="en-US" w:eastAsia="zh-CN"/>
        </w:rPr>
        <w:t>标的</w:t>
      </w:r>
      <w:r>
        <w:rPr>
          <w:rFonts w:hint="eastAsia" w:ascii="宋体" w:hAnsi="宋体" w:cs="宋体"/>
          <w:b w:val="0"/>
          <w:bCs/>
          <w:color w:val="auto"/>
          <w:sz w:val="21"/>
          <w:szCs w:val="21"/>
          <w:highlight w:val="none"/>
        </w:rPr>
        <w:t>名称</w:t>
      </w:r>
      <w:r>
        <w:rPr>
          <w:rFonts w:hint="eastAsia" w:ascii="宋体" w:hAnsi="宋体" w:cs="宋体"/>
          <w:color w:val="auto"/>
          <w:sz w:val="21"/>
          <w:szCs w:val="21"/>
          <w:highlight w:val="none"/>
        </w:rPr>
        <w:t>、数量及单位必须与“货物需求一览表”一致，</w:t>
      </w:r>
      <w:r>
        <w:rPr>
          <w:rFonts w:hint="eastAsia" w:ascii="宋体" w:hAnsi="宋体" w:cs="宋体"/>
          <w:bCs/>
          <w:color w:val="auto"/>
          <w:sz w:val="21"/>
          <w:szCs w:val="21"/>
          <w:highlight w:val="none"/>
        </w:rPr>
        <w:t>否则响应文件作无效处理</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ab/>
      </w:r>
    </w:p>
    <w:p w14:paraId="18EBDB5A">
      <w:pPr>
        <w:adjustRightInd w:val="0"/>
        <w:spacing w:line="360" w:lineRule="auto"/>
        <w:contextualSpacing/>
        <w:jc w:val="left"/>
        <w:rPr>
          <w:rFonts w:hint="eastAsia" w:ascii="宋体" w:hAnsi="宋体" w:cs="宋体"/>
          <w:color w:val="auto"/>
          <w:sz w:val="21"/>
          <w:szCs w:val="21"/>
          <w:highlight w:val="none"/>
        </w:rPr>
      </w:pPr>
    </w:p>
    <w:p w14:paraId="7633D8F3">
      <w:pPr>
        <w:autoSpaceDE w:val="0"/>
        <w:autoSpaceDN w:val="0"/>
        <w:spacing w:line="360" w:lineRule="auto"/>
        <w:ind w:firstLine="3150" w:firstLineChars="1500"/>
        <w:rPr>
          <w:rFonts w:hint="eastAsia" w:ascii="宋体" w:hAnsi="宋体" w:cs="宋体"/>
          <w:color w:val="auto"/>
          <w:kern w:val="0"/>
          <w:sz w:val="21"/>
          <w:szCs w:val="21"/>
          <w:highlight w:val="none"/>
          <w:lang w:val="zh-CN" w:eastAsia="zh-CN"/>
        </w:rPr>
      </w:pPr>
    </w:p>
    <w:p w14:paraId="402F2CD2">
      <w:pPr>
        <w:autoSpaceDE w:val="0"/>
        <w:autoSpaceDN w:val="0"/>
        <w:spacing w:line="360" w:lineRule="auto"/>
        <w:ind w:firstLine="3150" w:firstLineChars="1500"/>
        <w:rPr>
          <w:rFonts w:hint="default" w:ascii="宋体" w:hAnsi="宋体" w:cs="宋体"/>
          <w:color w:val="auto"/>
          <w:kern w:val="0"/>
          <w:sz w:val="21"/>
          <w:szCs w:val="21"/>
          <w:highlight w:val="none"/>
          <w:u w:val="single"/>
          <w:lang w:val="en-US"/>
        </w:rPr>
      </w:pPr>
      <w:r>
        <w:rPr>
          <w:rFonts w:hint="eastAsia" w:ascii="宋体" w:hAnsi="宋体" w:cs="宋体"/>
          <w:color w:val="auto"/>
          <w:kern w:val="0"/>
          <w:sz w:val="21"/>
          <w:szCs w:val="21"/>
          <w:highlight w:val="none"/>
          <w:lang w:val="zh-CN" w:eastAsia="zh-CN"/>
        </w:rPr>
        <w:t>法定代表人或者委托代理人（签字</w:t>
      </w:r>
      <w:r>
        <w:rPr>
          <w:rFonts w:hint="eastAsia" w:ascii="宋体" w:hAnsi="宋体" w:cs="宋体"/>
          <w:color w:val="auto"/>
          <w:kern w:val="0"/>
          <w:sz w:val="21"/>
          <w:szCs w:val="21"/>
          <w:highlight w:val="none"/>
          <w:lang w:val="en-US" w:eastAsia="zh-CN"/>
        </w:rPr>
        <w:t>或</w:t>
      </w:r>
      <w:r>
        <w:rPr>
          <w:rFonts w:hint="eastAsia" w:ascii="宋体" w:hAnsi="宋体" w:cs="宋体"/>
          <w:color w:val="auto"/>
          <w:kern w:val="0"/>
          <w:sz w:val="21"/>
          <w:szCs w:val="21"/>
          <w:highlight w:val="none"/>
          <w:lang w:val="zh-CN" w:eastAsia="zh-CN"/>
        </w:rPr>
        <w:t xml:space="preserve">电子签名）： </w:t>
      </w:r>
      <w:r>
        <w:rPr>
          <w:rFonts w:hint="eastAsia" w:ascii="宋体" w:hAnsi="宋体" w:cs="宋体"/>
          <w:color w:val="auto"/>
          <w:kern w:val="0"/>
          <w:sz w:val="21"/>
          <w:szCs w:val="21"/>
          <w:highlight w:val="none"/>
          <w:u w:val="single"/>
          <w:lang w:val="en-US" w:eastAsia="zh-CN"/>
        </w:rPr>
        <w:t xml:space="preserve">              </w:t>
      </w:r>
    </w:p>
    <w:p w14:paraId="708112E1">
      <w:pPr>
        <w:autoSpaceDE w:val="0"/>
        <w:autoSpaceDN w:val="0"/>
        <w:spacing w:line="360" w:lineRule="auto"/>
        <w:ind w:firstLine="5670" w:firstLineChars="2700"/>
        <w:rPr>
          <w:rFonts w:hint="default" w:ascii="宋体" w:hAnsi="宋体" w:cs="宋体"/>
          <w:color w:val="auto"/>
          <w:kern w:val="0"/>
          <w:sz w:val="21"/>
          <w:szCs w:val="21"/>
          <w:highlight w:val="none"/>
          <w:u w:val="single"/>
          <w:lang w:val="en-US"/>
        </w:rPr>
      </w:pPr>
      <w:r>
        <w:rPr>
          <w:rFonts w:hint="eastAsia" w:ascii="宋体" w:hAnsi="宋体" w:cs="宋体"/>
          <w:color w:val="auto"/>
          <w:kern w:val="0"/>
          <w:sz w:val="21"/>
          <w:szCs w:val="21"/>
          <w:highlight w:val="none"/>
          <w:lang w:val="zh-CN" w:eastAsia="zh-CN"/>
        </w:rPr>
        <w:t>供应商（盖公章）：</w:t>
      </w:r>
      <w:r>
        <w:rPr>
          <w:rFonts w:hint="eastAsia" w:ascii="宋体" w:hAnsi="宋体" w:cs="宋体"/>
          <w:color w:val="auto"/>
          <w:kern w:val="0"/>
          <w:sz w:val="21"/>
          <w:szCs w:val="21"/>
          <w:highlight w:val="none"/>
          <w:u w:val="single"/>
          <w:lang w:val="en-US" w:eastAsia="zh-CN"/>
        </w:rPr>
        <w:t xml:space="preserve">                  </w:t>
      </w:r>
    </w:p>
    <w:p w14:paraId="4332D35C">
      <w:pPr>
        <w:autoSpaceDE w:val="0"/>
        <w:autoSpaceDN w:val="0"/>
        <w:spacing w:line="360" w:lineRule="auto"/>
        <w:ind w:firstLine="6720" w:firstLineChars="3200"/>
        <w:rPr>
          <w:rFonts w:hint="eastAsia" w:ascii="宋体" w:hAnsi="宋体" w:cs="宋体"/>
          <w:color w:val="auto"/>
          <w:kern w:val="0"/>
          <w:sz w:val="21"/>
          <w:szCs w:val="21"/>
          <w:highlight w:val="none"/>
          <w:lang w:val="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25326B">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73459C12">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27745F2D">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5ADE3C8F">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7CAF6380">
      <w:pPr>
        <w:pStyle w:val="23"/>
        <w:rPr>
          <w:rFonts w:hint="eastAsia" w:ascii="宋体" w:hAnsi="宋体" w:cs="宋体"/>
          <w:color w:val="auto"/>
          <w:kern w:val="0"/>
          <w:sz w:val="21"/>
          <w:szCs w:val="21"/>
          <w:highlight w:val="none"/>
          <w:lang w:val="zh-CN"/>
        </w:rPr>
      </w:pPr>
    </w:p>
    <w:p w14:paraId="09CF5A1C">
      <w:pPr>
        <w:pStyle w:val="24"/>
        <w:rPr>
          <w:rFonts w:hint="eastAsia" w:ascii="宋体" w:hAnsi="宋体" w:cs="宋体"/>
          <w:color w:val="auto"/>
          <w:kern w:val="0"/>
          <w:sz w:val="21"/>
          <w:szCs w:val="21"/>
          <w:highlight w:val="none"/>
          <w:lang w:val="zh-CN"/>
        </w:rPr>
      </w:pPr>
    </w:p>
    <w:p w14:paraId="7409D4FE">
      <w:pPr>
        <w:rPr>
          <w:rFonts w:hint="eastAsia" w:ascii="宋体" w:hAnsi="宋体" w:cs="宋体"/>
          <w:color w:val="auto"/>
          <w:kern w:val="0"/>
          <w:sz w:val="21"/>
          <w:szCs w:val="21"/>
          <w:highlight w:val="none"/>
          <w:lang w:val="zh-CN"/>
        </w:rPr>
      </w:pPr>
    </w:p>
    <w:p w14:paraId="42ED5FBB">
      <w:pPr>
        <w:pStyle w:val="23"/>
        <w:rPr>
          <w:rFonts w:hint="eastAsia" w:ascii="宋体" w:hAnsi="宋体" w:cs="宋体"/>
          <w:color w:val="auto"/>
          <w:kern w:val="0"/>
          <w:sz w:val="21"/>
          <w:szCs w:val="21"/>
          <w:highlight w:val="none"/>
          <w:lang w:val="zh-CN"/>
        </w:rPr>
      </w:pPr>
    </w:p>
    <w:p w14:paraId="6E257575">
      <w:pPr>
        <w:pStyle w:val="24"/>
        <w:rPr>
          <w:rFonts w:hint="eastAsia" w:ascii="宋体" w:hAnsi="宋体" w:cs="宋体"/>
          <w:color w:val="auto"/>
          <w:kern w:val="0"/>
          <w:sz w:val="21"/>
          <w:szCs w:val="21"/>
          <w:highlight w:val="none"/>
          <w:lang w:val="zh-CN"/>
        </w:rPr>
      </w:pPr>
    </w:p>
    <w:p w14:paraId="347AD9D6">
      <w:pPr>
        <w:rPr>
          <w:rFonts w:hint="eastAsia" w:ascii="宋体" w:hAnsi="宋体" w:cs="宋体"/>
          <w:color w:val="auto"/>
          <w:kern w:val="0"/>
          <w:sz w:val="21"/>
          <w:szCs w:val="21"/>
          <w:highlight w:val="none"/>
          <w:lang w:val="zh-CN"/>
        </w:rPr>
      </w:pPr>
    </w:p>
    <w:p w14:paraId="78FC16FF">
      <w:pPr>
        <w:pStyle w:val="23"/>
        <w:rPr>
          <w:rFonts w:hint="eastAsia"/>
          <w:color w:val="auto"/>
          <w:highlight w:val="none"/>
          <w:lang w:val="zh-CN"/>
        </w:rPr>
      </w:pPr>
    </w:p>
    <w:p w14:paraId="4539D82C">
      <w:pPr>
        <w:adjustRightInd w:val="0"/>
        <w:snapToGrid w:val="0"/>
        <w:spacing w:line="300" w:lineRule="auto"/>
        <w:jc w:val="both"/>
        <w:rPr>
          <w:rFonts w:hint="eastAsia" w:ascii="方正小标宋简体" w:hAnsi="方正小标宋简体" w:eastAsia="方正小标宋简体" w:cs="方正小标宋简体"/>
          <w:bCs/>
          <w:color w:val="auto"/>
          <w:sz w:val="28"/>
          <w:szCs w:val="28"/>
          <w:highlight w:val="none"/>
          <w:lang w:val="en-US" w:eastAsia="zh-CN"/>
        </w:rPr>
      </w:pPr>
    </w:p>
    <w:p w14:paraId="5FF5974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highlight w:val="none"/>
          <w:lang w:val="en-US" w:eastAsia="zh-CN"/>
        </w:rPr>
      </w:pPr>
    </w:p>
    <w:p w14:paraId="6B6E404A">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lang w:val="en-US" w:eastAsia="zh-CN"/>
        </w:rPr>
        <w:t>技术</w:t>
      </w:r>
      <w:r>
        <w:rPr>
          <w:rFonts w:hint="eastAsia" w:ascii="方正小标宋简体" w:hAnsi="方正小标宋简体" w:eastAsia="方正小标宋简体" w:cs="方正小标宋简体"/>
          <w:bCs/>
          <w:color w:val="auto"/>
          <w:sz w:val="28"/>
          <w:szCs w:val="28"/>
          <w:highlight w:val="none"/>
        </w:rPr>
        <w:t>需求偏离表</w:t>
      </w:r>
    </w:p>
    <w:p w14:paraId="22FE2E24">
      <w:pPr>
        <w:spacing w:line="520" w:lineRule="exact"/>
        <w:rPr>
          <w:rFonts w:hint="eastAsia" w:ascii="仿宋_GB2312" w:hAnsi="仿宋_GB2312" w:eastAsia="仿宋_GB2312" w:cs="仿宋_GB2312"/>
          <w:color w:val="auto"/>
          <w:sz w:val="32"/>
          <w:szCs w:val="32"/>
          <w:highlight w:val="none"/>
        </w:rPr>
      </w:pPr>
    </w:p>
    <w:p w14:paraId="44E50529">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u w:val="single"/>
        </w:rPr>
        <w:t xml:space="preserve">                 </w:t>
      </w:r>
    </w:p>
    <w:p w14:paraId="6C3F7DD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u w:val="single"/>
        </w:rPr>
        <w:t xml:space="preserve">                 </w:t>
      </w:r>
    </w:p>
    <w:tbl>
      <w:tblPr>
        <w:tblStyle w:val="19"/>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7DF5E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6" w:type="dxa"/>
            <w:noWrap w:val="0"/>
            <w:vAlign w:val="center"/>
          </w:tcPr>
          <w:p w14:paraId="53D820F7">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49" w:name="_Toc173066401"/>
            <w:bookmarkStart w:id="50" w:name="_Toc383699906"/>
            <w:bookmarkStart w:id="51" w:name="_Toc301781611"/>
            <w:bookmarkStart w:id="52" w:name="_Toc373333689"/>
            <w:bookmarkStart w:id="53" w:name="_Toc297193185"/>
            <w:bookmarkStart w:id="54" w:name="_Toc254970729"/>
            <w:bookmarkStart w:id="55" w:name="_Toc295404981"/>
            <w:bookmarkStart w:id="56" w:name="_Toc173211900"/>
            <w:bookmarkStart w:id="57" w:name="_Toc254970588"/>
            <w:r>
              <w:rPr>
                <w:rFonts w:hint="eastAsia" w:asciiTheme="minorEastAsia" w:hAnsiTheme="minorEastAsia" w:eastAsiaTheme="minorEastAsia" w:cstheme="minorEastAsia"/>
                <w:color w:val="auto"/>
                <w:kern w:val="2"/>
                <w:sz w:val="21"/>
                <w:szCs w:val="21"/>
                <w:highlight w:val="none"/>
                <w:lang w:val="en-US" w:eastAsia="zh-CN"/>
              </w:rPr>
              <w:t>序号</w:t>
            </w:r>
            <w:bookmarkEnd w:id="49"/>
            <w:bookmarkEnd w:id="50"/>
            <w:bookmarkEnd w:id="51"/>
            <w:bookmarkEnd w:id="52"/>
            <w:bookmarkEnd w:id="53"/>
            <w:bookmarkEnd w:id="54"/>
            <w:bookmarkEnd w:id="55"/>
            <w:bookmarkEnd w:id="56"/>
            <w:bookmarkEnd w:id="57"/>
          </w:p>
        </w:tc>
        <w:tc>
          <w:tcPr>
            <w:tcW w:w="915" w:type="dxa"/>
            <w:tcBorders>
              <w:right w:val="single" w:color="auto" w:sz="4" w:space="0"/>
            </w:tcBorders>
            <w:noWrap w:val="0"/>
            <w:vAlign w:val="center"/>
          </w:tcPr>
          <w:p w14:paraId="37E28D06">
            <w:pPr>
              <w:pStyle w:val="10"/>
              <w:spacing w:line="360" w:lineRule="auto"/>
              <w:ind w:firstLine="0" w:firstLineChars="0"/>
              <w:jc w:val="center"/>
              <w:rPr>
                <w:rFonts w:hint="default" w:asciiTheme="minorEastAsia" w:hAnsiTheme="minorEastAsia" w:eastAsiaTheme="minorEastAsia" w:cstheme="minorEastAsia"/>
                <w:color w:val="auto"/>
                <w:kern w:val="2"/>
                <w:sz w:val="21"/>
                <w:szCs w:val="21"/>
                <w:highlight w:val="none"/>
                <w:lang w:val="en-US" w:eastAsia="zh-CN"/>
              </w:rPr>
            </w:pPr>
            <w:r>
              <w:rPr>
                <w:rFonts w:hint="default" w:asciiTheme="minorEastAsia" w:hAnsiTheme="minorEastAsia" w:eastAsiaTheme="minorEastAsia" w:cstheme="minorEastAsia"/>
                <w:color w:val="auto"/>
                <w:kern w:val="2"/>
                <w:sz w:val="21"/>
                <w:szCs w:val="21"/>
                <w:highlight w:val="none"/>
                <w:lang w:val="en-US" w:eastAsia="zh-CN"/>
              </w:rPr>
              <w:t>标的名称</w:t>
            </w:r>
          </w:p>
        </w:tc>
        <w:tc>
          <w:tcPr>
            <w:tcW w:w="3038" w:type="dxa"/>
            <w:tcBorders>
              <w:left w:val="single" w:color="auto" w:sz="4" w:space="0"/>
            </w:tcBorders>
            <w:noWrap w:val="0"/>
            <w:vAlign w:val="center"/>
          </w:tcPr>
          <w:p w14:paraId="0F46DB1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谈判文件技术需求</w:t>
            </w:r>
          </w:p>
        </w:tc>
        <w:tc>
          <w:tcPr>
            <w:tcW w:w="2734" w:type="dxa"/>
            <w:noWrap w:val="0"/>
            <w:vAlign w:val="center"/>
          </w:tcPr>
          <w:p w14:paraId="3C2C20BF">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58" w:name="_Toc254970731"/>
            <w:bookmarkStart w:id="59" w:name="_Toc173211902"/>
            <w:bookmarkStart w:id="60" w:name="_Toc301781613"/>
            <w:bookmarkStart w:id="61" w:name="_Toc173066403"/>
            <w:bookmarkStart w:id="62" w:name="_Toc297193187"/>
            <w:bookmarkStart w:id="63" w:name="_Toc383699908"/>
            <w:bookmarkStart w:id="64" w:name="_Toc295404983"/>
            <w:bookmarkStart w:id="65" w:name="_Toc254970590"/>
            <w:bookmarkStart w:id="66" w:name="_Toc373333691"/>
            <w:r>
              <w:rPr>
                <w:rFonts w:hint="eastAsia" w:asciiTheme="minorEastAsia" w:hAnsiTheme="minorEastAsia" w:eastAsiaTheme="minorEastAsia" w:cstheme="minorEastAsia"/>
                <w:color w:val="auto"/>
                <w:kern w:val="2"/>
                <w:sz w:val="21"/>
                <w:szCs w:val="21"/>
                <w:highlight w:val="none"/>
                <w:lang w:val="en-US" w:eastAsia="zh-CN"/>
              </w:rPr>
              <w:t>竞标响应</w:t>
            </w:r>
            <w:bookmarkEnd w:id="58"/>
            <w:bookmarkEnd w:id="59"/>
            <w:bookmarkEnd w:id="60"/>
            <w:bookmarkEnd w:id="61"/>
            <w:bookmarkEnd w:id="62"/>
            <w:bookmarkEnd w:id="63"/>
            <w:bookmarkEnd w:id="64"/>
            <w:bookmarkEnd w:id="65"/>
            <w:bookmarkEnd w:id="66"/>
          </w:p>
        </w:tc>
        <w:tc>
          <w:tcPr>
            <w:tcW w:w="1492" w:type="dxa"/>
            <w:noWrap w:val="0"/>
            <w:vAlign w:val="center"/>
          </w:tcPr>
          <w:p w14:paraId="6F5D5F4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67" w:name="_Toc373333692"/>
            <w:bookmarkStart w:id="68" w:name="_Toc173211903"/>
            <w:bookmarkStart w:id="69" w:name="_Toc254970591"/>
            <w:bookmarkStart w:id="70" w:name="_Toc297193188"/>
            <w:bookmarkStart w:id="71" w:name="_Toc173066404"/>
            <w:bookmarkStart w:id="72" w:name="_Toc383699909"/>
            <w:bookmarkStart w:id="73" w:name="_Toc301781614"/>
            <w:bookmarkStart w:id="74" w:name="_Toc295404984"/>
            <w:bookmarkStart w:id="75" w:name="_Toc254970732"/>
            <w:r>
              <w:rPr>
                <w:rFonts w:hint="eastAsia" w:asciiTheme="minorEastAsia" w:hAnsiTheme="minorEastAsia" w:eastAsiaTheme="minorEastAsia" w:cstheme="minorEastAsia"/>
                <w:color w:val="auto"/>
                <w:kern w:val="2"/>
                <w:sz w:val="21"/>
                <w:szCs w:val="21"/>
                <w:highlight w:val="none"/>
                <w:lang w:val="en-US" w:eastAsia="zh-CN"/>
              </w:rPr>
              <w:t>偏离</w:t>
            </w:r>
            <w:bookmarkEnd w:id="67"/>
            <w:bookmarkEnd w:id="68"/>
            <w:bookmarkEnd w:id="69"/>
            <w:bookmarkEnd w:id="70"/>
            <w:bookmarkEnd w:id="71"/>
            <w:bookmarkEnd w:id="72"/>
            <w:bookmarkEnd w:id="73"/>
            <w:bookmarkEnd w:id="74"/>
            <w:bookmarkEnd w:id="75"/>
            <w:bookmarkStart w:id="76" w:name="_Toc254970592"/>
            <w:bookmarkStart w:id="77" w:name="_Toc383699910"/>
            <w:bookmarkStart w:id="78" w:name="_Toc173211904"/>
            <w:bookmarkStart w:id="79" w:name="_Toc295404985"/>
            <w:bookmarkStart w:id="80" w:name="_Toc301781615"/>
            <w:bookmarkStart w:id="81" w:name="_Toc254970733"/>
            <w:bookmarkStart w:id="82" w:name="_Toc373333693"/>
            <w:bookmarkStart w:id="83" w:name="_Toc173066405"/>
            <w:bookmarkStart w:id="84" w:name="_Toc297193189"/>
            <w:r>
              <w:rPr>
                <w:rFonts w:hint="eastAsia" w:asciiTheme="minorEastAsia" w:hAnsiTheme="minorEastAsia" w:eastAsiaTheme="minorEastAsia" w:cstheme="minorEastAsia"/>
                <w:color w:val="auto"/>
                <w:kern w:val="2"/>
                <w:sz w:val="21"/>
                <w:szCs w:val="21"/>
                <w:highlight w:val="none"/>
                <w:lang w:val="en-US" w:eastAsia="zh-CN"/>
              </w:rPr>
              <w:t>说明</w:t>
            </w:r>
            <w:bookmarkEnd w:id="76"/>
            <w:bookmarkEnd w:id="77"/>
            <w:bookmarkEnd w:id="78"/>
            <w:bookmarkEnd w:id="79"/>
            <w:bookmarkEnd w:id="80"/>
            <w:bookmarkEnd w:id="81"/>
            <w:bookmarkEnd w:id="82"/>
            <w:bookmarkEnd w:id="83"/>
            <w:bookmarkEnd w:id="84"/>
          </w:p>
        </w:tc>
      </w:tr>
      <w:tr w14:paraId="58AE7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BBA1E38">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85" w:name="_Toc173066406"/>
            <w:bookmarkStart w:id="86" w:name="_Toc254970593"/>
            <w:bookmarkStart w:id="87" w:name="_Toc295404986"/>
            <w:bookmarkStart w:id="88" w:name="_Toc301781616"/>
            <w:bookmarkStart w:id="89" w:name="_Toc297193190"/>
            <w:bookmarkStart w:id="90" w:name="_Toc373333694"/>
            <w:bookmarkStart w:id="91" w:name="_Toc383699911"/>
            <w:bookmarkStart w:id="92" w:name="_Toc173211905"/>
            <w:bookmarkStart w:id="93" w:name="_Toc254970734"/>
            <w:r>
              <w:rPr>
                <w:rFonts w:hint="eastAsia" w:asciiTheme="minorEastAsia" w:hAnsiTheme="minorEastAsia" w:eastAsiaTheme="minorEastAsia" w:cstheme="minorEastAsia"/>
                <w:color w:val="auto"/>
                <w:kern w:val="2"/>
                <w:sz w:val="21"/>
                <w:szCs w:val="21"/>
                <w:highlight w:val="none"/>
                <w:lang w:val="en-US" w:eastAsia="zh-CN"/>
              </w:rPr>
              <w:t>1</w:t>
            </w:r>
            <w:bookmarkEnd w:id="85"/>
            <w:bookmarkEnd w:id="86"/>
            <w:bookmarkEnd w:id="87"/>
            <w:bookmarkEnd w:id="88"/>
            <w:bookmarkEnd w:id="89"/>
            <w:bookmarkEnd w:id="90"/>
            <w:bookmarkEnd w:id="91"/>
            <w:bookmarkEnd w:id="92"/>
            <w:bookmarkEnd w:id="93"/>
          </w:p>
        </w:tc>
        <w:tc>
          <w:tcPr>
            <w:tcW w:w="915" w:type="dxa"/>
            <w:tcBorders>
              <w:right w:val="single" w:color="auto" w:sz="4" w:space="0"/>
            </w:tcBorders>
            <w:noWrap w:val="0"/>
            <w:vAlign w:val="center"/>
          </w:tcPr>
          <w:p w14:paraId="00F8C92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6A4352D4">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624500DE">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2D8EC1E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0482C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1387A45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94" w:name="_Toc254970735"/>
            <w:bookmarkStart w:id="95" w:name="_Toc383699912"/>
            <w:bookmarkStart w:id="96" w:name="_Toc254970594"/>
            <w:bookmarkStart w:id="97" w:name="_Toc301781617"/>
            <w:bookmarkStart w:id="98" w:name="_Toc373333695"/>
            <w:bookmarkStart w:id="99" w:name="_Toc297193191"/>
            <w:bookmarkStart w:id="100" w:name="_Toc295404987"/>
            <w:bookmarkStart w:id="101" w:name="_Toc173066407"/>
            <w:bookmarkStart w:id="102" w:name="_Toc173211906"/>
            <w:r>
              <w:rPr>
                <w:rFonts w:hint="eastAsia" w:asciiTheme="minorEastAsia" w:hAnsiTheme="minorEastAsia" w:eastAsiaTheme="minorEastAsia" w:cstheme="minorEastAsia"/>
                <w:color w:val="auto"/>
                <w:kern w:val="2"/>
                <w:sz w:val="21"/>
                <w:szCs w:val="21"/>
                <w:highlight w:val="none"/>
                <w:lang w:val="en-US" w:eastAsia="zh-CN"/>
              </w:rPr>
              <w:t>2</w:t>
            </w:r>
            <w:bookmarkEnd w:id="94"/>
            <w:bookmarkEnd w:id="95"/>
            <w:bookmarkEnd w:id="96"/>
            <w:bookmarkEnd w:id="97"/>
            <w:bookmarkEnd w:id="98"/>
            <w:bookmarkEnd w:id="99"/>
            <w:bookmarkEnd w:id="100"/>
            <w:bookmarkEnd w:id="101"/>
            <w:bookmarkEnd w:id="102"/>
          </w:p>
        </w:tc>
        <w:tc>
          <w:tcPr>
            <w:tcW w:w="915" w:type="dxa"/>
            <w:tcBorders>
              <w:right w:val="single" w:color="auto" w:sz="4" w:space="0"/>
            </w:tcBorders>
            <w:noWrap w:val="0"/>
            <w:vAlign w:val="center"/>
          </w:tcPr>
          <w:p w14:paraId="21C2993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720D890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2B76C1B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3950CCD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7D7C3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14A3886">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103" w:name="_Toc173066408"/>
            <w:bookmarkStart w:id="104" w:name="_Toc301781618"/>
            <w:bookmarkStart w:id="105" w:name="_Toc373333696"/>
            <w:bookmarkStart w:id="106" w:name="_Toc254970595"/>
            <w:bookmarkStart w:id="107" w:name="_Toc297193192"/>
            <w:bookmarkStart w:id="108" w:name="_Toc295404988"/>
            <w:bookmarkStart w:id="109" w:name="_Toc254970736"/>
            <w:bookmarkStart w:id="110" w:name="_Toc173211907"/>
            <w:bookmarkStart w:id="111" w:name="_Toc383699913"/>
            <w:r>
              <w:rPr>
                <w:rFonts w:hint="eastAsia" w:asciiTheme="minorEastAsia" w:hAnsiTheme="minorEastAsia" w:eastAsiaTheme="minorEastAsia" w:cstheme="minorEastAsia"/>
                <w:color w:val="auto"/>
                <w:kern w:val="2"/>
                <w:sz w:val="21"/>
                <w:szCs w:val="21"/>
                <w:highlight w:val="none"/>
                <w:lang w:val="en-US" w:eastAsia="zh-CN"/>
              </w:rPr>
              <w:t>3</w:t>
            </w:r>
            <w:bookmarkEnd w:id="103"/>
            <w:bookmarkEnd w:id="104"/>
            <w:bookmarkEnd w:id="105"/>
            <w:bookmarkEnd w:id="106"/>
            <w:bookmarkEnd w:id="107"/>
            <w:bookmarkEnd w:id="108"/>
            <w:bookmarkEnd w:id="109"/>
            <w:bookmarkEnd w:id="110"/>
            <w:bookmarkEnd w:id="111"/>
          </w:p>
        </w:tc>
        <w:tc>
          <w:tcPr>
            <w:tcW w:w="915" w:type="dxa"/>
            <w:tcBorders>
              <w:right w:val="single" w:color="auto" w:sz="4" w:space="0"/>
            </w:tcBorders>
            <w:noWrap w:val="0"/>
            <w:vAlign w:val="center"/>
          </w:tcPr>
          <w:p w14:paraId="46B34CAA">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3A0C6BF8">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09E399A2">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667799FC">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7EDE2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72F6C3B">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112" w:name="_Toc297193193"/>
            <w:bookmarkStart w:id="113" w:name="_Toc173211908"/>
            <w:bookmarkStart w:id="114" w:name="_Toc383699914"/>
            <w:bookmarkStart w:id="115" w:name="_Toc295404989"/>
            <w:bookmarkStart w:id="116" w:name="_Toc373333697"/>
            <w:bookmarkStart w:id="117" w:name="_Toc254970737"/>
            <w:bookmarkStart w:id="118" w:name="_Toc173066409"/>
            <w:bookmarkStart w:id="119" w:name="_Toc301781619"/>
            <w:bookmarkStart w:id="120" w:name="_Toc254970596"/>
            <w:r>
              <w:rPr>
                <w:rFonts w:hint="eastAsia" w:asciiTheme="minorEastAsia" w:hAnsiTheme="minorEastAsia" w:eastAsiaTheme="minorEastAsia" w:cstheme="minorEastAsia"/>
                <w:color w:val="auto"/>
                <w:kern w:val="2"/>
                <w:sz w:val="21"/>
                <w:szCs w:val="21"/>
                <w:highlight w:val="none"/>
                <w:lang w:val="en-US" w:eastAsia="zh-CN"/>
              </w:rPr>
              <w:t>4</w:t>
            </w:r>
            <w:bookmarkEnd w:id="112"/>
            <w:bookmarkEnd w:id="113"/>
            <w:bookmarkEnd w:id="114"/>
            <w:bookmarkEnd w:id="115"/>
            <w:bookmarkEnd w:id="116"/>
            <w:bookmarkEnd w:id="117"/>
            <w:bookmarkEnd w:id="118"/>
            <w:bookmarkEnd w:id="119"/>
            <w:bookmarkEnd w:id="120"/>
          </w:p>
        </w:tc>
        <w:tc>
          <w:tcPr>
            <w:tcW w:w="915" w:type="dxa"/>
            <w:tcBorders>
              <w:right w:val="single" w:color="auto" w:sz="4" w:space="0"/>
            </w:tcBorders>
            <w:noWrap w:val="0"/>
            <w:vAlign w:val="center"/>
          </w:tcPr>
          <w:p w14:paraId="5CB398A7">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085370E8">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7C941580">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75ACDA3C">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31B83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6E9554D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121" w:name="_Toc295404990"/>
            <w:bookmarkStart w:id="122" w:name="_Toc373333698"/>
            <w:bookmarkStart w:id="123" w:name="_Toc173211909"/>
            <w:bookmarkStart w:id="124" w:name="_Toc301781620"/>
            <w:bookmarkStart w:id="125" w:name="_Toc383699915"/>
            <w:bookmarkStart w:id="126" w:name="_Toc297193194"/>
            <w:bookmarkStart w:id="127" w:name="_Toc254970738"/>
            <w:bookmarkStart w:id="128" w:name="_Toc173066410"/>
            <w:bookmarkStart w:id="129" w:name="_Toc254970597"/>
            <w:r>
              <w:rPr>
                <w:rFonts w:hint="eastAsia" w:asciiTheme="minorEastAsia" w:hAnsiTheme="minorEastAsia" w:eastAsiaTheme="minorEastAsia" w:cstheme="minorEastAsia"/>
                <w:color w:val="auto"/>
                <w:kern w:val="2"/>
                <w:sz w:val="21"/>
                <w:szCs w:val="21"/>
                <w:highlight w:val="none"/>
                <w:lang w:val="en-US" w:eastAsia="zh-CN"/>
              </w:rPr>
              <w:t>5</w:t>
            </w:r>
            <w:bookmarkEnd w:id="121"/>
            <w:bookmarkEnd w:id="122"/>
            <w:bookmarkEnd w:id="123"/>
            <w:bookmarkEnd w:id="124"/>
            <w:bookmarkEnd w:id="125"/>
            <w:bookmarkEnd w:id="126"/>
            <w:bookmarkEnd w:id="127"/>
            <w:bookmarkEnd w:id="128"/>
            <w:bookmarkEnd w:id="129"/>
          </w:p>
        </w:tc>
        <w:tc>
          <w:tcPr>
            <w:tcW w:w="915" w:type="dxa"/>
            <w:tcBorders>
              <w:right w:val="single" w:color="auto" w:sz="4" w:space="0"/>
            </w:tcBorders>
            <w:noWrap w:val="0"/>
            <w:vAlign w:val="center"/>
          </w:tcPr>
          <w:p w14:paraId="78A9F09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141905A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50134F9C">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noWrap w:val="0"/>
            <w:vAlign w:val="center"/>
          </w:tcPr>
          <w:p w14:paraId="1168822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r w14:paraId="7F32A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3243AA7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bookmarkStart w:id="130" w:name="_Toc383699916"/>
            <w:bookmarkStart w:id="131" w:name="_Toc373333699"/>
            <w:bookmarkStart w:id="132" w:name="_Toc173211914"/>
            <w:bookmarkStart w:id="133" w:name="_Toc295404991"/>
            <w:bookmarkStart w:id="134" w:name="_Toc173066415"/>
            <w:bookmarkStart w:id="135" w:name="_Toc254970602"/>
            <w:bookmarkStart w:id="136" w:name="_Toc301781621"/>
            <w:bookmarkStart w:id="137" w:name="_Toc254970743"/>
            <w:bookmarkStart w:id="138" w:name="_Toc297193195"/>
            <w:r>
              <w:rPr>
                <w:rFonts w:hint="eastAsia" w:asciiTheme="minorEastAsia" w:hAnsiTheme="minorEastAsia" w:eastAsiaTheme="minorEastAsia" w:cstheme="minorEastAsia"/>
                <w:color w:val="auto"/>
                <w:kern w:val="2"/>
                <w:sz w:val="21"/>
                <w:szCs w:val="21"/>
                <w:highlight w:val="none"/>
                <w:lang w:val="en-US" w:eastAsia="zh-CN"/>
              </w:rPr>
              <w:t>…</w:t>
            </w:r>
            <w:bookmarkEnd w:id="130"/>
            <w:bookmarkEnd w:id="131"/>
            <w:bookmarkEnd w:id="132"/>
            <w:bookmarkEnd w:id="133"/>
            <w:bookmarkEnd w:id="134"/>
            <w:bookmarkEnd w:id="135"/>
            <w:bookmarkEnd w:id="136"/>
            <w:bookmarkEnd w:id="137"/>
            <w:bookmarkEnd w:id="138"/>
          </w:p>
        </w:tc>
        <w:tc>
          <w:tcPr>
            <w:tcW w:w="915" w:type="dxa"/>
            <w:tcBorders>
              <w:right w:val="single" w:color="auto" w:sz="4" w:space="0"/>
            </w:tcBorders>
            <w:noWrap w:val="0"/>
            <w:vAlign w:val="center"/>
          </w:tcPr>
          <w:p w14:paraId="697E9D1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3038" w:type="dxa"/>
            <w:tcBorders>
              <w:left w:val="single" w:color="auto" w:sz="4" w:space="0"/>
            </w:tcBorders>
            <w:noWrap w:val="0"/>
            <w:vAlign w:val="center"/>
          </w:tcPr>
          <w:p w14:paraId="3D269429">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2734" w:type="dxa"/>
            <w:noWrap w:val="0"/>
            <w:vAlign w:val="center"/>
          </w:tcPr>
          <w:p w14:paraId="16D6DA2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c>
          <w:tcPr>
            <w:tcW w:w="1492" w:type="dxa"/>
            <w:tcBorders>
              <w:right w:val="single" w:color="auto" w:sz="4" w:space="0"/>
            </w:tcBorders>
            <w:noWrap w:val="0"/>
            <w:vAlign w:val="center"/>
          </w:tcPr>
          <w:p w14:paraId="42CB061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tc>
      </w:tr>
    </w:tbl>
    <w:p w14:paraId="0FF54FDB">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rPr>
      </w:pPr>
    </w:p>
    <w:p w14:paraId="2D8FB983">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注：</w:t>
      </w:r>
    </w:p>
    <w:p w14:paraId="0CDE9518">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 说明：应对照谈判文件“第三章 采购需求”中的技术需求逐条实质性响应，并作出偏离说明。</w:t>
      </w:r>
    </w:p>
    <w:p w14:paraId="1454E158">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2.供应商应根据自身的承诺，对照谈判文件要求，在“偏离说明”中注明“正偏离”、“负偏离”或者“无偏离”。既不属于“正偏离”也不属于“负偏离”即为“无偏离”。</w:t>
      </w:r>
    </w:p>
    <w:p w14:paraId="4811C674">
      <w:pPr>
        <w:pStyle w:val="10"/>
        <w:spacing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3.供应商认为其竞标响应有正偏离的，请在技术需求偏离表中列明，且在响应文件中提供竞标产品的彩页或国家认可有资质的第三方检测机构出具的检测报告复印件或产品生产厂家出具的技术参数说明证明作为佐证，以上佐证材料均需加盖供应商公章。 </w:t>
      </w:r>
    </w:p>
    <w:p w14:paraId="0E2A78F9">
      <w:pPr>
        <w:pStyle w:val="10"/>
        <w:spacing w:line="360" w:lineRule="auto"/>
        <w:ind w:firstLine="420" w:firstLineChars="200"/>
        <w:jc w:val="left"/>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kern w:val="2"/>
          <w:sz w:val="21"/>
          <w:szCs w:val="21"/>
          <w:highlight w:val="none"/>
          <w:lang w:val="en-US" w:eastAsia="zh-CN"/>
        </w:rPr>
        <w:t>4.如技术要求偏离表中的竞标响应与佐证材料不一致的，以佐证材料为准。</w:t>
      </w:r>
      <w:r>
        <w:rPr>
          <w:rFonts w:hint="eastAsia" w:ascii="宋体" w:hAnsi="宋体" w:eastAsia="宋体" w:cs="宋体"/>
          <w:bCs/>
          <w:color w:val="auto"/>
          <w:sz w:val="40"/>
          <w:szCs w:val="40"/>
          <w:highlight w:val="none"/>
          <w:lang w:val="en-US" w:eastAsia="zh-CN"/>
        </w:rPr>
        <w:t xml:space="preserve"> </w:t>
      </w:r>
    </w:p>
    <w:p w14:paraId="75DF9AD4">
      <w:pPr>
        <w:pStyle w:val="23"/>
        <w:rPr>
          <w:rFonts w:hint="eastAsia" w:ascii="宋体" w:hAnsi="宋体" w:eastAsia="宋体" w:cs="宋体"/>
          <w:bCs/>
          <w:color w:val="auto"/>
          <w:sz w:val="40"/>
          <w:szCs w:val="40"/>
          <w:highlight w:val="none"/>
        </w:rPr>
      </w:pPr>
    </w:p>
    <w:p w14:paraId="25B3D206">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p>
    <w:p w14:paraId="579B1082">
      <w:pPr>
        <w:pStyle w:val="10"/>
        <w:spacing w:line="360" w:lineRule="auto"/>
        <w:ind w:firstLine="0" w:firstLineChars="0"/>
        <w:jc w:val="both"/>
        <w:rPr>
          <w:rFonts w:hint="default"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                 法定代表人或者委托代理人（签字或电子签名）：</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p>
    <w:p w14:paraId="2E1BF07B">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                 供应商（电子签章）：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lang w:val="en-US" w:eastAsia="zh-CN"/>
        </w:rPr>
        <w:t xml:space="preserve">     </w:t>
      </w:r>
    </w:p>
    <w:p w14:paraId="354EFBE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7A13544">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79513A3E">
      <w:pPr>
        <w:autoSpaceDE w:val="0"/>
        <w:autoSpaceDN w:val="0"/>
        <w:spacing w:line="360" w:lineRule="auto"/>
        <w:ind w:firstLine="6930" w:firstLineChars="3300"/>
        <w:rPr>
          <w:rFonts w:hint="eastAsia" w:ascii="宋体" w:hAnsi="宋体" w:cs="宋体"/>
          <w:color w:val="auto"/>
          <w:kern w:val="0"/>
          <w:sz w:val="21"/>
          <w:szCs w:val="21"/>
          <w:highlight w:val="none"/>
          <w:lang w:val="zh-CN"/>
        </w:rPr>
      </w:pPr>
    </w:p>
    <w:p w14:paraId="3BA618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56E6156">
      <w:pPr>
        <w:spacing w:line="300" w:lineRule="auto"/>
        <w:rPr>
          <w:rFonts w:hint="eastAsia" w:ascii="宋体" w:hAnsi="宋体"/>
          <w:color w:val="auto"/>
          <w:sz w:val="22"/>
          <w:szCs w:val="22"/>
          <w:highlight w:val="none"/>
        </w:rPr>
      </w:pPr>
      <w:r>
        <w:rPr>
          <w:rFonts w:hint="eastAsia" w:ascii="宋体" w:hAnsi="宋体"/>
          <w:b/>
          <w:bCs/>
          <w:color w:val="auto"/>
          <w:sz w:val="28"/>
          <w:szCs w:val="28"/>
          <w:highlight w:val="none"/>
        </w:rPr>
        <w:t>其他文书、文件格式</w:t>
      </w:r>
    </w:p>
    <w:p w14:paraId="3B88B147">
      <w:pPr>
        <w:spacing w:line="360" w:lineRule="auto"/>
        <w:jc w:val="both"/>
        <w:rPr>
          <w:rFonts w:hint="eastAsia" w:ascii="方正小标宋简体" w:hAnsi="方正小标宋简体" w:eastAsia="方正小标宋简体" w:cs="方正小标宋简体"/>
          <w:color w:val="auto"/>
          <w:sz w:val="40"/>
          <w:szCs w:val="40"/>
          <w:highlight w:val="none"/>
        </w:rPr>
      </w:pPr>
    </w:p>
    <w:p w14:paraId="61BCE55F">
      <w:pPr>
        <w:spacing w:line="360" w:lineRule="auto"/>
        <w:jc w:val="center"/>
        <w:rPr>
          <w:rFonts w:hint="eastAsia" w:ascii="方正小标宋简体" w:hAnsi="方正小标宋简体" w:eastAsia="方正小标宋简体" w:cs="方正小标宋简体"/>
          <w:color w:val="auto"/>
          <w:sz w:val="40"/>
          <w:szCs w:val="40"/>
          <w:highlight w:val="none"/>
        </w:rPr>
      </w:pPr>
    </w:p>
    <w:p w14:paraId="6AB6CD83">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6DC6D6F4">
      <w:pPr>
        <w:pStyle w:val="12"/>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25682CBA">
      <w:pPr>
        <w:pStyle w:val="12"/>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8CE0B88">
      <w:pPr>
        <w:pStyle w:val="12"/>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013D4A0">
      <w:pPr>
        <w:pStyle w:val="12"/>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672202A5">
      <w:pPr>
        <w:pStyle w:val="12"/>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45EC4E25">
      <w:pPr>
        <w:pStyle w:val="12"/>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C5DB38F">
      <w:pPr>
        <w:pStyle w:val="12"/>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C6D5004">
      <w:pPr>
        <w:pStyle w:val="12"/>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6FBC6AF0">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65AB3DD">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086A0C23">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8ABE471">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1B47EB3D">
      <w:pPr>
        <w:pStyle w:val="12"/>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318F92A0">
      <w:pPr>
        <w:pStyle w:val="12"/>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3EBB6FB1">
      <w:pPr>
        <w:pStyle w:val="12"/>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40D205C4">
      <w:pPr>
        <w:pStyle w:val="12"/>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52DCDDC8">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4238D080">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3DF7F314">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2641FE40">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5A3D9175">
      <w:pPr>
        <w:pStyle w:val="12"/>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7D3997E1">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49D95368">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544E1444">
      <w:pPr>
        <w:pStyle w:val="12"/>
        <w:spacing w:line="360" w:lineRule="auto"/>
        <w:ind w:left="25" w:leftChars="12" w:firstLine="323" w:firstLineChars="147"/>
        <w:contextualSpacing/>
        <w:rPr>
          <w:rFonts w:hint="eastAsia" w:hAnsi="宋体"/>
          <w:color w:val="auto"/>
          <w:sz w:val="22"/>
          <w:szCs w:val="22"/>
          <w:highlight w:val="none"/>
        </w:rPr>
      </w:pPr>
    </w:p>
    <w:p w14:paraId="219E76AC">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w:t>
      </w:r>
      <w:r>
        <w:rPr>
          <w:rFonts w:hint="eastAsia" w:hAnsi="宋体"/>
          <w:color w:val="auto"/>
          <w:sz w:val="22"/>
          <w:szCs w:val="22"/>
          <w:highlight w:val="none"/>
          <w:lang w:val="en-US" w:eastAsia="zh-CN"/>
        </w:rPr>
        <w:t>签字或者电子签名）</w:t>
      </w:r>
      <w:r>
        <w:rPr>
          <w:rFonts w:hint="eastAsia" w:hAnsi="宋体"/>
          <w:color w:val="auto"/>
          <w:sz w:val="22"/>
          <w:szCs w:val="22"/>
          <w:highlight w:val="none"/>
        </w:rPr>
        <w:t>：                          公章：</w:t>
      </w:r>
    </w:p>
    <w:p w14:paraId="59A50BE7">
      <w:pPr>
        <w:pStyle w:val="12"/>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0674B113">
      <w:pPr>
        <w:pStyle w:val="12"/>
        <w:spacing w:line="360" w:lineRule="auto"/>
        <w:contextualSpacing/>
        <w:rPr>
          <w:rFonts w:hint="eastAsia" w:hAnsi="宋体"/>
          <w:b/>
          <w:color w:val="auto"/>
          <w:sz w:val="22"/>
          <w:szCs w:val="22"/>
          <w:highlight w:val="none"/>
        </w:rPr>
      </w:pPr>
    </w:p>
    <w:p w14:paraId="5008289C">
      <w:pPr>
        <w:pStyle w:val="12"/>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7F33EB36">
      <w:pPr>
        <w:pStyle w:val="12"/>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4E3AEC71">
      <w:pPr>
        <w:pStyle w:val="12"/>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65468D">
      <w:pPr>
        <w:pStyle w:val="12"/>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25B1A52E">
      <w:pPr>
        <w:pStyle w:val="12"/>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2371F28A">
      <w:pPr>
        <w:pStyle w:val="12"/>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7ABF7F1D">
      <w:pPr>
        <w:pStyle w:val="12"/>
        <w:snapToGrid w:val="0"/>
        <w:rPr>
          <w:rFonts w:hint="eastAsia"/>
          <w:b/>
          <w:color w:val="auto"/>
          <w:sz w:val="22"/>
          <w:szCs w:val="22"/>
          <w:highlight w:val="none"/>
        </w:rPr>
      </w:pPr>
    </w:p>
    <w:p w14:paraId="782F1EF0">
      <w:pPr>
        <w:rPr>
          <w:rFonts w:hint="eastAsia"/>
          <w:color w:val="auto"/>
          <w:sz w:val="28"/>
          <w:szCs w:val="36"/>
          <w:highlight w:val="none"/>
        </w:rPr>
      </w:pPr>
    </w:p>
    <w:p w14:paraId="1B04A2D3">
      <w:pPr>
        <w:rPr>
          <w:rFonts w:hint="eastAsia"/>
          <w:color w:val="auto"/>
          <w:sz w:val="28"/>
          <w:szCs w:val="36"/>
          <w:highlight w:val="none"/>
        </w:rPr>
      </w:pPr>
    </w:p>
    <w:p w14:paraId="260859B7">
      <w:pPr>
        <w:rPr>
          <w:rFonts w:hint="eastAsia"/>
          <w:color w:val="auto"/>
          <w:sz w:val="28"/>
          <w:szCs w:val="36"/>
          <w:highlight w:val="none"/>
        </w:rPr>
      </w:pPr>
    </w:p>
    <w:p w14:paraId="0FBF1DDC">
      <w:pPr>
        <w:rPr>
          <w:rFonts w:hint="eastAsia"/>
          <w:color w:val="auto"/>
          <w:sz w:val="28"/>
          <w:szCs w:val="36"/>
          <w:highlight w:val="none"/>
        </w:rPr>
      </w:pPr>
    </w:p>
    <w:p w14:paraId="7FD00C8E">
      <w:pPr>
        <w:rPr>
          <w:rFonts w:hint="eastAsia"/>
          <w:color w:val="auto"/>
          <w:sz w:val="28"/>
          <w:szCs w:val="36"/>
          <w:highlight w:val="none"/>
        </w:rPr>
      </w:pPr>
    </w:p>
    <w:p w14:paraId="480E307E">
      <w:pPr>
        <w:rPr>
          <w:rFonts w:hint="eastAsia"/>
          <w:color w:val="auto"/>
          <w:sz w:val="28"/>
          <w:szCs w:val="36"/>
          <w:highlight w:val="none"/>
        </w:rPr>
      </w:pPr>
    </w:p>
    <w:p w14:paraId="10F8CC59">
      <w:pPr>
        <w:rPr>
          <w:rFonts w:hint="eastAsia"/>
          <w:color w:val="auto"/>
          <w:sz w:val="28"/>
          <w:szCs w:val="36"/>
          <w:highlight w:val="none"/>
        </w:rPr>
      </w:pPr>
    </w:p>
    <w:p w14:paraId="7BAACEBA">
      <w:pPr>
        <w:rPr>
          <w:rFonts w:hint="eastAsia"/>
          <w:color w:val="auto"/>
          <w:sz w:val="28"/>
          <w:szCs w:val="36"/>
          <w:highlight w:val="none"/>
        </w:rPr>
      </w:pPr>
    </w:p>
    <w:p w14:paraId="66D435D5">
      <w:pPr>
        <w:rPr>
          <w:rFonts w:hint="eastAsia"/>
          <w:color w:val="auto"/>
          <w:sz w:val="28"/>
          <w:szCs w:val="36"/>
          <w:highlight w:val="none"/>
        </w:rPr>
      </w:pPr>
    </w:p>
    <w:p w14:paraId="23D4E012">
      <w:pPr>
        <w:spacing w:line="360" w:lineRule="auto"/>
        <w:jc w:val="both"/>
        <w:rPr>
          <w:rFonts w:hint="eastAsia" w:ascii="方正小标宋简体" w:hAnsi="方正小标宋简体" w:eastAsia="方正小标宋简体" w:cs="方正小标宋简体"/>
          <w:color w:val="auto"/>
          <w:sz w:val="40"/>
          <w:szCs w:val="40"/>
          <w:highlight w:val="none"/>
        </w:rPr>
      </w:pPr>
    </w:p>
    <w:p w14:paraId="29DC4DFE">
      <w:pPr>
        <w:pStyle w:val="23"/>
        <w:rPr>
          <w:rFonts w:hint="eastAsia" w:ascii="方正小标宋简体" w:hAnsi="方正小标宋简体" w:eastAsia="方正小标宋简体" w:cs="方正小标宋简体"/>
          <w:color w:val="auto"/>
          <w:sz w:val="40"/>
          <w:szCs w:val="40"/>
          <w:highlight w:val="none"/>
        </w:rPr>
      </w:pPr>
    </w:p>
    <w:p w14:paraId="11E71029">
      <w:pPr>
        <w:pStyle w:val="24"/>
        <w:rPr>
          <w:rFonts w:hint="eastAsia" w:ascii="方正小标宋简体" w:hAnsi="方正小标宋简体" w:eastAsia="方正小标宋简体" w:cs="方正小标宋简体"/>
          <w:color w:val="auto"/>
          <w:sz w:val="40"/>
          <w:szCs w:val="40"/>
          <w:highlight w:val="none"/>
        </w:rPr>
      </w:pPr>
    </w:p>
    <w:p w14:paraId="7431E8B8">
      <w:pPr>
        <w:rPr>
          <w:rFonts w:hint="eastAsia" w:ascii="方正小标宋简体" w:hAnsi="方正小标宋简体" w:eastAsia="方正小标宋简体" w:cs="方正小标宋简体"/>
          <w:color w:val="auto"/>
          <w:sz w:val="40"/>
          <w:szCs w:val="40"/>
          <w:highlight w:val="none"/>
        </w:rPr>
      </w:pPr>
    </w:p>
    <w:p w14:paraId="1834273C">
      <w:pPr>
        <w:pStyle w:val="23"/>
        <w:rPr>
          <w:rFonts w:hint="eastAsia" w:ascii="方正小标宋简体" w:hAnsi="方正小标宋简体" w:eastAsia="方正小标宋简体" w:cs="方正小标宋简体"/>
          <w:color w:val="auto"/>
          <w:sz w:val="40"/>
          <w:szCs w:val="40"/>
          <w:highlight w:val="none"/>
        </w:rPr>
      </w:pPr>
    </w:p>
    <w:p w14:paraId="69F3F1CB">
      <w:pPr>
        <w:pStyle w:val="24"/>
        <w:rPr>
          <w:rFonts w:hint="eastAsia"/>
          <w:color w:val="auto"/>
          <w:highlight w:val="none"/>
        </w:rPr>
      </w:pPr>
    </w:p>
    <w:p w14:paraId="2602F4F2">
      <w:pPr>
        <w:spacing w:line="360" w:lineRule="auto"/>
        <w:jc w:val="center"/>
        <w:rPr>
          <w:rFonts w:hint="eastAsia" w:ascii="方正小标宋简体" w:hAnsi="方正小标宋简体" w:eastAsia="方正小标宋简体" w:cs="方正小标宋简体"/>
          <w:color w:val="auto"/>
          <w:sz w:val="40"/>
          <w:szCs w:val="40"/>
          <w:highlight w:val="none"/>
        </w:rPr>
      </w:pPr>
    </w:p>
    <w:p w14:paraId="65B2B8B8">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69714B4E">
      <w:pPr>
        <w:pStyle w:val="12"/>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1CF6F450">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10208DE">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7C45DBE">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44CB23A0">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49BDBAA">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25732E82">
      <w:pPr>
        <w:pStyle w:val="12"/>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48FCE234">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D5D119D">
      <w:pPr>
        <w:pStyle w:val="12"/>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40D29450">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3A6B8521">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44E3623">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0407A05A">
      <w:pPr>
        <w:pStyle w:val="12"/>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36A876AF">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004AD793">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3F12CB02">
      <w:pPr>
        <w:pStyle w:val="12"/>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97176F4">
      <w:pPr>
        <w:pStyle w:val="12"/>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A8CE422">
      <w:pPr>
        <w:pStyle w:val="12"/>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7CBA492B">
      <w:pPr>
        <w:pStyle w:val="12"/>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04CBA36D">
      <w:pPr>
        <w:pStyle w:val="12"/>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18821C36">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385F728">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2DD101F9">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364BE54">
      <w:pPr>
        <w:pStyle w:val="12"/>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240969A">
      <w:pPr>
        <w:pStyle w:val="12"/>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71843835">
      <w:pPr>
        <w:pStyle w:val="12"/>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726273AC">
      <w:pPr>
        <w:pStyle w:val="12"/>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6078AD43">
      <w:pPr>
        <w:pStyle w:val="12"/>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6E954672">
      <w:pPr>
        <w:pStyle w:val="12"/>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4E104A8A">
      <w:pPr>
        <w:pStyle w:val="12"/>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7B1569F7">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120DCBA1">
      <w:pPr>
        <w:pStyle w:val="12"/>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1311CDB">
      <w:pPr>
        <w:pStyle w:val="12"/>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10168736">
      <w:pPr>
        <w:pStyle w:val="12"/>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B319D19">
      <w:pPr>
        <w:pStyle w:val="12"/>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78817E9">
      <w:pPr>
        <w:pStyle w:val="12"/>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776FE233">
      <w:pPr>
        <w:pStyle w:val="12"/>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33E0E923">
      <w:pPr>
        <w:pStyle w:val="12"/>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1568D6C5">
      <w:pPr>
        <w:pStyle w:val="12"/>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79D3D5A0">
      <w:pPr>
        <w:pStyle w:val="12"/>
        <w:spacing w:line="360" w:lineRule="auto"/>
        <w:ind w:left="25" w:leftChars="12" w:firstLine="323" w:firstLineChars="147"/>
        <w:rPr>
          <w:rFonts w:hint="eastAsia" w:hAnsi="宋体"/>
          <w:color w:val="auto"/>
          <w:sz w:val="22"/>
          <w:szCs w:val="22"/>
          <w:highlight w:val="none"/>
        </w:rPr>
      </w:pPr>
    </w:p>
    <w:p w14:paraId="41416BD5">
      <w:pPr>
        <w:pStyle w:val="12"/>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6FE92A5C">
      <w:pPr>
        <w:pStyle w:val="12"/>
        <w:spacing w:line="360" w:lineRule="auto"/>
        <w:ind w:left="25" w:leftChars="12" w:firstLine="323" w:firstLineChars="147"/>
        <w:rPr>
          <w:rFonts w:hint="eastAsia" w:hAnsi="宋体"/>
          <w:color w:val="auto"/>
          <w:sz w:val="22"/>
          <w:szCs w:val="22"/>
          <w:highlight w:val="none"/>
        </w:rPr>
      </w:pPr>
    </w:p>
    <w:p w14:paraId="4B9851BF">
      <w:pPr>
        <w:pStyle w:val="12"/>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4254048">
      <w:pPr>
        <w:pStyle w:val="12"/>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44AD82DA">
      <w:pPr>
        <w:pStyle w:val="12"/>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1670A481">
      <w:pPr>
        <w:pStyle w:val="12"/>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5BA220F1">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D95A76">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3FA4F08B">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7F3D877D">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7C568A91">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4F60413E">
      <w:pPr>
        <w:pStyle w:val="12"/>
        <w:spacing w:line="360" w:lineRule="auto"/>
        <w:ind w:left="25" w:leftChars="12" w:firstLine="325" w:firstLineChars="147"/>
        <w:rPr>
          <w:rFonts w:hint="eastAsia" w:hAnsi="宋体"/>
          <w:b/>
          <w:color w:val="auto"/>
          <w:sz w:val="22"/>
          <w:szCs w:val="22"/>
          <w:highlight w:val="none"/>
        </w:rPr>
      </w:pPr>
    </w:p>
    <w:p w14:paraId="3572C418">
      <w:pPr>
        <w:pStyle w:val="12"/>
        <w:spacing w:line="360" w:lineRule="auto"/>
        <w:ind w:left="25" w:leftChars="12" w:firstLine="325" w:firstLineChars="147"/>
        <w:rPr>
          <w:rFonts w:hint="eastAsia" w:hAnsi="宋体"/>
          <w:b/>
          <w:color w:val="auto"/>
          <w:sz w:val="22"/>
          <w:szCs w:val="22"/>
          <w:highlight w:val="none"/>
          <w:lang w:val="en-US" w:eastAsia="zh-CN"/>
        </w:rPr>
      </w:pPr>
    </w:p>
    <w:p w14:paraId="1E5787D3">
      <w:pPr>
        <w:pStyle w:val="25"/>
        <w:numPr>
          <w:ilvl w:val="0"/>
          <w:numId w:val="0"/>
        </w:numPr>
        <w:jc w:val="center"/>
        <w:outlineLvl w:val="0"/>
        <w:rPr>
          <w:rFonts w:hint="eastAsia" w:asciiTheme="majorEastAsia" w:hAnsiTheme="majorEastAsia" w:eastAsiaTheme="majorEastAsia" w:cstheme="majorEastAsia"/>
          <w:b/>
          <w:bCs w:val="0"/>
          <w:color w:val="auto"/>
          <w:kern w:val="2"/>
          <w:sz w:val="40"/>
          <w:szCs w:val="52"/>
          <w:highlight w:val="none"/>
          <w:lang w:val="en-US" w:eastAsia="zh-CN" w:bidi="ar-SA"/>
        </w:rPr>
      </w:pPr>
      <w:bookmarkStart w:id="139" w:name="_Toc23433"/>
    </w:p>
    <w:p w14:paraId="12798E4A">
      <w:pPr>
        <w:pStyle w:val="25"/>
        <w:numPr>
          <w:ilvl w:val="0"/>
          <w:numId w:val="0"/>
        </w:numPr>
        <w:jc w:val="both"/>
        <w:outlineLvl w:val="0"/>
        <w:rPr>
          <w:rFonts w:hint="eastAsia" w:asciiTheme="majorEastAsia" w:hAnsiTheme="majorEastAsia" w:eastAsiaTheme="majorEastAsia" w:cstheme="majorEastAsia"/>
          <w:b/>
          <w:bCs w:val="0"/>
          <w:color w:val="auto"/>
          <w:kern w:val="2"/>
          <w:sz w:val="40"/>
          <w:szCs w:val="52"/>
          <w:highlight w:val="none"/>
          <w:lang w:val="en-US" w:eastAsia="zh-CN" w:bidi="ar-SA"/>
        </w:rPr>
      </w:pPr>
    </w:p>
    <w:p w14:paraId="2190EDC0">
      <w:pPr>
        <w:pStyle w:val="25"/>
        <w:numPr>
          <w:ilvl w:val="0"/>
          <w:numId w:val="0"/>
        </w:numPr>
        <w:jc w:val="center"/>
        <w:outlineLvl w:val="0"/>
        <w:rPr>
          <w:rFonts w:hint="eastAsia" w:asciiTheme="majorEastAsia" w:hAnsiTheme="majorEastAsia" w:eastAsiaTheme="majorEastAsia" w:cstheme="majorEastAsia"/>
          <w:b/>
          <w:bCs w:val="0"/>
          <w:color w:val="auto"/>
          <w:kern w:val="2"/>
          <w:sz w:val="40"/>
          <w:szCs w:val="52"/>
          <w:highlight w:val="none"/>
          <w:lang w:val="en-US" w:eastAsia="zh-CN" w:bidi="ar-SA"/>
        </w:rPr>
      </w:pPr>
    </w:p>
    <w:p w14:paraId="3523DA36">
      <w:pPr>
        <w:pStyle w:val="25"/>
        <w:numPr>
          <w:ilvl w:val="0"/>
          <w:numId w:val="0"/>
        </w:numPr>
        <w:jc w:val="center"/>
        <w:outlineLvl w:val="0"/>
        <w:rPr>
          <w:rFonts w:hint="eastAsia" w:asciiTheme="majorEastAsia" w:hAnsiTheme="majorEastAsia" w:eastAsiaTheme="majorEastAsia" w:cstheme="majorEastAsia"/>
          <w:b/>
          <w:bCs w:val="0"/>
          <w:color w:val="auto"/>
          <w:kern w:val="2"/>
          <w:sz w:val="40"/>
          <w:szCs w:val="52"/>
          <w:highlight w:val="none"/>
          <w:lang w:val="en-US" w:eastAsia="zh-CN" w:bidi="ar-SA"/>
        </w:rPr>
      </w:pPr>
      <w:r>
        <w:rPr>
          <w:rFonts w:hint="eastAsia" w:asciiTheme="majorEastAsia" w:hAnsiTheme="majorEastAsia" w:eastAsiaTheme="majorEastAsia" w:cstheme="majorEastAsia"/>
          <w:b/>
          <w:bCs w:val="0"/>
          <w:color w:val="auto"/>
          <w:kern w:val="2"/>
          <w:sz w:val="40"/>
          <w:szCs w:val="52"/>
          <w:highlight w:val="none"/>
          <w:lang w:val="en-US" w:eastAsia="zh-CN" w:bidi="ar-SA"/>
        </w:rPr>
        <w:t>第六章 合同文本</w:t>
      </w:r>
      <w:bookmarkEnd w:id="139"/>
    </w:p>
    <w:p w14:paraId="08AC2CEE">
      <w:pPr>
        <w:widowControl/>
        <w:ind w:left="-210" w:leftChars="-100"/>
        <w:jc w:val="center"/>
        <w:rPr>
          <w:rFonts w:hint="eastAsia" w:ascii="宋体" w:hAnsi="宋体" w:cs="宋体"/>
          <w:b/>
          <w:bCs/>
          <w:color w:val="auto"/>
          <w:sz w:val="44"/>
          <w:szCs w:val="44"/>
          <w:highlight w:val="none"/>
        </w:rPr>
      </w:pPr>
    </w:p>
    <w:p w14:paraId="77520125">
      <w:pPr>
        <w:spacing w:line="360" w:lineRule="auto"/>
        <w:jc w:val="both"/>
        <w:rPr>
          <w:rFonts w:ascii="宋体" w:hAnsi="宋体" w:cs="宋体"/>
          <w:b/>
          <w:bCs/>
          <w:color w:val="auto"/>
          <w:sz w:val="30"/>
          <w:szCs w:val="30"/>
          <w:highlight w:val="none"/>
        </w:rPr>
      </w:pPr>
    </w:p>
    <w:p w14:paraId="39333916">
      <w:pPr>
        <w:spacing w:line="360" w:lineRule="auto"/>
        <w:jc w:val="both"/>
        <w:rPr>
          <w:rFonts w:ascii="宋体" w:hAnsi="宋体" w:cs="宋体"/>
          <w:b/>
          <w:bCs/>
          <w:color w:val="auto"/>
          <w:sz w:val="30"/>
          <w:szCs w:val="30"/>
          <w:highlight w:val="none"/>
        </w:rPr>
      </w:pPr>
    </w:p>
    <w:p w14:paraId="607D2FA6">
      <w:pPr>
        <w:spacing w:line="360" w:lineRule="auto"/>
        <w:ind w:firstLine="420" w:firstLineChars="200"/>
        <w:rPr>
          <w:rFonts w:ascii="宋体"/>
          <w:color w:val="auto"/>
          <w:highlight w:val="none"/>
        </w:rPr>
      </w:pPr>
    </w:p>
    <w:p w14:paraId="00B1D5DF">
      <w:pPr>
        <w:pStyle w:val="12"/>
        <w:jc w:val="center"/>
        <w:rPr>
          <w:rFonts w:hint="eastAsia" w:ascii="宋体" w:hAnsi="宋体" w:eastAsia="宋体" w:cs="宋体"/>
          <w:b/>
          <w:color w:val="auto"/>
          <w:sz w:val="56"/>
          <w:szCs w:val="56"/>
          <w:highlight w:val="none"/>
        </w:rPr>
      </w:pPr>
      <w:r>
        <w:rPr>
          <w:rFonts w:hint="eastAsia" w:ascii="宋体" w:hAnsi="宋体" w:cs="宋体"/>
          <w:b/>
          <w:bCs/>
          <w:color w:val="auto"/>
          <w:sz w:val="30"/>
          <w:szCs w:val="30"/>
          <w:highlight w:val="none"/>
        </w:rPr>
        <w:t xml:space="preserve"> </w:t>
      </w:r>
      <w:r>
        <w:rPr>
          <w:rFonts w:hint="eastAsia" w:ascii="宋体" w:hAnsi="宋体" w:cs="宋体"/>
          <w:b/>
          <w:bCs/>
          <w:color w:val="auto"/>
          <w:sz w:val="44"/>
          <w:szCs w:val="44"/>
          <w:highlight w:val="none"/>
        </w:rPr>
        <w:t xml:space="preserve"> </w:t>
      </w:r>
      <w:r>
        <w:rPr>
          <w:rFonts w:hint="eastAsia" w:ascii="宋体" w:hAnsi="宋体" w:eastAsia="宋体" w:cs="宋体"/>
          <w:b/>
          <w:color w:val="auto"/>
          <w:sz w:val="56"/>
          <w:szCs w:val="56"/>
          <w:highlight w:val="none"/>
        </w:rPr>
        <w:t>广西壮族自治区政府采购合同</w:t>
      </w:r>
    </w:p>
    <w:p w14:paraId="689841DB">
      <w:pPr>
        <w:pStyle w:val="12"/>
        <w:rPr>
          <w:rFonts w:hint="eastAsia" w:hAnsi="宋体"/>
          <w:color w:val="auto"/>
          <w:highlight w:val="none"/>
        </w:rPr>
      </w:pPr>
    </w:p>
    <w:p w14:paraId="2FFF69C3">
      <w:pPr>
        <w:pStyle w:val="12"/>
        <w:rPr>
          <w:rFonts w:hint="eastAsia" w:hAnsi="宋体"/>
          <w:color w:val="auto"/>
          <w:highlight w:val="none"/>
        </w:rPr>
      </w:pPr>
    </w:p>
    <w:p w14:paraId="5732C113">
      <w:pPr>
        <w:rPr>
          <w:rFonts w:hint="eastAsia"/>
          <w:color w:val="auto"/>
          <w:highlight w:val="none"/>
        </w:rPr>
      </w:pPr>
    </w:p>
    <w:p w14:paraId="705DAF18">
      <w:pPr>
        <w:rPr>
          <w:rFonts w:hint="eastAsia"/>
          <w:color w:val="auto"/>
          <w:highlight w:val="none"/>
        </w:rPr>
      </w:pPr>
    </w:p>
    <w:p w14:paraId="611A0186">
      <w:pPr>
        <w:rPr>
          <w:rFonts w:hint="eastAsia"/>
          <w:color w:val="auto"/>
          <w:highlight w:val="none"/>
        </w:rPr>
      </w:pPr>
    </w:p>
    <w:p w14:paraId="7DF7BC92">
      <w:pPr>
        <w:pStyle w:val="12"/>
        <w:ind w:firstLine="1789" w:firstLineChars="495"/>
        <w:rPr>
          <w:rFonts w:hint="eastAsia" w:ascii="宋体" w:hAnsi="宋体" w:eastAsia="宋体" w:cs="宋体"/>
          <w:b/>
          <w:color w:val="auto"/>
          <w:sz w:val="36"/>
          <w:szCs w:val="36"/>
          <w:highlight w:val="none"/>
        </w:rPr>
      </w:pPr>
    </w:p>
    <w:p w14:paraId="736F41E5">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1471" w:firstLineChars="458"/>
        <w:textAlignment w:val="baseline"/>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合同名称：</w:t>
      </w:r>
      <w:r>
        <w:rPr>
          <w:rFonts w:hint="eastAsia" w:ascii="宋体" w:hAnsi="宋体" w:eastAsia="宋体" w:cs="宋体"/>
          <w:b/>
          <w:color w:val="auto"/>
          <w:sz w:val="32"/>
          <w:szCs w:val="32"/>
          <w:highlight w:val="none"/>
          <w:u w:val="single"/>
          <w:lang w:val="en-US" w:eastAsia="zh-CN"/>
        </w:rPr>
        <w:t xml:space="preserve">                </w:t>
      </w:r>
    </w:p>
    <w:p w14:paraId="33166A41">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1471" w:firstLineChars="458"/>
        <w:textAlignment w:val="baseline"/>
        <w:rPr>
          <w:rFonts w:hint="default"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rPr>
        <w:t>合同编号：</w:t>
      </w:r>
      <w:r>
        <w:rPr>
          <w:rFonts w:hint="eastAsia" w:hAnsi="宋体" w:eastAsia="宋体" w:cs="宋体"/>
          <w:b/>
          <w:color w:val="auto"/>
          <w:sz w:val="32"/>
          <w:szCs w:val="32"/>
          <w:highlight w:val="none"/>
          <w:u w:val="single"/>
          <w:lang w:val="en-US" w:eastAsia="zh-CN"/>
        </w:rPr>
        <w:t xml:space="preserve">                </w:t>
      </w:r>
    </w:p>
    <w:p w14:paraId="4EF23CE1">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1465" w:firstLineChars="458"/>
        <w:jc w:val="both"/>
        <w:textAlignment w:val="baseline"/>
        <w:rPr>
          <w:rFonts w:hint="eastAsia" w:ascii="宋体" w:hAnsi="宋体" w:eastAsia="宋体" w:cs="宋体"/>
          <w:color w:val="auto"/>
          <w:sz w:val="32"/>
          <w:szCs w:val="32"/>
          <w:highlight w:val="none"/>
        </w:rPr>
      </w:pPr>
    </w:p>
    <w:p w14:paraId="4FF8FEF5">
      <w:pPr>
        <w:rPr>
          <w:rFonts w:hint="eastAsia"/>
          <w:color w:val="auto"/>
          <w:highlight w:val="none"/>
        </w:rPr>
      </w:pPr>
    </w:p>
    <w:p w14:paraId="7DC9425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color w:val="auto"/>
          <w:sz w:val="24"/>
          <w:szCs w:val="24"/>
          <w:highlight w:val="none"/>
        </w:rPr>
      </w:pPr>
    </w:p>
    <w:p w14:paraId="5D6AC03D">
      <w:pPr>
        <w:pStyle w:val="12"/>
        <w:keepNext w:val="0"/>
        <w:keepLines w:val="0"/>
        <w:pageBreakBefore w:val="0"/>
        <w:widowControl/>
        <w:kinsoku w:val="0"/>
        <w:wordWrap/>
        <w:overflowPunct/>
        <w:topLinePunct w:val="0"/>
        <w:autoSpaceDE w:val="0"/>
        <w:autoSpaceDN w:val="0"/>
        <w:bidi w:val="0"/>
        <w:adjustRightInd w:val="0"/>
        <w:snapToGrid w:val="0"/>
        <w:spacing w:after="156" w:afterLines="50" w:line="500" w:lineRule="exact"/>
        <w:ind w:left="0" w:leftChars="0" w:firstLine="1471" w:firstLineChars="458"/>
        <w:textAlignment w:val="baseline"/>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采购单位（甲方）</w:t>
      </w:r>
      <w:r>
        <w:rPr>
          <w:rFonts w:hint="eastAsia" w:ascii="宋体" w:hAnsi="宋体" w:eastAsia="宋体" w:cs="宋体"/>
          <w:b/>
          <w:color w:val="auto"/>
          <w:sz w:val="32"/>
          <w:szCs w:val="32"/>
          <w:highlight w:val="none"/>
          <w:u w:val="single"/>
        </w:rPr>
        <w:t>陆川县</w:t>
      </w:r>
      <w:r>
        <w:rPr>
          <w:rFonts w:hint="eastAsia" w:ascii="宋体" w:hAnsi="宋体" w:eastAsia="宋体" w:cs="宋体"/>
          <w:b/>
          <w:color w:val="auto"/>
          <w:sz w:val="32"/>
          <w:szCs w:val="32"/>
          <w:highlight w:val="none"/>
          <w:u w:val="single"/>
          <w:lang w:eastAsia="zh-CN"/>
        </w:rPr>
        <w:t>人民医院</w:t>
      </w:r>
    </w:p>
    <w:p w14:paraId="0EF5088B">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1471" w:firstLineChars="458"/>
        <w:textAlignment w:val="baseline"/>
        <w:rPr>
          <w:rFonts w:hint="default"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rPr>
        <w:t>住   所：</w:t>
      </w:r>
      <w:r>
        <w:rPr>
          <w:rFonts w:hint="eastAsia" w:hAnsi="宋体" w:eastAsia="宋体" w:cs="宋体"/>
          <w:b/>
          <w:color w:val="auto"/>
          <w:sz w:val="32"/>
          <w:szCs w:val="32"/>
          <w:highlight w:val="none"/>
          <w:u w:val="single"/>
          <w:lang w:val="en-US" w:eastAsia="zh-CN"/>
        </w:rPr>
        <w:t xml:space="preserve">                      </w:t>
      </w:r>
    </w:p>
    <w:p w14:paraId="11654F8F">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1471" w:firstLineChars="458"/>
        <w:textAlignment w:val="baseline"/>
        <w:rPr>
          <w:rFonts w:hint="eastAsia" w:ascii="宋体" w:hAnsi="宋体" w:eastAsia="宋体" w:cs="宋体"/>
          <w:b/>
          <w:color w:val="auto"/>
          <w:sz w:val="32"/>
          <w:szCs w:val="32"/>
          <w:highlight w:val="none"/>
        </w:rPr>
      </w:pPr>
    </w:p>
    <w:p w14:paraId="3DCA6EE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color w:val="auto"/>
          <w:sz w:val="24"/>
          <w:szCs w:val="24"/>
          <w:highlight w:val="none"/>
        </w:rPr>
      </w:pPr>
    </w:p>
    <w:p w14:paraId="2C40AC45">
      <w:pPr>
        <w:pStyle w:val="2"/>
        <w:rPr>
          <w:rFonts w:hint="eastAsia"/>
          <w:color w:val="auto"/>
          <w:highlight w:val="none"/>
        </w:rPr>
      </w:pPr>
    </w:p>
    <w:p w14:paraId="499C8BCB">
      <w:pPr>
        <w:pStyle w:val="12"/>
        <w:keepNext w:val="0"/>
        <w:keepLines w:val="0"/>
        <w:pageBreakBefore w:val="0"/>
        <w:widowControl/>
        <w:kinsoku w:val="0"/>
        <w:wordWrap/>
        <w:overflowPunct/>
        <w:topLinePunct w:val="0"/>
        <w:autoSpaceDE w:val="0"/>
        <w:autoSpaceDN w:val="0"/>
        <w:bidi w:val="0"/>
        <w:adjustRightInd w:val="0"/>
        <w:snapToGrid w:val="0"/>
        <w:spacing w:after="156" w:afterLines="50" w:line="500" w:lineRule="exact"/>
        <w:ind w:left="0" w:leftChars="0" w:firstLine="1471" w:firstLineChars="458"/>
        <w:textAlignment w:val="baseline"/>
        <w:rPr>
          <w:rFonts w:hint="default"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rPr>
        <w:t>供 应 商（乙方）</w:t>
      </w:r>
      <w:r>
        <w:rPr>
          <w:rFonts w:hint="eastAsia" w:hAnsi="宋体" w:eastAsia="宋体" w:cs="宋体"/>
          <w:b/>
          <w:color w:val="auto"/>
          <w:sz w:val="32"/>
          <w:szCs w:val="32"/>
          <w:highlight w:val="none"/>
          <w:u w:val="single"/>
          <w:lang w:val="en-US" w:eastAsia="zh-CN"/>
        </w:rPr>
        <w:t xml:space="preserve">                     </w:t>
      </w:r>
    </w:p>
    <w:p w14:paraId="1F9AD865">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1471" w:firstLineChars="458"/>
        <w:textAlignment w:val="baseline"/>
        <w:rPr>
          <w:rFonts w:hint="default"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rPr>
        <w:t>住   所：</w:t>
      </w:r>
      <w:r>
        <w:rPr>
          <w:rFonts w:hint="eastAsia" w:hAnsi="宋体" w:eastAsia="宋体" w:cs="宋体"/>
          <w:b/>
          <w:color w:val="auto"/>
          <w:sz w:val="32"/>
          <w:szCs w:val="32"/>
          <w:highlight w:val="none"/>
          <w:u w:val="single"/>
          <w:lang w:val="en-US" w:eastAsia="zh-CN"/>
        </w:rPr>
        <w:t xml:space="preserve">                            </w:t>
      </w:r>
    </w:p>
    <w:p w14:paraId="3D14EF7C">
      <w:pPr>
        <w:rPr>
          <w:rFonts w:hint="eastAsia"/>
          <w:color w:val="auto"/>
          <w:highlight w:val="none"/>
        </w:rPr>
      </w:pPr>
    </w:p>
    <w:p w14:paraId="60D723C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color w:val="auto"/>
          <w:sz w:val="24"/>
          <w:szCs w:val="24"/>
          <w:highlight w:val="none"/>
        </w:rPr>
      </w:pPr>
    </w:p>
    <w:p w14:paraId="550C20E0">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1471" w:firstLineChars="458"/>
        <w:textAlignment w:val="baseline"/>
        <w:rPr>
          <w:rFonts w:hint="default" w:ascii="宋体" w:hAnsi="宋体" w:eastAsia="宋体" w:cs="宋体"/>
          <w:b/>
          <w:color w:val="auto"/>
          <w:sz w:val="32"/>
          <w:szCs w:val="32"/>
          <w:highlight w:val="none"/>
          <w:u w:val="single"/>
          <w:lang w:val="en-US"/>
        </w:rPr>
      </w:pPr>
      <w:r>
        <w:rPr>
          <w:rFonts w:hint="eastAsia" w:ascii="宋体" w:hAnsi="宋体" w:eastAsia="宋体" w:cs="宋体"/>
          <w:b/>
          <w:color w:val="auto"/>
          <w:sz w:val="32"/>
          <w:szCs w:val="32"/>
          <w:highlight w:val="none"/>
        </w:rPr>
        <w:t>签订合同地点：</w:t>
      </w:r>
      <w:r>
        <w:rPr>
          <w:rFonts w:hint="eastAsia" w:ascii="宋体" w:hAnsi="宋体" w:eastAsia="宋体" w:cs="宋体"/>
          <w:b/>
          <w:color w:val="auto"/>
          <w:sz w:val="32"/>
          <w:szCs w:val="32"/>
          <w:highlight w:val="none"/>
          <w:u w:val="single"/>
          <w:lang w:val="en-US" w:eastAsia="zh-CN"/>
        </w:rPr>
        <w:t xml:space="preserve">                   </w:t>
      </w:r>
    </w:p>
    <w:p w14:paraId="6D036B19">
      <w:pPr>
        <w:pStyle w:val="12"/>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1471" w:firstLineChars="458"/>
        <w:textAlignment w:val="baseline"/>
        <w:rPr>
          <w:rFonts w:hint="default" w:ascii="宋体" w:hAnsi="宋体" w:eastAsia="宋体" w:cs="宋体"/>
          <w:b/>
          <w:color w:val="auto"/>
          <w:sz w:val="40"/>
          <w:szCs w:val="40"/>
          <w:highlight w:val="none"/>
          <w:lang w:val="en-US" w:eastAsia="zh-CN"/>
        </w:rPr>
      </w:pPr>
      <w:r>
        <w:rPr>
          <w:rFonts w:hint="eastAsia" w:ascii="宋体" w:hAnsi="宋体" w:eastAsia="宋体" w:cs="宋体"/>
          <w:b/>
          <w:color w:val="auto"/>
          <w:sz w:val="32"/>
          <w:szCs w:val="32"/>
          <w:highlight w:val="none"/>
        </w:rPr>
        <w:t>签订合同时间：</w:t>
      </w:r>
      <w:r>
        <w:rPr>
          <w:rFonts w:hint="eastAsia" w:ascii="宋体" w:hAnsi="宋体" w:eastAsia="宋体" w:cs="宋体"/>
          <w:b/>
          <w:color w:val="auto"/>
          <w:sz w:val="32"/>
          <w:szCs w:val="32"/>
          <w:highlight w:val="none"/>
          <w:u w:val="single"/>
          <w:lang w:val="en-US" w:eastAsia="zh-CN"/>
        </w:rPr>
        <w:t xml:space="preserve">     年</w:t>
      </w:r>
      <w:r>
        <w:rPr>
          <w:rFonts w:hint="eastAsia" w:ascii="宋体" w:hAnsi="宋体" w:eastAsia="宋体" w:cs="宋体"/>
          <w:b w:val="0"/>
          <w:bCs/>
          <w:color w:val="auto"/>
          <w:sz w:val="32"/>
          <w:szCs w:val="32"/>
          <w:highlight w:val="none"/>
          <w:u w:val="single"/>
          <w:lang w:val="en-US" w:eastAsia="zh-CN"/>
        </w:rPr>
        <w:t xml:space="preserve">   月   日 </w:t>
      </w:r>
    </w:p>
    <w:p w14:paraId="233C0EE6">
      <w:pPr>
        <w:keepNext w:val="0"/>
        <w:keepLines w:val="0"/>
        <w:pageBreakBefore w:val="0"/>
        <w:widowControl/>
        <w:kinsoku w:val="0"/>
        <w:wordWrap/>
        <w:overflowPunct/>
        <w:topLinePunct w:val="0"/>
        <w:autoSpaceDE w:val="0"/>
        <w:autoSpaceDN w:val="0"/>
        <w:bidi w:val="0"/>
        <w:adjustRightInd w:val="0"/>
        <w:snapToGrid w:val="0"/>
        <w:spacing w:before="100" w:line="400" w:lineRule="exact"/>
        <w:ind w:firstLine="836" w:firstLineChars="200"/>
        <w:jc w:val="center"/>
        <w:textAlignment w:val="baseline"/>
        <w:rPr>
          <w:rFonts w:hint="eastAsia" w:ascii="宋体" w:hAnsi="宋体" w:eastAsia="宋体" w:cs="宋体"/>
          <w:color w:val="auto"/>
          <w:spacing w:val="9"/>
          <w:sz w:val="40"/>
          <w:szCs w:val="40"/>
          <w:highlight w:val="none"/>
          <w:lang w:val="en-US" w:eastAsia="zh-CN"/>
        </w:rPr>
        <w:sectPr>
          <w:headerReference r:id="rId6" w:type="default"/>
          <w:footerReference r:id="rId7" w:type="default"/>
          <w:pgSz w:w="11906" w:h="16839"/>
          <w:pgMar w:top="1621" w:right="1440" w:bottom="1287" w:left="1440" w:header="878" w:footer="1200" w:gutter="0"/>
          <w:cols w:space="720" w:num="1"/>
        </w:sectPr>
      </w:pPr>
    </w:p>
    <w:p w14:paraId="7761A8E0">
      <w:pPr>
        <w:keepNext w:val="0"/>
        <w:keepLines w:val="0"/>
        <w:pageBreakBefore w:val="0"/>
        <w:widowControl/>
        <w:kinsoku w:val="0"/>
        <w:wordWrap/>
        <w:overflowPunct/>
        <w:topLinePunct w:val="0"/>
        <w:autoSpaceDE w:val="0"/>
        <w:autoSpaceDN w:val="0"/>
        <w:bidi w:val="0"/>
        <w:adjustRightInd w:val="0"/>
        <w:snapToGrid w:val="0"/>
        <w:spacing w:before="271" w:line="360" w:lineRule="auto"/>
        <w:jc w:val="center"/>
        <w:textAlignment w:val="baseline"/>
        <w:rPr>
          <w:rFonts w:hint="eastAsia" w:ascii="宋体" w:hAnsi="宋体" w:eastAsia="宋体" w:cs="宋体"/>
          <w:color w:val="auto"/>
          <w:spacing w:val="9"/>
          <w:sz w:val="40"/>
          <w:szCs w:val="40"/>
          <w:highlight w:val="none"/>
          <w:lang w:eastAsia="zh-CN"/>
        </w:rPr>
      </w:pPr>
      <w:r>
        <w:rPr>
          <w:rFonts w:hint="eastAsia" w:ascii="宋体" w:hAnsi="宋体" w:eastAsia="宋体" w:cs="宋体"/>
          <w:color w:val="auto"/>
          <w:spacing w:val="9"/>
          <w:sz w:val="40"/>
          <w:szCs w:val="40"/>
          <w:highlight w:val="none"/>
          <w:lang w:eastAsia="zh-CN"/>
        </w:rPr>
        <w:t>合同文本</w:t>
      </w:r>
    </w:p>
    <w:p w14:paraId="603089B5">
      <w:pPr>
        <w:keepNext w:val="0"/>
        <w:keepLines w:val="0"/>
        <w:pageBreakBefore w:val="0"/>
        <w:widowControl/>
        <w:kinsoku w:val="0"/>
        <w:wordWrap w:val="0"/>
        <w:overflowPunct/>
        <w:topLinePunct w:val="0"/>
        <w:autoSpaceDE w:val="0"/>
        <w:autoSpaceDN w:val="0"/>
        <w:bidi w:val="0"/>
        <w:adjustRightInd w:val="0"/>
        <w:snapToGrid w:val="0"/>
        <w:spacing w:before="271" w:line="360" w:lineRule="auto"/>
        <w:jc w:val="right"/>
        <w:textAlignment w:val="baseline"/>
        <w:rPr>
          <w:rFonts w:hint="default" w:ascii="宋体" w:hAnsi="宋体" w:eastAsia="宋体" w:cs="宋体"/>
          <w:color w:val="auto"/>
          <w:sz w:val="21"/>
          <w:szCs w:val="21"/>
          <w:highlight w:val="none"/>
          <w:lang w:val="en-US"/>
        </w:rPr>
      </w:pPr>
      <w:r>
        <w:rPr>
          <w:rFonts w:hint="eastAsia" w:ascii="宋体" w:hAnsi="宋体" w:eastAsia="宋体" w:cs="宋体"/>
          <w:color w:val="auto"/>
          <w:spacing w:val="8"/>
          <w:sz w:val="21"/>
          <w:szCs w:val="21"/>
          <w:highlight w:val="none"/>
        </w:rPr>
        <w:t>政采云合同编号</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u w:val="single"/>
          <w:lang w:val="en-US" w:eastAsia="zh-CN"/>
        </w:rPr>
        <w:t xml:space="preserve">             </w:t>
      </w:r>
    </w:p>
    <w:p w14:paraId="182A75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rPr>
      </w:pPr>
    </w:p>
    <w:p w14:paraId="3EC25EB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采购人（甲方）：</w:t>
      </w:r>
      <w:r>
        <w:rPr>
          <w:rFonts w:hint="eastAsia" w:ascii="宋体" w:hAnsi="宋体" w:eastAsia="宋体" w:cs="宋体"/>
          <w:color w:val="auto"/>
          <w:sz w:val="21"/>
          <w:szCs w:val="21"/>
          <w:highlight w:val="none"/>
          <w:u w:val="single"/>
        </w:rPr>
        <w:t>陆川县人民医院</w:t>
      </w:r>
    </w:p>
    <w:p w14:paraId="7A564A1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lang w:val="en-US" w:eastAsia="zh-CN"/>
        </w:rPr>
        <w:t xml:space="preserve">              </w:t>
      </w:r>
    </w:p>
    <w:p w14:paraId="16B49C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p>
    <w:p w14:paraId="04DBE1D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陆川县</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年</w:t>
      </w:r>
      <w:r>
        <w:rPr>
          <w:rFonts w:hint="eastAsia" w:ascii="宋体" w:hAnsi="宋体" w:eastAsia="宋体" w:cs="宋体"/>
          <w:color w:val="auto"/>
          <w:sz w:val="21"/>
          <w:szCs w:val="21"/>
          <w:highlight w:val="none"/>
          <w:u w:val="single"/>
          <w:lang w:val="en-US" w:eastAsia="zh-CN"/>
        </w:rPr>
        <w:t xml:space="preserve">   月   日</w:t>
      </w:r>
    </w:p>
    <w:p w14:paraId="4710A9E1">
      <w:pPr>
        <w:keepNext w:val="0"/>
        <w:keepLines w:val="0"/>
        <w:pageBreakBefore w:val="0"/>
        <w:widowControl/>
        <w:kinsoku w:val="0"/>
        <w:wordWrap/>
        <w:overflowPunct/>
        <w:topLinePunct w:val="0"/>
        <w:autoSpaceDE w:val="0"/>
        <w:autoSpaceDN w:val="0"/>
        <w:bidi w:val="0"/>
        <w:adjustRightInd w:val="0"/>
        <w:snapToGrid w:val="0"/>
        <w:spacing w:before="40" w:line="360" w:lineRule="auto"/>
        <w:ind w:right="0" w:firstLine="592" w:firstLineChars="200"/>
        <w:jc w:val="both"/>
        <w:textAlignment w:val="baseline"/>
        <w:rPr>
          <w:rFonts w:hint="eastAsia" w:ascii="宋体" w:hAnsi="宋体" w:eastAsia="宋体" w:cs="宋体"/>
          <w:color w:val="auto"/>
          <w:spacing w:val="8"/>
          <w:sz w:val="28"/>
          <w:szCs w:val="28"/>
          <w:highlight w:val="none"/>
          <w:lang w:val="en-US" w:eastAsia="zh-CN"/>
        </w:rPr>
      </w:pPr>
    </w:p>
    <w:p w14:paraId="3E17F08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081EF88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供货一览表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074"/>
        <w:gridCol w:w="1104"/>
        <w:gridCol w:w="1304"/>
        <w:gridCol w:w="750"/>
        <w:gridCol w:w="817"/>
        <w:gridCol w:w="1206"/>
        <w:gridCol w:w="1334"/>
      </w:tblGrid>
      <w:tr w14:paraId="63C1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noWrap w:val="0"/>
            <w:vAlign w:val="center"/>
          </w:tcPr>
          <w:p w14:paraId="1A79AF1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序号</w:t>
            </w:r>
          </w:p>
        </w:tc>
        <w:tc>
          <w:tcPr>
            <w:tcW w:w="1074" w:type="dxa"/>
            <w:noWrap w:val="0"/>
            <w:vAlign w:val="center"/>
          </w:tcPr>
          <w:p w14:paraId="664BD47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标的名称</w:t>
            </w:r>
          </w:p>
        </w:tc>
        <w:tc>
          <w:tcPr>
            <w:tcW w:w="1104" w:type="dxa"/>
            <w:noWrap w:val="0"/>
            <w:vAlign w:val="center"/>
          </w:tcPr>
          <w:p w14:paraId="65A4023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规格</w:t>
            </w:r>
            <w:r>
              <w:rPr>
                <w:rFonts w:hint="eastAsia" w:ascii="宋体" w:hAnsi="宋体" w:eastAsia="宋体" w:cs="宋体"/>
                <w:color w:val="auto"/>
                <w:szCs w:val="21"/>
                <w:highlight w:val="none"/>
                <w:lang w:eastAsia="zh-CN"/>
              </w:rPr>
              <w:t>型号</w:t>
            </w:r>
          </w:p>
        </w:tc>
        <w:tc>
          <w:tcPr>
            <w:tcW w:w="1304" w:type="dxa"/>
            <w:noWrap w:val="0"/>
            <w:vAlign w:val="center"/>
          </w:tcPr>
          <w:p w14:paraId="3CD7FCD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生产厂家</w:t>
            </w:r>
          </w:p>
        </w:tc>
        <w:tc>
          <w:tcPr>
            <w:tcW w:w="750" w:type="dxa"/>
            <w:noWrap w:val="0"/>
            <w:vAlign w:val="center"/>
          </w:tcPr>
          <w:p w14:paraId="44BBEC7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i w:val="0"/>
                <w:color w:val="auto"/>
                <w:kern w:val="0"/>
                <w:sz w:val="21"/>
                <w:szCs w:val="21"/>
                <w:highlight w:val="none"/>
                <w:u w:val="none"/>
                <w:lang w:val="en-US" w:eastAsia="zh-CN" w:bidi="ar"/>
              </w:rPr>
              <w:t>单位</w:t>
            </w:r>
          </w:p>
        </w:tc>
        <w:tc>
          <w:tcPr>
            <w:tcW w:w="817" w:type="dxa"/>
            <w:noWrap w:val="0"/>
            <w:vAlign w:val="center"/>
          </w:tcPr>
          <w:p w14:paraId="2DB6E58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i w:val="0"/>
                <w:color w:val="auto"/>
                <w:kern w:val="0"/>
                <w:sz w:val="21"/>
                <w:szCs w:val="21"/>
                <w:highlight w:val="none"/>
                <w:u w:val="none"/>
                <w:lang w:val="en-US" w:eastAsia="zh-CN" w:bidi="ar"/>
              </w:rPr>
              <w:t>数量</w:t>
            </w:r>
          </w:p>
        </w:tc>
        <w:tc>
          <w:tcPr>
            <w:tcW w:w="1206" w:type="dxa"/>
            <w:noWrap w:val="0"/>
            <w:vAlign w:val="center"/>
          </w:tcPr>
          <w:p w14:paraId="50F87CC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334" w:type="dxa"/>
            <w:noWrap w:val="0"/>
            <w:vAlign w:val="center"/>
          </w:tcPr>
          <w:p w14:paraId="05CA738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合计</w:t>
            </w:r>
            <w:r>
              <w:rPr>
                <w:rFonts w:hint="eastAsia" w:ascii="宋体" w:hAnsi="宋体" w:eastAsia="宋体" w:cs="宋体"/>
                <w:color w:val="auto"/>
                <w:szCs w:val="21"/>
                <w:highlight w:val="none"/>
              </w:rPr>
              <w:t>（元）</w:t>
            </w:r>
          </w:p>
        </w:tc>
      </w:tr>
      <w:tr w14:paraId="76F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noWrap w:val="0"/>
            <w:vAlign w:val="center"/>
          </w:tcPr>
          <w:p w14:paraId="085D4D6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1</w:t>
            </w:r>
          </w:p>
        </w:tc>
        <w:tc>
          <w:tcPr>
            <w:tcW w:w="1074" w:type="dxa"/>
            <w:noWrap w:val="0"/>
            <w:vAlign w:val="center"/>
          </w:tcPr>
          <w:p w14:paraId="28A223D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p>
        </w:tc>
        <w:tc>
          <w:tcPr>
            <w:tcW w:w="1104" w:type="dxa"/>
            <w:noWrap w:val="0"/>
            <w:vAlign w:val="center"/>
          </w:tcPr>
          <w:p w14:paraId="557C735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p>
        </w:tc>
        <w:tc>
          <w:tcPr>
            <w:tcW w:w="1304" w:type="dxa"/>
            <w:noWrap w:val="0"/>
            <w:vAlign w:val="center"/>
          </w:tcPr>
          <w:p w14:paraId="22F667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p>
          <w:p w14:paraId="62A96248">
            <w:pPr>
              <w:pStyle w:val="2"/>
              <w:rPr>
                <w:rFonts w:hint="eastAsia" w:ascii="宋体" w:hAnsi="宋体" w:eastAsia="宋体" w:cs="宋体"/>
                <w:color w:val="auto"/>
                <w:szCs w:val="21"/>
                <w:highlight w:val="none"/>
                <w:lang w:eastAsia="zh-CN"/>
              </w:rPr>
            </w:pPr>
          </w:p>
          <w:p w14:paraId="4C8C6232">
            <w:pPr>
              <w:rPr>
                <w:rFonts w:hint="eastAsia"/>
                <w:color w:val="auto"/>
                <w:highlight w:val="none"/>
                <w:lang w:eastAsia="zh-CN"/>
              </w:rPr>
            </w:pPr>
          </w:p>
        </w:tc>
        <w:tc>
          <w:tcPr>
            <w:tcW w:w="750" w:type="dxa"/>
            <w:noWrap w:val="0"/>
            <w:vAlign w:val="center"/>
          </w:tcPr>
          <w:p w14:paraId="7C425A0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套</w:t>
            </w:r>
          </w:p>
        </w:tc>
        <w:tc>
          <w:tcPr>
            <w:tcW w:w="817" w:type="dxa"/>
            <w:noWrap w:val="0"/>
            <w:vAlign w:val="center"/>
          </w:tcPr>
          <w:p w14:paraId="3FD9E8B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206" w:type="dxa"/>
            <w:noWrap w:val="0"/>
            <w:vAlign w:val="center"/>
          </w:tcPr>
          <w:p w14:paraId="14449D1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p>
        </w:tc>
        <w:tc>
          <w:tcPr>
            <w:tcW w:w="1334" w:type="dxa"/>
            <w:noWrap w:val="0"/>
            <w:vAlign w:val="center"/>
          </w:tcPr>
          <w:p w14:paraId="2B5A84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p>
        </w:tc>
      </w:tr>
      <w:tr w14:paraId="0981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12" w:type="dxa"/>
            <w:gridSpan w:val="8"/>
            <w:noWrap w:val="0"/>
            <w:vAlign w:val="center"/>
          </w:tcPr>
          <w:p w14:paraId="30C57758">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合计金额大写：</w:t>
            </w:r>
            <w:r>
              <w:rPr>
                <w:rFonts w:hint="eastAsia" w:ascii="宋体" w:hAnsi="宋体" w:eastAsia="宋体" w:cs="宋体"/>
                <w:color w:val="auto"/>
                <w:szCs w:val="21"/>
                <w:highlight w:val="none"/>
                <w:u w:val="single"/>
                <w:lang w:eastAsia="zh-CN"/>
              </w:rPr>
              <w:t>人民币</w:t>
            </w:r>
            <w:r>
              <w:rPr>
                <w:rFonts w:hint="eastAsia" w:ascii="宋体" w:hAnsi="宋体" w:eastAsia="宋体" w:cs="宋体"/>
                <w:color w:val="auto"/>
                <w:szCs w:val="21"/>
                <w:highlight w:val="none"/>
                <w:u w:val="single"/>
                <w:lang w:val="en-US" w:eastAsia="zh-CN"/>
              </w:rPr>
              <w:t xml:space="preserve">              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p>
        </w:tc>
      </w:tr>
    </w:tbl>
    <w:p w14:paraId="740D076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Cs w:val="21"/>
          <w:highlight w:val="none"/>
        </w:rPr>
        <w:t>合同合计金额包括</w:t>
      </w:r>
      <w:r>
        <w:rPr>
          <w:rFonts w:hint="eastAsia" w:ascii="宋体" w:hAnsi="宋体" w:eastAsia="宋体" w:cs="宋体"/>
          <w:color w:val="auto"/>
          <w:szCs w:val="21"/>
          <w:highlight w:val="none"/>
          <w:lang w:val="en-US" w:eastAsia="zh-CN"/>
        </w:rPr>
        <w:t>：（1）竞标货物的总价；（2）货物的标准附件、备品备件、专用工具的价格；</w:t>
      </w:r>
    </w:p>
    <w:p w14:paraId="6BD23E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（3）运输、装卸、调试、验收、培训、保修、技术支持、检测费、售后服务等费用；（4）必要的保险费用和各项税费等，采购人不再支付其它任何费用；</w:t>
      </w:r>
    </w:p>
    <w:p w14:paraId="3733BE4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质量保证</w:t>
      </w:r>
    </w:p>
    <w:p w14:paraId="5683A1F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1.乙方所提供的货物型号、技术规格、技术参数等质量必须与</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rPr>
        <w:t>和承诺相一致。乙方提供的节能和环保产品必须是列入政府采购清单的产品。</w:t>
      </w:r>
    </w:p>
    <w:p w14:paraId="545A62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2.乙方所提供的货物必须是全新、未使用的原装产品，且在正常安装、使用和保养条件下，其使用寿命期内各项指标均达到质量要求。</w:t>
      </w:r>
    </w:p>
    <w:p w14:paraId="74C7DE3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669A190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乙方应保证所提供货物在使用时不会侵犯任何第三方的专利权、商标权、工业设计权或其他权利。</w:t>
      </w:r>
    </w:p>
    <w:p w14:paraId="54333B6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乙方所交付的货物必须具有完全的所有权，不得有抵押、质押、查封等产权瑕疵。</w:t>
      </w:r>
    </w:p>
    <w:p w14:paraId="54BDDDD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乙方应按招标文件规定的时间向甲方提供使用货物的有关技术资料。</w:t>
      </w:r>
    </w:p>
    <w:p w14:paraId="316500B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未经</w:t>
      </w:r>
      <w:r>
        <w:rPr>
          <w:rFonts w:hint="eastAsia" w:ascii="宋体" w:hAnsi="宋体" w:eastAsia="宋体" w:cs="宋体"/>
          <w:color w:val="auto"/>
          <w:szCs w:val="21"/>
          <w:highlight w:val="none"/>
        </w:rPr>
        <w:t>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BE5C6B7">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color w:val="auto"/>
          <w:szCs w:val="21"/>
          <w:highlight w:val="none"/>
          <w:lang w:eastAsia="zh-CN"/>
        </w:rPr>
        <w:t>包装和运输</w:t>
      </w:r>
    </w:p>
    <w:p w14:paraId="4B013A3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1.乙方提供的货物</w:t>
      </w:r>
      <w:r>
        <w:rPr>
          <w:rFonts w:hint="eastAsia" w:ascii="宋体" w:hAnsi="宋体" w:cs="宋体"/>
          <w:color w:val="auto"/>
          <w:szCs w:val="21"/>
          <w:highlight w:val="none"/>
          <w:lang w:val="en-US" w:eastAsia="zh-CN"/>
        </w:rPr>
        <w:t>均</w:t>
      </w:r>
      <w:r>
        <w:rPr>
          <w:rFonts w:hint="eastAsia" w:ascii="宋体" w:hAnsi="宋体" w:eastAsia="宋体" w:cs="宋体"/>
          <w:color w:val="auto"/>
          <w:szCs w:val="21"/>
          <w:highlight w:val="none"/>
          <w:lang w:val="en-US" w:eastAsia="zh-CN"/>
        </w:rPr>
        <w:t>应按照</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val="en-US" w:eastAsia="zh-CN"/>
        </w:rPr>
        <w:t>文件要求的包装材料、包装标准、包装方式进行包装，每一包装单元内应附详细的装箱单和质量合格证。</w:t>
      </w:r>
    </w:p>
    <w:p w14:paraId="3BD4B6E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2.乙方负责货物运输，货物运输合理耗损及计算方式：</w:t>
      </w:r>
      <w:r>
        <w:rPr>
          <w:rFonts w:hint="eastAsia" w:ascii="宋体" w:hAnsi="宋体" w:eastAsia="宋体" w:cs="宋体"/>
          <w:color w:val="auto"/>
          <w:szCs w:val="21"/>
          <w:highlight w:val="none"/>
          <w:u w:val="single"/>
          <w:lang w:val="en-US" w:eastAsia="zh-CN"/>
        </w:rPr>
        <w:t xml:space="preserve">     乙方负责    </w:t>
      </w:r>
      <w:r>
        <w:rPr>
          <w:rFonts w:hint="eastAsia" w:ascii="宋体" w:hAnsi="宋体" w:eastAsia="宋体" w:cs="宋体"/>
          <w:color w:val="auto"/>
          <w:szCs w:val="21"/>
          <w:highlight w:val="none"/>
          <w:lang w:val="en-US" w:eastAsia="zh-CN"/>
        </w:rPr>
        <w:t>。</w:t>
      </w:r>
    </w:p>
    <w:p w14:paraId="2359DD1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3.货物的运输方式：</w:t>
      </w:r>
      <w:r>
        <w:rPr>
          <w:rFonts w:hint="eastAsia" w:ascii="宋体" w:hAnsi="宋体" w:eastAsia="宋体" w:cs="宋体"/>
          <w:color w:val="auto"/>
          <w:szCs w:val="21"/>
          <w:highlight w:val="none"/>
          <w:u w:val="single"/>
          <w:lang w:val="en-US" w:eastAsia="zh-CN"/>
        </w:rPr>
        <w:t xml:space="preserve">    由乙方自定   </w:t>
      </w:r>
      <w:r>
        <w:rPr>
          <w:rFonts w:hint="eastAsia" w:ascii="宋体" w:hAnsi="宋体" w:eastAsia="宋体" w:cs="宋体"/>
          <w:color w:val="auto"/>
          <w:szCs w:val="21"/>
          <w:highlight w:val="none"/>
          <w:lang w:val="en-US" w:eastAsia="zh-CN"/>
        </w:rPr>
        <w:t xml:space="preserve"> 。</w:t>
      </w:r>
    </w:p>
    <w:p w14:paraId="3A2A2C69">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交付</w:t>
      </w:r>
      <w:r>
        <w:rPr>
          <w:rFonts w:hint="eastAsia" w:ascii="宋体" w:hAnsi="宋体" w:eastAsia="宋体" w:cs="宋体"/>
          <w:b/>
          <w:bCs w:val="0"/>
          <w:color w:val="auto"/>
          <w:szCs w:val="21"/>
          <w:highlight w:val="none"/>
          <w:lang w:eastAsia="zh-CN"/>
        </w:rPr>
        <w:t>和验收</w:t>
      </w:r>
    </w:p>
    <w:p w14:paraId="2A4B4A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交</w:t>
      </w:r>
      <w:r>
        <w:rPr>
          <w:rFonts w:hint="eastAsia" w:ascii="宋体" w:hAnsi="宋体" w:cs="宋体"/>
          <w:color w:val="auto"/>
          <w:szCs w:val="21"/>
          <w:highlight w:val="none"/>
          <w:lang w:val="en-US" w:eastAsia="zh-CN"/>
        </w:rPr>
        <w:t>付期限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自签订合同之日起</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天内供货安装调试完毕交付正常使用。</w:t>
      </w:r>
    </w:p>
    <w:p w14:paraId="58BCAE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r>
        <w:rPr>
          <w:rFonts w:hint="eastAsia" w:ascii="宋体" w:hAnsi="宋体" w:eastAsia="宋体" w:cs="宋体"/>
          <w:color w:val="auto"/>
          <w:szCs w:val="21"/>
          <w:highlight w:val="none"/>
          <w:u w:val="single"/>
        </w:rPr>
        <w:t>广西</w:t>
      </w:r>
      <w:r>
        <w:rPr>
          <w:rFonts w:hint="eastAsia" w:ascii="宋体" w:hAnsi="宋体" w:eastAsia="宋体" w:cs="宋体"/>
          <w:color w:val="auto"/>
          <w:szCs w:val="21"/>
          <w:highlight w:val="none"/>
          <w:u w:val="single"/>
          <w:lang w:val="en-US" w:eastAsia="zh-CN"/>
        </w:rPr>
        <w:t>玉林</w:t>
      </w:r>
      <w:r>
        <w:rPr>
          <w:rFonts w:hint="eastAsia" w:ascii="宋体" w:hAnsi="宋体" w:eastAsia="宋体" w:cs="宋体"/>
          <w:color w:val="auto"/>
          <w:szCs w:val="21"/>
          <w:highlight w:val="none"/>
          <w:u w:val="single"/>
        </w:rPr>
        <w:t>市（采购人指定地点）。</w:t>
      </w:r>
    </w:p>
    <w:p w14:paraId="26A07A7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w:t>
      </w:r>
      <w:r>
        <w:rPr>
          <w:rFonts w:hint="eastAsia" w:ascii="宋体" w:hAnsi="宋体" w:cs="宋体"/>
          <w:color w:val="auto"/>
          <w:szCs w:val="21"/>
          <w:highlight w:val="none"/>
          <w:lang w:val="en-US" w:eastAsia="zh-CN"/>
        </w:rPr>
        <w:t>采购文件、响应文件</w:t>
      </w:r>
      <w:r>
        <w:rPr>
          <w:rFonts w:hint="eastAsia" w:ascii="宋体" w:hAnsi="宋体" w:eastAsia="宋体" w:cs="宋体"/>
          <w:color w:val="auto"/>
          <w:szCs w:val="21"/>
          <w:highlight w:val="none"/>
        </w:rPr>
        <w:t>和本合同规定的货物，甲方有权拒绝接受。</w:t>
      </w:r>
    </w:p>
    <w:p w14:paraId="2C39147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3.乙方应将所提供货物的装箱清单、用户手册、原厂保修卡、随机资料、工具和备品、备件等交付给甲方，如有缺失应及时补齐，否则视为逾期交货。</w:t>
      </w:r>
    </w:p>
    <w:p w14:paraId="483D13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4.甲方在到货后即首先对货物外观、数量进行初步验收，安装、调试、培训完成后10个工作内进行最终验收。</w:t>
      </w:r>
    </w:p>
    <w:p w14:paraId="6B2B49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5.在验收过程中发现乙方有违约问题，甲方有权暂缓资金结算，带违约问题解决后。方可办理资金结算事宜，资金结算期自违约问题解决之日起从新计算。</w:t>
      </w:r>
    </w:p>
    <w:p w14:paraId="5D4ACA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highlight w:val="none"/>
          <w:lang w:val="en-US" w:eastAsia="zh-CN"/>
        </w:rPr>
        <w:t>甲方对验收有异议的，在验收后5个工作日内以书面形式向乙方提出，乙方应自收到甲方书面异议后7日内及时予以解决。</w:t>
      </w:r>
    </w:p>
    <w:p w14:paraId="23B9289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六</w:t>
      </w:r>
      <w:r>
        <w:rPr>
          <w:rFonts w:hint="eastAsia" w:ascii="宋体" w:hAnsi="宋体" w:eastAsia="宋体" w:cs="宋体"/>
          <w:b/>
          <w:color w:val="auto"/>
          <w:szCs w:val="21"/>
          <w:highlight w:val="none"/>
        </w:rPr>
        <w:t>条　安装</w:t>
      </w:r>
      <w:r>
        <w:rPr>
          <w:rFonts w:hint="eastAsia" w:ascii="宋体" w:hAnsi="宋体" w:eastAsia="宋体" w:cs="宋体"/>
          <w:b/>
          <w:color w:val="auto"/>
          <w:szCs w:val="21"/>
          <w:highlight w:val="none"/>
          <w:lang w:eastAsia="zh-CN"/>
        </w:rPr>
        <w:t>、调试和</w:t>
      </w:r>
      <w:r>
        <w:rPr>
          <w:rFonts w:hint="eastAsia" w:ascii="宋体" w:hAnsi="宋体" w:eastAsia="宋体" w:cs="宋体"/>
          <w:b/>
          <w:color w:val="auto"/>
          <w:szCs w:val="21"/>
          <w:highlight w:val="none"/>
        </w:rPr>
        <w:t>培训</w:t>
      </w:r>
    </w:p>
    <w:p w14:paraId="148869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甲方应为乙方的安装、调试提供必要的如场地、电源、水源等条件。</w:t>
      </w:r>
    </w:p>
    <w:p w14:paraId="5B07C54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2.乙方在安装、调试后应给甲方30日的产品使用适应期，在此期间乙方应加大对乙方人员的培训，如乙方培训不到位，甲方在使用产品因不适应造成产品损坏的，按产品“三包”处理。</w:t>
      </w:r>
    </w:p>
    <w:p w14:paraId="1D93A40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乙方负责甲方有关人员的培训</w:t>
      </w:r>
      <w:r>
        <w:rPr>
          <w:rFonts w:hint="eastAsia" w:ascii="宋体" w:hAnsi="宋体" w:eastAsia="宋体" w:cs="宋体"/>
          <w:color w:val="auto"/>
          <w:szCs w:val="21"/>
          <w:highlight w:val="none"/>
          <w:lang w:eastAsia="zh-CN"/>
        </w:rPr>
        <w:t>，乙方也可委托甲方负责和协助培训，培训费用由乙方支付。</w:t>
      </w:r>
      <w:r>
        <w:rPr>
          <w:rFonts w:hint="eastAsia" w:ascii="宋体" w:hAnsi="宋体" w:eastAsia="宋体" w:cs="宋体"/>
          <w:color w:val="auto"/>
          <w:szCs w:val="21"/>
          <w:highlight w:val="none"/>
        </w:rPr>
        <w:t>培训时间、地点：</w:t>
      </w:r>
      <w:r>
        <w:rPr>
          <w:rFonts w:hint="eastAsia" w:ascii="宋体" w:hAnsi="宋体" w:eastAsia="宋体" w:cs="宋体"/>
          <w:color w:val="auto"/>
          <w:szCs w:val="21"/>
          <w:highlight w:val="none"/>
          <w:u w:val="single"/>
        </w:rPr>
        <w:t>按甲方规定的时间和地点</w:t>
      </w:r>
      <w:r>
        <w:rPr>
          <w:rFonts w:hint="eastAsia" w:ascii="宋体" w:hAnsi="宋体" w:eastAsia="宋体" w:cs="宋体"/>
          <w:color w:val="auto"/>
          <w:szCs w:val="21"/>
          <w:highlight w:val="none"/>
          <w:u w:val="none"/>
        </w:rPr>
        <w:t>。</w:t>
      </w:r>
    </w:p>
    <w:p w14:paraId="2A9503D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七</w:t>
      </w:r>
      <w:r>
        <w:rPr>
          <w:rFonts w:hint="eastAsia" w:ascii="宋体" w:hAnsi="宋体" w:eastAsia="宋体" w:cs="宋体"/>
          <w:b/>
          <w:color w:val="auto"/>
          <w:szCs w:val="21"/>
          <w:highlight w:val="none"/>
        </w:rPr>
        <w:t>条  售后服务、保修期</w:t>
      </w:r>
    </w:p>
    <w:p w14:paraId="2F07E60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和本合同所附的服务承诺，为甲方提供售后服务。</w:t>
      </w:r>
    </w:p>
    <w:p w14:paraId="4BC293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货物保修期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见乙方</w:t>
      </w:r>
      <w:r>
        <w:rPr>
          <w:rFonts w:hint="eastAsia" w:ascii="宋体" w:hAnsi="宋体" w:eastAsia="宋体" w:cs="宋体"/>
          <w:color w:val="auto"/>
          <w:szCs w:val="21"/>
          <w:highlight w:val="none"/>
          <w:u w:val="single"/>
          <w:lang w:eastAsia="zh-CN"/>
        </w:rPr>
        <w:t>响应</w:t>
      </w:r>
      <w:r>
        <w:rPr>
          <w:rFonts w:hint="eastAsia" w:ascii="宋体" w:hAnsi="宋体" w:eastAsia="宋体" w:cs="宋体"/>
          <w:color w:val="auto"/>
          <w:szCs w:val="21"/>
          <w:highlight w:val="none"/>
          <w:u w:val="single"/>
        </w:rPr>
        <w:t>文件承诺。</w:t>
      </w:r>
    </w:p>
    <w:p w14:paraId="5BCFA28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3.乙方提供的服务承诺和售后服务及保修期责任等其它具体约定事项。（如有，可另附合同附件）</w:t>
      </w:r>
    </w:p>
    <w:p w14:paraId="666538B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八</w:t>
      </w:r>
      <w:r>
        <w:rPr>
          <w:rFonts w:hint="eastAsia" w:ascii="宋体" w:hAnsi="宋体" w:eastAsia="宋体" w:cs="宋体"/>
          <w:b/>
          <w:color w:val="auto"/>
          <w:szCs w:val="21"/>
          <w:highlight w:val="none"/>
        </w:rPr>
        <w:t>条　付款方式</w:t>
      </w:r>
    </w:p>
    <w:p w14:paraId="22DD54CE">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1.当采购数量与实际使用数量不一致时，乙方应根据实际使用量供货，合同的最终结算金额按实际使用量乘以中标单价进行计算。</w:t>
      </w:r>
    </w:p>
    <w:p w14:paraId="4B5006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资金性质：</w:t>
      </w:r>
      <w:r>
        <w:rPr>
          <w:rFonts w:hint="eastAsia" w:ascii="宋体" w:hAnsi="宋体" w:eastAsia="宋体" w:cs="宋体"/>
          <w:color w:val="auto"/>
          <w:szCs w:val="21"/>
          <w:highlight w:val="none"/>
          <w:u w:val="single"/>
          <w:lang w:val="en-US" w:eastAsia="zh-CN"/>
        </w:rPr>
        <w:t>专项债券</w:t>
      </w:r>
      <w:r>
        <w:rPr>
          <w:rFonts w:hint="eastAsia" w:ascii="宋体" w:hAnsi="宋体" w:eastAsia="宋体" w:cs="宋体"/>
          <w:color w:val="auto"/>
          <w:szCs w:val="21"/>
          <w:highlight w:val="none"/>
        </w:rPr>
        <w:t>。</w:t>
      </w:r>
    </w:p>
    <w:p w14:paraId="2DD8BCB6">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3.付款条件：</w:t>
      </w:r>
    </w:p>
    <w:p w14:paraId="6BAB141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合同签订后10个工作日内支付合同总金额的30%；交货后10个工作日内支付至合同总金额的60%：全部安装调试完毕并验收合格后20个工作日内支付至合同总金额的100%，每次付款前必须提供相应金额的增值税普通发票</w:t>
      </w:r>
      <w:r>
        <w:rPr>
          <w:rFonts w:hint="eastAsia" w:ascii="宋体" w:hAnsi="宋体" w:eastAsia="宋体" w:cs="宋体"/>
          <w:b/>
          <w:color w:val="auto"/>
          <w:szCs w:val="21"/>
          <w:highlight w:val="none"/>
        </w:rPr>
        <w:t>。</w:t>
      </w:r>
    </w:p>
    <w:p w14:paraId="4552863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九</w:t>
      </w:r>
      <w:r>
        <w:rPr>
          <w:rFonts w:hint="eastAsia" w:ascii="宋体" w:hAnsi="宋体" w:eastAsia="宋体" w:cs="宋体"/>
          <w:b/>
          <w:color w:val="auto"/>
          <w:szCs w:val="21"/>
          <w:highlight w:val="none"/>
        </w:rPr>
        <w:t xml:space="preserve">条　履约保证金 </w:t>
      </w:r>
    </w:p>
    <w:p w14:paraId="045B7545">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1.按项目成交金额的</w:t>
      </w:r>
      <w:r>
        <w:rPr>
          <w:rFonts w:hint="eastAsia" w:hAnsi="宋体" w:eastAsia="宋体" w:cs="宋体"/>
          <w:bCs/>
          <w:color w:val="auto"/>
          <w:sz w:val="21"/>
          <w:highlight w:val="none"/>
          <w:u w:val="single"/>
          <w:lang w:val="en-US" w:eastAsia="zh-CN"/>
        </w:rPr>
        <w:t xml:space="preserve"> / </w:t>
      </w:r>
      <w:r>
        <w:rPr>
          <w:rFonts w:hint="eastAsia" w:ascii="宋体" w:hAnsi="宋体" w:eastAsia="宋体" w:cs="宋体"/>
          <w:bCs/>
          <w:color w:val="auto"/>
          <w:sz w:val="21"/>
          <w:highlight w:val="none"/>
          <w:lang w:val="en-US" w:eastAsia="zh-CN"/>
        </w:rPr>
        <w:t>%收取；</w:t>
      </w:r>
    </w:p>
    <w:p w14:paraId="4C74ABEC">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2.履约保证金提交方式：银行转账、支票、汇票、本票或者金融机构、担保机构出具的保函等非现金方式。</w:t>
      </w:r>
    </w:p>
    <w:p w14:paraId="2BDE2344">
      <w:pPr>
        <w:pStyle w:val="12"/>
        <w:keepNext w:val="0"/>
        <w:keepLines w:val="0"/>
        <w:pageBreakBefore w:val="0"/>
        <w:wordWrap/>
        <w:overflowPunct/>
        <w:topLinePunct w:val="0"/>
        <w:bidi w:val="0"/>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lang w:val="en-US" w:eastAsia="zh-CN"/>
        </w:rPr>
        <w:t>3.履约保证金退付方式、时间及条件：自签订合同之日起10个工作日内完成安装调试并交付验收合格，质保期满后成交供应商持履约保证金退付意见书、政府采购合同及履约验收证明到至采购人处办理退还履约保证金手续，采购人将在收到完整且合格的退付申请资料后五个工作日内无息原额退还。</w:t>
      </w:r>
    </w:p>
    <w:p w14:paraId="0FDB932E">
      <w:pPr>
        <w:pStyle w:val="12"/>
        <w:keepNext w:val="0"/>
        <w:keepLines w:val="0"/>
        <w:pageBreakBefore w:val="0"/>
        <w:wordWrap/>
        <w:overflowPunct/>
        <w:topLinePunct w:val="0"/>
        <w:bidi w:val="0"/>
        <w:snapToGrid w:val="0"/>
        <w:spacing w:line="360" w:lineRule="auto"/>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4.缴纳履约保证金指定账户的信息：</w:t>
      </w:r>
    </w:p>
    <w:p w14:paraId="08E97BEB">
      <w:pPr>
        <w:pStyle w:val="12"/>
        <w:keepNext w:val="0"/>
        <w:keepLines w:val="0"/>
        <w:pageBreakBefore w:val="0"/>
        <w:wordWrap/>
        <w:overflowPunct/>
        <w:topLinePunct w:val="0"/>
        <w:bidi w:val="0"/>
        <w:snapToGrid w:val="0"/>
        <w:spacing w:line="360" w:lineRule="auto"/>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开户名称：陆川县人民医院</w:t>
      </w:r>
    </w:p>
    <w:p w14:paraId="5ED9A041">
      <w:pPr>
        <w:pStyle w:val="12"/>
        <w:keepNext w:val="0"/>
        <w:keepLines w:val="0"/>
        <w:pageBreakBefore w:val="0"/>
        <w:wordWrap/>
        <w:overflowPunct/>
        <w:topLinePunct w:val="0"/>
        <w:bidi w:val="0"/>
        <w:snapToGrid w:val="0"/>
        <w:spacing w:line="360" w:lineRule="auto"/>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开户银行：</w:t>
      </w:r>
    </w:p>
    <w:p w14:paraId="41996D84">
      <w:pPr>
        <w:pStyle w:val="12"/>
        <w:keepNext w:val="0"/>
        <w:keepLines w:val="0"/>
        <w:pageBreakBefore w:val="0"/>
        <w:wordWrap/>
        <w:overflowPunct/>
        <w:topLinePunct w:val="0"/>
        <w:bidi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 w:val="21"/>
          <w:highlight w:val="none"/>
          <w:lang w:val="en-US" w:eastAsia="zh-CN"/>
        </w:rPr>
        <w:t>银行账号：</w:t>
      </w:r>
    </w:p>
    <w:p w14:paraId="53F7D73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第十条</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税费</w:t>
      </w:r>
    </w:p>
    <w:p w14:paraId="287897E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本合同执行中相关的一切税费均由乙方承担。</w:t>
      </w:r>
    </w:p>
    <w:p w14:paraId="5386ED8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十一</w:t>
      </w:r>
      <w:r>
        <w:rPr>
          <w:rFonts w:hint="eastAsia" w:ascii="宋体" w:hAnsi="宋体" w:eastAsia="宋体" w:cs="宋体"/>
          <w:b/>
          <w:color w:val="auto"/>
          <w:szCs w:val="21"/>
          <w:highlight w:val="none"/>
        </w:rPr>
        <w:t>条  质量保证及售后服务</w:t>
      </w:r>
    </w:p>
    <w:p w14:paraId="60E41C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乙方应按招标文件规定的货物性能、技术要求、质量标准向甲方提供未经使用的全新产品。</w:t>
      </w:r>
    </w:p>
    <w:p w14:paraId="2300F9FB">
      <w:pPr>
        <w:keepNext w:val="0"/>
        <w:keepLines w:val="0"/>
        <w:pageBreakBefore w:val="0"/>
        <w:widowControl w:val="0"/>
        <w:kinsoku/>
        <w:wordWrap/>
        <w:overflowPunct/>
        <w:topLinePunct w:val="0"/>
        <w:autoSpaceDE/>
        <w:autoSpaceDN/>
        <w:bidi w:val="0"/>
        <w:adjustRightInd/>
        <w:snapToGrid w:val="0"/>
        <w:spacing w:before="120" w:after="120" w:line="360" w:lineRule="auto"/>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对达不到要求者，根据实际情况，经双方协商，可按以下办法处理：</w:t>
      </w:r>
    </w:p>
    <w:p w14:paraId="15642619">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⑴更换：由乙方承担所发生的全部费用。</w:t>
      </w:r>
    </w:p>
    <w:p w14:paraId="3F3C4D7B">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⑵贬值处理：由甲乙双方合议定价。</w:t>
      </w:r>
    </w:p>
    <w:p w14:paraId="5C2AAF2D">
      <w:pPr>
        <w:keepNext w:val="0"/>
        <w:keepLines w:val="0"/>
        <w:pageBreakBefore w:val="0"/>
        <w:widowControl w:val="0"/>
        <w:kinsoku/>
        <w:wordWrap/>
        <w:overflowPunct/>
        <w:topLinePunct w:val="0"/>
        <w:autoSpaceDE/>
        <w:autoSpaceDN/>
        <w:bidi w:val="0"/>
        <w:adjustRightInd/>
        <w:snapToGrid w:val="0"/>
        <w:spacing w:before="120" w:after="120" w:line="360" w:lineRule="auto"/>
        <w:ind w:left="420" w:left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⑶退货处理：乙方应退还甲方支付的合同款，同时应承担该货物的直接费用（运输、保险、检验、</w:t>
      </w:r>
    </w:p>
    <w:p w14:paraId="13EDE3CB">
      <w:pPr>
        <w:keepNext w:val="0"/>
        <w:keepLines w:val="0"/>
        <w:pageBreakBefore w:val="0"/>
        <w:widowControl w:val="0"/>
        <w:kinsoku/>
        <w:wordWrap/>
        <w:overflowPunct/>
        <w:topLinePunct w:val="0"/>
        <w:autoSpaceDE/>
        <w:autoSpaceDN/>
        <w:bidi w:val="0"/>
        <w:adjustRightInd/>
        <w:snapToGrid w:val="0"/>
        <w:spacing w:before="120" w:after="120" w:line="360" w:lineRule="auto"/>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货款利息及银行手续费等）。</w:t>
      </w:r>
    </w:p>
    <w:p w14:paraId="2A83CD1C">
      <w:pPr>
        <w:keepNext w:val="0"/>
        <w:keepLines w:val="0"/>
        <w:pageBreakBefore w:val="0"/>
        <w:widowControl w:val="0"/>
        <w:kinsoku/>
        <w:wordWrap/>
        <w:overflowPunct/>
        <w:topLinePunct w:val="0"/>
        <w:autoSpaceDE/>
        <w:autoSpaceDN/>
        <w:bidi w:val="0"/>
        <w:adjustRightInd/>
        <w:snapToGrid w:val="0"/>
        <w:spacing w:before="120" w:after="120" w:line="360" w:lineRule="auto"/>
        <w:ind w:right="-126" w:rightChars="-6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2.如在使用过程中发生质量问题，乙方在接到甲方通知后</w:t>
      </w:r>
      <w:r>
        <w:rPr>
          <w:rFonts w:hint="eastAsia" w:ascii="宋体" w:hAnsi="宋体" w:eastAsia="宋体" w:cs="宋体"/>
          <w:color w:val="auto"/>
          <w:kern w:val="0"/>
          <w:sz w:val="21"/>
          <w:szCs w:val="21"/>
          <w:highlight w:val="none"/>
          <w:u w:val="single"/>
          <w:lang w:val="en-US" w:eastAsia="zh-CN" w:bidi="ar-SA"/>
        </w:rPr>
        <w:t>按乙方投标文件承诺时间</w:t>
      </w:r>
      <w:r>
        <w:rPr>
          <w:rFonts w:hint="eastAsia" w:ascii="宋体" w:hAnsi="宋体" w:eastAsia="宋体" w:cs="宋体"/>
          <w:color w:val="auto"/>
          <w:kern w:val="0"/>
          <w:sz w:val="21"/>
          <w:szCs w:val="21"/>
          <w:highlight w:val="none"/>
          <w:lang w:val="en-US" w:eastAsia="zh-CN" w:bidi="ar-SA"/>
        </w:rPr>
        <w:t>到达甲方现场处理。</w:t>
      </w:r>
    </w:p>
    <w:p w14:paraId="387BB28B">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3.在质保期内，乙方应对货物出现的质量及安全问题负责处理解决并承担一切费用。</w:t>
      </w:r>
    </w:p>
    <w:p w14:paraId="77BE0D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4.上述的货物免费保修期</w:t>
      </w:r>
      <w:r>
        <w:rPr>
          <w:rFonts w:hint="eastAsia" w:ascii="宋体" w:hAnsi="宋体" w:eastAsia="宋体" w:cs="宋体"/>
          <w:color w:val="auto"/>
          <w:szCs w:val="21"/>
          <w:highlight w:val="none"/>
          <w:u w:val="single"/>
        </w:rPr>
        <w:t>详见本合同条款第六条要求</w:t>
      </w:r>
      <w:r>
        <w:rPr>
          <w:rFonts w:hint="eastAsia" w:ascii="宋体" w:hAnsi="宋体" w:eastAsia="宋体" w:cs="宋体"/>
          <w:color w:val="auto"/>
          <w:szCs w:val="21"/>
          <w:highlight w:val="none"/>
        </w:rPr>
        <w:t>，因人为因素出现的故障不在免费保修范围内。超过保修期的机器设备，终生维修，维修时只收部件成本费。</w:t>
      </w:r>
    </w:p>
    <w:p w14:paraId="325962AC">
      <w:pPr>
        <w:keepNext w:val="0"/>
        <w:keepLines w:val="0"/>
        <w:pageBreakBefore w:val="0"/>
        <w:widowControl w:val="0"/>
        <w:kinsoku/>
        <w:wordWrap/>
        <w:overflowPunct/>
        <w:topLinePunct w:val="0"/>
        <w:autoSpaceDE/>
        <w:autoSpaceDN/>
        <w:bidi w:val="0"/>
        <w:adjustRightInd/>
        <w:snapToGrid w:val="0"/>
        <w:spacing w:before="120" w:after="120" w:line="360" w:lineRule="auto"/>
        <w:ind w:firstLine="413" w:firstLineChars="196"/>
        <w:jc w:val="both"/>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第十二条  调试和验收</w:t>
      </w:r>
    </w:p>
    <w:p w14:paraId="5046BBF0">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逾期不验收的，乙方可视同验收合格。验收合格后由甲乙双方签署货物验收单并加盖采购人公章，甲乙双方各执一份。</w:t>
      </w:r>
    </w:p>
    <w:p w14:paraId="0AC4E10F">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2.乙方交货前应对产品作出全面检查和对验收文件进行整理，并列出清单，作为甲方收货验收和使用的技术条件依据，检验的结果应随货物交甲方。</w:t>
      </w:r>
    </w:p>
    <w:p w14:paraId="7BCB07B4">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3.甲方对乙方提供的货物在使用前进行调试时，乙方需负责安装并培训甲方的使用操作人员，并协助甲方一起调试，直到符合技术要求，甲方才做最终验收。</w:t>
      </w:r>
    </w:p>
    <w:p w14:paraId="537D2762">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4.对技术复杂的货物，甲方应请国家认可的专业检测机构参与初步验收及最终验收，并由其出具质量检测报告。</w:t>
      </w:r>
    </w:p>
    <w:p w14:paraId="282D32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5.验收时乙方必须在场，验收完毕后作出验收结果报告；验收费用由乙方负责。</w:t>
      </w:r>
    </w:p>
    <w:p w14:paraId="69F0C56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74F2C6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7.甲方对验收有异议的，在验收后五个工作日内以书面形式向乙方提出，乙方应自收到甲方书面异议后</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日内及时予以解决。</w:t>
      </w:r>
    </w:p>
    <w:p w14:paraId="21F44A59">
      <w:pPr>
        <w:keepNext w:val="0"/>
        <w:keepLines w:val="0"/>
        <w:pageBreakBefore w:val="0"/>
        <w:widowControl w:val="0"/>
        <w:kinsoku/>
        <w:wordWrap/>
        <w:overflowPunct/>
        <w:topLinePunct w:val="0"/>
        <w:autoSpaceDE/>
        <w:autoSpaceDN/>
        <w:bidi w:val="0"/>
        <w:adjustRightInd/>
        <w:snapToGrid w:val="0"/>
        <w:spacing w:before="120" w:after="120" w:line="360" w:lineRule="auto"/>
        <w:ind w:firstLine="413" w:firstLineChars="196"/>
        <w:jc w:val="both"/>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第十三条  货物包装、发运及运输</w:t>
      </w:r>
    </w:p>
    <w:p w14:paraId="1C2B8FA6">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1.乙方提供的货物均应按招投标文件要求的包装材料、包装标准、包装方式进行包装，每一包装单元内应附详细的装箱单和质量合格证。货物的运输方式：不计。</w:t>
      </w:r>
    </w:p>
    <w:p w14:paraId="14ED8408">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2.乙方负责货物运输，货物运输合理损耗及计算方法：损耗由乙方承担。</w:t>
      </w:r>
    </w:p>
    <w:p w14:paraId="02BF3604">
      <w:pPr>
        <w:keepNext w:val="0"/>
        <w:keepLines w:val="0"/>
        <w:pageBreakBefore w:val="0"/>
        <w:widowControl w:val="0"/>
        <w:kinsoku/>
        <w:wordWrap/>
        <w:overflowPunct/>
        <w:topLinePunct w:val="0"/>
        <w:autoSpaceDE/>
        <w:autoSpaceDN/>
        <w:bidi w:val="0"/>
        <w:adjustRightInd/>
        <w:snapToGrid w:val="0"/>
        <w:spacing w:before="120" w:after="120"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3.乙方应在货物发运前对其进行满足运输距离、防潮、防震、防锈和防破损装卸等要求包装，以保证货物安全运达甲方指定地点。</w:t>
      </w:r>
    </w:p>
    <w:p w14:paraId="7AC4E219">
      <w:pPr>
        <w:keepNext w:val="0"/>
        <w:keepLines w:val="0"/>
        <w:pageBreakBefore w:val="0"/>
        <w:widowControl w:val="0"/>
        <w:kinsoku/>
        <w:wordWrap/>
        <w:overflowPunct/>
        <w:topLinePunct w:val="0"/>
        <w:autoSpaceDE/>
        <w:autoSpaceDN/>
        <w:bidi w:val="0"/>
        <w:adjustRightInd/>
        <w:snapToGrid w:val="0"/>
        <w:spacing w:before="120" w:after="120" w:line="360" w:lineRule="auto"/>
        <w:ind w:left="420" w:left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4.使用说明书、质量检验证明书、随配附件和工具以及清单一并附于货物内。</w:t>
      </w:r>
    </w:p>
    <w:p w14:paraId="44C4B9E2">
      <w:pPr>
        <w:keepNext w:val="0"/>
        <w:keepLines w:val="0"/>
        <w:pageBreakBefore w:val="0"/>
        <w:widowControl w:val="0"/>
        <w:kinsoku/>
        <w:wordWrap/>
        <w:overflowPunct/>
        <w:topLinePunct w:val="0"/>
        <w:autoSpaceDE/>
        <w:autoSpaceDN/>
        <w:bidi w:val="0"/>
        <w:adjustRightInd/>
        <w:snapToGrid w:val="0"/>
        <w:spacing w:before="120" w:after="120" w:line="360" w:lineRule="auto"/>
        <w:ind w:left="420" w:left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5.乙方在货物发运手续办理完毕后二十四小时内或货到甲方四十八小时前通知甲方，以准备接货。</w:t>
      </w:r>
    </w:p>
    <w:p w14:paraId="1D5699EE">
      <w:pPr>
        <w:keepNext w:val="0"/>
        <w:keepLines w:val="0"/>
        <w:pageBreakBefore w:val="0"/>
        <w:widowControl w:val="0"/>
        <w:kinsoku/>
        <w:wordWrap/>
        <w:overflowPunct/>
        <w:topLinePunct w:val="0"/>
        <w:autoSpaceDE/>
        <w:autoSpaceDN/>
        <w:bidi w:val="0"/>
        <w:adjustRightInd/>
        <w:snapToGrid w:val="0"/>
        <w:spacing w:before="120" w:after="120" w:line="360" w:lineRule="auto"/>
        <w:ind w:left="420" w:left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6.货物在交付甲方前发生的风险均由乙方负责。</w:t>
      </w:r>
    </w:p>
    <w:p w14:paraId="2C7D22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pacing w:val="-8"/>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kern w:val="0"/>
          <w:sz w:val="21"/>
          <w:szCs w:val="21"/>
          <w:highlight w:val="none"/>
          <w:lang w:val="en-US" w:eastAsia="zh-CN" w:bidi="ar-SA"/>
        </w:rPr>
        <w:t>货物在规定的交付期限内由乙方送达甲方指定的地点视为交付，乙方同时需通知甲方货物已送达</w:t>
      </w:r>
      <w:r>
        <w:rPr>
          <w:rFonts w:hint="eastAsia" w:ascii="宋体" w:hAnsi="宋体" w:eastAsia="宋体" w:cs="宋体"/>
          <w:color w:val="auto"/>
          <w:spacing w:val="-8"/>
          <w:szCs w:val="21"/>
          <w:highlight w:val="none"/>
        </w:rPr>
        <w:t>。</w:t>
      </w:r>
    </w:p>
    <w:p w14:paraId="72D33F0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四</w:t>
      </w:r>
      <w:r>
        <w:rPr>
          <w:rFonts w:hint="eastAsia" w:ascii="宋体" w:hAnsi="宋体" w:eastAsia="宋体" w:cs="宋体"/>
          <w:b/>
          <w:color w:val="auto"/>
          <w:szCs w:val="21"/>
          <w:highlight w:val="none"/>
        </w:rPr>
        <w:t>条　违约责任</w:t>
      </w:r>
    </w:p>
    <w:p w14:paraId="6AD2420D">
      <w:pPr>
        <w:keepNext w:val="0"/>
        <w:keepLines w:val="0"/>
        <w:pageBreakBefore w:val="0"/>
        <w:widowControl w:val="0"/>
        <w:kinsoku/>
        <w:wordWrap/>
        <w:overflowPunct/>
        <w:topLinePunct w:val="0"/>
        <w:autoSpaceDE/>
        <w:autoSpaceDN/>
        <w:bidi w:val="0"/>
        <w:adjustRightInd/>
        <w:snapToGrid w:val="0"/>
        <w:spacing w:line="360" w:lineRule="auto"/>
        <w:ind w:firstLine="539" w:firstLineChars="25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36B4237A">
      <w:pPr>
        <w:keepNext w:val="0"/>
        <w:keepLines w:val="0"/>
        <w:pageBreakBefore w:val="0"/>
        <w:widowControl w:val="0"/>
        <w:kinsoku/>
        <w:wordWrap/>
        <w:overflowPunct/>
        <w:topLinePunct w:val="0"/>
        <w:autoSpaceDE/>
        <w:autoSpaceDN/>
        <w:bidi w:val="0"/>
        <w:adjustRightInd/>
        <w:snapToGrid w:val="0"/>
        <w:spacing w:line="360" w:lineRule="auto"/>
        <w:ind w:firstLine="472" w:firstLineChars="22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2.乙方提供的货物如侵犯了第三方合法权益而引发的任何纠纷或诉讼，均由乙方负责交涉并承担全部责任。</w:t>
      </w:r>
    </w:p>
    <w:p w14:paraId="1108F8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3.因包装、运输引起的货物损坏，按质量不合格处理。</w:t>
      </w:r>
    </w:p>
    <w:p w14:paraId="74DB5C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4.甲方无故延期接收货物、乙方逾期交货的，每天向对方偿付违约货款额3‰违约金，但违约金累计不得超过违约货款额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，超过10 天对方有权解除合同，违约方承担因此给对方造成的经济损失；甲方延期付货款的，每天向乙方偿付延期货款额 3‰  滞纳金，但滞纳金累计不得超过延期货款额 5%。</w:t>
      </w:r>
    </w:p>
    <w:p w14:paraId="126C2E4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5.乙方未按本合同和投标文件中规定的服务承诺提供售后服务的，乙方应按本合同合计金额5%向甲方支付违约金。</w:t>
      </w:r>
    </w:p>
    <w:p w14:paraId="54D2962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6.乙方提供的货物在质量保证期内，因设计、工艺或材料的缺陷和其它质量原因造成的问题，由乙方负责，若有</w:t>
      </w:r>
      <w:r>
        <w:rPr>
          <w:rFonts w:hint="eastAsia" w:ascii="宋体" w:hAnsi="宋体" w:eastAsia="宋体" w:cs="宋体"/>
          <w:color w:val="auto"/>
          <w:szCs w:val="21"/>
          <w:highlight w:val="none"/>
          <w:lang w:val="en-US" w:eastAsia="zh-CN"/>
        </w:rPr>
        <w:t>合同款未付</w:t>
      </w:r>
      <w:r>
        <w:rPr>
          <w:rFonts w:hint="eastAsia" w:ascii="宋体" w:hAnsi="宋体" w:eastAsia="宋体" w:cs="宋体"/>
          <w:color w:val="auto"/>
          <w:szCs w:val="21"/>
          <w:highlight w:val="none"/>
        </w:rPr>
        <w:t>，费用从中扣除，不足另补。</w:t>
      </w:r>
    </w:p>
    <w:p w14:paraId="522590C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7.其它违约行为按违约货款额5%收取违约金并赔偿经济损失。</w:t>
      </w:r>
    </w:p>
    <w:p w14:paraId="668443E3">
      <w:pPr>
        <w:keepNext w:val="0"/>
        <w:keepLines w:val="0"/>
        <w:pageBreakBefore w:val="0"/>
        <w:widowControl w:val="0"/>
        <w:kinsoku/>
        <w:wordWrap/>
        <w:overflowPunct/>
        <w:topLinePunct w:val="0"/>
        <w:autoSpaceDE/>
        <w:autoSpaceDN/>
        <w:bidi w:val="0"/>
        <w:adjustRightInd/>
        <w:snapToGrid w:val="0"/>
        <w:spacing w:before="120" w:after="120" w:line="360" w:lineRule="auto"/>
        <w:ind w:firstLine="413" w:firstLineChars="196"/>
        <w:jc w:val="both"/>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第十五条  不可抗力事件处理</w:t>
      </w:r>
    </w:p>
    <w:p w14:paraId="501F38E1">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1.在合同有效期内，任何一方因不可抗力事件导致不能履行合同，则合同履行期可延长，其延长期与不可抗力影响期相同。</w:t>
      </w:r>
    </w:p>
    <w:p w14:paraId="2E412A4E">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2.不可抗力事件发生后，应立即通知对方，并寄送有关权威机构出具的证明。</w:t>
      </w:r>
    </w:p>
    <w:p w14:paraId="5B35C6D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560C9C9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六</w:t>
      </w:r>
      <w:r>
        <w:rPr>
          <w:rFonts w:hint="eastAsia" w:ascii="宋体" w:hAnsi="宋体" w:eastAsia="宋体" w:cs="宋体"/>
          <w:b/>
          <w:color w:val="auto"/>
          <w:szCs w:val="21"/>
          <w:highlight w:val="none"/>
        </w:rPr>
        <w:t>条  合同争议解决</w:t>
      </w:r>
    </w:p>
    <w:p w14:paraId="075ACE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68EB0A1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2.因履行本合同引起的或者与本合同有关的争议，甲乙双方应首先通过友好协商解决，如果协商不能解决，可向甲方所在地人民法院提起诉讼。</w:t>
      </w:r>
    </w:p>
    <w:p w14:paraId="75333353">
      <w:pPr>
        <w:keepNext w:val="0"/>
        <w:keepLines w:val="0"/>
        <w:pageBreakBefore w:val="0"/>
        <w:widowControl w:val="0"/>
        <w:kinsoku/>
        <w:wordWrap/>
        <w:overflowPunct/>
        <w:topLinePunct w:val="0"/>
        <w:autoSpaceDE/>
        <w:autoSpaceDN/>
        <w:bidi w:val="0"/>
        <w:adjustRightInd/>
        <w:snapToGrid w:val="0"/>
        <w:spacing w:line="360" w:lineRule="auto"/>
        <w:ind w:left="-61" w:firstLine="514"/>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1B3A3633">
      <w:pPr>
        <w:pStyle w:val="12"/>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第十</w:t>
      </w:r>
      <w:r>
        <w:rPr>
          <w:rFonts w:hint="eastAsia" w:ascii="宋体" w:hAnsi="宋体" w:eastAsia="宋体" w:cs="宋体"/>
          <w:b/>
          <w:color w:val="auto"/>
          <w:sz w:val="21"/>
          <w:highlight w:val="none"/>
          <w:lang w:eastAsia="zh-CN"/>
        </w:rPr>
        <w:t>七</w:t>
      </w:r>
      <w:r>
        <w:rPr>
          <w:rFonts w:hint="eastAsia" w:ascii="宋体" w:hAnsi="宋体" w:eastAsia="宋体" w:cs="宋体"/>
          <w:b/>
          <w:color w:val="auto"/>
          <w:sz w:val="21"/>
          <w:highlight w:val="none"/>
        </w:rPr>
        <w:t>条  合同生效及</w:t>
      </w:r>
      <w:r>
        <w:rPr>
          <w:rFonts w:hint="eastAsia" w:ascii="宋体" w:hAnsi="宋体" w:eastAsia="宋体" w:cs="宋体"/>
          <w:b/>
          <w:color w:val="auto"/>
          <w:sz w:val="21"/>
          <w:highlight w:val="none"/>
          <w:lang w:eastAsia="zh-CN"/>
        </w:rPr>
        <w:t>其他</w:t>
      </w:r>
    </w:p>
    <w:p w14:paraId="3DB003D3">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1.合同经双方法定代表人或者</w:t>
      </w:r>
      <w:r>
        <w:rPr>
          <w:rFonts w:hint="eastAsia" w:ascii="宋体" w:hAnsi="宋体" w:eastAsia="宋体" w:cs="宋体"/>
          <w:b w:val="0"/>
          <w:bCs/>
          <w:color w:val="auto"/>
          <w:sz w:val="21"/>
          <w:highlight w:val="none"/>
          <w:lang w:eastAsia="zh-CN"/>
        </w:rPr>
        <w:t>其</w:t>
      </w:r>
      <w:r>
        <w:rPr>
          <w:rFonts w:hint="eastAsia" w:ascii="宋体" w:hAnsi="宋体" w:eastAsia="宋体" w:cs="宋体"/>
          <w:b w:val="0"/>
          <w:bCs/>
          <w:color w:val="auto"/>
          <w:sz w:val="21"/>
          <w:highlight w:val="none"/>
        </w:rPr>
        <w:t>委托代理人签字并加盖单位公章后生效（委托代理人签字的需后附法定代表人授权委托书，格式自拟）。</w:t>
      </w:r>
    </w:p>
    <w:p w14:paraId="452B2E48">
      <w:pPr>
        <w:pStyle w:val="1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2.合同执行中涉及采购资金和采购内容修改或者补充的，须经财政部门审批，并签书面补充协议报财政部门备案，方可作为主合同不可分割的一部分。</w:t>
      </w:r>
    </w:p>
    <w:p w14:paraId="79FF209E">
      <w:pPr>
        <w:pStyle w:val="12"/>
        <w:keepNext w:val="0"/>
        <w:keepLines w:val="0"/>
        <w:pageBreakBefore w:val="0"/>
        <w:widowControl w:val="0"/>
        <w:kinsoku/>
        <w:wordWrap/>
        <w:overflowPunct/>
        <w:topLinePunct w:val="0"/>
        <w:autoSpaceDE/>
        <w:autoSpaceDN/>
        <w:bidi w:val="0"/>
        <w:adjustRightInd/>
        <w:snapToGrid w:val="0"/>
        <w:spacing w:line="360" w:lineRule="auto"/>
        <w:ind w:left="283" w:leftChars="135" w:firstLine="143"/>
        <w:textAlignment w:val="auto"/>
        <w:rPr>
          <w:rFonts w:hint="eastAsia" w:ascii="宋体" w:hAnsi="宋体" w:eastAsia="宋体" w:cs="宋体"/>
          <w:b w:val="0"/>
          <w:bCs/>
          <w:color w:val="auto"/>
          <w:sz w:val="21"/>
          <w:highlight w:val="none"/>
        </w:rPr>
      </w:pPr>
      <w:r>
        <w:rPr>
          <w:rFonts w:hint="eastAsia" w:ascii="宋体" w:hAnsi="宋体" w:eastAsia="宋体" w:cs="宋体"/>
          <w:b w:val="0"/>
          <w:bCs/>
          <w:color w:val="auto"/>
          <w:sz w:val="21"/>
          <w:highlight w:val="none"/>
        </w:rPr>
        <w:t>3.本合同未尽事宜，遵照《</w:t>
      </w:r>
      <w:r>
        <w:rPr>
          <w:rFonts w:hint="eastAsia" w:ascii="宋体" w:hAnsi="宋体" w:eastAsia="宋体" w:cs="宋体"/>
          <w:b w:val="0"/>
          <w:bCs/>
          <w:color w:val="auto"/>
          <w:sz w:val="21"/>
          <w:highlight w:val="none"/>
          <w:lang w:eastAsia="zh-CN"/>
        </w:rPr>
        <w:t>中华人民共和国民法典</w:t>
      </w:r>
      <w:r>
        <w:rPr>
          <w:rFonts w:hint="eastAsia" w:ascii="宋体" w:hAnsi="宋体" w:eastAsia="宋体" w:cs="宋体"/>
          <w:b w:val="0"/>
          <w:bCs/>
          <w:color w:val="auto"/>
          <w:sz w:val="21"/>
          <w:highlight w:val="none"/>
        </w:rPr>
        <w:t>》有关条文执行。</w:t>
      </w:r>
    </w:p>
    <w:p w14:paraId="54032B9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八</w:t>
      </w:r>
      <w:r>
        <w:rPr>
          <w:rFonts w:hint="eastAsia" w:ascii="宋体" w:hAnsi="宋体" w:eastAsia="宋体" w:cs="宋体"/>
          <w:b/>
          <w:color w:val="auto"/>
          <w:szCs w:val="21"/>
          <w:highlight w:val="none"/>
        </w:rPr>
        <w:t>条　合同的变更、终止与转让</w:t>
      </w:r>
    </w:p>
    <w:p w14:paraId="20B47D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1D5A37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2.乙方不得擅自转让（无进口资格的供应商委托进口货物除外）其应履行的合同义务。</w:t>
      </w:r>
    </w:p>
    <w:p w14:paraId="6F9473F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九</w:t>
      </w:r>
      <w:r>
        <w:rPr>
          <w:rFonts w:hint="eastAsia" w:ascii="宋体" w:hAnsi="宋体" w:eastAsia="宋体" w:cs="宋体"/>
          <w:b/>
          <w:color w:val="auto"/>
          <w:szCs w:val="21"/>
          <w:highlight w:val="none"/>
        </w:rPr>
        <w:t>条　</w:t>
      </w:r>
      <w:r>
        <w:rPr>
          <w:rFonts w:hint="eastAsia" w:ascii="宋体" w:hAnsi="宋体" w:eastAsia="宋体" w:cs="宋体"/>
          <w:b/>
          <w:bCs/>
          <w:color w:val="auto"/>
          <w:kern w:val="0"/>
          <w:szCs w:val="21"/>
          <w:highlight w:val="none"/>
        </w:rPr>
        <w:t>本合同书与下列文件一起构成合同文件</w:t>
      </w:r>
    </w:p>
    <w:p w14:paraId="2A2AF82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243E81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2.商务条款偏离表和技术需求偏离表；</w:t>
      </w:r>
    </w:p>
    <w:p w14:paraId="6F83861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.采购需求；</w:t>
      </w:r>
    </w:p>
    <w:p w14:paraId="77D52E4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.竞标报价表；</w:t>
      </w:r>
    </w:p>
    <w:p w14:paraId="169D84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合同文件</w:t>
      </w:r>
      <w:r>
        <w:rPr>
          <w:rFonts w:hint="eastAsia" w:ascii="宋体" w:hAnsi="宋体" w:eastAsia="宋体" w:cs="宋体"/>
          <w:color w:val="auto"/>
          <w:szCs w:val="21"/>
          <w:highlight w:val="none"/>
          <w:lang w:eastAsia="zh-CN"/>
        </w:rPr>
        <w:t>。</w:t>
      </w:r>
    </w:p>
    <w:p w14:paraId="47EB0A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41E1517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eastAsia="zh-CN"/>
        </w:rPr>
        <w:t>二十</w:t>
      </w:r>
      <w:r>
        <w:rPr>
          <w:rFonts w:hint="eastAsia" w:ascii="宋体" w:hAnsi="宋体" w:eastAsia="宋体" w:cs="宋体"/>
          <w:b/>
          <w:color w:val="auto"/>
          <w:szCs w:val="21"/>
          <w:highlight w:val="none"/>
        </w:rPr>
        <w:t>条　</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lang w:eastAsia="zh-CN"/>
        </w:rPr>
        <w:t>肆</w:t>
      </w:r>
      <w:r>
        <w:rPr>
          <w:rFonts w:hint="eastAsia" w:ascii="宋体" w:hAnsi="宋体" w:eastAsia="宋体" w:cs="宋体"/>
          <w:color w:val="auto"/>
          <w:szCs w:val="21"/>
          <w:highlight w:val="none"/>
        </w:rPr>
        <w:t>份，具有同等法律效力，财政部门（政府采购监管部门）、采购代理机构各</w:t>
      </w:r>
      <w:r>
        <w:rPr>
          <w:rFonts w:hint="eastAsia" w:ascii="宋体" w:hAnsi="宋体" w:eastAsia="宋体" w:cs="宋体"/>
          <w:color w:val="auto"/>
          <w:szCs w:val="21"/>
          <w:highlight w:val="none"/>
          <w:lang w:eastAsia="zh-CN"/>
        </w:rPr>
        <w:t>壹</w:t>
      </w:r>
      <w:r>
        <w:rPr>
          <w:rFonts w:hint="eastAsia" w:ascii="宋体" w:hAnsi="宋体" w:eastAsia="宋体" w:cs="宋体"/>
          <w:color w:val="auto"/>
          <w:szCs w:val="21"/>
          <w:highlight w:val="none"/>
        </w:rPr>
        <w:t>份，甲乙双方各</w:t>
      </w:r>
      <w:r>
        <w:rPr>
          <w:rFonts w:hint="eastAsia" w:ascii="宋体" w:hAnsi="宋体" w:eastAsia="宋体" w:cs="宋体"/>
          <w:color w:val="auto"/>
          <w:szCs w:val="21"/>
          <w:highlight w:val="none"/>
          <w:lang w:eastAsia="zh-CN"/>
        </w:rPr>
        <w:t>壹</w:t>
      </w:r>
      <w:r>
        <w:rPr>
          <w:rFonts w:hint="eastAsia" w:ascii="宋体" w:hAnsi="宋体" w:eastAsia="宋体" w:cs="宋体"/>
          <w:color w:val="auto"/>
          <w:szCs w:val="21"/>
          <w:highlight w:val="none"/>
        </w:rPr>
        <w:t>份（可根据需要另增加）。</w:t>
      </w:r>
    </w:p>
    <w:p w14:paraId="3E23D4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14:paraId="4418BEF5">
      <w:pPr>
        <w:keepNext w:val="0"/>
        <w:keepLines w:val="0"/>
        <w:pageBreakBefore w:val="0"/>
        <w:wordWrap/>
        <w:overflowPunct/>
        <w:topLinePunct w:val="0"/>
        <w:bidi w:val="0"/>
        <w:spacing w:before="6" w:line="400" w:lineRule="exact"/>
        <w:ind w:firstLine="420" w:firstLineChars="200"/>
        <w:rPr>
          <w:rFonts w:hint="eastAsia" w:ascii="宋体" w:hAnsi="宋体" w:eastAsia="宋体" w:cs="宋体"/>
          <w:color w:val="auto"/>
          <w:highlight w:val="none"/>
        </w:rPr>
      </w:pPr>
    </w:p>
    <w:tbl>
      <w:tblPr>
        <w:tblStyle w:val="34"/>
        <w:tblW w:w="8569" w:type="dxa"/>
        <w:tblInd w:w="1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6"/>
        <w:gridCol w:w="4333"/>
      </w:tblGrid>
      <w:tr w14:paraId="71B34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4236" w:type="dxa"/>
            <w:noWrap w:val="0"/>
            <w:vAlign w:val="top"/>
          </w:tcPr>
          <w:p w14:paraId="41A7690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甲方（章）</w:t>
            </w:r>
          </w:p>
          <w:p w14:paraId="4FA0302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p>
          <w:p w14:paraId="160AB79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p>
          <w:p w14:paraId="1D40C772">
            <w:pPr>
              <w:keepNext w:val="0"/>
              <w:keepLines w:val="0"/>
              <w:pageBreakBefore w:val="0"/>
              <w:widowControl/>
              <w:kinsoku w:val="0"/>
              <w:wordWrap/>
              <w:overflowPunct/>
              <w:topLinePunct w:val="0"/>
              <w:autoSpaceDE w:val="0"/>
              <w:autoSpaceDN w:val="0"/>
              <w:bidi w:val="0"/>
              <w:adjustRightInd w:val="0"/>
              <w:snapToGrid w:val="0"/>
              <w:jc w:val="righ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年  月  日</w:t>
            </w:r>
          </w:p>
        </w:tc>
        <w:tc>
          <w:tcPr>
            <w:tcW w:w="4333" w:type="dxa"/>
            <w:noWrap w:val="0"/>
            <w:vAlign w:val="top"/>
          </w:tcPr>
          <w:p w14:paraId="21AC795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乙方（章）</w:t>
            </w:r>
          </w:p>
          <w:p w14:paraId="1143D9B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p>
          <w:p w14:paraId="761A247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p>
          <w:p w14:paraId="2A815886">
            <w:pPr>
              <w:keepNext w:val="0"/>
              <w:keepLines w:val="0"/>
              <w:pageBreakBefore w:val="0"/>
              <w:widowControl/>
              <w:kinsoku w:val="0"/>
              <w:wordWrap/>
              <w:overflowPunct/>
              <w:topLinePunct w:val="0"/>
              <w:autoSpaceDE w:val="0"/>
              <w:autoSpaceDN w:val="0"/>
              <w:bidi w:val="0"/>
              <w:adjustRightInd w:val="0"/>
              <w:snapToGrid w:val="0"/>
              <w:jc w:val="righ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年  月  日</w:t>
            </w:r>
          </w:p>
        </w:tc>
      </w:tr>
      <w:tr w14:paraId="4A386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236" w:type="dxa"/>
            <w:noWrap w:val="0"/>
            <w:vAlign w:val="center"/>
          </w:tcPr>
          <w:p w14:paraId="313AD43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color w:val="auto"/>
                <w:highlight w:val="none"/>
              </w:rPr>
            </w:pPr>
            <w:r>
              <w:rPr>
                <w:rFonts w:hint="eastAsia" w:ascii="宋体" w:hAnsi="宋体" w:eastAsia="宋体" w:cs="宋体"/>
                <w:color w:val="auto"/>
                <w:highlight w:val="none"/>
              </w:rPr>
              <w:t>单位地址：</w:t>
            </w:r>
          </w:p>
        </w:tc>
        <w:tc>
          <w:tcPr>
            <w:tcW w:w="4333" w:type="dxa"/>
            <w:noWrap w:val="0"/>
            <w:vAlign w:val="center"/>
          </w:tcPr>
          <w:p w14:paraId="2AE1EFF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单位地址：</w:t>
            </w:r>
          </w:p>
        </w:tc>
      </w:tr>
      <w:tr w14:paraId="040C9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236" w:type="dxa"/>
            <w:noWrap w:val="0"/>
            <w:vAlign w:val="center"/>
          </w:tcPr>
          <w:p w14:paraId="38BDE0E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法定代表人或者其委托代理人：</w:t>
            </w:r>
          </w:p>
        </w:tc>
        <w:tc>
          <w:tcPr>
            <w:tcW w:w="4333" w:type="dxa"/>
            <w:noWrap w:val="0"/>
            <w:vAlign w:val="center"/>
          </w:tcPr>
          <w:p w14:paraId="6EC7CD6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法定代表人或者其委托代理人：</w:t>
            </w:r>
          </w:p>
        </w:tc>
      </w:tr>
      <w:tr w14:paraId="1E42B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36" w:type="dxa"/>
            <w:noWrap w:val="0"/>
            <w:vAlign w:val="center"/>
          </w:tcPr>
          <w:p w14:paraId="4D08233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4333" w:type="dxa"/>
            <w:noWrap w:val="0"/>
            <w:vAlign w:val="center"/>
          </w:tcPr>
          <w:p w14:paraId="36981F2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电话：</w:t>
            </w:r>
          </w:p>
        </w:tc>
      </w:tr>
      <w:tr w14:paraId="5BCE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236" w:type="dxa"/>
            <w:noWrap w:val="0"/>
            <w:vAlign w:val="center"/>
          </w:tcPr>
          <w:p w14:paraId="2322A73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电子邮箱：</w:t>
            </w:r>
          </w:p>
        </w:tc>
        <w:tc>
          <w:tcPr>
            <w:tcW w:w="4333" w:type="dxa"/>
            <w:noWrap w:val="0"/>
            <w:vAlign w:val="center"/>
          </w:tcPr>
          <w:p w14:paraId="4E670BE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电子邮箱：</w:t>
            </w:r>
          </w:p>
        </w:tc>
      </w:tr>
      <w:tr w14:paraId="218D5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236" w:type="dxa"/>
            <w:noWrap w:val="0"/>
            <w:vAlign w:val="center"/>
          </w:tcPr>
          <w:p w14:paraId="7D21AF6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4333" w:type="dxa"/>
            <w:noWrap w:val="0"/>
            <w:vAlign w:val="center"/>
          </w:tcPr>
          <w:p w14:paraId="3FE9FC3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开户银行：</w:t>
            </w:r>
          </w:p>
        </w:tc>
      </w:tr>
      <w:tr w14:paraId="546F2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236" w:type="dxa"/>
            <w:noWrap w:val="0"/>
            <w:vAlign w:val="center"/>
          </w:tcPr>
          <w:p w14:paraId="35B9E31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4333" w:type="dxa"/>
            <w:noWrap w:val="0"/>
            <w:vAlign w:val="center"/>
          </w:tcPr>
          <w:p w14:paraId="2D61705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账号：</w:t>
            </w:r>
          </w:p>
        </w:tc>
      </w:tr>
      <w:tr w14:paraId="725E7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236" w:type="dxa"/>
            <w:noWrap w:val="0"/>
            <w:vAlign w:val="center"/>
          </w:tcPr>
          <w:p w14:paraId="6390A04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4333" w:type="dxa"/>
            <w:noWrap w:val="0"/>
            <w:vAlign w:val="center"/>
          </w:tcPr>
          <w:p w14:paraId="58A5596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邮政编码：</w:t>
            </w:r>
          </w:p>
        </w:tc>
      </w:tr>
    </w:tbl>
    <w:p w14:paraId="03FE6A83">
      <w:pPr>
        <w:pStyle w:val="25"/>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highlight w:val="none"/>
          <w:u w:val="none"/>
          <w:lang w:val="en-US" w:eastAsia="zh-CN" w:bidi="ar-SA"/>
        </w:rPr>
      </w:pPr>
    </w:p>
    <w:p w14:paraId="639AF64F">
      <w:pPr>
        <w:pStyle w:val="12"/>
        <w:spacing w:line="440" w:lineRule="exact"/>
        <w:rPr>
          <w:color w:val="auto"/>
          <w:highlight w:val="none"/>
        </w:rPr>
      </w:pPr>
    </w:p>
    <w:p w14:paraId="10C9744A">
      <w:pPr>
        <w:pStyle w:val="25"/>
        <w:numPr>
          <w:ilvl w:val="0"/>
          <w:numId w:val="0"/>
        </w:numPr>
        <w:jc w:val="both"/>
        <w:rPr>
          <w:rFonts w:hint="eastAsia" w:asciiTheme="majorEastAsia" w:hAnsiTheme="majorEastAsia" w:eastAsiaTheme="majorEastAsia" w:cstheme="majorEastAsia"/>
          <w:b/>
          <w:bCs w:val="0"/>
          <w:color w:val="auto"/>
          <w:kern w:val="2"/>
          <w:sz w:val="40"/>
          <w:szCs w:val="52"/>
          <w:highlight w:val="none"/>
          <w:lang w:val="en-US" w:eastAsia="zh-CN" w:bidi="ar-SA"/>
        </w:rPr>
      </w:pPr>
    </w:p>
    <w:sectPr>
      <w:headerReference r:id="rId8" w:type="default"/>
      <w:footerReference r:id="rId9"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F6A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3FBBA">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FC3FBBA">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1BDB3">
    <w:pPr>
      <w:spacing w:line="176" w:lineRule="auto"/>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4A1F6F">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4A1F6F">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AE4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3F58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C3F58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DBCD">
    <w:pPr>
      <w:pStyle w:val="14"/>
      <w:pBdr>
        <w:bottom w:val="none" w:color="auto" w:sz="0" w:space="1"/>
      </w:pBdr>
      <w:wordWrap w:val="0"/>
      <w:jc w:val="both"/>
      <w:rPr>
        <w:rFonts w:hint="default" w:ascii="仿宋" w:hAnsi="仿宋" w:eastAsia="仿宋" w:cs="仿宋"/>
        <w:sz w:val="21"/>
        <w:szCs w:val="21"/>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4C2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C766">
    <w:pPr>
      <w:spacing w:line="219" w:lineRule="auto"/>
      <w:jc w:val="right"/>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1016635</wp:posOffset>
              </wp:positionH>
              <wp:positionV relativeFrom="page">
                <wp:posOffset>534035</wp:posOffset>
              </wp:positionV>
              <wp:extent cx="5619115" cy="111760"/>
              <wp:effectExtent l="0" t="0" r="0" b="0"/>
              <wp:wrapNone/>
              <wp:docPr id="3" name="任意多边形 3"/>
              <wp:cNvGraphicFramePr/>
              <a:graphic xmlns:a="http://schemas.openxmlformats.org/drawingml/2006/main">
                <a:graphicData uri="http://schemas.microsoft.com/office/word/2010/wordprocessingShape">
                  <wps:wsp>
                    <wps:cNvSpPr/>
                    <wps:spPr>
                      <a:xfrm>
                        <a:off x="0" y="0"/>
                        <a:ext cx="5619115" cy="111760"/>
                      </a:xfrm>
                      <a:custGeom>
                        <a:avLst/>
                        <a:gdLst/>
                        <a:ahLst/>
                        <a:cxnLst/>
                        <a:pathLst>
                          <a:path w="8879" h="15">
                            <a:moveTo>
                              <a:pt x="0" y="0"/>
                            </a:moveTo>
                            <a:lnTo>
                              <a:pt x="8878" y="0"/>
                            </a:lnTo>
                            <a:lnTo>
                              <a:pt x="8878" y="14"/>
                            </a:lnTo>
                            <a:lnTo>
                              <a:pt x="0" y="14"/>
                            </a:lnTo>
                            <a:lnTo>
                              <a:pt x="0" y="0"/>
                            </a:lnTo>
                            <a:close/>
                          </a:path>
                        </a:pathLst>
                      </a:custGeom>
                      <a:noFill/>
                      <a:ln>
                        <a:noFill/>
                      </a:ln>
                      <a:effectLst/>
                    </wps:spPr>
                    <wps:bodyPr upright="1"/>
                  </wps:wsp>
                </a:graphicData>
              </a:graphic>
            </wp:anchor>
          </w:drawing>
        </mc:Choice>
        <mc:Fallback>
          <w:pict>
            <v:shape id="_x0000_s1026" o:spid="_x0000_s1026" o:spt="100" style="position:absolute;left:0pt;margin-left:80.05pt;margin-top:42.05pt;height:8.8pt;width:442.45pt;mso-position-horizontal-relative:page;mso-position-vertical-relative:page;z-index:251659264;mso-width-relative:page;mso-height-relative:page;" filled="f" stroked="f" coordsize="8879,15" o:allowincell="f" o:gfxdata="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MI5/YAAAACwEAAA8AAAAAAAAAAQAgAAAAIgAAAGRy&#10;cy9kb3ducmV2LnhtbFBLAQIUABQAAAAIAIdO4kCpSwTqBQIAAGIEAAAOAAAAAAAAAAEAIAAAACcB&#10;AABkcnMvZTJvRG9jLnhtbFBLBQYAAAAABgAGAFkBAACeBQAAAAA=&#10;" path="m0,0l8878,0,8878,14,0,14,0,0xe">
              <v:fill on="f"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C967">
    <w:pPr>
      <w:pStyle w:val="14"/>
      <w:pBdr>
        <w:bottom w:val="none" w:color="auto" w:sz="0" w:space="1"/>
      </w:pBdr>
      <w:wordWrap w:val="0"/>
      <w:jc w:val="both"/>
      <w:rPr>
        <w:rFonts w:hint="default" w:ascii="仿宋" w:hAnsi="仿宋" w:eastAsia="仿宋" w:cs="仿宋"/>
        <w:sz w:val="21"/>
        <w:szCs w:val="21"/>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79CE4"/>
    <w:multiLevelType w:val="singleLevel"/>
    <w:tmpl w:val="FCD79CE4"/>
    <w:lvl w:ilvl="0" w:tentative="0">
      <w:start w:val="1"/>
      <w:numFmt w:val="decimal"/>
      <w:pStyle w:val="6"/>
      <w:lvlText w:val="%1."/>
      <w:lvlJc w:val="left"/>
      <w:pPr>
        <w:tabs>
          <w:tab w:val="left" w:pos="360"/>
        </w:tabs>
        <w:ind w:left="360" w:hanging="360"/>
      </w:pPr>
    </w:lvl>
  </w:abstractNum>
  <w:abstractNum w:abstractNumId="1">
    <w:nsid w:val="0F5B38BB"/>
    <w:multiLevelType w:val="multilevel"/>
    <w:tmpl w:val="0F5B38BB"/>
    <w:lvl w:ilvl="0" w:tentative="0">
      <w:start w:val="1"/>
      <w:numFmt w:val="decimal"/>
      <w:lvlText w:val="%1."/>
      <w:lvlJc w:val="left"/>
      <w:pPr>
        <w:ind w:left="420" w:hanging="420"/>
      </w:pPr>
    </w:lvl>
    <w:lvl w:ilvl="1" w:tentative="0">
      <w:start w:val="1"/>
      <w:numFmt w:val="decimal"/>
      <w:suff w:val="nothing"/>
      <w:lvlText w:val="%2."/>
      <w:lvlJc w:val="left"/>
      <w:pPr>
        <w:ind w:left="420" w:hanging="420"/>
      </w:pPr>
      <w:rPr>
        <w:rFonts w:hint="default"/>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F95E42"/>
    <w:multiLevelType w:val="singleLevel"/>
    <w:tmpl w:val="17F95E42"/>
    <w:lvl w:ilvl="0" w:tentative="0">
      <w:start w:val="4"/>
      <w:numFmt w:val="chineseCounting"/>
      <w:suff w:val="nothing"/>
      <w:lvlText w:val="第%1条　"/>
      <w:lvlJc w:val="left"/>
      <w:rPr>
        <w:rFonts w:hint="eastAsia"/>
      </w:rPr>
    </w:lvl>
  </w:abstractNum>
  <w:abstractNum w:abstractNumId="3">
    <w:nsid w:val="297E474B"/>
    <w:multiLevelType w:val="singleLevel"/>
    <w:tmpl w:val="297E474B"/>
    <w:lvl w:ilvl="0" w:tentative="0">
      <w:start w:val="3"/>
      <w:numFmt w:val="chineseCounting"/>
      <w:suff w:val="nothing"/>
      <w:lvlText w:val="%1、"/>
      <w:lvlJc w:val="left"/>
      <w:rPr>
        <w:rFonts w:hint="eastAsia"/>
      </w:rPr>
    </w:lvl>
  </w:abstractNum>
  <w:abstractNum w:abstractNumId="4">
    <w:nsid w:val="76F6BA54"/>
    <w:multiLevelType w:val="singleLevel"/>
    <w:tmpl w:val="76F6BA54"/>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forms" w:enforcement="1" w:cryptProviderType="rsaFull" w:cryptAlgorithmClass="hash" w:cryptAlgorithmType="typeAny" w:cryptAlgorithmSid="4" w:cryptSpinCount="0" w:hash="MDA3bWF7exTlLCSonVPVmPW8qNI=" w:salt="GN92/a4Zjv5p1MvGenWj5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319C62C9"/>
    <w:rsid w:val="000273CC"/>
    <w:rsid w:val="00092509"/>
    <w:rsid w:val="000E7B1F"/>
    <w:rsid w:val="00155351"/>
    <w:rsid w:val="00270BE1"/>
    <w:rsid w:val="004B48CF"/>
    <w:rsid w:val="007E2EF7"/>
    <w:rsid w:val="008B73C2"/>
    <w:rsid w:val="00B20DF2"/>
    <w:rsid w:val="00E972B6"/>
    <w:rsid w:val="011B6997"/>
    <w:rsid w:val="01431A4A"/>
    <w:rsid w:val="01437C9C"/>
    <w:rsid w:val="014A2DD9"/>
    <w:rsid w:val="014F3925"/>
    <w:rsid w:val="015D0C80"/>
    <w:rsid w:val="015E38B5"/>
    <w:rsid w:val="01610122"/>
    <w:rsid w:val="01633E9B"/>
    <w:rsid w:val="0194674A"/>
    <w:rsid w:val="01A71FD9"/>
    <w:rsid w:val="01C0753F"/>
    <w:rsid w:val="01CE3A11"/>
    <w:rsid w:val="01CF7782"/>
    <w:rsid w:val="01F23506"/>
    <w:rsid w:val="02296E92"/>
    <w:rsid w:val="023F0464"/>
    <w:rsid w:val="025C1016"/>
    <w:rsid w:val="026954E1"/>
    <w:rsid w:val="02B608A3"/>
    <w:rsid w:val="02E42DB9"/>
    <w:rsid w:val="03011BBD"/>
    <w:rsid w:val="03090537"/>
    <w:rsid w:val="030E55E6"/>
    <w:rsid w:val="0334789D"/>
    <w:rsid w:val="038A7E04"/>
    <w:rsid w:val="038F0F77"/>
    <w:rsid w:val="03977E2B"/>
    <w:rsid w:val="03A97C74"/>
    <w:rsid w:val="03BB7FBE"/>
    <w:rsid w:val="03E74406"/>
    <w:rsid w:val="03F57086"/>
    <w:rsid w:val="0414147C"/>
    <w:rsid w:val="042C2C6A"/>
    <w:rsid w:val="04616815"/>
    <w:rsid w:val="04657F2A"/>
    <w:rsid w:val="047749F8"/>
    <w:rsid w:val="049F343C"/>
    <w:rsid w:val="04A10F62"/>
    <w:rsid w:val="04A942BA"/>
    <w:rsid w:val="04B2316F"/>
    <w:rsid w:val="04EB042F"/>
    <w:rsid w:val="04FC43EA"/>
    <w:rsid w:val="05047743"/>
    <w:rsid w:val="05191440"/>
    <w:rsid w:val="05291032"/>
    <w:rsid w:val="0530678A"/>
    <w:rsid w:val="053C512E"/>
    <w:rsid w:val="054516BB"/>
    <w:rsid w:val="054A784B"/>
    <w:rsid w:val="05574915"/>
    <w:rsid w:val="059F2256"/>
    <w:rsid w:val="05AD3936"/>
    <w:rsid w:val="05CD222A"/>
    <w:rsid w:val="05D62E8D"/>
    <w:rsid w:val="05EC4117"/>
    <w:rsid w:val="0612484F"/>
    <w:rsid w:val="06471FDD"/>
    <w:rsid w:val="0648365F"/>
    <w:rsid w:val="064A5629"/>
    <w:rsid w:val="06E44FFB"/>
    <w:rsid w:val="06EB6E0C"/>
    <w:rsid w:val="070829EF"/>
    <w:rsid w:val="07177C01"/>
    <w:rsid w:val="078A03D3"/>
    <w:rsid w:val="0798355F"/>
    <w:rsid w:val="079B438E"/>
    <w:rsid w:val="07CC3798"/>
    <w:rsid w:val="08420CAE"/>
    <w:rsid w:val="085422C2"/>
    <w:rsid w:val="08566507"/>
    <w:rsid w:val="08670714"/>
    <w:rsid w:val="08850B9A"/>
    <w:rsid w:val="08DD7862"/>
    <w:rsid w:val="08DF474E"/>
    <w:rsid w:val="08F04266"/>
    <w:rsid w:val="08F66031"/>
    <w:rsid w:val="09302681"/>
    <w:rsid w:val="096609CC"/>
    <w:rsid w:val="096E162E"/>
    <w:rsid w:val="097C3D4B"/>
    <w:rsid w:val="0983332C"/>
    <w:rsid w:val="09972BE4"/>
    <w:rsid w:val="09A03EDE"/>
    <w:rsid w:val="09B37E23"/>
    <w:rsid w:val="09CB082F"/>
    <w:rsid w:val="09D27E0F"/>
    <w:rsid w:val="09D516AE"/>
    <w:rsid w:val="09E901AD"/>
    <w:rsid w:val="09F77876"/>
    <w:rsid w:val="0A1B0C75"/>
    <w:rsid w:val="0A215939"/>
    <w:rsid w:val="0A2763AD"/>
    <w:rsid w:val="0A2C751F"/>
    <w:rsid w:val="0A6C0C3C"/>
    <w:rsid w:val="0A870BFA"/>
    <w:rsid w:val="0AA479FE"/>
    <w:rsid w:val="0AD33E3F"/>
    <w:rsid w:val="0AE20526"/>
    <w:rsid w:val="0AE75B3C"/>
    <w:rsid w:val="0B2E5519"/>
    <w:rsid w:val="0B867103"/>
    <w:rsid w:val="0B8769D7"/>
    <w:rsid w:val="0B976719"/>
    <w:rsid w:val="0C37664F"/>
    <w:rsid w:val="0C436DA2"/>
    <w:rsid w:val="0C4D19CF"/>
    <w:rsid w:val="0C5C1C12"/>
    <w:rsid w:val="0C776A4C"/>
    <w:rsid w:val="0C9475FE"/>
    <w:rsid w:val="0CAF268A"/>
    <w:rsid w:val="0CC3710E"/>
    <w:rsid w:val="0D0E115E"/>
    <w:rsid w:val="0D501777"/>
    <w:rsid w:val="0D646FD0"/>
    <w:rsid w:val="0D7209B3"/>
    <w:rsid w:val="0D797D19"/>
    <w:rsid w:val="0D927FE1"/>
    <w:rsid w:val="0DB461AA"/>
    <w:rsid w:val="0DCD726B"/>
    <w:rsid w:val="0DDE0E45"/>
    <w:rsid w:val="0DE10621"/>
    <w:rsid w:val="0DE620DB"/>
    <w:rsid w:val="0E083E00"/>
    <w:rsid w:val="0E0D7668"/>
    <w:rsid w:val="0E0E518E"/>
    <w:rsid w:val="0E15476E"/>
    <w:rsid w:val="0E56100F"/>
    <w:rsid w:val="0E5B3BEE"/>
    <w:rsid w:val="0E664FCA"/>
    <w:rsid w:val="0E8654CE"/>
    <w:rsid w:val="0EA0228A"/>
    <w:rsid w:val="0EA314D9"/>
    <w:rsid w:val="0EEC54CF"/>
    <w:rsid w:val="0F00541F"/>
    <w:rsid w:val="0F1669F0"/>
    <w:rsid w:val="0F274759"/>
    <w:rsid w:val="0F2E5AE8"/>
    <w:rsid w:val="0F45621F"/>
    <w:rsid w:val="0F672951"/>
    <w:rsid w:val="0F7A0D2D"/>
    <w:rsid w:val="0F8E2A2A"/>
    <w:rsid w:val="0FD6518B"/>
    <w:rsid w:val="0FED14FF"/>
    <w:rsid w:val="101D790A"/>
    <w:rsid w:val="101E0DC6"/>
    <w:rsid w:val="10466E61"/>
    <w:rsid w:val="10747C5E"/>
    <w:rsid w:val="10795489"/>
    <w:rsid w:val="10AB4F16"/>
    <w:rsid w:val="10B62239"/>
    <w:rsid w:val="10C63350"/>
    <w:rsid w:val="10E01064"/>
    <w:rsid w:val="11034D52"/>
    <w:rsid w:val="110765F0"/>
    <w:rsid w:val="112F3D99"/>
    <w:rsid w:val="11380EA0"/>
    <w:rsid w:val="11401B02"/>
    <w:rsid w:val="1145536B"/>
    <w:rsid w:val="116A2C99"/>
    <w:rsid w:val="119C4B32"/>
    <w:rsid w:val="11A750B7"/>
    <w:rsid w:val="11AE4D38"/>
    <w:rsid w:val="11D65DD3"/>
    <w:rsid w:val="11D87F8D"/>
    <w:rsid w:val="11FC3C7B"/>
    <w:rsid w:val="12437D47"/>
    <w:rsid w:val="124F64A1"/>
    <w:rsid w:val="125C08EE"/>
    <w:rsid w:val="12723B30"/>
    <w:rsid w:val="12DE7825"/>
    <w:rsid w:val="12FE7EC7"/>
    <w:rsid w:val="130059ED"/>
    <w:rsid w:val="13337CD2"/>
    <w:rsid w:val="1336140F"/>
    <w:rsid w:val="13390EFF"/>
    <w:rsid w:val="1340228E"/>
    <w:rsid w:val="135A334F"/>
    <w:rsid w:val="137A57A0"/>
    <w:rsid w:val="13944C51"/>
    <w:rsid w:val="13B54A2A"/>
    <w:rsid w:val="13E62E35"/>
    <w:rsid w:val="142B0848"/>
    <w:rsid w:val="14385FFE"/>
    <w:rsid w:val="14432035"/>
    <w:rsid w:val="1461426A"/>
    <w:rsid w:val="147D6BCA"/>
    <w:rsid w:val="148E0DD7"/>
    <w:rsid w:val="14946D4E"/>
    <w:rsid w:val="14CF38C9"/>
    <w:rsid w:val="14DD6BBD"/>
    <w:rsid w:val="15020A92"/>
    <w:rsid w:val="150A2B53"/>
    <w:rsid w:val="15323E58"/>
    <w:rsid w:val="155F35BD"/>
    <w:rsid w:val="15610299"/>
    <w:rsid w:val="15763D45"/>
    <w:rsid w:val="159348F7"/>
    <w:rsid w:val="1598015F"/>
    <w:rsid w:val="15A44D56"/>
    <w:rsid w:val="15AC7AE7"/>
    <w:rsid w:val="15AE34DE"/>
    <w:rsid w:val="15D05B4B"/>
    <w:rsid w:val="15F5735F"/>
    <w:rsid w:val="16247C45"/>
    <w:rsid w:val="16273291"/>
    <w:rsid w:val="163D2AB4"/>
    <w:rsid w:val="16A843D2"/>
    <w:rsid w:val="16C46D32"/>
    <w:rsid w:val="16C60CFC"/>
    <w:rsid w:val="17092996"/>
    <w:rsid w:val="170A508C"/>
    <w:rsid w:val="17244882"/>
    <w:rsid w:val="172D0D7B"/>
    <w:rsid w:val="1732013F"/>
    <w:rsid w:val="17681DB3"/>
    <w:rsid w:val="177D66AD"/>
    <w:rsid w:val="17884203"/>
    <w:rsid w:val="17A74689"/>
    <w:rsid w:val="17CF1E32"/>
    <w:rsid w:val="17D631C0"/>
    <w:rsid w:val="17D905BB"/>
    <w:rsid w:val="180F5C41"/>
    <w:rsid w:val="18885F41"/>
    <w:rsid w:val="18AB63FB"/>
    <w:rsid w:val="18B2182F"/>
    <w:rsid w:val="18F02060"/>
    <w:rsid w:val="18F71640"/>
    <w:rsid w:val="18FE13D9"/>
    <w:rsid w:val="19531188"/>
    <w:rsid w:val="198F1879"/>
    <w:rsid w:val="19AA220F"/>
    <w:rsid w:val="19CC03D7"/>
    <w:rsid w:val="19D84FCE"/>
    <w:rsid w:val="19EA2F53"/>
    <w:rsid w:val="19ED20BC"/>
    <w:rsid w:val="19EE47F1"/>
    <w:rsid w:val="1A077661"/>
    <w:rsid w:val="1A0C3182"/>
    <w:rsid w:val="1A0E6C42"/>
    <w:rsid w:val="1A2024D1"/>
    <w:rsid w:val="1A361CF4"/>
    <w:rsid w:val="1A3B5670"/>
    <w:rsid w:val="1A6E5932"/>
    <w:rsid w:val="1A7D2861"/>
    <w:rsid w:val="1AAE7FB6"/>
    <w:rsid w:val="1AB66B07"/>
    <w:rsid w:val="1AB86BAD"/>
    <w:rsid w:val="1AC92B69"/>
    <w:rsid w:val="1AC94917"/>
    <w:rsid w:val="1ACE017F"/>
    <w:rsid w:val="1B02715F"/>
    <w:rsid w:val="1B027E29"/>
    <w:rsid w:val="1B135166"/>
    <w:rsid w:val="1B3501FE"/>
    <w:rsid w:val="1B357064"/>
    <w:rsid w:val="1B4F7512"/>
    <w:rsid w:val="1B5C578B"/>
    <w:rsid w:val="1B5F527B"/>
    <w:rsid w:val="1B6D1746"/>
    <w:rsid w:val="1B75684C"/>
    <w:rsid w:val="1BA809D0"/>
    <w:rsid w:val="1BB76E65"/>
    <w:rsid w:val="1BC872C4"/>
    <w:rsid w:val="1BD52408"/>
    <w:rsid w:val="1C2838BF"/>
    <w:rsid w:val="1C5823F6"/>
    <w:rsid w:val="1C654B13"/>
    <w:rsid w:val="1C6C5EA1"/>
    <w:rsid w:val="1C817B9F"/>
    <w:rsid w:val="1CC7132A"/>
    <w:rsid w:val="1CF322CF"/>
    <w:rsid w:val="1CFA525B"/>
    <w:rsid w:val="1D1F1166"/>
    <w:rsid w:val="1D5801D4"/>
    <w:rsid w:val="1D5968F4"/>
    <w:rsid w:val="1D5C4168"/>
    <w:rsid w:val="1D954F84"/>
    <w:rsid w:val="1DA33B45"/>
    <w:rsid w:val="1DB573D4"/>
    <w:rsid w:val="1DBC49FF"/>
    <w:rsid w:val="1DCD471E"/>
    <w:rsid w:val="1DE81558"/>
    <w:rsid w:val="1E012619"/>
    <w:rsid w:val="1E193E07"/>
    <w:rsid w:val="1E2E78B2"/>
    <w:rsid w:val="1E71779F"/>
    <w:rsid w:val="1E74103D"/>
    <w:rsid w:val="1E7D4396"/>
    <w:rsid w:val="1E82018E"/>
    <w:rsid w:val="1E890F8D"/>
    <w:rsid w:val="1EA731C1"/>
    <w:rsid w:val="1ECA6EAF"/>
    <w:rsid w:val="1EEC32CA"/>
    <w:rsid w:val="1EF67CA4"/>
    <w:rsid w:val="1F1A26E3"/>
    <w:rsid w:val="1F1B770B"/>
    <w:rsid w:val="1F2760B0"/>
    <w:rsid w:val="1F615A66"/>
    <w:rsid w:val="1F686748"/>
    <w:rsid w:val="1FC009DE"/>
    <w:rsid w:val="1FC71331"/>
    <w:rsid w:val="1FCA360B"/>
    <w:rsid w:val="1FD53D5E"/>
    <w:rsid w:val="1FF73CD4"/>
    <w:rsid w:val="1FF937B7"/>
    <w:rsid w:val="1FF93EF0"/>
    <w:rsid w:val="1FFC753C"/>
    <w:rsid w:val="20191E9C"/>
    <w:rsid w:val="202F631A"/>
    <w:rsid w:val="203C3DDD"/>
    <w:rsid w:val="205A26D6"/>
    <w:rsid w:val="20764E4F"/>
    <w:rsid w:val="20783067"/>
    <w:rsid w:val="2083271B"/>
    <w:rsid w:val="20BD00CF"/>
    <w:rsid w:val="20C55B80"/>
    <w:rsid w:val="20D364EF"/>
    <w:rsid w:val="20D44015"/>
    <w:rsid w:val="20EB1A8B"/>
    <w:rsid w:val="20F66153"/>
    <w:rsid w:val="21020B82"/>
    <w:rsid w:val="21280E80"/>
    <w:rsid w:val="21311468"/>
    <w:rsid w:val="21466CC1"/>
    <w:rsid w:val="21472A39"/>
    <w:rsid w:val="21582E98"/>
    <w:rsid w:val="21735AF9"/>
    <w:rsid w:val="21952548"/>
    <w:rsid w:val="21A275CB"/>
    <w:rsid w:val="21AF0D0A"/>
    <w:rsid w:val="21C1459A"/>
    <w:rsid w:val="21E604A4"/>
    <w:rsid w:val="22032E04"/>
    <w:rsid w:val="22196184"/>
    <w:rsid w:val="22543660"/>
    <w:rsid w:val="22592A24"/>
    <w:rsid w:val="2265761B"/>
    <w:rsid w:val="227E4604"/>
    <w:rsid w:val="22AC524A"/>
    <w:rsid w:val="22C205C9"/>
    <w:rsid w:val="22CA2E35"/>
    <w:rsid w:val="22FA4207"/>
    <w:rsid w:val="230A1F70"/>
    <w:rsid w:val="23144B9D"/>
    <w:rsid w:val="232805BF"/>
    <w:rsid w:val="233D40F4"/>
    <w:rsid w:val="23425BAE"/>
    <w:rsid w:val="23445482"/>
    <w:rsid w:val="23535F81"/>
    <w:rsid w:val="23696C97"/>
    <w:rsid w:val="236C49D9"/>
    <w:rsid w:val="239301B8"/>
    <w:rsid w:val="23D42CAA"/>
    <w:rsid w:val="23D5257E"/>
    <w:rsid w:val="23F073B8"/>
    <w:rsid w:val="23F95F8C"/>
    <w:rsid w:val="23FF75FB"/>
    <w:rsid w:val="24392B0D"/>
    <w:rsid w:val="24793A7F"/>
    <w:rsid w:val="247B1377"/>
    <w:rsid w:val="249B1C33"/>
    <w:rsid w:val="24AA3A0B"/>
    <w:rsid w:val="24AC1531"/>
    <w:rsid w:val="24BB79C6"/>
    <w:rsid w:val="24BE3012"/>
    <w:rsid w:val="24CD14A7"/>
    <w:rsid w:val="24F133E8"/>
    <w:rsid w:val="24F730F1"/>
    <w:rsid w:val="2513335E"/>
    <w:rsid w:val="251F7F55"/>
    <w:rsid w:val="25245D32"/>
    <w:rsid w:val="2533755C"/>
    <w:rsid w:val="253A3226"/>
    <w:rsid w:val="25407ECB"/>
    <w:rsid w:val="256B59EC"/>
    <w:rsid w:val="25BA7C7E"/>
    <w:rsid w:val="26064C71"/>
    <w:rsid w:val="261366EB"/>
    <w:rsid w:val="261C26E6"/>
    <w:rsid w:val="26322122"/>
    <w:rsid w:val="26695200"/>
    <w:rsid w:val="26B66697"/>
    <w:rsid w:val="26D1527F"/>
    <w:rsid w:val="26D22DA5"/>
    <w:rsid w:val="26EA0A6E"/>
    <w:rsid w:val="26F7280B"/>
    <w:rsid w:val="2702368A"/>
    <w:rsid w:val="270311B0"/>
    <w:rsid w:val="270C62B7"/>
    <w:rsid w:val="27135897"/>
    <w:rsid w:val="27257379"/>
    <w:rsid w:val="272730F1"/>
    <w:rsid w:val="273D2914"/>
    <w:rsid w:val="275163C0"/>
    <w:rsid w:val="2753038A"/>
    <w:rsid w:val="27547C5E"/>
    <w:rsid w:val="27767BD4"/>
    <w:rsid w:val="27906EE8"/>
    <w:rsid w:val="27983FEE"/>
    <w:rsid w:val="27A044DA"/>
    <w:rsid w:val="27B801ED"/>
    <w:rsid w:val="28036F75"/>
    <w:rsid w:val="281A6228"/>
    <w:rsid w:val="283D6944"/>
    <w:rsid w:val="2840244E"/>
    <w:rsid w:val="286B1703"/>
    <w:rsid w:val="289A5B44"/>
    <w:rsid w:val="28A47B7E"/>
    <w:rsid w:val="28A80261"/>
    <w:rsid w:val="28AB6F01"/>
    <w:rsid w:val="28B210E0"/>
    <w:rsid w:val="29253660"/>
    <w:rsid w:val="295E7EF8"/>
    <w:rsid w:val="29826D04"/>
    <w:rsid w:val="29C3329E"/>
    <w:rsid w:val="29D84079"/>
    <w:rsid w:val="2A4B5348"/>
    <w:rsid w:val="2A64465C"/>
    <w:rsid w:val="2A64640A"/>
    <w:rsid w:val="2A691C72"/>
    <w:rsid w:val="2A9E78DF"/>
    <w:rsid w:val="2ABE32E0"/>
    <w:rsid w:val="2AC84BEB"/>
    <w:rsid w:val="2ACD2201"/>
    <w:rsid w:val="2AE1754E"/>
    <w:rsid w:val="2AF43C32"/>
    <w:rsid w:val="2B471FB3"/>
    <w:rsid w:val="2B514BE0"/>
    <w:rsid w:val="2B6568DD"/>
    <w:rsid w:val="2B7959FD"/>
    <w:rsid w:val="2B7F799F"/>
    <w:rsid w:val="2BAE3DE1"/>
    <w:rsid w:val="2BF57C61"/>
    <w:rsid w:val="2BFD6B16"/>
    <w:rsid w:val="2C1D0987"/>
    <w:rsid w:val="2C2062A9"/>
    <w:rsid w:val="2C286702"/>
    <w:rsid w:val="2C3047F6"/>
    <w:rsid w:val="2C622E1D"/>
    <w:rsid w:val="2C6426F1"/>
    <w:rsid w:val="2C9A6113"/>
    <w:rsid w:val="2CC55886"/>
    <w:rsid w:val="2CD417DC"/>
    <w:rsid w:val="2CDC2BCF"/>
    <w:rsid w:val="2CEA709A"/>
    <w:rsid w:val="2D652BC5"/>
    <w:rsid w:val="2DAF3344"/>
    <w:rsid w:val="2DCA0C7A"/>
    <w:rsid w:val="2DCE2518"/>
    <w:rsid w:val="2DDE64D3"/>
    <w:rsid w:val="2DE6194D"/>
    <w:rsid w:val="2E1D6FFC"/>
    <w:rsid w:val="2E2A2CD0"/>
    <w:rsid w:val="2E2A34C6"/>
    <w:rsid w:val="2E3A195C"/>
    <w:rsid w:val="2E545937"/>
    <w:rsid w:val="2E8B21B7"/>
    <w:rsid w:val="2ED26038"/>
    <w:rsid w:val="2EE45D6B"/>
    <w:rsid w:val="2EF35FAE"/>
    <w:rsid w:val="2F034443"/>
    <w:rsid w:val="2F4B7B98"/>
    <w:rsid w:val="2F5729E1"/>
    <w:rsid w:val="2F617036"/>
    <w:rsid w:val="2F6F1AD9"/>
    <w:rsid w:val="2F826C47"/>
    <w:rsid w:val="2F8C62F0"/>
    <w:rsid w:val="2FB53924"/>
    <w:rsid w:val="30085A89"/>
    <w:rsid w:val="30185CCC"/>
    <w:rsid w:val="301D32E3"/>
    <w:rsid w:val="30281C88"/>
    <w:rsid w:val="30393E95"/>
    <w:rsid w:val="30621723"/>
    <w:rsid w:val="309335A5"/>
    <w:rsid w:val="30FB781C"/>
    <w:rsid w:val="311A3CC6"/>
    <w:rsid w:val="31374878"/>
    <w:rsid w:val="31476BB4"/>
    <w:rsid w:val="3150593A"/>
    <w:rsid w:val="315471D8"/>
    <w:rsid w:val="31701B38"/>
    <w:rsid w:val="31927700"/>
    <w:rsid w:val="319C62C9"/>
    <w:rsid w:val="31CD2AE7"/>
    <w:rsid w:val="31DE1822"/>
    <w:rsid w:val="31E3230A"/>
    <w:rsid w:val="31E7004C"/>
    <w:rsid w:val="321150C9"/>
    <w:rsid w:val="32146967"/>
    <w:rsid w:val="32221084"/>
    <w:rsid w:val="322272D6"/>
    <w:rsid w:val="323B2146"/>
    <w:rsid w:val="324E004C"/>
    <w:rsid w:val="325B6344"/>
    <w:rsid w:val="326F3B9E"/>
    <w:rsid w:val="327D62BB"/>
    <w:rsid w:val="32AD103A"/>
    <w:rsid w:val="32C4038E"/>
    <w:rsid w:val="32D560F7"/>
    <w:rsid w:val="332B0637"/>
    <w:rsid w:val="3339342A"/>
    <w:rsid w:val="334119DE"/>
    <w:rsid w:val="33633703"/>
    <w:rsid w:val="33661445"/>
    <w:rsid w:val="33B74356"/>
    <w:rsid w:val="33E02FA5"/>
    <w:rsid w:val="33E34843"/>
    <w:rsid w:val="34014CC9"/>
    <w:rsid w:val="34056568"/>
    <w:rsid w:val="341744ED"/>
    <w:rsid w:val="342A0638"/>
    <w:rsid w:val="344057F2"/>
    <w:rsid w:val="34473024"/>
    <w:rsid w:val="34637732"/>
    <w:rsid w:val="346F60D7"/>
    <w:rsid w:val="348A3F3C"/>
    <w:rsid w:val="348F0527"/>
    <w:rsid w:val="349A75F8"/>
    <w:rsid w:val="34B35455"/>
    <w:rsid w:val="34DF500B"/>
    <w:rsid w:val="34E02B31"/>
    <w:rsid w:val="34E138A4"/>
    <w:rsid w:val="352B0250"/>
    <w:rsid w:val="352C3FC8"/>
    <w:rsid w:val="35352E7D"/>
    <w:rsid w:val="354C2B84"/>
    <w:rsid w:val="35514528"/>
    <w:rsid w:val="355E2B46"/>
    <w:rsid w:val="35775243"/>
    <w:rsid w:val="35BC534C"/>
    <w:rsid w:val="35C30488"/>
    <w:rsid w:val="35CF176B"/>
    <w:rsid w:val="35DE3514"/>
    <w:rsid w:val="35EE36C5"/>
    <w:rsid w:val="35FB1672"/>
    <w:rsid w:val="360D5BA8"/>
    <w:rsid w:val="36134AB5"/>
    <w:rsid w:val="361707D4"/>
    <w:rsid w:val="3632560E"/>
    <w:rsid w:val="363732CB"/>
    <w:rsid w:val="364C66D0"/>
    <w:rsid w:val="365612FD"/>
    <w:rsid w:val="36595E81"/>
    <w:rsid w:val="36B10CBA"/>
    <w:rsid w:val="36C62CE7"/>
    <w:rsid w:val="36CE5337"/>
    <w:rsid w:val="36D5079B"/>
    <w:rsid w:val="36DD557A"/>
    <w:rsid w:val="36F62AE0"/>
    <w:rsid w:val="370B658B"/>
    <w:rsid w:val="37272C99"/>
    <w:rsid w:val="372F0988"/>
    <w:rsid w:val="375021F0"/>
    <w:rsid w:val="379D6FCC"/>
    <w:rsid w:val="37A83DDA"/>
    <w:rsid w:val="37BA536C"/>
    <w:rsid w:val="37D7646D"/>
    <w:rsid w:val="37DD15AA"/>
    <w:rsid w:val="381551E7"/>
    <w:rsid w:val="381A01DE"/>
    <w:rsid w:val="382C33B7"/>
    <w:rsid w:val="383C09C6"/>
    <w:rsid w:val="383E473E"/>
    <w:rsid w:val="38507F7D"/>
    <w:rsid w:val="385176F1"/>
    <w:rsid w:val="389425B0"/>
    <w:rsid w:val="38A04AB1"/>
    <w:rsid w:val="38A85352"/>
    <w:rsid w:val="38B13162"/>
    <w:rsid w:val="38B8629F"/>
    <w:rsid w:val="38C2711D"/>
    <w:rsid w:val="38D62BC9"/>
    <w:rsid w:val="38F8669B"/>
    <w:rsid w:val="39074B30"/>
    <w:rsid w:val="3908000B"/>
    <w:rsid w:val="39096AFA"/>
    <w:rsid w:val="39162FC5"/>
    <w:rsid w:val="392576AC"/>
    <w:rsid w:val="393022D9"/>
    <w:rsid w:val="3967406D"/>
    <w:rsid w:val="39697599"/>
    <w:rsid w:val="39700927"/>
    <w:rsid w:val="398E0DAD"/>
    <w:rsid w:val="3995038E"/>
    <w:rsid w:val="39C8780C"/>
    <w:rsid w:val="39F350B4"/>
    <w:rsid w:val="3A190FBF"/>
    <w:rsid w:val="3A2A31CC"/>
    <w:rsid w:val="3A60099C"/>
    <w:rsid w:val="3A6D4E67"/>
    <w:rsid w:val="3A7C154E"/>
    <w:rsid w:val="3A7E52C6"/>
    <w:rsid w:val="3A80103E"/>
    <w:rsid w:val="3A8A77C7"/>
    <w:rsid w:val="3A9E14C4"/>
    <w:rsid w:val="3AD273C0"/>
    <w:rsid w:val="3B111C96"/>
    <w:rsid w:val="3B11613A"/>
    <w:rsid w:val="3B2220F5"/>
    <w:rsid w:val="3B451940"/>
    <w:rsid w:val="3B4B07C6"/>
    <w:rsid w:val="3B567FF1"/>
    <w:rsid w:val="3B64626A"/>
    <w:rsid w:val="3B6A7363"/>
    <w:rsid w:val="3B7039C9"/>
    <w:rsid w:val="3B7D557D"/>
    <w:rsid w:val="3BA90120"/>
    <w:rsid w:val="3BB735F3"/>
    <w:rsid w:val="3BB865B6"/>
    <w:rsid w:val="3BC136BC"/>
    <w:rsid w:val="3C0D06AF"/>
    <w:rsid w:val="3C2B322B"/>
    <w:rsid w:val="3C3814A4"/>
    <w:rsid w:val="3C447E49"/>
    <w:rsid w:val="3C53008C"/>
    <w:rsid w:val="3C553E04"/>
    <w:rsid w:val="3C5A58BF"/>
    <w:rsid w:val="3C6127A9"/>
    <w:rsid w:val="3C6E4EC6"/>
    <w:rsid w:val="3C793F97"/>
    <w:rsid w:val="3CC4358B"/>
    <w:rsid w:val="3CCA2A44"/>
    <w:rsid w:val="3CCD42E3"/>
    <w:rsid w:val="3CD70CBD"/>
    <w:rsid w:val="3CEC29BB"/>
    <w:rsid w:val="3CED6733"/>
    <w:rsid w:val="3CF47AC1"/>
    <w:rsid w:val="3D0D2931"/>
    <w:rsid w:val="3D3B2FFA"/>
    <w:rsid w:val="3D711112"/>
    <w:rsid w:val="3D762284"/>
    <w:rsid w:val="3D78424E"/>
    <w:rsid w:val="3D7B6CF2"/>
    <w:rsid w:val="3D7E738B"/>
    <w:rsid w:val="3D8B460F"/>
    <w:rsid w:val="3D9B7F3D"/>
    <w:rsid w:val="3DC254CA"/>
    <w:rsid w:val="3DD35929"/>
    <w:rsid w:val="3DDD2303"/>
    <w:rsid w:val="3DF45FAA"/>
    <w:rsid w:val="3E1D6BA4"/>
    <w:rsid w:val="3E2B12C1"/>
    <w:rsid w:val="3EB47508"/>
    <w:rsid w:val="3EB556A0"/>
    <w:rsid w:val="3F0D6C18"/>
    <w:rsid w:val="3F1A4063"/>
    <w:rsid w:val="3F220667"/>
    <w:rsid w:val="3F4A5777"/>
    <w:rsid w:val="3F7B5704"/>
    <w:rsid w:val="3FA4132B"/>
    <w:rsid w:val="400E49F6"/>
    <w:rsid w:val="402B37FA"/>
    <w:rsid w:val="402C30CE"/>
    <w:rsid w:val="40354679"/>
    <w:rsid w:val="40642868"/>
    <w:rsid w:val="40664832"/>
    <w:rsid w:val="40664C83"/>
    <w:rsid w:val="40813AF9"/>
    <w:rsid w:val="40B76E3C"/>
    <w:rsid w:val="40C31C84"/>
    <w:rsid w:val="40C61775"/>
    <w:rsid w:val="40C81049"/>
    <w:rsid w:val="40D07EFD"/>
    <w:rsid w:val="40D75730"/>
    <w:rsid w:val="40FE0F0E"/>
    <w:rsid w:val="40FE1C08"/>
    <w:rsid w:val="41241B61"/>
    <w:rsid w:val="41265D6F"/>
    <w:rsid w:val="416D1BF0"/>
    <w:rsid w:val="4191768D"/>
    <w:rsid w:val="419D24D5"/>
    <w:rsid w:val="41C537DA"/>
    <w:rsid w:val="41D61E66"/>
    <w:rsid w:val="41E40104"/>
    <w:rsid w:val="420F2CA7"/>
    <w:rsid w:val="42154762"/>
    <w:rsid w:val="42426BD9"/>
    <w:rsid w:val="426A33B0"/>
    <w:rsid w:val="427B20EB"/>
    <w:rsid w:val="4286040B"/>
    <w:rsid w:val="42975177"/>
    <w:rsid w:val="429C278D"/>
    <w:rsid w:val="42B06238"/>
    <w:rsid w:val="42B15B0D"/>
    <w:rsid w:val="42B51AA1"/>
    <w:rsid w:val="42C97F05"/>
    <w:rsid w:val="42DA5063"/>
    <w:rsid w:val="42DF08CC"/>
    <w:rsid w:val="42E303BC"/>
    <w:rsid w:val="42E3216A"/>
    <w:rsid w:val="42E32FE6"/>
    <w:rsid w:val="42E433D1"/>
    <w:rsid w:val="431762B8"/>
    <w:rsid w:val="4329772D"/>
    <w:rsid w:val="433504EC"/>
    <w:rsid w:val="436677F5"/>
    <w:rsid w:val="437E617E"/>
    <w:rsid w:val="438A3A9C"/>
    <w:rsid w:val="43B23B1B"/>
    <w:rsid w:val="43CA50D8"/>
    <w:rsid w:val="43CE7979"/>
    <w:rsid w:val="43E51F12"/>
    <w:rsid w:val="443469F5"/>
    <w:rsid w:val="44620007"/>
    <w:rsid w:val="446E0159"/>
    <w:rsid w:val="447A4D50"/>
    <w:rsid w:val="4487121B"/>
    <w:rsid w:val="44CD4E80"/>
    <w:rsid w:val="44F22EB0"/>
    <w:rsid w:val="450A282F"/>
    <w:rsid w:val="450A60D4"/>
    <w:rsid w:val="4513485D"/>
    <w:rsid w:val="45232CF2"/>
    <w:rsid w:val="453F5652"/>
    <w:rsid w:val="4550160D"/>
    <w:rsid w:val="458C7B99"/>
    <w:rsid w:val="45A57BAB"/>
    <w:rsid w:val="45BB117C"/>
    <w:rsid w:val="45CF69D6"/>
    <w:rsid w:val="46032B23"/>
    <w:rsid w:val="461E170B"/>
    <w:rsid w:val="462431C5"/>
    <w:rsid w:val="462B6129"/>
    <w:rsid w:val="466510E8"/>
    <w:rsid w:val="468679DC"/>
    <w:rsid w:val="4691012F"/>
    <w:rsid w:val="46A71700"/>
    <w:rsid w:val="46A95479"/>
    <w:rsid w:val="46B1432D"/>
    <w:rsid w:val="46BB51AC"/>
    <w:rsid w:val="46C2478C"/>
    <w:rsid w:val="46D02A05"/>
    <w:rsid w:val="46EA4B04"/>
    <w:rsid w:val="46F942D0"/>
    <w:rsid w:val="46FE3A16"/>
    <w:rsid w:val="47217705"/>
    <w:rsid w:val="47264D1B"/>
    <w:rsid w:val="474927B8"/>
    <w:rsid w:val="47543636"/>
    <w:rsid w:val="47941C85"/>
    <w:rsid w:val="479E6FA7"/>
    <w:rsid w:val="47B75562"/>
    <w:rsid w:val="47E32C0C"/>
    <w:rsid w:val="480B1886"/>
    <w:rsid w:val="480C5CBF"/>
    <w:rsid w:val="48174664"/>
    <w:rsid w:val="48345216"/>
    <w:rsid w:val="4845777A"/>
    <w:rsid w:val="486C0E54"/>
    <w:rsid w:val="486F624E"/>
    <w:rsid w:val="4871646A"/>
    <w:rsid w:val="487F0B87"/>
    <w:rsid w:val="48BB1D99"/>
    <w:rsid w:val="48D569F9"/>
    <w:rsid w:val="48E1714C"/>
    <w:rsid w:val="49153299"/>
    <w:rsid w:val="491D214E"/>
    <w:rsid w:val="491F2BC5"/>
    <w:rsid w:val="49227764"/>
    <w:rsid w:val="493C25D4"/>
    <w:rsid w:val="494E2307"/>
    <w:rsid w:val="49656C92"/>
    <w:rsid w:val="498B70B7"/>
    <w:rsid w:val="498E0956"/>
    <w:rsid w:val="49A34401"/>
    <w:rsid w:val="49AA39E1"/>
    <w:rsid w:val="49B4660E"/>
    <w:rsid w:val="49F24201"/>
    <w:rsid w:val="4A4A2ACF"/>
    <w:rsid w:val="4A7F7B63"/>
    <w:rsid w:val="4A8B6CBC"/>
    <w:rsid w:val="4ABA40F8"/>
    <w:rsid w:val="4AE45E3B"/>
    <w:rsid w:val="4AE72A13"/>
    <w:rsid w:val="4AF64A04"/>
    <w:rsid w:val="4B1F3F5B"/>
    <w:rsid w:val="4B425E9C"/>
    <w:rsid w:val="4B58121B"/>
    <w:rsid w:val="4B6034AB"/>
    <w:rsid w:val="4B6A5537"/>
    <w:rsid w:val="4B71239F"/>
    <w:rsid w:val="4B7F2C4C"/>
    <w:rsid w:val="4B895879"/>
    <w:rsid w:val="4B8E2E8F"/>
    <w:rsid w:val="4B92297F"/>
    <w:rsid w:val="4BAF3531"/>
    <w:rsid w:val="4BBD40F2"/>
    <w:rsid w:val="4BD20FCE"/>
    <w:rsid w:val="4BD50ABE"/>
    <w:rsid w:val="4BE86A43"/>
    <w:rsid w:val="4BF4363A"/>
    <w:rsid w:val="4C1635B0"/>
    <w:rsid w:val="4C2A2BB8"/>
    <w:rsid w:val="4C2D08FA"/>
    <w:rsid w:val="4C7958ED"/>
    <w:rsid w:val="4C995F8F"/>
    <w:rsid w:val="4CA516A4"/>
    <w:rsid w:val="4CA54934"/>
    <w:rsid w:val="4CAA1871"/>
    <w:rsid w:val="4CC669AF"/>
    <w:rsid w:val="4CC90623"/>
    <w:rsid w:val="4CED451C"/>
    <w:rsid w:val="4D023B34"/>
    <w:rsid w:val="4D111242"/>
    <w:rsid w:val="4D8F30F2"/>
    <w:rsid w:val="4DB27309"/>
    <w:rsid w:val="4DD92AE7"/>
    <w:rsid w:val="4DF416CF"/>
    <w:rsid w:val="4DF71F15"/>
    <w:rsid w:val="4E0336C0"/>
    <w:rsid w:val="4E0F02B7"/>
    <w:rsid w:val="4E233D62"/>
    <w:rsid w:val="4E261AA5"/>
    <w:rsid w:val="4E353A96"/>
    <w:rsid w:val="4E4168DE"/>
    <w:rsid w:val="4E546612"/>
    <w:rsid w:val="4E9B7D9D"/>
    <w:rsid w:val="4ED27537"/>
    <w:rsid w:val="4ED908C5"/>
    <w:rsid w:val="4F572329"/>
    <w:rsid w:val="4F5B1A36"/>
    <w:rsid w:val="4F6463E1"/>
    <w:rsid w:val="4F7A3E56"/>
    <w:rsid w:val="4FAD7940"/>
    <w:rsid w:val="4FE6773D"/>
    <w:rsid w:val="4FE87012"/>
    <w:rsid w:val="4FEE03A0"/>
    <w:rsid w:val="4FF70CEB"/>
    <w:rsid w:val="50086AA3"/>
    <w:rsid w:val="503009B9"/>
    <w:rsid w:val="5043249A"/>
    <w:rsid w:val="50463D38"/>
    <w:rsid w:val="506863A4"/>
    <w:rsid w:val="506D40B9"/>
    <w:rsid w:val="50811214"/>
    <w:rsid w:val="5099030C"/>
    <w:rsid w:val="50A218B6"/>
    <w:rsid w:val="50AE54F4"/>
    <w:rsid w:val="50F1639A"/>
    <w:rsid w:val="51004D18"/>
    <w:rsid w:val="511624B4"/>
    <w:rsid w:val="512E314A"/>
    <w:rsid w:val="513719A2"/>
    <w:rsid w:val="51385D77"/>
    <w:rsid w:val="514E7348"/>
    <w:rsid w:val="515B7CB7"/>
    <w:rsid w:val="51703763"/>
    <w:rsid w:val="517448D5"/>
    <w:rsid w:val="52412A09"/>
    <w:rsid w:val="524501AB"/>
    <w:rsid w:val="524E3378"/>
    <w:rsid w:val="52972F71"/>
    <w:rsid w:val="52BE22AC"/>
    <w:rsid w:val="52D03D8D"/>
    <w:rsid w:val="52EC6E19"/>
    <w:rsid w:val="532D11DF"/>
    <w:rsid w:val="53514ECE"/>
    <w:rsid w:val="536410A5"/>
    <w:rsid w:val="53894668"/>
    <w:rsid w:val="53AB0A82"/>
    <w:rsid w:val="53C4216D"/>
    <w:rsid w:val="53DD0E57"/>
    <w:rsid w:val="53EC2E48"/>
    <w:rsid w:val="53FD6E04"/>
    <w:rsid w:val="540006A2"/>
    <w:rsid w:val="545A24A8"/>
    <w:rsid w:val="545F361A"/>
    <w:rsid w:val="546724CF"/>
    <w:rsid w:val="5479292E"/>
    <w:rsid w:val="547C241E"/>
    <w:rsid w:val="54870688"/>
    <w:rsid w:val="548D63DA"/>
    <w:rsid w:val="54AD639B"/>
    <w:rsid w:val="54D67D81"/>
    <w:rsid w:val="54DE6C35"/>
    <w:rsid w:val="54E029AD"/>
    <w:rsid w:val="54E56216"/>
    <w:rsid w:val="55264138"/>
    <w:rsid w:val="55306D65"/>
    <w:rsid w:val="55346855"/>
    <w:rsid w:val="55482300"/>
    <w:rsid w:val="554C3B9F"/>
    <w:rsid w:val="555B0286"/>
    <w:rsid w:val="55683492"/>
    <w:rsid w:val="556A6812"/>
    <w:rsid w:val="556B321E"/>
    <w:rsid w:val="55791B19"/>
    <w:rsid w:val="55B1434A"/>
    <w:rsid w:val="55C67DF5"/>
    <w:rsid w:val="55CF657E"/>
    <w:rsid w:val="55D3606E"/>
    <w:rsid w:val="55F3226C"/>
    <w:rsid w:val="55F45FE4"/>
    <w:rsid w:val="56102E1E"/>
    <w:rsid w:val="561830AE"/>
    <w:rsid w:val="561A09E9"/>
    <w:rsid w:val="561F12B3"/>
    <w:rsid w:val="5632548A"/>
    <w:rsid w:val="564927D4"/>
    <w:rsid w:val="56576C9F"/>
    <w:rsid w:val="56713456"/>
    <w:rsid w:val="56847368"/>
    <w:rsid w:val="568E01E7"/>
    <w:rsid w:val="56A143BE"/>
    <w:rsid w:val="56E322E1"/>
    <w:rsid w:val="56FB756F"/>
    <w:rsid w:val="57607DD5"/>
    <w:rsid w:val="57721714"/>
    <w:rsid w:val="57911D3D"/>
    <w:rsid w:val="57A75A04"/>
    <w:rsid w:val="57AE6D93"/>
    <w:rsid w:val="57B1418D"/>
    <w:rsid w:val="57CF2865"/>
    <w:rsid w:val="57D533EA"/>
    <w:rsid w:val="57DE6F4C"/>
    <w:rsid w:val="57F4740D"/>
    <w:rsid w:val="580A1AEF"/>
    <w:rsid w:val="580B6F63"/>
    <w:rsid w:val="58474AF1"/>
    <w:rsid w:val="58823D7B"/>
    <w:rsid w:val="58A56CFB"/>
    <w:rsid w:val="58BA52C3"/>
    <w:rsid w:val="58BF0568"/>
    <w:rsid w:val="58D82BC7"/>
    <w:rsid w:val="590824D3"/>
    <w:rsid w:val="59146CAD"/>
    <w:rsid w:val="592320C4"/>
    <w:rsid w:val="59527BF2"/>
    <w:rsid w:val="597A1831"/>
    <w:rsid w:val="598B7F46"/>
    <w:rsid w:val="598F49A2"/>
    <w:rsid w:val="59A246D5"/>
    <w:rsid w:val="59BD71FE"/>
    <w:rsid w:val="59C12681"/>
    <w:rsid w:val="59DB3743"/>
    <w:rsid w:val="59F23246"/>
    <w:rsid w:val="59F91E1B"/>
    <w:rsid w:val="5A137381"/>
    <w:rsid w:val="5A4532B2"/>
    <w:rsid w:val="5A700A66"/>
    <w:rsid w:val="5A783688"/>
    <w:rsid w:val="5AA93841"/>
    <w:rsid w:val="5AC32B55"/>
    <w:rsid w:val="5AD85ED5"/>
    <w:rsid w:val="5ADF3707"/>
    <w:rsid w:val="5AEE394A"/>
    <w:rsid w:val="5AF22BC6"/>
    <w:rsid w:val="5AF30F60"/>
    <w:rsid w:val="5AF669C0"/>
    <w:rsid w:val="5B0647F0"/>
    <w:rsid w:val="5B092532"/>
    <w:rsid w:val="5B174C4F"/>
    <w:rsid w:val="5B270145"/>
    <w:rsid w:val="5B3A6B8F"/>
    <w:rsid w:val="5B4672E2"/>
    <w:rsid w:val="5B5639C9"/>
    <w:rsid w:val="5B8B1199"/>
    <w:rsid w:val="5B922527"/>
    <w:rsid w:val="5BB16E51"/>
    <w:rsid w:val="5BBB7CD0"/>
    <w:rsid w:val="5BED59B0"/>
    <w:rsid w:val="5BEF1728"/>
    <w:rsid w:val="5BFE7BBD"/>
    <w:rsid w:val="5C0C22DA"/>
    <w:rsid w:val="5C1178F0"/>
    <w:rsid w:val="5C5A1297"/>
    <w:rsid w:val="5C643663"/>
    <w:rsid w:val="5C6C5EDB"/>
    <w:rsid w:val="5C9A5B38"/>
    <w:rsid w:val="5CA644DC"/>
    <w:rsid w:val="5CDA23D8"/>
    <w:rsid w:val="5CE310D8"/>
    <w:rsid w:val="5D016EBB"/>
    <w:rsid w:val="5D647EF4"/>
    <w:rsid w:val="5D7E0FB5"/>
    <w:rsid w:val="5D8B5480"/>
    <w:rsid w:val="5DAF59B0"/>
    <w:rsid w:val="5DCB3ACF"/>
    <w:rsid w:val="5DDB1F64"/>
    <w:rsid w:val="5DE16CBE"/>
    <w:rsid w:val="5E196F30"/>
    <w:rsid w:val="5E3272FF"/>
    <w:rsid w:val="5E8819C0"/>
    <w:rsid w:val="5E914D18"/>
    <w:rsid w:val="5EB04382"/>
    <w:rsid w:val="5EBB7FE7"/>
    <w:rsid w:val="5F0F018F"/>
    <w:rsid w:val="5F1C2834"/>
    <w:rsid w:val="5F1F1D16"/>
    <w:rsid w:val="5F357D99"/>
    <w:rsid w:val="5F4E49B7"/>
    <w:rsid w:val="5F845B87"/>
    <w:rsid w:val="5F9E593F"/>
    <w:rsid w:val="5FDA449D"/>
    <w:rsid w:val="5FE315A4"/>
    <w:rsid w:val="60250737"/>
    <w:rsid w:val="602D281F"/>
    <w:rsid w:val="605E50CE"/>
    <w:rsid w:val="6062696C"/>
    <w:rsid w:val="60791251"/>
    <w:rsid w:val="607E751E"/>
    <w:rsid w:val="60D1523C"/>
    <w:rsid w:val="60F0521D"/>
    <w:rsid w:val="60FC0949"/>
    <w:rsid w:val="61137C66"/>
    <w:rsid w:val="61630BEE"/>
    <w:rsid w:val="618E553F"/>
    <w:rsid w:val="61BF394A"/>
    <w:rsid w:val="61CF0031"/>
    <w:rsid w:val="620A19A7"/>
    <w:rsid w:val="620D0B5A"/>
    <w:rsid w:val="62304E3C"/>
    <w:rsid w:val="623A1223"/>
    <w:rsid w:val="623E0D13"/>
    <w:rsid w:val="624502F4"/>
    <w:rsid w:val="62970423"/>
    <w:rsid w:val="62976675"/>
    <w:rsid w:val="62996FF1"/>
    <w:rsid w:val="62E55633"/>
    <w:rsid w:val="6306019D"/>
    <w:rsid w:val="631321A0"/>
    <w:rsid w:val="63260125"/>
    <w:rsid w:val="63302D52"/>
    <w:rsid w:val="63400ABB"/>
    <w:rsid w:val="635602DE"/>
    <w:rsid w:val="63736EC9"/>
    <w:rsid w:val="6377272F"/>
    <w:rsid w:val="63822E81"/>
    <w:rsid w:val="6388493C"/>
    <w:rsid w:val="63A31776"/>
    <w:rsid w:val="63AE3C76"/>
    <w:rsid w:val="63BA4E72"/>
    <w:rsid w:val="63C6135F"/>
    <w:rsid w:val="63E44E96"/>
    <w:rsid w:val="63EB6C79"/>
    <w:rsid w:val="63F0603D"/>
    <w:rsid w:val="64033FC2"/>
    <w:rsid w:val="64095351"/>
    <w:rsid w:val="64394B9A"/>
    <w:rsid w:val="6449399F"/>
    <w:rsid w:val="64542A70"/>
    <w:rsid w:val="64633285"/>
    <w:rsid w:val="64680AA0"/>
    <w:rsid w:val="64990483"/>
    <w:rsid w:val="649C62B2"/>
    <w:rsid w:val="64C54D8A"/>
    <w:rsid w:val="64CA0F84"/>
    <w:rsid w:val="64CF0348"/>
    <w:rsid w:val="650A75D2"/>
    <w:rsid w:val="651D10B4"/>
    <w:rsid w:val="652C12F7"/>
    <w:rsid w:val="6530528B"/>
    <w:rsid w:val="6532281F"/>
    <w:rsid w:val="654143F4"/>
    <w:rsid w:val="65476131"/>
    <w:rsid w:val="656942F9"/>
    <w:rsid w:val="657C227E"/>
    <w:rsid w:val="65847385"/>
    <w:rsid w:val="659C4368"/>
    <w:rsid w:val="65C129C2"/>
    <w:rsid w:val="65DB7C52"/>
    <w:rsid w:val="65E10333"/>
    <w:rsid w:val="65EB11B2"/>
    <w:rsid w:val="660109D5"/>
    <w:rsid w:val="660758C0"/>
    <w:rsid w:val="6632293D"/>
    <w:rsid w:val="66342B59"/>
    <w:rsid w:val="66794A10"/>
    <w:rsid w:val="66A7157D"/>
    <w:rsid w:val="66B27F22"/>
    <w:rsid w:val="66B43C9A"/>
    <w:rsid w:val="66C8504F"/>
    <w:rsid w:val="66DA41AF"/>
    <w:rsid w:val="66E005EB"/>
    <w:rsid w:val="66ED2D08"/>
    <w:rsid w:val="66EF082E"/>
    <w:rsid w:val="66FE4F15"/>
    <w:rsid w:val="67292AA1"/>
    <w:rsid w:val="672F1572"/>
    <w:rsid w:val="673E5311"/>
    <w:rsid w:val="67543564"/>
    <w:rsid w:val="67571DA6"/>
    <w:rsid w:val="676F196F"/>
    <w:rsid w:val="67977A23"/>
    <w:rsid w:val="67C714E8"/>
    <w:rsid w:val="67CA3270"/>
    <w:rsid w:val="67FB7E4E"/>
    <w:rsid w:val="6841155D"/>
    <w:rsid w:val="68476448"/>
    <w:rsid w:val="688F22C8"/>
    <w:rsid w:val="689A2A1B"/>
    <w:rsid w:val="68A044D6"/>
    <w:rsid w:val="68A42EEF"/>
    <w:rsid w:val="68AF64C7"/>
    <w:rsid w:val="68C83A2C"/>
    <w:rsid w:val="68DC3034"/>
    <w:rsid w:val="692A6176"/>
    <w:rsid w:val="69382960"/>
    <w:rsid w:val="69450BD9"/>
    <w:rsid w:val="696C3AD2"/>
    <w:rsid w:val="69715E72"/>
    <w:rsid w:val="69913E1E"/>
    <w:rsid w:val="699833FF"/>
    <w:rsid w:val="69B47B0D"/>
    <w:rsid w:val="6A445335"/>
    <w:rsid w:val="6A5A4B58"/>
    <w:rsid w:val="6AAB53B4"/>
    <w:rsid w:val="6AAF6C52"/>
    <w:rsid w:val="6AE368FC"/>
    <w:rsid w:val="6AED777A"/>
    <w:rsid w:val="6AFE1987"/>
    <w:rsid w:val="6B2111D2"/>
    <w:rsid w:val="6B286A04"/>
    <w:rsid w:val="6B317667"/>
    <w:rsid w:val="6B4A24D7"/>
    <w:rsid w:val="6B567D4A"/>
    <w:rsid w:val="6B607F4C"/>
    <w:rsid w:val="6B6F6F01"/>
    <w:rsid w:val="6BDF5315"/>
    <w:rsid w:val="6BEC5C84"/>
    <w:rsid w:val="6C1D5E3D"/>
    <w:rsid w:val="6C2C6080"/>
    <w:rsid w:val="6C507FC1"/>
    <w:rsid w:val="6C68355C"/>
    <w:rsid w:val="6C735A5D"/>
    <w:rsid w:val="6C7672FB"/>
    <w:rsid w:val="6C865790"/>
    <w:rsid w:val="6CAB3449"/>
    <w:rsid w:val="6CB56076"/>
    <w:rsid w:val="6D1549D0"/>
    <w:rsid w:val="6D1833A0"/>
    <w:rsid w:val="6D192AA9"/>
    <w:rsid w:val="6D282E54"/>
    <w:rsid w:val="6D34343E"/>
    <w:rsid w:val="6D42779B"/>
    <w:rsid w:val="6D875C64"/>
    <w:rsid w:val="6DA2484C"/>
    <w:rsid w:val="6DB95988"/>
    <w:rsid w:val="6DC5678C"/>
    <w:rsid w:val="6DE9247B"/>
    <w:rsid w:val="6DF809A5"/>
    <w:rsid w:val="6E11552E"/>
    <w:rsid w:val="6E1967BA"/>
    <w:rsid w:val="6E201C15"/>
    <w:rsid w:val="6E287290"/>
    <w:rsid w:val="6E447EB8"/>
    <w:rsid w:val="6E69536A"/>
    <w:rsid w:val="6E8B38FA"/>
    <w:rsid w:val="6E971ED7"/>
    <w:rsid w:val="6ED547AD"/>
    <w:rsid w:val="6EE175F6"/>
    <w:rsid w:val="6EEE586F"/>
    <w:rsid w:val="6F411E43"/>
    <w:rsid w:val="6F457B85"/>
    <w:rsid w:val="6F571666"/>
    <w:rsid w:val="6F751AEC"/>
    <w:rsid w:val="6FA23218"/>
    <w:rsid w:val="6FA81EC2"/>
    <w:rsid w:val="6FAD74D8"/>
    <w:rsid w:val="6FC34F4E"/>
    <w:rsid w:val="6FFE0CC2"/>
    <w:rsid w:val="7007308C"/>
    <w:rsid w:val="705B6F34"/>
    <w:rsid w:val="707D50FC"/>
    <w:rsid w:val="709B37D5"/>
    <w:rsid w:val="70AD5896"/>
    <w:rsid w:val="70E37655"/>
    <w:rsid w:val="70E64A50"/>
    <w:rsid w:val="70F03B20"/>
    <w:rsid w:val="70FA499F"/>
    <w:rsid w:val="710B44B6"/>
    <w:rsid w:val="711710AD"/>
    <w:rsid w:val="71236291"/>
    <w:rsid w:val="71265794"/>
    <w:rsid w:val="71353C29"/>
    <w:rsid w:val="716B31A7"/>
    <w:rsid w:val="71CD5C10"/>
    <w:rsid w:val="71E05943"/>
    <w:rsid w:val="721D26F3"/>
    <w:rsid w:val="722717C4"/>
    <w:rsid w:val="723A3EB4"/>
    <w:rsid w:val="7251239D"/>
    <w:rsid w:val="726227FC"/>
    <w:rsid w:val="72C07522"/>
    <w:rsid w:val="72C963D7"/>
    <w:rsid w:val="730B4C41"/>
    <w:rsid w:val="73190ECB"/>
    <w:rsid w:val="731E2CB7"/>
    <w:rsid w:val="7338355D"/>
    <w:rsid w:val="733E6DC5"/>
    <w:rsid w:val="736C74EB"/>
    <w:rsid w:val="737E5413"/>
    <w:rsid w:val="73830C7C"/>
    <w:rsid w:val="739F45B1"/>
    <w:rsid w:val="73A429A0"/>
    <w:rsid w:val="73AE6296"/>
    <w:rsid w:val="73D414D7"/>
    <w:rsid w:val="73D74B24"/>
    <w:rsid w:val="74006A71"/>
    <w:rsid w:val="740645C4"/>
    <w:rsid w:val="741D2E7E"/>
    <w:rsid w:val="743837D4"/>
    <w:rsid w:val="746C7962"/>
    <w:rsid w:val="747E1443"/>
    <w:rsid w:val="74844CAB"/>
    <w:rsid w:val="748F53FE"/>
    <w:rsid w:val="74A02440"/>
    <w:rsid w:val="74CE23CA"/>
    <w:rsid w:val="74CF315B"/>
    <w:rsid w:val="74DC1EAE"/>
    <w:rsid w:val="74E05C5A"/>
    <w:rsid w:val="74F17E67"/>
    <w:rsid w:val="75041948"/>
    <w:rsid w:val="753B10E2"/>
    <w:rsid w:val="755521A4"/>
    <w:rsid w:val="756F2B31"/>
    <w:rsid w:val="75862CA5"/>
    <w:rsid w:val="75873824"/>
    <w:rsid w:val="75AE7B06"/>
    <w:rsid w:val="75E46CF5"/>
    <w:rsid w:val="75EA3234"/>
    <w:rsid w:val="75F06371"/>
    <w:rsid w:val="75F776FF"/>
    <w:rsid w:val="760B6D06"/>
    <w:rsid w:val="76BE1FCB"/>
    <w:rsid w:val="77045C52"/>
    <w:rsid w:val="776970F2"/>
    <w:rsid w:val="776C1A27"/>
    <w:rsid w:val="776E39F1"/>
    <w:rsid w:val="7771703D"/>
    <w:rsid w:val="77974CF6"/>
    <w:rsid w:val="77976AA4"/>
    <w:rsid w:val="779F1DFC"/>
    <w:rsid w:val="77A15B74"/>
    <w:rsid w:val="77C43611"/>
    <w:rsid w:val="77E45A61"/>
    <w:rsid w:val="782567A5"/>
    <w:rsid w:val="78436C2C"/>
    <w:rsid w:val="785E5813"/>
    <w:rsid w:val="78762B5D"/>
    <w:rsid w:val="788039DC"/>
    <w:rsid w:val="78811502"/>
    <w:rsid w:val="78E141D6"/>
    <w:rsid w:val="78EE4DE9"/>
    <w:rsid w:val="78FB5963"/>
    <w:rsid w:val="79450275"/>
    <w:rsid w:val="799C4845"/>
    <w:rsid w:val="79AB4A88"/>
    <w:rsid w:val="79B002F1"/>
    <w:rsid w:val="79B768C5"/>
    <w:rsid w:val="79C618C2"/>
    <w:rsid w:val="79D43189"/>
    <w:rsid w:val="79F006ED"/>
    <w:rsid w:val="79F857F4"/>
    <w:rsid w:val="7A036672"/>
    <w:rsid w:val="7A064BE3"/>
    <w:rsid w:val="7A0D5743"/>
    <w:rsid w:val="7A5073DE"/>
    <w:rsid w:val="7A560E98"/>
    <w:rsid w:val="7A7E3F4B"/>
    <w:rsid w:val="7ABE5DB4"/>
    <w:rsid w:val="7ABE6A3D"/>
    <w:rsid w:val="7AD324E9"/>
    <w:rsid w:val="7AEE5BE4"/>
    <w:rsid w:val="7AF97A75"/>
    <w:rsid w:val="7B114DBF"/>
    <w:rsid w:val="7B6B0973"/>
    <w:rsid w:val="7B7F61CD"/>
    <w:rsid w:val="7BAA4B8F"/>
    <w:rsid w:val="7BBA0FB3"/>
    <w:rsid w:val="7BDA3403"/>
    <w:rsid w:val="7BE44282"/>
    <w:rsid w:val="7BE6624C"/>
    <w:rsid w:val="7C6303BA"/>
    <w:rsid w:val="7C7033EC"/>
    <w:rsid w:val="7CA103C5"/>
    <w:rsid w:val="7CCD4D16"/>
    <w:rsid w:val="7D221166"/>
    <w:rsid w:val="7D311748"/>
    <w:rsid w:val="7D380D29"/>
    <w:rsid w:val="7D3C46D8"/>
    <w:rsid w:val="7D5B089E"/>
    <w:rsid w:val="7D6332C7"/>
    <w:rsid w:val="7D733B0F"/>
    <w:rsid w:val="7D7F0706"/>
    <w:rsid w:val="7DA93795"/>
    <w:rsid w:val="7DB14637"/>
    <w:rsid w:val="7DDB16B4"/>
    <w:rsid w:val="7E0A2064"/>
    <w:rsid w:val="7E0B01EB"/>
    <w:rsid w:val="7E292420"/>
    <w:rsid w:val="7E413C0D"/>
    <w:rsid w:val="7E464D80"/>
    <w:rsid w:val="7E663674"/>
    <w:rsid w:val="7E77762F"/>
    <w:rsid w:val="7E7900C8"/>
    <w:rsid w:val="7EAA3325"/>
    <w:rsid w:val="7EAA7A04"/>
    <w:rsid w:val="7EC01AA7"/>
    <w:rsid w:val="7ED22AB7"/>
    <w:rsid w:val="7EED45E6"/>
    <w:rsid w:val="7EEF71C5"/>
    <w:rsid w:val="7EF173E1"/>
    <w:rsid w:val="7F3B2257"/>
    <w:rsid w:val="7F511C2E"/>
    <w:rsid w:val="7F5931D8"/>
    <w:rsid w:val="7F6C2672"/>
    <w:rsid w:val="7F7B314F"/>
    <w:rsid w:val="7FAA68F3"/>
    <w:rsid w:val="7FB14DC3"/>
    <w:rsid w:val="7FD91C23"/>
    <w:rsid w:val="7FE0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autoSpaceDE w:val="0"/>
      <w:autoSpaceDN w:val="0"/>
      <w:adjustRightInd w:val="0"/>
      <w:jc w:val="left"/>
    </w:pPr>
    <w:rPr>
      <w:rFonts w:ascii="宋体" w:cs="宋体"/>
      <w:kern w:val="0"/>
      <w:sz w:val="28"/>
      <w:szCs w:val="28"/>
    </w:rPr>
  </w:style>
  <w:style w:type="paragraph" w:styleId="6">
    <w:name w:val="List Number"/>
    <w:basedOn w:val="1"/>
    <w:qFormat/>
    <w:uiPriority w:val="0"/>
    <w:pPr>
      <w:numPr>
        <w:ilvl w:val="0"/>
        <w:numId w:val="1"/>
      </w:numPr>
    </w:pPr>
  </w:style>
  <w:style w:type="paragraph" w:styleId="7">
    <w:name w:val="Normal Indent"/>
    <w:basedOn w:val="1"/>
    <w:next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1"/>
    <w:qFormat/>
    <w:uiPriority w:val="0"/>
    <w:rPr>
      <w:rFonts w:ascii="宋体" w:hAnsi="Courier New"/>
      <w:kern w:val="0"/>
      <w:sz w:val="20"/>
      <w:szCs w:val="21"/>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7">
    <w:name w:val="Normal (Web)"/>
    <w:basedOn w:val="1"/>
    <w:qFormat/>
    <w:uiPriority w:val="99"/>
    <w:pPr>
      <w:spacing w:before="75" w:after="75"/>
      <w:jc w:val="left"/>
    </w:pPr>
    <w:rPr>
      <w:kern w:val="0"/>
      <w:sz w:val="24"/>
    </w:rPr>
  </w:style>
  <w:style w:type="paragraph" w:styleId="1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basedOn w:val="18"/>
    <w:next w:val="24"/>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5">
    <w:name w:val="表格文字"/>
    <w:basedOn w:val="1"/>
    <w:next w:val="2"/>
    <w:qFormat/>
    <w:uiPriority w:val="0"/>
    <w:pPr>
      <w:spacing w:before="25" w:after="25"/>
      <w:jc w:val="left"/>
    </w:pPr>
    <w:rPr>
      <w:rFonts w:ascii="Verdana" w:hAnsi="Verdana"/>
      <w:bCs/>
      <w:spacing w:val="10"/>
      <w:kern w:val="0"/>
      <w:sz w:val="24"/>
    </w:rPr>
  </w:style>
  <w:style w:type="paragraph" w:customStyle="1" w:styleId="26">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正文2"/>
    <w:basedOn w:val="1"/>
    <w:qFormat/>
    <w:uiPriority w:val="0"/>
    <w:pPr>
      <w:adjustRightInd w:val="0"/>
      <w:spacing w:before="156" w:line="360" w:lineRule="auto"/>
      <w:ind w:firstLine="510" w:firstLineChars="200"/>
    </w:pPr>
    <w:rPr>
      <w:kern w:val="0"/>
      <w:sz w:val="24"/>
      <w:szCs w:val="20"/>
    </w:rPr>
  </w:style>
  <w:style w:type="paragraph" w:styleId="29">
    <w:name w:val="List Paragraph"/>
    <w:basedOn w:val="1"/>
    <w:qFormat/>
    <w:uiPriority w:val="1"/>
    <w:pPr>
      <w:autoSpaceDE w:val="0"/>
      <w:autoSpaceDN w:val="0"/>
      <w:adjustRightInd w:val="0"/>
      <w:spacing w:before="5"/>
      <w:ind w:left="106"/>
      <w:jc w:val="left"/>
    </w:pPr>
    <w:rPr>
      <w:rFonts w:ascii="宋体" w:cs="宋体"/>
      <w:kern w:val="0"/>
      <w:sz w:val="24"/>
    </w:rPr>
  </w:style>
  <w:style w:type="paragraph" w:customStyle="1" w:styleId="30">
    <w:name w:val="Table Paragraph"/>
    <w:basedOn w:val="1"/>
    <w:qFormat/>
    <w:uiPriority w:val="1"/>
    <w:pPr>
      <w:autoSpaceDE w:val="0"/>
      <w:autoSpaceDN w:val="0"/>
      <w:adjustRightInd w:val="0"/>
      <w:jc w:val="left"/>
    </w:pPr>
    <w:rPr>
      <w:rFonts w:ascii="宋体" w:cs="宋体"/>
      <w:kern w:val="0"/>
      <w:sz w:val="24"/>
    </w:rPr>
  </w:style>
  <w:style w:type="paragraph" w:customStyle="1" w:styleId="31">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styleId="3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33">
    <w:name w:val="网格型1"/>
    <w:basedOn w:val="1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广西分公司</Company>
  <Pages>77</Pages>
  <Words>17846</Words>
  <Characters>19422</Characters>
  <Lines>0</Lines>
  <Paragraphs>0</Paragraphs>
  <TotalTime>26</TotalTime>
  <ScaleCrop>false</ScaleCrop>
  <LinksUpToDate>false</LinksUpToDate>
  <CharactersWithSpaces>20331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2024-09-19T00:57:00Z</dcterms:created>
  <dc:creator>Administrator</dc:creator>
  <cp:lastModifiedBy>Administrator</cp:lastModifiedBy>
  <cp:lastPrinted>2024-10-09T07:49:00Z</cp:lastPrinted>
  <dcterms:modified xsi:type="dcterms:W3CDTF">2025-10-28T01:54:42Z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DBF30BE283924C0BA634AC8F6F0E8A91_13</vt:lpwstr>
  </property>
  <property fmtid="{D5CDD505-2E9C-101B-9397-08002B2CF9AE}" pid="4" name="KSOTemplateDocerSaveRecord">
    <vt:lpwstr>eyJoZGlkIjoiZmFiNzgwYWQ5YWQwY2UzOGQ0NTQyM2JmMmZlYmRkMDkiLCJ1c2VySWQiOiI0MDMzNzI1MTYifQ==</vt:lpwstr>
  </property>
</Properties>
</file>