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AE66D">
      <w:pPr>
        <w:spacing w:before="165" w:beforeLines="50" w:line="360" w:lineRule="auto"/>
        <w:jc w:val="center"/>
        <w:rPr>
          <w:rFonts w:ascii="宋体" w:hAnsi="宋体" w:cs="宋体"/>
          <w:sz w:val="52"/>
          <w:szCs w:val="52"/>
        </w:rPr>
      </w:pPr>
      <w:r>
        <w:rPr>
          <w:rFonts w:hint="eastAsia" w:ascii="宋体" w:hAnsi="宋体" w:cs="宋体"/>
          <w:sz w:val="52"/>
          <w:szCs w:val="52"/>
        </w:rPr>
        <w:t>南宁市政府采购</w:t>
      </w:r>
    </w:p>
    <w:p w14:paraId="1336C89B">
      <w:pPr>
        <w:tabs>
          <w:tab w:val="left" w:pos="2940"/>
        </w:tabs>
        <w:spacing w:before="165" w:beforeLines="50" w:line="360" w:lineRule="auto"/>
        <w:jc w:val="center"/>
        <w:rPr>
          <w:rFonts w:ascii="宋体" w:hAnsi="宋体" w:cs="宋体"/>
          <w:sz w:val="52"/>
          <w:szCs w:val="52"/>
        </w:rPr>
      </w:pPr>
      <w:r>
        <w:rPr>
          <w:rFonts w:hint="eastAsia" w:ascii="宋体" w:hAnsi="宋体" w:cs="宋体"/>
          <w:sz w:val="52"/>
          <w:szCs w:val="52"/>
        </w:rPr>
        <w:t>公开招标文件（货物类）</w:t>
      </w:r>
    </w:p>
    <w:p w14:paraId="37BA9017">
      <w:pPr>
        <w:spacing w:before="165" w:beforeLines="50" w:line="360" w:lineRule="auto"/>
        <w:jc w:val="center"/>
        <w:rPr>
          <w:rFonts w:ascii="宋体" w:hAnsi="宋体" w:cs="宋体"/>
          <w:b/>
          <w:sz w:val="48"/>
          <w:szCs w:val="48"/>
        </w:rPr>
      </w:pPr>
    </w:p>
    <w:p w14:paraId="0B369B86">
      <w:pPr>
        <w:spacing w:before="165" w:beforeLines="50" w:line="360" w:lineRule="auto"/>
        <w:jc w:val="center"/>
        <w:rPr>
          <w:rFonts w:ascii="宋体" w:hAnsi="宋体" w:cs="宋体"/>
          <w:b/>
          <w:sz w:val="48"/>
          <w:szCs w:val="48"/>
        </w:rPr>
      </w:pPr>
    </w:p>
    <w:p w14:paraId="48F91D00">
      <w:pPr>
        <w:snapToGrid w:val="0"/>
        <w:spacing w:before="165" w:beforeLines="50" w:line="360" w:lineRule="auto"/>
        <w:jc w:val="center"/>
        <w:rPr>
          <w:rFonts w:ascii="宋体" w:hAnsi="宋体" w:cs="宋体"/>
          <w:sz w:val="72"/>
          <w:szCs w:val="72"/>
        </w:rPr>
      </w:pPr>
      <w:r>
        <w:rPr>
          <w:rFonts w:hint="eastAsia" w:ascii="宋体" w:hAnsi="宋体" w:cs="宋体"/>
          <w:sz w:val="72"/>
          <w:szCs w:val="72"/>
        </w:rPr>
        <w:t>招 标 文 件</w:t>
      </w:r>
    </w:p>
    <w:p w14:paraId="17DA611E">
      <w:pPr>
        <w:snapToGrid w:val="0"/>
        <w:spacing w:before="165" w:beforeLines="50" w:line="360" w:lineRule="auto"/>
        <w:jc w:val="center"/>
        <w:rPr>
          <w:rFonts w:ascii="宋体" w:hAnsi="宋体" w:cs="宋体"/>
          <w:sz w:val="30"/>
          <w:szCs w:val="72"/>
        </w:rPr>
      </w:pPr>
      <w:r>
        <w:rPr>
          <w:rFonts w:hint="eastAsia" w:ascii="宋体" w:hAnsi="宋体" w:cs="宋体"/>
          <w:sz w:val="30"/>
          <w:szCs w:val="72"/>
        </w:rPr>
        <w:t>（全流程电子化评标）</w:t>
      </w:r>
    </w:p>
    <w:p w14:paraId="2FCC86C1">
      <w:pPr>
        <w:snapToGrid w:val="0"/>
        <w:spacing w:before="165" w:beforeLines="50" w:line="360" w:lineRule="auto"/>
        <w:rPr>
          <w:rFonts w:ascii="宋体" w:hAnsi="宋体" w:cs="宋体"/>
          <w:sz w:val="30"/>
          <w:szCs w:val="72"/>
        </w:rPr>
      </w:pPr>
    </w:p>
    <w:p w14:paraId="545A5F32">
      <w:pPr>
        <w:snapToGrid w:val="0"/>
        <w:spacing w:before="165" w:beforeLines="50" w:line="360" w:lineRule="auto"/>
        <w:ind w:firstLine="840" w:firstLineChars="279"/>
        <w:rPr>
          <w:rFonts w:hAnsi="宋体" w:cs="宋体"/>
          <w:b/>
          <w:bCs/>
          <w:spacing w:val="-6"/>
          <w:sz w:val="30"/>
          <w:szCs w:val="30"/>
        </w:rPr>
      </w:pPr>
      <w:r>
        <w:rPr>
          <w:rFonts w:hint="eastAsia" w:hAnsi="宋体" w:cs="宋体"/>
          <w:b/>
          <w:bCs/>
          <w:sz w:val="30"/>
          <w:szCs w:val="30"/>
        </w:rPr>
        <w:t>项目</w:t>
      </w:r>
      <w:r>
        <w:rPr>
          <w:rFonts w:hint="eastAsia" w:hAnsi="宋体" w:cs="宋体"/>
          <w:b/>
          <w:bCs/>
          <w:w w:val="95"/>
          <w:sz w:val="30"/>
          <w:szCs w:val="30"/>
        </w:rPr>
        <w:t>名称</w:t>
      </w:r>
      <w:r>
        <w:rPr>
          <w:rFonts w:hint="eastAsia" w:hAnsi="宋体" w:cs="宋体"/>
          <w:b/>
          <w:bCs/>
          <w:sz w:val="30"/>
          <w:szCs w:val="30"/>
        </w:rPr>
        <w:t>：</w:t>
      </w:r>
      <w:r>
        <w:rPr>
          <w:rFonts w:hAnsi="宋体" w:cs="宋体"/>
          <w:b/>
          <w:bCs/>
          <w:spacing w:val="-6"/>
          <w:sz w:val="30"/>
          <w:szCs w:val="30"/>
        </w:rPr>
        <w:t xml:space="preserve"> </w:t>
      </w:r>
      <w:r>
        <w:rPr>
          <w:rFonts w:hint="eastAsia" w:hAnsi="宋体" w:cs="宋体"/>
          <w:b/>
          <w:bCs/>
          <w:spacing w:val="-6"/>
          <w:sz w:val="30"/>
          <w:szCs w:val="30"/>
        </w:rPr>
        <w:t>隆安县2024年改善普通高中学校办学条件设备设施采购项目（重）</w:t>
      </w:r>
    </w:p>
    <w:p w14:paraId="2A02ED23">
      <w:pPr>
        <w:widowControl/>
        <w:ind w:right="360" w:firstLine="859" w:firstLineChars="300"/>
        <w:rPr>
          <w:rFonts w:ascii="宋体" w:hAnsi="宋体" w:cs="宋体"/>
          <w:b/>
          <w:color w:val="C00000"/>
          <w:sz w:val="30"/>
          <w:szCs w:val="48"/>
        </w:rPr>
      </w:pPr>
      <w:r>
        <w:rPr>
          <w:rFonts w:hint="eastAsia" w:ascii="宋体" w:hAnsi="宋体" w:cs="宋体"/>
          <w:b/>
          <w:bCs/>
          <w:w w:val="95"/>
          <w:sz w:val="30"/>
          <w:szCs w:val="30"/>
        </w:rPr>
        <w:t>项目</w:t>
      </w:r>
      <w:r>
        <w:rPr>
          <w:rFonts w:hint="eastAsia" w:ascii="宋体" w:hAnsi="宋体" w:cs="宋体"/>
          <w:b/>
          <w:bCs/>
          <w:sz w:val="30"/>
          <w:szCs w:val="30"/>
        </w:rPr>
        <w:t>编号</w:t>
      </w:r>
      <w:r>
        <w:rPr>
          <w:rFonts w:hint="eastAsia" w:ascii="宋体" w:hAnsi="宋体" w:cs="宋体"/>
          <w:b/>
          <w:bCs/>
          <w:w w:val="95"/>
          <w:sz w:val="30"/>
          <w:szCs w:val="30"/>
        </w:rPr>
        <w:t>：</w:t>
      </w:r>
      <w:r>
        <w:rPr>
          <w:rFonts w:hint="eastAsia" w:hAnsi="宋体" w:cs="宋体"/>
          <w:b/>
          <w:bCs/>
          <w:spacing w:val="-6"/>
          <w:sz w:val="30"/>
          <w:szCs w:val="30"/>
        </w:rPr>
        <w:t>NNZC2025-G1-230018-NNSL</w:t>
      </w:r>
    </w:p>
    <w:p w14:paraId="4D5027BD">
      <w:pPr>
        <w:snapToGrid w:val="0"/>
        <w:spacing w:before="165" w:beforeLines="50" w:line="360" w:lineRule="auto"/>
        <w:ind w:firstLine="840" w:firstLineChars="279"/>
        <w:rPr>
          <w:rFonts w:ascii="宋体" w:hAnsi="宋体" w:cs="宋体"/>
          <w:b/>
          <w:sz w:val="30"/>
          <w:szCs w:val="48"/>
        </w:rPr>
      </w:pPr>
      <w:r>
        <w:rPr>
          <w:rFonts w:hint="eastAsia" w:ascii="宋体" w:hAnsi="宋体" w:cs="宋体"/>
          <w:b/>
          <w:sz w:val="30"/>
          <w:szCs w:val="48"/>
        </w:rPr>
        <w:t>项目所属区划：</w:t>
      </w:r>
      <w:r>
        <w:rPr>
          <w:rFonts w:hint="eastAsia" w:ascii="宋体" w:hAnsi="宋体" w:cs="宋体"/>
          <w:b/>
          <w:sz w:val="30"/>
          <w:szCs w:val="48"/>
          <w:u w:val="single"/>
        </w:rPr>
        <w:t xml:space="preserve"> 南宁市隆安县 </w:t>
      </w:r>
    </w:p>
    <w:p w14:paraId="17115734">
      <w:pPr>
        <w:pStyle w:val="12"/>
        <w:snapToGrid w:val="0"/>
        <w:spacing w:before="50" w:after="120" w:line="360" w:lineRule="auto"/>
        <w:ind w:firstLine="798" w:firstLineChars="279"/>
        <w:rPr>
          <w:rFonts w:hAnsi="宋体" w:cs="宋体"/>
          <w:b/>
          <w:bCs/>
          <w:w w:val="95"/>
          <w:sz w:val="30"/>
          <w:szCs w:val="30"/>
        </w:rPr>
      </w:pPr>
      <w:r>
        <w:rPr>
          <w:rFonts w:hint="eastAsia" w:hAnsi="宋体" w:cs="宋体"/>
          <w:b/>
          <w:bCs/>
          <w:w w:val="95"/>
          <w:sz w:val="30"/>
          <w:szCs w:val="30"/>
        </w:rPr>
        <w:t>采 购 人： 隆安县教育局</w:t>
      </w:r>
    </w:p>
    <w:p w14:paraId="0F4B1BB1">
      <w:pPr>
        <w:pStyle w:val="12"/>
        <w:snapToGrid w:val="0"/>
        <w:spacing w:before="50" w:after="120" w:line="360" w:lineRule="auto"/>
        <w:ind w:firstLine="798" w:firstLineChars="279"/>
        <w:rPr>
          <w:rFonts w:hAnsi="宋体" w:cs="宋体"/>
          <w:b/>
          <w:bCs/>
          <w:w w:val="95"/>
          <w:sz w:val="30"/>
          <w:szCs w:val="30"/>
        </w:rPr>
      </w:pPr>
      <w:r>
        <w:rPr>
          <w:rFonts w:hint="eastAsia" w:hAnsi="宋体" w:cs="宋体"/>
          <w:b/>
          <w:bCs/>
          <w:w w:val="95"/>
          <w:sz w:val="30"/>
          <w:szCs w:val="30"/>
        </w:rPr>
        <w:t>采购代理机构：隆安县政府集中采购中心</w:t>
      </w:r>
    </w:p>
    <w:p w14:paraId="4F7218D0">
      <w:pPr>
        <w:pStyle w:val="12"/>
        <w:snapToGrid w:val="0"/>
        <w:spacing w:before="50" w:after="120" w:line="360" w:lineRule="auto"/>
        <w:ind w:firstLine="798" w:firstLineChars="279"/>
        <w:rPr>
          <w:rFonts w:hAnsi="宋体" w:cs="宋体"/>
          <w:b/>
          <w:bCs/>
          <w:w w:val="95"/>
          <w:sz w:val="30"/>
          <w:szCs w:val="30"/>
        </w:rPr>
      </w:pPr>
    </w:p>
    <w:p w14:paraId="672EB049">
      <w:pPr>
        <w:pStyle w:val="12"/>
        <w:snapToGrid w:val="0"/>
        <w:spacing w:before="50" w:after="120" w:line="360" w:lineRule="auto"/>
        <w:ind w:firstLine="841" w:firstLineChars="294"/>
        <w:rPr>
          <w:rFonts w:hAnsi="宋体" w:cs="宋体"/>
          <w:b/>
          <w:bCs/>
          <w:w w:val="95"/>
          <w:sz w:val="30"/>
          <w:szCs w:val="30"/>
        </w:rPr>
        <w:sectPr>
          <w:footerReference r:id="rId3" w:type="default"/>
          <w:footerReference r:id="rId4" w:type="even"/>
          <w:pgSz w:w="11906" w:h="16838"/>
          <w:pgMar w:top="1440" w:right="1080" w:bottom="1440" w:left="1080" w:header="720" w:footer="720" w:gutter="0"/>
          <w:pgNumType w:start="1"/>
          <w:cols w:space="720" w:num="1"/>
          <w:docGrid w:type="lines" w:linePitch="331" w:charSpace="0"/>
        </w:sectPr>
      </w:pPr>
      <w:r>
        <w:rPr>
          <w:rFonts w:hint="eastAsia" w:hAnsi="宋体" w:cs="宋体"/>
          <w:b/>
          <w:bCs/>
          <w:w w:val="95"/>
          <w:sz w:val="30"/>
          <w:szCs w:val="30"/>
        </w:rPr>
        <w:t xml:space="preserve">                     2025年</w:t>
      </w:r>
      <w:r>
        <w:rPr>
          <w:rFonts w:hAnsi="宋体" w:cs="宋体"/>
          <w:b/>
          <w:bCs/>
          <w:w w:val="95"/>
          <w:sz w:val="30"/>
          <w:szCs w:val="30"/>
        </w:rPr>
        <w:t xml:space="preserve"> </w:t>
      </w:r>
      <w:r>
        <w:rPr>
          <w:rFonts w:hint="eastAsia" w:hAnsi="宋体" w:cs="宋体"/>
          <w:b/>
          <w:bCs/>
          <w:w w:val="95"/>
          <w:sz w:val="30"/>
          <w:szCs w:val="30"/>
          <w:lang w:val="en-US" w:eastAsia="zh-CN"/>
        </w:rPr>
        <w:t>05</w:t>
      </w:r>
      <w:r>
        <w:rPr>
          <w:rFonts w:hint="eastAsia" w:hAnsi="宋体" w:cs="宋体"/>
          <w:b/>
          <w:bCs/>
          <w:w w:val="95"/>
          <w:sz w:val="30"/>
          <w:szCs w:val="30"/>
        </w:rPr>
        <w:t>月</w:t>
      </w:r>
    </w:p>
    <w:p w14:paraId="052DE0BA">
      <w:pPr>
        <w:pStyle w:val="12"/>
        <w:spacing w:line="360" w:lineRule="auto"/>
        <w:jc w:val="center"/>
        <w:outlineLvl w:val="0"/>
        <w:rPr>
          <w:rFonts w:hAnsi="宋体" w:cs="宋体"/>
          <w:b/>
          <w:sz w:val="36"/>
        </w:rPr>
      </w:pPr>
      <w:bookmarkStart w:id="0" w:name="_Toc6299"/>
      <w:bookmarkStart w:id="1" w:name="_Toc5625"/>
      <w:r>
        <w:rPr>
          <w:rFonts w:hint="eastAsia" w:hAnsi="宋体" w:cs="宋体"/>
          <w:b/>
          <w:sz w:val="36"/>
        </w:rPr>
        <w:t>目     录</w:t>
      </w:r>
      <w:bookmarkEnd w:id="0"/>
      <w:bookmarkEnd w:id="1"/>
    </w:p>
    <w:p w14:paraId="4C12EAE1">
      <w:pPr>
        <w:pStyle w:val="18"/>
        <w:tabs>
          <w:tab w:val="right" w:leader="dot" w:pos="9746"/>
        </w:tabs>
      </w:pPr>
      <w:r>
        <w:rPr>
          <w:rFonts w:hint="eastAsia" w:ascii="宋体" w:hAnsi="宋体" w:cs="宋体"/>
          <w:b w:val="0"/>
          <w:bCs w:val="0"/>
          <w:caps w:val="0"/>
          <w:sz w:val="28"/>
          <w:szCs w:val="28"/>
        </w:rPr>
        <w:fldChar w:fldCharType="begin"/>
      </w:r>
      <w:r>
        <w:rPr>
          <w:rFonts w:hint="eastAsia" w:ascii="宋体" w:hAnsi="宋体" w:cs="宋体"/>
          <w:b w:val="0"/>
          <w:bCs w:val="0"/>
          <w:caps w:val="0"/>
          <w:sz w:val="28"/>
          <w:szCs w:val="28"/>
        </w:rPr>
        <w:instrText xml:space="preserve"> TOC \o "1-3" \h \z \u </w:instrText>
      </w:r>
      <w:r>
        <w:rPr>
          <w:rFonts w:hint="eastAsia" w:ascii="宋体" w:hAnsi="宋体" w:cs="宋体"/>
          <w:b w:val="0"/>
          <w:bCs w:val="0"/>
          <w:caps w:val="0"/>
          <w:sz w:val="28"/>
          <w:szCs w:val="28"/>
        </w:rPr>
        <w:fldChar w:fldCharType="separate"/>
      </w:r>
      <w:r>
        <w:fldChar w:fldCharType="begin"/>
      </w:r>
      <w:r>
        <w:instrText xml:space="preserve"> HYPERLINK \l "_Toc5625" </w:instrText>
      </w:r>
      <w:r>
        <w:fldChar w:fldCharType="separate"/>
      </w:r>
      <w:r>
        <w:rPr>
          <w:rFonts w:hint="eastAsia" w:hAnsi="宋体" w:cs="宋体"/>
        </w:rPr>
        <w:t>目     录</w:t>
      </w:r>
      <w:r>
        <w:tab/>
      </w:r>
      <w:r>
        <w:fldChar w:fldCharType="begin"/>
      </w:r>
      <w:r>
        <w:instrText xml:space="preserve"> PAGEREF _Toc5625 \h </w:instrText>
      </w:r>
      <w:r>
        <w:fldChar w:fldCharType="separate"/>
      </w:r>
      <w:r>
        <w:t>1</w:t>
      </w:r>
      <w:r>
        <w:fldChar w:fldCharType="end"/>
      </w:r>
      <w:r>
        <w:fldChar w:fldCharType="end"/>
      </w:r>
    </w:p>
    <w:p w14:paraId="0CC99322">
      <w:pPr>
        <w:pStyle w:val="18"/>
        <w:tabs>
          <w:tab w:val="right" w:leader="dot" w:pos="9746"/>
        </w:tabs>
      </w:pPr>
      <w:r>
        <w:fldChar w:fldCharType="begin"/>
      </w:r>
      <w:r>
        <w:instrText xml:space="preserve"> HYPERLINK \l "_Toc31591" </w:instrText>
      </w:r>
      <w:r>
        <w:fldChar w:fldCharType="separate"/>
      </w:r>
      <w:r>
        <w:rPr>
          <w:rFonts w:hint="eastAsia" w:hAnsi="宋体" w:cs="宋体"/>
        </w:rPr>
        <w:t>第一章  招标公告</w:t>
      </w:r>
      <w:r>
        <w:tab/>
      </w:r>
      <w:r>
        <w:fldChar w:fldCharType="begin"/>
      </w:r>
      <w:r>
        <w:instrText xml:space="preserve"> PAGEREF _Toc31591 \h </w:instrText>
      </w:r>
      <w:r>
        <w:fldChar w:fldCharType="separate"/>
      </w:r>
      <w:r>
        <w:t>1</w:t>
      </w:r>
      <w:r>
        <w:fldChar w:fldCharType="end"/>
      </w:r>
      <w:r>
        <w:fldChar w:fldCharType="end"/>
      </w:r>
    </w:p>
    <w:p w14:paraId="2C1E2737">
      <w:pPr>
        <w:pStyle w:val="18"/>
        <w:tabs>
          <w:tab w:val="right" w:leader="dot" w:pos="9746"/>
        </w:tabs>
      </w:pPr>
      <w:r>
        <w:fldChar w:fldCharType="begin"/>
      </w:r>
      <w:r>
        <w:instrText xml:space="preserve"> HYPERLINK \l "_Toc6782" </w:instrText>
      </w:r>
      <w:r>
        <w:fldChar w:fldCharType="separate"/>
      </w:r>
      <w:r>
        <w:rPr>
          <w:rFonts w:hint="eastAsia" w:hAnsi="宋体" w:cs="宋体"/>
        </w:rPr>
        <w:t>第二章  采购需求</w:t>
      </w:r>
      <w:r>
        <w:tab/>
      </w:r>
      <w:r>
        <w:fldChar w:fldCharType="begin"/>
      </w:r>
      <w:r>
        <w:instrText xml:space="preserve"> PAGEREF _Toc6782 \h </w:instrText>
      </w:r>
      <w:r>
        <w:fldChar w:fldCharType="separate"/>
      </w:r>
      <w:r>
        <w:t>6</w:t>
      </w:r>
      <w:r>
        <w:fldChar w:fldCharType="end"/>
      </w:r>
      <w:r>
        <w:fldChar w:fldCharType="end"/>
      </w:r>
    </w:p>
    <w:p w14:paraId="1BD334BC">
      <w:pPr>
        <w:pStyle w:val="18"/>
        <w:tabs>
          <w:tab w:val="right" w:leader="dot" w:pos="9746"/>
        </w:tabs>
      </w:pPr>
      <w:r>
        <w:fldChar w:fldCharType="begin"/>
      </w:r>
      <w:r>
        <w:instrText xml:space="preserve"> HYPERLINK \l "_Toc8902" </w:instrText>
      </w:r>
      <w:r>
        <w:fldChar w:fldCharType="separate"/>
      </w:r>
      <w:r>
        <w:rPr>
          <w:rFonts w:hint="eastAsia" w:hAnsi="宋体" w:cs="宋体"/>
        </w:rPr>
        <w:t>第三章  投标人须知</w:t>
      </w:r>
      <w:r>
        <w:tab/>
      </w:r>
      <w:r>
        <w:fldChar w:fldCharType="begin"/>
      </w:r>
      <w:r>
        <w:instrText xml:space="preserve"> PAGEREF _Toc8902 \h </w:instrText>
      </w:r>
      <w:r>
        <w:fldChar w:fldCharType="separate"/>
      </w:r>
      <w:r>
        <w:t>250</w:t>
      </w:r>
      <w:r>
        <w:fldChar w:fldCharType="end"/>
      </w:r>
      <w:r>
        <w:fldChar w:fldCharType="end"/>
      </w:r>
    </w:p>
    <w:p w14:paraId="109ADC47">
      <w:pPr>
        <w:pStyle w:val="20"/>
        <w:tabs>
          <w:tab w:val="right" w:leader="dot" w:pos="9746"/>
        </w:tabs>
      </w:pPr>
      <w:r>
        <w:fldChar w:fldCharType="begin"/>
      </w:r>
      <w:r>
        <w:instrText xml:space="preserve"> HYPERLINK \l "_Toc7735" </w:instrText>
      </w:r>
      <w:r>
        <w:fldChar w:fldCharType="separate"/>
      </w:r>
      <w:r>
        <w:rPr>
          <w:rFonts w:hint="eastAsia" w:hAnsi="宋体" w:cs="宋体"/>
          <w:szCs w:val="30"/>
        </w:rPr>
        <w:t>第一节 投标人须知前附表</w:t>
      </w:r>
      <w:r>
        <w:tab/>
      </w:r>
      <w:r>
        <w:fldChar w:fldCharType="begin"/>
      </w:r>
      <w:r>
        <w:instrText xml:space="preserve"> PAGEREF _Toc7735 \h </w:instrText>
      </w:r>
      <w:r>
        <w:fldChar w:fldCharType="separate"/>
      </w:r>
      <w:r>
        <w:t>250</w:t>
      </w:r>
      <w:r>
        <w:fldChar w:fldCharType="end"/>
      </w:r>
      <w:r>
        <w:fldChar w:fldCharType="end"/>
      </w:r>
    </w:p>
    <w:p w14:paraId="20014A50">
      <w:pPr>
        <w:pStyle w:val="20"/>
        <w:tabs>
          <w:tab w:val="right" w:leader="dot" w:pos="9746"/>
        </w:tabs>
      </w:pPr>
      <w:r>
        <w:fldChar w:fldCharType="begin"/>
      </w:r>
      <w:r>
        <w:instrText xml:space="preserve"> HYPERLINK \l "_Toc24629" </w:instrText>
      </w:r>
      <w:r>
        <w:fldChar w:fldCharType="separate"/>
      </w:r>
      <w:r>
        <w:rPr>
          <w:rFonts w:hint="eastAsia" w:ascii="宋体" w:hAnsi="宋体" w:cs="宋体"/>
        </w:rPr>
        <w:t>第二节 投标人须知正文</w:t>
      </w:r>
      <w:r>
        <w:tab/>
      </w:r>
      <w:r>
        <w:fldChar w:fldCharType="begin"/>
      </w:r>
      <w:r>
        <w:instrText xml:space="preserve"> PAGEREF _Toc24629 \h </w:instrText>
      </w:r>
      <w:r>
        <w:fldChar w:fldCharType="separate"/>
      </w:r>
      <w:r>
        <w:t>257</w:t>
      </w:r>
      <w:r>
        <w:fldChar w:fldCharType="end"/>
      </w:r>
      <w:r>
        <w:fldChar w:fldCharType="end"/>
      </w:r>
    </w:p>
    <w:p w14:paraId="6C8CB394">
      <w:pPr>
        <w:pStyle w:val="11"/>
        <w:tabs>
          <w:tab w:val="right" w:leader="dot" w:pos="9746"/>
        </w:tabs>
      </w:pPr>
      <w:r>
        <w:fldChar w:fldCharType="begin"/>
      </w:r>
      <w:r>
        <w:instrText xml:space="preserve"> HYPERLINK \l "_Toc27066" </w:instrText>
      </w:r>
      <w:r>
        <w:fldChar w:fldCharType="separate"/>
      </w:r>
      <w:r>
        <w:rPr>
          <w:rFonts w:hint="eastAsia" w:ascii="宋体" w:hAnsi="宋体" w:cs="宋体"/>
        </w:rPr>
        <w:t>一、总  则</w:t>
      </w:r>
      <w:r>
        <w:tab/>
      </w:r>
      <w:r>
        <w:fldChar w:fldCharType="begin"/>
      </w:r>
      <w:r>
        <w:instrText xml:space="preserve"> PAGEREF _Toc27066 \h </w:instrText>
      </w:r>
      <w:r>
        <w:fldChar w:fldCharType="separate"/>
      </w:r>
      <w:r>
        <w:t>257</w:t>
      </w:r>
      <w:r>
        <w:fldChar w:fldCharType="end"/>
      </w:r>
      <w:r>
        <w:fldChar w:fldCharType="end"/>
      </w:r>
    </w:p>
    <w:p w14:paraId="6CD230C5">
      <w:pPr>
        <w:pStyle w:val="11"/>
        <w:tabs>
          <w:tab w:val="right" w:leader="dot" w:pos="9746"/>
        </w:tabs>
      </w:pPr>
      <w:r>
        <w:fldChar w:fldCharType="begin"/>
      </w:r>
      <w:r>
        <w:instrText xml:space="preserve"> HYPERLINK \l "_Toc22879" </w:instrText>
      </w:r>
      <w:r>
        <w:fldChar w:fldCharType="separate"/>
      </w:r>
      <w:r>
        <w:rPr>
          <w:rFonts w:hint="eastAsia" w:ascii="宋体" w:hAnsi="宋体" w:cs="宋体"/>
        </w:rPr>
        <w:t>二、招标文件</w:t>
      </w:r>
      <w:r>
        <w:tab/>
      </w:r>
      <w:r>
        <w:fldChar w:fldCharType="begin"/>
      </w:r>
      <w:r>
        <w:instrText xml:space="preserve"> PAGEREF _Toc22879 \h </w:instrText>
      </w:r>
      <w:r>
        <w:fldChar w:fldCharType="separate"/>
      </w:r>
      <w:r>
        <w:t>260</w:t>
      </w:r>
      <w:r>
        <w:fldChar w:fldCharType="end"/>
      </w:r>
      <w:r>
        <w:fldChar w:fldCharType="end"/>
      </w:r>
    </w:p>
    <w:p w14:paraId="56A5E715">
      <w:pPr>
        <w:pStyle w:val="11"/>
        <w:tabs>
          <w:tab w:val="right" w:leader="dot" w:pos="9746"/>
        </w:tabs>
      </w:pPr>
      <w:r>
        <w:fldChar w:fldCharType="begin"/>
      </w:r>
      <w:r>
        <w:instrText xml:space="preserve"> HYPERLINK \l "_Toc13765" </w:instrText>
      </w:r>
      <w:r>
        <w:fldChar w:fldCharType="separate"/>
      </w:r>
      <w:r>
        <w:rPr>
          <w:rFonts w:hint="eastAsia" w:ascii="宋体" w:hAnsi="宋体" w:cs="宋体"/>
        </w:rPr>
        <w:t>三、投标文件的编制</w:t>
      </w:r>
      <w:r>
        <w:tab/>
      </w:r>
      <w:r>
        <w:fldChar w:fldCharType="begin"/>
      </w:r>
      <w:r>
        <w:instrText xml:space="preserve"> PAGEREF _Toc13765 \h </w:instrText>
      </w:r>
      <w:r>
        <w:fldChar w:fldCharType="separate"/>
      </w:r>
      <w:r>
        <w:t>261</w:t>
      </w:r>
      <w:r>
        <w:fldChar w:fldCharType="end"/>
      </w:r>
      <w:r>
        <w:fldChar w:fldCharType="end"/>
      </w:r>
    </w:p>
    <w:p w14:paraId="359EF1A9">
      <w:pPr>
        <w:pStyle w:val="11"/>
        <w:tabs>
          <w:tab w:val="right" w:leader="dot" w:pos="9746"/>
        </w:tabs>
      </w:pPr>
      <w:r>
        <w:fldChar w:fldCharType="begin"/>
      </w:r>
      <w:r>
        <w:instrText xml:space="preserve"> HYPERLINK \l "_Toc28352" </w:instrText>
      </w:r>
      <w:r>
        <w:fldChar w:fldCharType="separate"/>
      </w:r>
      <w:r>
        <w:rPr>
          <w:rFonts w:hint="eastAsia" w:ascii="宋体" w:hAnsi="宋体" w:cs="宋体"/>
        </w:rPr>
        <w:t>四、开    标</w:t>
      </w:r>
      <w:r>
        <w:tab/>
      </w:r>
      <w:r>
        <w:fldChar w:fldCharType="begin"/>
      </w:r>
      <w:r>
        <w:instrText xml:space="preserve"> PAGEREF _Toc28352 \h </w:instrText>
      </w:r>
      <w:r>
        <w:fldChar w:fldCharType="separate"/>
      </w:r>
      <w:r>
        <w:t>263</w:t>
      </w:r>
      <w:r>
        <w:fldChar w:fldCharType="end"/>
      </w:r>
      <w:r>
        <w:fldChar w:fldCharType="end"/>
      </w:r>
    </w:p>
    <w:p w14:paraId="2DA9C2DA">
      <w:pPr>
        <w:pStyle w:val="11"/>
        <w:tabs>
          <w:tab w:val="right" w:leader="dot" w:pos="9746"/>
        </w:tabs>
      </w:pPr>
      <w:r>
        <w:fldChar w:fldCharType="begin"/>
      </w:r>
      <w:r>
        <w:instrText xml:space="preserve"> HYPERLINK \l "_Toc10424" </w:instrText>
      </w:r>
      <w:r>
        <w:fldChar w:fldCharType="separate"/>
      </w:r>
      <w:r>
        <w:rPr>
          <w:rFonts w:hint="eastAsia" w:ascii="宋体" w:hAnsi="宋体" w:cs="宋体"/>
        </w:rPr>
        <w:t>五、资格审查</w:t>
      </w:r>
      <w:r>
        <w:tab/>
      </w:r>
      <w:r>
        <w:fldChar w:fldCharType="begin"/>
      </w:r>
      <w:r>
        <w:instrText xml:space="preserve"> PAGEREF _Toc10424 \h </w:instrText>
      </w:r>
      <w:r>
        <w:fldChar w:fldCharType="separate"/>
      </w:r>
      <w:r>
        <w:t>264</w:t>
      </w:r>
      <w:r>
        <w:fldChar w:fldCharType="end"/>
      </w:r>
      <w:r>
        <w:fldChar w:fldCharType="end"/>
      </w:r>
    </w:p>
    <w:p w14:paraId="64A4F298">
      <w:pPr>
        <w:pStyle w:val="11"/>
        <w:tabs>
          <w:tab w:val="right" w:leader="dot" w:pos="9746"/>
        </w:tabs>
      </w:pPr>
      <w:r>
        <w:fldChar w:fldCharType="begin"/>
      </w:r>
      <w:r>
        <w:instrText xml:space="preserve"> HYPERLINK \l "_Toc7622" </w:instrText>
      </w:r>
      <w:r>
        <w:fldChar w:fldCharType="separate"/>
      </w:r>
      <w:r>
        <w:rPr>
          <w:rFonts w:hint="eastAsia" w:ascii="宋体" w:hAnsi="宋体" w:cs="宋体"/>
        </w:rPr>
        <w:t>六、评   标</w:t>
      </w:r>
      <w:r>
        <w:tab/>
      </w:r>
      <w:r>
        <w:fldChar w:fldCharType="begin"/>
      </w:r>
      <w:r>
        <w:instrText xml:space="preserve"> PAGEREF _Toc7622 \h </w:instrText>
      </w:r>
      <w:r>
        <w:fldChar w:fldCharType="separate"/>
      </w:r>
      <w:r>
        <w:t>265</w:t>
      </w:r>
      <w:r>
        <w:fldChar w:fldCharType="end"/>
      </w:r>
      <w:r>
        <w:fldChar w:fldCharType="end"/>
      </w:r>
    </w:p>
    <w:p w14:paraId="26FBA369">
      <w:pPr>
        <w:pStyle w:val="11"/>
        <w:tabs>
          <w:tab w:val="right" w:leader="dot" w:pos="9746"/>
        </w:tabs>
      </w:pPr>
      <w:r>
        <w:fldChar w:fldCharType="begin"/>
      </w:r>
      <w:r>
        <w:instrText xml:space="preserve"> HYPERLINK \l "_Toc8362" </w:instrText>
      </w:r>
      <w:r>
        <w:fldChar w:fldCharType="separate"/>
      </w:r>
      <w:r>
        <w:rPr>
          <w:rFonts w:hint="eastAsia" w:ascii="宋体" w:hAnsi="宋体" w:cs="宋体"/>
        </w:rPr>
        <w:t>七、中标和合同</w:t>
      </w:r>
      <w:r>
        <w:tab/>
      </w:r>
      <w:r>
        <w:fldChar w:fldCharType="begin"/>
      </w:r>
      <w:r>
        <w:instrText xml:space="preserve"> PAGEREF _Toc8362 \h </w:instrText>
      </w:r>
      <w:r>
        <w:fldChar w:fldCharType="separate"/>
      </w:r>
      <w:r>
        <w:t>266</w:t>
      </w:r>
      <w:r>
        <w:fldChar w:fldCharType="end"/>
      </w:r>
      <w:r>
        <w:fldChar w:fldCharType="end"/>
      </w:r>
    </w:p>
    <w:p w14:paraId="1EB8C618">
      <w:pPr>
        <w:pStyle w:val="11"/>
        <w:tabs>
          <w:tab w:val="right" w:leader="dot" w:pos="9746"/>
        </w:tabs>
      </w:pPr>
      <w:r>
        <w:fldChar w:fldCharType="begin"/>
      </w:r>
      <w:r>
        <w:instrText xml:space="preserve"> HYPERLINK \l "_Toc20741" </w:instrText>
      </w:r>
      <w:r>
        <w:fldChar w:fldCharType="separate"/>
      </w:r>
      <w:r>
        <w:rPr>
          <w:rFonts w:hint="eastAsia" w:ascii="宋体" w:hAnsi="宋体" w:cs="宋体"/>
        </w:rPr>
        <w:t>八、验收</w:t>
      </w:r>
      <w:r>
        <w:tab/>
      </w:r>
      <w:r>
        <w:fldChar w:fldCharType="begin"/>
      </w:r>
      <w:r>
        <w:instrText xml:space="preserve"> PAGEREF _Toc20741 \h </w:instrText>
      </w:r>
      <w:r>
        <w:fldChar w:fldCharType="separate"/>
      </w:r>
      <w:r>
        <w:t>271</w:t>
      </w:r>
      <w:r>
        <w:fldChar w:fldCharType="end"/>
      </w:r>
      <w:r>
        <w:fldChar w:fldCharType="end"/>
      </w:r>
    </w:p>
    <w:p w14:paraId="31943D1E">
      <w:pPr>
        <w:pStyle w:val="11"/>
        <w:tabs>
          <w:tab w:val="right" w:leader="dot" w:pos="9746"/>
        </w:tabs>
      </w:pPr>
      <w:r>
        <w:fldChar w:fldCharType="begin"/>
      </w:r>
      <w:r>
        <w:instrText xml:space="preserve"> HYPERLINK \l "_Toc14161" </w:instrText>
      </w:r>
      <w:r>
        <w:fldChar w:fldCharType="separate"/>
      </w:r>
      <w:r>
        <w:rPr>
          <w:rFonts w:hint="eastAsia" w:ascii="宋体" w:hAnsi="宋体" w:cs="宋体"/>
        </w:rPr>
        <w:t>九、其他事项</w:t>
      </w:r>
      <w:r>
        <w:tab/>
      </w:r>
      <w:r>
        <w:fldChar w:fldCharType="begin"/>
      </w:r>
      <w:r>
        <w:instrText xml:space="preserve"> PAGEREF _Toc14161 \h </w:instrText>
      </w:r>
      <w:r>
        <w:fldChar w:fldCharType="separate"/>
      </w:r>
      <w:r>
        <w:t>272</w:t>
      </w:r>
      <w:r>
        <w:fldChar w:fldCharType="end"/>
      </w:r>
      <w:r>
        <w:fldChar w:fldCharType="end"/>
      </w:r>
    </w:p>
    <w:p w14:paraId="1EF97CCB">
      <w:pPr>
        <w:pStyle w:val="18"/>
        <w:tabs>
          <w:tab w:val="right" w:leader="dot" w:pos="9746"/>
        </w:tabs>
      </w:pPr>
      <w:r>
        <w:fldChar w:fldCharType="begin"/>
      </w:r>
      <w:r>
        <w:instrText xml:space="preserve"> HYPERLINK \l "_Toc30466" </w:instrText>
      </w:r>
      <w:r>
        <w:fldChar w:fldCharType="separate"/>
      </w:r>
      <w:r>
        <w:rPr>
          <w:rFonts w:hint="eastAsia" w:hAnsi="宋体" w:cs="宋体"/>
        </w:rPr>
        <w:t>第四章  评标方法及评分标准</w:t>
      </w:r>
      <w:r>
        <w:tab/>
      </w:r>
      <w:r>
        <w:fldChar w:fldCharType="begin"/>
      </w:r>
      <w:r>
        <w:instrText xml:space="preserve"> PAGEREF _Toc30466 \h </w:instrText>
      </w:r>
      <w:r>
        <w:fldChar w:fldCharType="separate"/>
      </w:r>
      <w:r>
        <w:t>274</w:t>
      </w:r>
      <w:r>
        <w:fldChar w:fldCharType="end"/>
      </w:r>
      <w:r>
        <w:fldChar w:fldCharType="end"/>
      </w:r>
    </w:p>
    <w:p w14:paraId="643549DE">
      <w:pPr>
        <w:pStyle w:val="18"/>
        <w:tabs>
          <w:tab w:val="right" w:leader="dot" w:pos="9746"/>
        </w:tabs>
      </w:pPr>
      <w:r>
        <w:fldChar w:fldCharType="begin"/>
      </w:r>
      <w:r>
        <w:instrText xml:space="preserve"> HYPERLINK \l "_Toc5664" </w:instrText>
      </w:r>
      <w:r>
        <w:fldChar w:fldCharType="separate"/>
      </w:r>
      <w:r>
        <w:rPr>
          <w:rFonts w:hint="eastAsia" w:hAnsi="宋体" w:cs="宋体"/>
        </w:rPr>
        <w:t>第五章 拟签订的合同文本</w:t>
      </w:r>
      <w:r>
        <w:tab/>
      </w:r>
      <w:r>
        <w:fldChar w:fldCharType="begin"/>
      </w:r>
      <w:r>
        <w:instrText xml:space="preserve"> PAGEREF _Toc5664 \h </w:instrText>
      </w:r>
      <w:r>
        <w:fldChar w:fldCharType="separate"/>
      </w:r>
      <w:r>
        <w:t>283</w:t>
      </w:r>
      <w:r>
        <w:fldChar w:fldCharType="end"/>
      </w:r>
      <w:r>
        <w:fldChar w:fldCharType="end"/>
      </w:r>
    </w:p>
    <w:p w14:paraId="6B5FA67B">
      <w:pPr>
        <w:pStyle w:val="18"/>
        <w:tabs>
          <w:tab w:val="right" w:leader="dot" w:pos="9746"/>
        </w:tabs>
      </w:pPr>
      <w:r>
        <w:fldChar w:fldCharType="begin"/>
      </w:r>
      <w:r>
        <w:instrText xml:space="preserve"> HYPERLINK \l "_Toc15458" </w:instrText>
      </w:r>
      <w:r>
        <w:fldChar w:fldCharType="separate"/>
      </w:r>
      <w:r>
        <w:rPr>
          <w:rFonts w:hint="eastAsia" w:hAnsi="宋体" w:cs="宋体"/>
        </w:rPr>
        <w:t>第六章 投标文件格式</w:t>
      </w:r>
      <w:r>
        <w:tab/>
      </w:r>
      <w:r>
        <w:fldChar w:fldCharType="begin"/>
      </w:r>
      <w:r>
        <w:instrText xml:space="preserve"> PAGEREF _Toc15458 \h </w:instrText>
      </w:r>
      <w:r>
        <w:fldChar w:fldCharType="separate"/>
      </w:r>
      <w:r>
        <w:t>297</w:t>
      </w:r>
      <w:r>
        <w:fldChar w:fldCharType="end"/>
      </w:r>
      <w:r>
        <w:fldChar w:fldCharType="end"/>
      </w:r>
    </w:p>
    <w:p w14:paraId="4F82BEE9">
      <w:pPr>
        <w:pStyle w:val="20"/>
        <w:tabs>
          <w:tab w:val="right" w:leader="dot" w:pos="9746"/>
        </w:tabs>
      </w:pPr>
      <w:r>
        <w:fldChar w:fldCharType="begin"/>
      </w:r>
      <w:r>
        <w:instrText xml:space="preserve"> HYPERLINK \l "_Toc9276" </w:instrText>
      </w:r>
      <w:r>
        <w:fldChar w:fldCharType="separate"/>
      </w:r>
      <w:r>
        <w:rPr>
          <w:rFonts w:hint="eastAsia" w:hAnsi="宋体" w:cs="宋体"/>
          <w:szCs w:val="28"/>
        </w:rPr>
        <w:t>第一节 投标文件外层包装封面</w:t>
      </w:r>
      <w:r>
        <w:tab/>
      </w:r>
      <w:r>
        <w:fldChar w:fldCharType="begin"/>
      </w:r>
      <w:r>
        <w:instrText xml:space="preserve"> PAGEREF _Toc9276 \h </w:instrText>
      </w:r>
      <w:r>
        <w:fldChar w:fldCharType="separate"/>
      </w:r>
      <w:r>
        <w:t>298</w:t>
      </w:r>
      <w:r>
        <w:fldChar w:fldCharType="end"/>
      </w:r>
      <w:r>
        <w:fldChar w:fldCharType="end"/>
      </w:r>
    </w:p>
    <w:p w14:paraId="65E2BECB">
      <w:pPr>
        <w:pStyle w:val="20"/>
        <w:tabs>
          <w:tab w:val="right" w:leader="dot" w:pos="9746"/>
        </w:tabs>
      </w:pPr>
      <w:r>
        <w:fldChar w:fldCharType="begin"/>
      </w:r>
      <w:r>
        <w:instrText xml:space="preserve"> HYPERLINK \l "_Toc27773" </w:instrText>
      </w:r>
      <w:r>
        <w:fldChar w:fldCharType="separate"/>
      </w:r>
      <w:r>
        <w:rPr>
          <w:rFonts w:hint="eastAsia" w:hAnsi="宋体" w:cs="宋体"/>
          <w:szCs w:val="28"/>
        </w:rPr>
        <w:t>第二节 资格证明文件格式</w:t>
      </w:r>
      <w:r>
        <w:tab/>
      </w:r>
      <w:r>
        <w:fldChar w:fldCharType="begin"/>
      </w:r>
      <w:r>
        <w:instrText xml:space="preserve"> PAGEREF _Toc27773 \h </w:instrText>
      </w:r>
      <w:r>
        <w:fldChar w:fldCharType="separate"/>
      </w:r>
      <w:r>
        <w:t>299</w:t>
      </w:r>
      <w:r>
        <w:fldChar w:fldCharType="end"/>
      </w:r>
      <w:r>
        <w:fldChar w:fldCharType="end"/>
      </w:r>
    </w:p>
    <w:p w14:paraId="46BE5CE5">
      <w:pPr>
        <w:pStyle w:val="20"/>
        <w:tabs>
          <w:tab w:val="right" w:leader="dot" w:pos="9746"/>
        </w:tabs>
      </w:pPr>
      <w:r>
        <w:fldChar w:fldCharType="begin"/>
      </w:r>
      <w:r>
        <w:instrText xml:space="preserve"> HYPERLINK \l "_Toc9533" </w:instrText>
      </w:r>
      <w:r>
        <w:fldChar w:fldCharType="separate"/>
      </w:r>
      <w:r>
        <w:rPr>
          <w:rFonts w:hint="eastAsia" w:hAnsi="宋体" w:cs="宋体"/>
          <w:szCs w:val="28"/>
        </w:rPr>
        <w:t>第三节 商务文件格式</w:t>
      </w:r>
      <w:r>
        <w:tab/>
      </w:r>
      <w:r>
        <w:fldChar w:fldCharType="begin"/>
      </w:r>
      <w:r>
        <w:instrText xml:space="preserve"> PAGEREF _Toc9533 \h </w:instrText>
      </w:r>
      <w:r>
        <w:fldChar w:fldCharType="separate"/>
      </w:r>
      <w:r>
        <w:t>307</w:t>
      </w:r>
      <w:r>
        <w:fldChar w:fldCharType="end"/>
      </w:r>
      <w:r>
        <w:fldChar w:fldCharType="end"/>
      </w:r>
    </w:p>
    <w:p w14:paraId="0FFE8D4B">
      <w:pPr>
        <w:pStyle w:val="20"/>
        <w:tabs>
          <w:tab w:val="right" w:leader="dot" w:pos="9746"/>
        </w:tabs>
      </w:pPr>
      <w:r>
        <w:fldChar w:fldCharType="begin"/>
      </w:r>
      <w:r>
        <w:instrText xml:space="preserve"> HYPERLINK \l "_Toc21416" </w:instrText>
      </w:r>
      <w:r>
        <w:fldChar w:fldCharType="separate"/>
      </w:r>
      <w:r>
        <w:rPr>
          <w:rFonts w:hint="eastAsia" w:hAnsi="宋体" w:cs="宋体"/>
          <w:szCs w:val="28"/>
        </w:rPr>
        <w:t>第四节 技术文件格式</w:t>
      </w:r>
      <w:r>
        <w:tab/>
      </w:r>
      <w:r>
        <w:fldChar w:fldCharType="begin"/>
      </w:r>
      <w:r>
        <w:instrText xml:space="preserve"> PAGEREF _Toc21416 \h </w:instrText>
      </w:r>
      <w:r>
        <w:fldChar w:fldCharType="separate"/>
      </w:r>
      <w:r>
        <w:t>317</w:t>
      </w:r>
      <w:r>
        <w:fldChar w:fldCharType="end"/>
      </w:r>
      <w:r>
        <w:fldChar w:fldCharType="end"/>
      </w:r>
    </w:p>
    <w:p w14:paraId="337F3064">
      <w:pPr>
        <w:pStyle w:val="20"/>
        <w:tabs>
          <w:tab w:val="right" w:leader="dot" w:pos="9746"/>
        </w:tabs>
      </w:pPr>
      <w:r>
        <w:fldChar w:fldCharType="begin"/>
      </w:r>
      <w:r>
        <w:instrText xml:space="preserve"> HYPERLINK \l "_Toc22229" </w:instrText>
      </w:r>
      <w:r>
        <w:fldChar w:fldCharType="separate"/>
      </w:r>
      <w:r>
        <w:rPr>
          <w:rFonts w:hint="eastAsia" w:hAnsi="宋体" w:cs="宋体"/>
          <w:szCs w:val="28"/>
        </w:rPr>
        <w:t>第五节 报价文件格式</w:t>
      </w:r>
      <w:r>
        <w:tab/>
      </w:r>
      <w:r>
        <w:fldChar w:fldCharType="begin"/>
      </w:r>
      <w:r>
        <w:instrText xml:space="preserve"> PAGEREF _Toc22229 \h </w:instrText>
      </w:r>
      <w:r>
        <w:fldChar w:fldCharType="separate"/>
      </w:r>
      <w:r>
        <w:t>322</w:t>
      </w:r>
      <w:r>
        <w:fldChar w:fldCharType="end"/>
      </w:r>
      <w:r>
        <w:fldChar w:fldCharType="end"/>
      </w:r>
    </w:p>
    <w:p w14:paraId="3170445F">
      <w:pPr>
        <w:pStyle w:val="18"/>
        <w:tabs>
          <w:tab w:val="right" w:leader="dot" w:pos="9746"/>
        </w:tabs>
      </w:pPr>
      <w:r>
        <w:fldChar w:fldCharType="begin"/>
      </w:r>
      <w:r>
        <w:instrText xml:space="preserve"> HYPERLINK \l "_Toc6325" </w:instrText>
      </w:r>
      <w:r>
        <w:fldChar w:fldCharType="separate"/>
      </w:r>
      <w:r>
        <w:rPr>
          <w:rFonts w:hint="eastAsia" w:hAnsi="宋体" w:cs="宋体"/>
        </w:rPr>
        <w:t>第七章 质疑、投诉，证明材料格式</w:t>
      </w:r>
      <w:r>
        <w:tab/>
      </w:r>
      <w:r>
        <w:fldChar w:fldCharType="begin"/>
      </w:r>
      <w:r>
        <w:instrText xml:space="preserve"> PAGEREF _Toc6325 \h </w:instrText>
      </w:r>
      <w:r>
        <w:fldChar w:fldCharType="separate"/>
      </w:r>
      <w:r>
        <w:t>329</w:t>
      </w:r>
      <w:r>
        <w:fldChar w:fldCharType="end"/>
      </w:r>
      <w:r>
        <w:fldChar w:fldCharType="end"/>
      </w:r>
    </w:p>
    <w:p w14:paraId="3AFBB466">
      <w:pPr>
        <w:pStyle w:val="20"/>
        <w:tabs>
          <w:tab w:val="right" w:leader="dot" w:pos="9746"/>
        </w:tabs>
      </w:pPr>
      <w:r>
        <w:fldChar w:fldCharType="begin"/>
      </w:r>
      <w:r>
        <w:instrText xml:space="preserve"> HYPERLINK \l "_Toc19666" </w:instrText>
      </w:r>
      <w:r>
        <w:fldChar w:fldCharType="separate"/>
      </w:r>
      <w:r>
        <w:rPr>
          <w:rFonts w:hint="eastAsia" w:ascii="宋体" w:hAnsi="宋体" w:cs="宋体"/>
          <w:bCs w:val="0"/>
        </w:rPr>
        <w:t>第一节 质疑函（格式）</w:t>
      </w:r>
      <w:r>
        <w:tab/>
      </w:r>
      <w:r>
        <w:fldChar w:fldCharType="begin"/>
      </w:r>
      <w:r>
        <w:instrText xml:space="preserve"> PAGEREF _Toc19666 \h </w:instrText>
      </w:r>
      <w:r>
        <w:fldChar w:fldCharType="separate"/>
      </w:r>
      <w:r>
        <w:t>330</w:t>
      </w:r>
      <w:r>
        <w:fldChar w:fldCharType="end"/>
      </w:r>
      <w:r>
        <w:fldChar w:fldCharType="end"/>
      </w:r>
    </w:p>
    <w:p w14:paraId="65447642">
      <w:pPr>
        <w:pStyle w:val="20"/>
        <w:tabs>
          <w:tab w:val="right" w:leader="dot" w:pos="9746"/>
        </w:tabs>
      </w:pPr>
      <w:r>
        <w:fldChar w:fldCharType="begin"/>
      </w:r>
      <w:r>
        <w:instrText xml:space="preserve"> HYPERLINK \l "_Toc28529" </w:instrText>
      </w:r>
      <w:r>
        <w:fldChar w:fldCharType="separate"/>
      </w:r>
      <w:r>
        <w:rPr>
          <w:rFonts w:hint="eastAsia" w:ascii="宋体" w:hAnsi="宋体" w:cs="宋体"/>
          <w:bCs w:val="0"/>
        </w:rPr>
        <w:t>第二节 投诉书（格式）</w:t>
      </w:r>
      <w:r>
        <w:tab/>
      </w:r>
      <w:r>
        <w:fldChar w:fldCharType="begin"/>
      </w:r>
      <w:r>
        <w:instrText xml:space="preserve"> PAGEREF _Toc28529 \h </w:instrText>
      </w:r>
      <w:r>
        <w:fldChar w:fldCharType="separate"/>
      </w:r>
      <w:r>
        <w:t>333</w:t>
      </w:r>
      <w:r>
        <w:fldChar w:fldCharType="end"/>
      </w:r>
      <w:r>
        <w:fldChar w:fldCharType="end"/>
      </w:r>
    </w:p>
    <w:p w14:paraId="0E79AD94">
      <w:pPr>
        <w:pStyle w:val="12"/>
        <w:spacing w:line="420" w:lineRule="exact"/>
        <w:jc w:val="center"/>
        <w:rPr>
          <w:rFonts w:hAnsi="宋体" w:cs="宋体"/>
          <w:b/>
          <w:sz w:val="36"/>
        </w:rPr>
        <w:sectPr>
          <w:pgSz w:w="11906" w:h="16838"/>
          <w:pgMar w:top="1440" w:right="1080" w:bottom="1440" w:left="1080" w:header="720" w:footer="720" w:gutter="0"/>
          <w:pgNumType w:start="1"/>
          <w:cols w:space="720" w:num="1"/>
          <w:docGrid w:type="lines" w:linePitch="331" w:charSpace="0"/>
        </w:sectPr>
      </w:pPr>
      <w:r>
        <w:rPr>
          <w:rFonts w:hint="eastAsia" w:hAnsi="宋体" w:cs="宋体"/>
          <w:bCs/>
          <w:caps/>
          <w:szCs w:val="28"/>
          <w:u w:val="single"/>
        </w:rPr>
        <w:fldChar w:fldCharType="end"/>
      </w:r>
      <w:bookmarkStart w:id="2" w:name="_Toc532545041"/>
    </w:p>
    <w:p w14:paraId="6D04B3F2">
      <w:pPr>
        <w:pStyle w:val="12"/>
        <w:spacing w:line="360" w:lineRule="auto"/>
        <w:jc w:val="center"/>
        <w:outlineLvl w:val="0"/>
        <w:rPr>
          <w:rFonts w:hAnsi="宋体" w:cs="宋体"/>
          <w:b/>
          <w:sz w:val="36"/>
        </w:rPr>
      </w:pPr>
      <w:bookmarkStart w:id="3" w:name="_Toc31591"/>
      <w:r>
        <w:rPr>
          <w:rFonts w:hint="eastAsia" w:hAnsi="宋体" w:cs="宋体"/>
          <w:b/>
          <w:sz w:val="36"/>
        </w:rPr>
        <w:t>第一章  招标公告</w:t>
      </w:r>
      <w:bookmarkEnd w:id="2"/>
      <w:bookmarkEnd w:id="3"/>
    </w:p>
    <w:p w14:paraId="6878390E">
      <w:pPr>
        <w:pStyle w:val="12"/>
        <w:spacing w:line="360" w:lineRule="auto"/>
        <w:jc w:val="center"/>
        <w:rPr>
          <w:rFonts w:hAnsi="宋体" w:cs="宋体"/>
          <w:b/>
          <w:sz w:val="30"/>
          <w:szCs w:val="30"/>
        </w:rPr>
      </w:pPr>
      <w:r>
        <w:rPr>
          <w:rFonts w:hint="eastAsia" w:hAnsi="宋体" w:cs="宋体"/>
          <w:b/>
          <w:sz w:val="30"/>
          <w:szCs w:val="30"/>
        </w:rPr>
        <w:t>公开招标公告</w:t>
      </w:r>
    </w:p>
    <w:p w14:paraId="6731CEE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CDABD84">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s="宋体"/>
          <w:szCs w:val="21"/>
          <w:u w:val="single"/>
        </w:rPr>
      </w:pPr>
      <w:r>
        <w:rPr>
          <w:rFonts w:hint="eastAsia" w:ascii="宋体" w:hAnsi="宋体" w:cs="宋体"/>
          <w:szCs w:val="21"/>
          <w:u w:val="single"/>
        </w:rPr>
        <w:t xml:space="preserve"> 隆安县2024年改善普通高中学校办学条件设备设施采购项目（重） </w:t>
      </w:r>
      <w:r>
        <w:rPr>
          <w:rFonts w:hint="eastAsia" w:ascii="宋体" w:hAnsi="宋体" w:cs="宋体"/>
          <w:szCs w:val="21"/>
        </w:rPr>
        <w:t>招标项目的潜在投标人应在“政采云”平台（https://www.zcygov.cn/）获取（下载）招标文件，并于</w:t>
      </w:r>
      <w:r>
        <w:rPr>
          <w:rFonts w:hint="eastAsia" w:ascii="宋体" w:hAnsi="宋体" w:cs="宋体"/>
          <w:color w:val="0000FF"/>
          <w:szCs w:val="21"/>
          <w:highlight w:val="yellow"/>
          <w:u w:val="single"/>
        </w:rPr>
        <w:t xml:space="preserve">2025年 </w:t>
      </w:r>
      <w:r>
        <w:rPr>
          <w:rFonts w:hint="eastAsia" w:ascii="宋体" w:hAnsi="宋体" w:cs="宋体"/>
          <w:color w:val="0000FF"/>
          <w:szCs w:val="21"/>
          <w:highlight w:val="yellow"/>
          <w:u w:val="single"/>
          <w:lang w:val="en-US" w:eastAsia="zh-CN"/>
        </w:rPr>
        <w:t>6</w:t>
      </w:r>
      <w:r>
        <w:rPr>
          <w:rFonts w:hint="eastAsia" w:ascii="宋体" w:hAnsi="宋体" w:cs="宋体"/>
          <w:color w:val="0000FF"/>
          <w:szCs w:val="21"/>
          <w:highlight w:val="yellow"/>
          <w:u w:val="single"/>
        </w:rPr>
        <w:t xml:space="preserve"> 月</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11</w:t>
      </w:r>
      <w:r>
        <w:rPr>
          <w:rFonts w:hint="eastAsia" w:ascii="宋体" w:hAnsi="宋体" w:cs="宋体"/>
          <w:color w:val="0000FF"/>
          <w:szCs w:val="21"/>
          <w:highlight w:val="yellow"/>
          <w:u w:val="single"/>
        </w:rPr>
        <w:t xml:space="preserve">  日</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rPr>
        <w:t>9点30</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rPr>
        <w:t>分</w:t>
      </w:r>
      <w:r>
        <w:rPr>
          <w:rFonts w:hint="eastAsia" w:ascii="宋体" w:hAnsi="宋体" w:cs="宋体"/>
          <w:szCs w:val="21"/>
          <w:u w:val="single"/>
        </w:rPr>
        <w:t>（北京时间）</w:t>
      </w:r>
      <w:r>
        <w:rPr>
          <w:rFonts w:hint="eastAsia" w:ascii="宋体" w:hAnsi="宋体" w:cs="宋体"/>
          <w:bCs/>
          <w:szCs w:val="21"/>
        </w:rPr>
        <w:t>前</w:t>
      </w:r>
      <w:r>
        <w:rPr>
          <w:rFonts w:hint="eastAsia" w:ascii="宋体" w:hAnsi="宋体" w:cs="宋体"/>
          <w:szCs w:val="21"/>
        </w:rPr>
        <w:t>递交（上传）投标文件。</w:t>
      </w:r>
    </w:p>
    <w:p w14:paraId="6EA57619">
      <w:pPr>
        <w:spacing w:line="360" w:lineRule="auto"/>
        <w:rPr>
          <w:rFonts w:ascii="宋体" w:hAnsi="宋体" w:cs="宋体"/>
          <w:b/>
          <w:bCs/>
          <w:sz w:val="24"/>
        </w:rPr>
      </w:pPr>
      <w:bookmarkStart w:id="4" w:name="_Toc28359002"/>
      <w:bookmarkStart w:id="5" w:name="_Toc35393790"/>
      <w:bookmarkStart w:id="6" w:name="_Toc35393621"/>
      <w:bookmarkStart w:id="7" w:name="_Toc28359079"/>
      <w:bookmarkStart w:id="8" w:name="_Hlk24379207"/>
      <w:r>
        <w:rPr>
          <w:rFonts w:hint="eastAsia" w:ascii="宋体" w:hAnsi="宋体" w:cs="宋体"/>
          <w:b/>
          <w:bCs/>
          <w:sz w:val="24"/>
        </w:rPr>
        <w:t>一、项目基本情况</w:t>
      </w:r>
      <w:bookmarkEnd w:id="4"/>
      <w:bookmarkEnd w:id="5"/>
      <w:bookmarkEnd w:id="6"/>
      <w:bookmarkEnd w:id="7"/>
    </w:p>
    <w:p w14:paraId="5CB094BE">
      <w:pPr>
        <w:spacing w:line="360" w:lineRule="auto"/>
        <w:ind w:firstLine="420" w:firstLineChars="200"/>
        <w:rPr>
          <w:rFonts w:ascii="宋体" w:hAnsi="宋体" w:cs="宋体"/>
          <w:color w:val="C00000"/>
          <w:szCs w:val="21"/>
          <w:highlight w:val="yellow"/>
        </w:rPr>
      </w:pPr>
      <w:r>
        <w:rPr>
          <w:rFonts w:hint="eastAsia" w:ascii="宋体" w:hAnsi="宋体" w:cs="宋体"/>
          <w:szCs w:val="21"/>
        </w:rPr>
        <w:t>项目编号：NNZC2025-G1-230018-NNSL</w:t>
      </w:r>
    </w:p>
    <w:p w14:paraId="7D471A02">
      <w:pPr>
        <w:spacing w:line="360" w:lineRule="auto"/>
        <w:ind w:firstLine="420" w:firstLineChars="200"/>
        <w:rPr>
          <w:rFonts w:ascii="宋体" w:hAnsi="宋体" w:cs="宋体"/>
          <w:szCs w:val="21"/>
        </w:rPr>
      </w:pPr>
      <w:r>
        <w:rPr>
          <w:rFonts w:hint="eastAsia" w:ascii="宋体" w:hAnsi="宋体" w:cs="宋体"/>
          <w:szCs w:val="21"/>
        </w:rPr>
        <w:t>项目名称：</w:t>
      </w:r>
      <w:r>
        <w:rPr>
          <w:rFonts w:ascii="宋体" w:hAnsi="宋体" w:cs="宋体"/>
          <w:szCs w:val="21"/>
        </w:rPr>
        <w:t xml:space="preserve"> </w:t>
      </w:r>
      <w:bookmarkEnd w:id="8"/>
      <w:r>
        <w:rPr>
          <w:rFonts w:hint="eastAsia" w:ascii="宋体" w:hAnsi="宋体" w:cs="宋体"/>
          <w:szCs w:val="21"/>
        </w:rPr>
        <w:t>隆安县2024年改善普通高中学校办学条件设备设施采购项目（重）</w:t>
      </w:r>
    </w:p>
    <w:p w14:paraId="2BBDA887">
      <w:pPr>
        <w:spacing w:line="360" w:lineRule="auto"/>
        <w:ind w:firstLine="420" w:firstLineChars="200"/>
        <w:rPr>
          <w:rFonts w:ascii="宋体" w:hAnsi="宋体" w:cs="宋体"/>
          <w:szCs w:val="21"/>
          <w:u w:val="single"/>
        </w:rPr>
      </w:pPr>
      <w:r>
        <w:rPr>
          <w:rFonts w:hint="eastAsia" w:ascii="宋体" w:hAnsi="宋体" w:cs="宋体"/>
          <w:szCs w:val="21"/>
        </w:rPr>
        <w:t>预算金额：</w:t>
      </w:r>
      <w:r>
        <w:rPr>
          <w:rFonts w:hint="eastAsia" w:ascii="宋体" w:hAnsi="宋体" w:cs="宋体"/>
          <w:szCs w:val="21"/>
          <w:highlight w:val="none"/>
          <w:u w:val="single"/>
        </w:rPr>
        <w:t>803</w:t>
      </w:r>
      <w:r>
        <w:rPr>
          <w:rFonts w:hint="eastAsia" w:ascii="宋体" w:hAnsi="宋体" w:cs="宋体"/>
          <w:szCs w:val="21"/>
          <w:highlight w:val="none"/>
          <w:u w:val="single"/>
          <w:lang w:val="en-US" w:eastAsia="zh-CN"/>
        </w:rPr>
        <w:t>.</w:t>
      </w:r>
      <w:bookmarkStart w:id="312" w:name="_GoBack"/>
      <w:bookmarkEnd w:id="312"/>
      <w:r>
        <w:rPr>
          <w:rFonts w:hint="eastAsia" w:ascii="宋体" w:hAnsi="宋体" w:cs="宋体"/>
          <w:szCs w:val="21"/>
          <w:highlight w:val="none"/>
          <w:u w:val="single"/>
        </w:rPr>
        <w:t>5637</w:t>
      </w:r>
      <w:r>
        <w:rPr>
          <w:rFonts w:hint="eastAsia" w:ascii="宋体" w:hAnsi="宋体" w:cs="宋体"/>
          <w:szCs w:val="21"/>
          <w:u w:val="single"/>
        </w:rPr>
        <w:t>万元</w:t>
      </w:r>
    </w:p>
    <w:p w14:paraId="25F708CE">
      <w:pPr>
        <w:spacing w:line="360" w:lineRule="auto"/>
        <w:ind w:firstLine="420" w:firstLineChars="200"/>
        <w:rPr>
          <w:rFonts w:ascii="宋体" w:hAnsi="宋体" w:cs="宋体"/>
          <w:szCs w:val="21"/>
          <w:u w:val="single"/>
        </w:rPr>
      </w:pPr>
      <w:r>
        <w:rPr>
          <w:rFonts w:hint="eastAsia" w:ascii="宋体" w:hAnsi="宋体" w:cs="宋体"/>
          <w:szCs w:val="21"/>
          <w:u w:val="single"/>
        </w:rPr>
        <w:t>最高限价</w:t>
      </w:r>
      <w:r>
        <w:rPr>
          <w:rFonts w:hint="eastAsia" w:ascii="宋体" w:hAnsi="宋体" w:cs="宋体"/>
          <w:szCs w:val="21"/>
        </w:rPr>
        <w:t>：</w:t>
      </w:r>
      <w:r>
        <w:rPr>
          <w:rFonts w:hint="eastAsia" w:ascii="宋体" w:hAnsi="宋体" w:cs="宋体"/>
          <w:color w:val="auto"/>
          <w:szCs w:val="21"/>
          <w:u w:val="single"/>
        </w:rPr>
        <w:t>790.</w:t>
      </w:r>
      <w:r>
        <w:rPr>
          <w:rFonts w:hint="eastAsia" w:ascii="宋体" w:hAnsi="宋体" w:cs="宋体"/>
          <w:color w:val="auto"/>
          <w:szCs w:val="21"/>
          <w:u w:val="single"/>
          <w:lang w:val="en-US" w:eastAsia="zh-CN"/>
        </w:rPr>
        <w:t>1567</w:t>
      </w:r>
      <w:r>
        <w:rPr>
          <w:rFonts w:hint="eastAsia" w:ascii="宋体" w:hAnsi="宋体" w:cs="宋体"/>
          <w:color w:val="auto"/>
          <w:szCs w:val="21"/>
          <w:u w:val="single"/>
        </w:rPr>
        <w:t xml:space="preserve">万元 </w:t>
      </w:r>
      <w:r>
        <w:rPr>
          <w:rFonts w:hint="eastAsia" w:ascii="宋体" w:hAnsi="宋体"/>
          <w:color w:val="000000"/>
          <w:szCs w:val="21"/>
        </w:rPr>
        <w:t>（A分标（1分标）</w:t>
      </w:r>
      <w:r>
        <w:rPr>
          <w:rFonts w:hint="eastAsia" w:ascii="宋体" w:hAnsi="宋体"/>
          <w:color w:val="000000"/>
          <w:szCs w:val="21"/>
          <w:u w:val="single"/>
          <w:lang w:val="en-US" w:eastAsia="zh-CN"/>
        </w:rPr>
        <w:t>326.0587</w:t>
      </w:r>
      <w:r>
        <w:rPr>
          <w:rFonts w:hint="eastAsia" w:ascii="宋体" w:hAnsi="宋体"/>
          <w:color w:val="000000"/>
          <w:szCs w:val="21"/>
        </w:rPr>
        <w:t>万元；B分标（2分标）：</w:t>
      </w:r>
      <w:r>
        <w:rPr>
          <w:rFonts w:hint="eastAsia" w:ascii="宋体" w:hAnsi="宋体"/>
          <w:color w:val="000000"/>
          <w:szCs w:val="21"/>
          <w:u w:val="single"/>
        </w:rPr>
        <w:t>265.1</w:t>
      </w:r>
      <w:r>
        <w:rPr>
          <w:rFonts w:hint="eastAsia" w:ascii="宋体" w:hAnsi="宋体"/>
          <w:color w:val="000000"/>
          <w:szCs w:val="21"/>
        </w:rPr>
        <w:t>万元；C分标(3分标)：</w:t>
      </w:r>
      <w:r>
        <w:rPr>
          <w:rFonts w:hint="eastAsia" w:ascii="宋体" w:hAnsi="宋体"/>
          <w:color w:val="000000"/>
          <w:szCs w:val="21"/>
          <w:u w:val="single"/>
        </w:rPr>
        <w:t>198.998</w:t>
      </w:r>
      <w:r>
        <w:rPr>
          <w:rFonts w:hint="eastAsia" w:ascii="宋体" w:hAnsi="宋体"/>
          <w:color w:val="000000"/>
          <w:szCs w:val="21"/>
        </w:rPr>
        <w:t>万元）</w:t>
      </w:r>
    </w:p>
    <w:p w14:paraId="11197E70">
      <w:pPr>
        <w:spacing w:line="360" w:lineRule="auto"/>
        <w:ind w:firstLine="420" w:firstLineChars="200"/>
        <w:rPr>
          <w:rFonts w:ascii="宋体" w:hAnsi="宋体" w:cs="宋体"/>
          <w:szCs w:val="21"/>
        </w:rPr>
      </w:pPr>
      <w:r>
        <w:rPr>
          <w:rFonts w:hint="eastAsia" w:ascii="宋体" w:hAnsi="宋体" w:cs="宋体"/>
          <w:szCs w:val="21"/>
        </w:rPr>
        <w:t>采购需求：</w:t>
      </w:r>
      <w:bookmarkStart w:id="9" w:name="PO_3000001866_PM004"/>
      <w:r>
        <w:rPr>
          <w:rFonts w:hint="eastAsia" w:ascii="宋体" w:hAnsi="宋体" w:cs="宋体"/>
          <w:szCs w:val="21"/>
        </w:rPr>
        <w:t xml:space="preserve"> </w:t>
      </w:r>
    </w:p>
    <w:bookmarkEnd w:id="9"/>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3727"/>
        <w:gridCol w:w="859"/>
        <w:gridCol w:w="1863"/>
        <w:gridCol w:w="2401"/>
      </w:tblGrid>
      <w:tr w14:paraId="47B6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pct"/>
          </w:tcPr>
          <w:p w14:paraId="1A1439A0">
            <w:pPr>
              <w:spacing w:line="360" w:lineRule="auto"/>
              <w:rPr>
                <w:rFonts w:ascii="宋体" w:hAnsi="宋体"/>
                <w:color w:val="000000"/>
                <w:szCs w:val="21"/>
              </w:rPr>
            </w:pPr>
            <w:r>
              <w:rPr>
                <w:rFonts w:hint="eastAsia" w:ascii="宋体" w:hAnsi="宋体"/>
                <w:color w:val="000000"/>
                <w:szCs w:val="21"/>
              </w:rPr>
              <w:t>分标序号</w:t>
            </w:r>
          </w:p>
        </w:tc>
        <w:tc>
          <w:tcPr>
            <w:tcW w:w="1870" w:type="pct"/>
          </w:tcPr>
          <w:p w14:paraId="14F365AD">
            <w:pPr>
              <w:spacing w:line="360" w:lineRule="auto"/>
              <w:rPr>
                <w:rFonts w:ascii="宋体" w:hAnsi="宋体"/>
                <w:color w:val="000000"/>
                <w:szCs w:val="21"/>
              </w:rPr>
            </w:pPr>
            <w:r>
              <w:rPr>
                <w:rFonts w:hint="eastAsia" w:ascii="宋体" w:hAnsi="宋体"/>
                <w:color w:val="000000"/>
                <w:szCs w:val="21"/>
              </w:rPr>
              <w:t>分标名称</w:t>
            </w:r>
          </w:p>
        </w:tc>
        <w:tc>
          <w:tcPr>
            <w:tcW w:w="431" w:type="pct"/>
          </w:tcPr>
          <w:p w14:paraId="58905A50">
            <w:pPr>
              <w:spacing w:line="360" w:lineRule="auto"/>
              <w:rPr>
                <w:rFonts w:ascii="宋体" w:hAnsi="宋体"/>
                <w:color w:val="000000"/>
                <w:szCs w:val="21"/>
              </w:rPr>
            </w:pPr>
            <w:r>
              <w:rPr>
                <w:rFonts w:hint="eastAsia" w:ascii="宋体" w:hAnsi="宋体"/>
                <w:color w:val="000000"/>
                <w:szCs w:val="21"/>
              </w:rPr>
              <w:t>数量</w:t>
            </w:r>
          </w:p>
        </w:tc>
        <w:tc>
          <w:tcPr>
            <w:tcW w:w="935" w:type="pct"/>
          </w:tcPr>
          <w:p w14:paraId="34E59F4E">
            <w:pPr>
              <w:spacing w:line="360" w:lineRule="auto"/>
              <w:rPr>
                <w:rFonts w:ascii="宋体" w:hAnsi="宋体"/>
                <w:color w:val="000000"/>
                <w:szCs w:val="21"/>
              </w:rPr>
            </w:pPr>
            <w:r>
              <w:rPr>
                <w:rFonts w:hint="eastAsia" w:ascii="宋体" w:hAnsi="宋体"/>
                <w:color w:val="000000"/>
                <w:szCs w:val="21"/>
              </w:rPr>
              <w:t>预算金额</w:t>
            </w:r>
            <w:r>
              <w:rPr>
                <w:rFonts w:ascii="宋体" w:hAnsi="宋体"/>
                <w:color w:val="000000"/>
                <w:szCs w:val="21"/>
              </w:rPr>
              <w:t>(万元)</w:t>
            </w:r>
          </w:p>
        </w:tc>
        <w:tc>
          <w:tcPr>
            <w:tcW w:w="1205" w:type="pct"/>
          </w:tcPr>
          <w:p w14:paraId="681D50EB">
            <w:pPr>
              <w:spacing w:line="360" w:lineRule="auto"/>
              <w:rPr>
                <w:rFonts w:ascii="宋体" w:hAnsi="宋体"/>
                <w:color w:val="000000"/>
                <w:szCs w:val="21"/>
              </w:rPr>
            </w:pPr>
            <w:r>
              <w:rPr>
                <w:rFonts w:hint="eastAsia" w:ascii="宋体" w:hAnsi="宋体"/>
                <w:color w:val="000000"/>
                <w:szCs w:val="21"/>
              </w:rPr>
              <w:t>简要规格描述</w:t>
            </w:r>
          </w:p>
        </w:tc>
      </w:tr>
      <w:tr w14:paraId="63B8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pct"/>
          </w:tcPr>
          <w:p w14:paraId="36240CBD">
            <w:pPr>
              <w:spacing w:line="360" w:lineRule="auto"/>
              <w:jc w:val="center"/>
              <w:rPr>
                <w:rFonts w:ascii="宋体" w:hAnsi="宋体"/>
                <w:color w:val="000000"/>
                <w:szCs w:val="21"/>
              </w:rPr>
            </w:pPr>
            <w:r>
              <w:rPr>
                <w:rFonts w:hint="eastAsia" w:ascii="宋体" w:hAnsi="宋体"/>
                <w:color w:val="000000"/>
                <w:szCs w:val="21"/>
              </w:rPr>
              <w:t>1</w:t>
            </w:r>
          </w:p>
        </w:tc>
        <w:tc>
          <w:tcPr>
            <w:tcW w:w="1870" w:type="pct"/>
          </w:tcPr>
          <w:p w14:paraId="20098F9F">
            <w:pPr>
              <w:spacing w:line="360" w:lineRule="auto"/>
              <w:rPr>
                <w:rFonts w:ascii="宋体" w:hAnsi="宋体"/>
                <w:color w:val="000000"/>
                <w:szCs w:val="21"/>
              </w:rPr>
            </w:pPr>
            <w:r>
              <w:rPr>
                <w:rFonts w:hint="eastAsia" w:ascii="仿宋_GB2312" w:hAnsi="宋体" w:eastAsia="仿宋_GB2312"/>
                <w:b/>
                <w:bCs/>
                <w:color w:val="000000"/>
                <w:sz w:val="30"/>
                <w:szCs w:val="30"/>
              </w:rPr>
              <w:t>隆安县2024年改善普通高中学校办学条件设备设施采购项目（重）（A分标）</w:t>
            </w:r>
          </w:p>
        </w:tc>
        <w:tc>
          <w:tcPr>
            <w:tcW w:w="431" w:type="pct"/>
          </w:tcPr>
          <w:p w14:paraId="29D77BE3">
            <w:pPr>
              <w:spacing w:line="360" w:lineRule="auto"/>
              <w:rPr>
                <w:rFonts w:ascii="宋体" w:hAnsi="宋体"/>
                <w:color w:val="000000"/>
                <w:szCs w:val="21"/>
              </w:rPr>
            </w:pPr>
            <w:r>
              <w:rPr>
                <w:rFonts w:ascii="宋体" w:hAnsi="宋体"/>
                <w:color w:val="000000"/>
                <w:szCs w:val="21"/>
              </w:rPr>
              <w:t>1</w:t>
            </w:r>
            <w:r>
              <w:rPr>
                <w:rFonts w:hint="eastAsia" w:ascii="宋体" w:hAnsi="宋体"/>
                <w:color w:val="000000"/>
                <w:szCs w:val="21"/>
              </w:rPr>
              <w:t>项</w:t>
            </w:r>
          </w:p>
        </w:tc>
        <w:tc>
          <w:tcPr>
            <w:tcW w:w="935" w:type="pct"/>
            <w:shd w:val="clear" w:color="auto" w:fill="auto"/>
            <w:vAlign w:val="center"/>
          </w:tcPr>
          <w:p w14:paraId="4AB884FD">
            <w:pPr>
              <w:spacing w:line="360" w:lineRule="auto"/>
              <w:rPr>
                <w:rFonts w:hint="default" w:ascii="宋体" w:hAnsi="宋体" w:cs="宋体"/>
                <w:color w:val="FF0000"/>
                <w:sz w:val="24"/>
                <w:lang w:val="en-US"/>
              </w:rPr>
            </w:pPr>
            <w:r>
              <w:rPr>
                <w:rFonts w:hint="eastAsia" w:ascii="宋体" w:hAnsi="宋体"/>
                <w:color w:val="000000"/>
                <w:szCs w:val="21"/>
                <w:u w:val="single"/>
                <w:lang w:val="en-US" w:eastAsia="zh-CN"/>
              </w:rPr>
              <w:t>326.0587</w:t>
            </w:r>
          </w:p>
        </w:tc>
        <w:tc>
          <w:tcPr>
            <w:tcW w:w="1205" w:type="pct"/>
          </w:tcPr>
          <w:p w14:paraId="23D2A95D">
            <w:pPr>
              <w:spacing w:line="360" w:lineRule="auto"/>
              <w:rPr>
                <w:rFonts w:ascii="宋体" w:hAnsi="宋体"/>
                <w:color w:val="000000"/>
                <w:szCs w:val="21"/>
              </w:rPr>
            </w:pPr>
            <w:r>
              <w:rPr>
                <w:rFonts w:hint="eastAsia" w:ascii="宋体" w:hAnsi="宋体"/>
                <w:color w:val="000000"/>
                <w:szCs w:val="21"/>
              </w:rPr>
              <w:t>详见招标文件第二章</w:t>
            </w:r>
          </w:p>
        </w:tc>
      </w:tr>
      <w:tr w14:paraId="252B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pct"/>
          </w:tcPr>
          <w:p w14:paraId="2B60279E">
            <w:pPr>
              <w:spacing w:line="360" w:lineRule="auto"/>
              <w:jc w:val="center"/>
              <w:rPr>
                <w:rFonts w:ascii="宋体" w:hAnsi="宋体"/>
                <w:color w:val="000000"/>
                <w:szCs w:val="21"/>
              </w:rPr>
            </w:pPr>
            <w:r>
              <w:rPr>
                <w:rFonts w:hint="eastAsia" w:ascii="宋体" w:hAnsi="宋体"/>
                <w:color w:val="000000"/>
                <w:szCs w:val="21"/>
              </w:rPr>
              <w:t>2</w:t>
            </w:r>
          </w:p>
        </w:tc>
        <w:tc>
          <w:tcPr>
            <w:tcW w:w="1870" w:type="pct"/>
          </w:tcPr>
          <w:p w14:paraId="22DCAB6C">
            <w:pPr>
              <w:spacing w:line="360" w:lineRule="auto"/>
              <w:rPr>
                <w:rFonts w:ascii="宋体" w:hAnsi="宋体"/>
                <w:color w:val="000000"/>
                <w:szCs w:val="21"/>
              </w:rPr>
            </w:pPr>
            <w:r>
              <w:rPr>
                <w:rFonts w:hint="eastAsia" w:ascii="仿宋_GB2312" w:hAnsi="宋体" w:eastAsia="仿宋_GB2312"/>
                <w:b/>
                <w:bCs/>
                <w:color w:val="000000"/>
                <w:sz w:val="30"/>
                <w:szCs w:val="30"/>
              </w:rPr>
              <w:t>隆安县2024年改善普通高中学校办学条件设备设施采购项目（重）（B分标）</w:t>
            </w:r>
          </w:p>
        </w:tc>
        <w:tc>
          <w:tcPr>
            <w:tcW w:w="431" w:type="pct"/>
          </w:tcPr>
          <w:p w14:paraId="06A90B9B">
            <w:pPr>
              <w:spacing w:line="360" w:lineRule="auto"/>
              <w:rPr>
                <w:rFonts w:ascii="宋体" w:hAnsi="宋体"/>
                <w:color w:val="000000"/>
                <w:szCs w:val="21"/>
              </w:rPr>
            </w:pPr>
            <w:r>
              <w:rPr>
                <w:rFonts w:ascii="宋体" w:hAnsi="宋体"/>
                <w:color w:val="000000"/>
                <w:szCs w:val="21"/>
              </w:rPr>
              <w:t>1</w:t>
            </w:r>
            <w:r>
              <w:rPr>
                <w:rFonts w:hint="eastAsia" w:ascii="宋体" w:hAnsi="宋体"/>
                <w:color w:val="000000"/>
                <w:szCs w:val="21"/>
              </w:rPr>
              <w:t>项</w:t>
            </w:r>
          </w:p>
        </w:tc>
        <w:tc>
          <w:tcPr>
            <w:tcW w:w="935" w:type="pct"/>
          </w:tcPr>
          <w:p w14:paraId="1E2EE3B8">
            <w:pPr>
              <w:spacing w:line="360" w:lineRule="auto"/>
              <w:rPr>
                <w:rFonts w:ascii="宋体" w:hAnsi="宋体"/>
                <w:color w:val="000000"/>
                <w:szCs w:val="21"/>
              </w:rPr>
            </w:pPr>
            <w:r>
              <w:rPr>
                <w:rFonts w:hint="eastAsia" w:ascii="宋体" w:hAnsi="宋体"/>
                <w:color w:val="000000"/>
                <w:szCs w:val="21"/>
                <w:u w:val="single"/>
              </w:rPr>
              <w:t>265.1</w:t>
            </w:r>
          </w:p>
        </w:tc>
        <w:tc>
          <w:tcPr>
            <w:tcW w:w="1205" w:type="pct"/>
          </w:tcPr>
          <w:p w14:paraId="07E2DC58">
            <w:pPr>
              <w:spacing w:line="360" w:lineRule="auto"/>
              <w:rPr>
                <w:rFonts w:ascii="宋体" w:hAnsi="宋体"/>
                <w:color w:val="000000"/>
                <w:szCs w:val="21"/>
              </w:rPr>
            </w:pPr>
            <w:r>
              <w:rPr>
                <w:rFonts w:hint="eastAsia" w:ascii="宋体" w:hAnsi="宋体"/>
                <w:color w:val="000000"/>
                <w:szCs w:val="21"/>
              </w:rPr>
              <w:t>详见招标文件第二章</w:t>
            </w:r>
          </w:p>
        </w:tc>
      </w:tr>
      <w:tr w14:paraId="264F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pct"/>
          </w:tcPr>
          <w:p w14:paraId="1CADFAFE">
            <w:pPr>
              <w:spacing w:line="360" w:lineRule="auto"/>
              <w:jc w:val="center"/>
              <w:rPr>
                <w:rFonts w:ascii="宋体" w:hAnsi="宋体"/>
                <w:color w:val="000000"/>
                <w:szCs w:val="21"/>
              </w:rPr>
            </w:pPr>
            <w:r>
              <w:rPr>
                <w:rFonts w:hint="eastAsia" w:ascii="宋体" w:hAnsi="宋体"/>
                <w:color w:val="000000"/>
                <w:szCs w:val="21"/>
              </w:rPr>
              <w:t>3</w:t>
            </w:r>
          </w:p>
        </w:tc>
        <w:tc>
          <w:tcPr>
            <w:tcW w:w="1870" w:type="pct"/>
          </w:tcPr>
          <w:p w14:paraId="5982B225">
            <w:pPr>
              <w:spacing w:line="360" w:lineRule="auto"/>
              <w:rPr>
                <w:rFonts w:ascii="仿宋_GB2312" w:hAnsi="宋体" w:eastAsia="仿宋_GB2312"/>
                <w:b/>
                <w:bCs/>
                <w:color w:val="000000"/>
                <w:sz w:val="30"/>
                <w:szCs w:val="30"/>
              </w:rPr>
            </w:pPr>
            <w:r>
              <w:rPr>
                <w:rFonts w:hint="eastAsia" w:ascii="仿宋_GB2312" w:hAnsi="宋体" w:eastAsia="仿宋_GB2312"/>
                <w:b/>
                <w:bCs/>
                <w:color w:val="000000"/>
                <w:sz w:val="30"/>
                <w:szCs w:val="30"/>
              </w:rPr>
              <w:t>隆安县2024年改善普通高中学校办学条件设备设施采购项目（重）（C分标）</w:t>
            </w:r>
          </w:p>
        </w:tc>
        <w:tc>
          <w:tcPr>
            <w:tcW w:w="431" w:type="pct"/>
            <w:shd w:val="clear" w:color="auto" w:fill="auto"/>
          </w:tcPr>
          <w:p w14:paraId="05F92769">
            <w:pPr>
              <w:spacing w:line="360" w:lineRule="auto"/>
              <w:rPr>
                <w:rFonts w:ascii="宋体" w:hAnsi="宋体"/>
                <w:color w:val="000000"/>
                <w:szCs w:val="21"/>
              </w:rPr>
            </w:pPr>
            <w:r>
              <w:rPr>
                <w:rFonts w:ascii="宋体" w:hAnsi="宋体"/>
                <w:color w:val="000000"/>
                <w:szCs w:val="21"/>
              </w:rPr>
              <w:t>1</w:t>
            </w:r>
            <w:r>
              <w:rPr>
                <w:rFonts w:hint="eastAsia" w:ascii="宋体" w:hAnsi="宋体"/>
                <w:color w:val="000000"/>
                <w:szCs w:val="21"/>
              </w:rPr>
              <w:t>项</w:t>
            </w:r>
          </w:p>
        </w:tc>
        <w:tc>
          <w:tcPr>
            <w:tcW w:w="935" w:type="pct"/>
            <w:shd w:val="clear" w:color="auto" w:fill="auto"/>
          </w:tcPr>
          <w:p w14:paraId="4269A52F">
            <w:pPr>
              <w:spacing w:line="360" w:lineRule="auto"/>
              <w:rPr>
                <w:rFonts w:ascii="宋体" w:hAnsi="宋体"/>
                <w:color w:val="000000"/>
                <w:szCs w:val="21"/>
              </w:rPr>
            </w:pPr>
            <w:r>
              <w:rPr>
                <w:rFonts w:hint="eastAsia" w:ascii="宋体" w:hAnsi="宋体"/>
                <w:color w:val="000000"/>
                <w:szCs w:val="21"/>
                <w:u w:val="single"/>
              </w:rPr>
              <w:t>198.998</w:t>
            </w:r>
          </w:p>
        </w:tc>
        <w:tc>
          <w:tcPr>
            <w:tcW w:w="1205" w:type="pct"/>
            <w:shd w:val="clear" w:color="auto" w:fill="auto"/>
          </w:tcPr>
          <w:p w14:paraId="69F2E532">
            <w:pPr>
              <w:spacing w:line="360" w:lineRule="auto"/>
              <w:rPr>
                <w:rFonts w:ascii="宋体" w:hAnsi="宋体"/>
                <w:color w:val="000000"/>
                <w:szCs w:val="21"/>
              </w:rPr>
            </w:pPr>
            <w:r>
              <w:rPr>
                <w:rFonts w:hint="eastAsia" w:ascii="宋体" w:hAnsi="宋体"/>
                <w:color w:val="000000"/>
                <w:szCs w:val="21"/>
              </w:rPr>
              <w:t>详见招标文件第二章</w:t>
            </w:r>
          </w:p>
        </w:tc>
      </w:tr>
    </w:tbl>
    <w:p w14:paraId="591EA54B">
      <w:pPr>
        <w:spacing w:line="360" w:lineRule="auto"/>
        <w:ind w:firstLine="420" w:firstLineChars="200"/>
        <w:rPr>
          <w:rFonts w:ascii="宋体" w:hAnsi="宋体" w:cs="宋体"/>
          <w:szCs w:val="21"/>
        </w:rPr>
      </w:pPr>
    </w:p>
    <w:p w14:paraId="07B8228A">
      <w:pPr>
        <w:spacing w:line="360" w:lineRule="auto"/>
        <w:ind w:firstLine="420" w:firstLineChars="200"/>
        <w:rPr>
          <w:rFonts w:ascii="宋体" w:hAnsi="宋体" w:cs="宋体"/>
          <w:szCs w:val="21"/>
          <w:u w:val="single"/>
        </w:rPr>
      </w:pPr>
      <w:r>
        <w:rPr>
          <w:rFonts w:hint="eastAsia" w:ascii="宋体" w:hAnsi="宋体" w:cs="宋体"/>
          <w:szCs w:val="21"/>
        </w:rPr>
        <w:t>合同履行期限：</w:t>
      </w:r>
      <w:r>
        <w:rPr>
          <w:rFonts w:hint="eastAsia" w:ascii="宋体" w:hAnsi="宋体"/>
          <w:color w:val="000000"/>
          <w:szCs w:val="21"/>
        </w:rPr>
        <w:t>详见招标文件第二章商务条款。</w:t>
      </w:r>
    </w:p>
    <w:p w14:paraId="3E11B803">
      <w:pPr>
        <w:spacing w:line="360" w:lineRule="auto"/>
        <w:ind w:firstLine="420" w:firstLineChars="200"/>
        <w:rPr>
          <w:rFonts w:ascii="宋体" w:hAnsi="宋体" w:cs="宋体"/>
          <w:szCs w:val="21"/>
        </w:rPr>
      </w:pPr>
      <w:r>
        <w:rPr>
          <w:rFonts w:hint="eastAsia" w:ascii="宋体" w:hAnsi="宋体" w:cs="宋体"/>
          <w:szCs w:val="21"/>
        </w:rPr>
        <w:t>本项目是否接受联合体投标：□是</w:t>
      </w:r>
      <w:r>
        <w:rPr>
          <w:rFonts w:hint="eastAsia" w:ascii="宋体" w:hAnsi="宋体" w:cs="宋体"/>
          <w:b/>
          <w:bCs/>
          <w:szCs w:val="21"/>
        </w:rPr>
        <w:t>/☑否</w:t>
      </w:r>
    </w:p>
    <w:p w14:paraId="48CD278D">
      <w:pPr>
        <w:spacing w:line="360" w:lineRule="auto"/>
        <w:rPr>
          <w:rFonts w:ascii="宋体" w:hAnsi="宋体" w:cs="宋体"/>
          <w:b/>
          <w:bCs/>
          <w:sz w:val="24"/>
        </w:rPr>
      </w:pPr>
      <w:bookmarkStart w:id="10" w:name="_Toc28359003"/>
      <w:bookmarkStart w:id="11" w:name="_Toc35393622"/>
      <w:bookmarkStart w:id="12" w:name="_Toc35393791"/>
      <w:bookmarkStart w:id="13" w:name="_Toc28359080"/>
      <w:r>
        <w:rPr>
          <w:rFonts w:hint="eastAsia" w:ascii="宋体" w:hAnsi="宋体" w:cs="宋体"/>
          <w:b/>
          <w:bCs/>
          <w:sz w:val="24"/>
        </w:rPr>
        <w:t>二、投标人的资格要求：</w:t>
      </w:r>
      <w:bookmarkEnd w:id="10"/>
      <w:bookmarkEnd w:id="11"/>
      <w:bookmarkEnd w:id="12"/>
      <w:bookmarkEnd w:id="13"/>
    </w:p>
    <w:p w14:paraId="01732B9C">
      <w:pPr>
        <w:spacing w:line="360" w:lineRule="auto"/>
        <w:ind w:firstLine="420" w:firstLineChars="200"/>
        <w:rPr>
          <w:rFonts w:ascii="宋体" w:hAnsi="宋体" w:cs="宋体"/>
          <w:szCs w:val="21"/>
        </w:rPr>
      </w:pPr>
      <w:r>
        <w:rPr>
          <w:rFonts w:hint="eastAsia" w:ascii="宋体" w:hAnsi="宋体" w:cs="宋体"/>
          <w:szCs w:val="21"/>
        </w:rPr>
        <w:t>1.满足《中华人民共和国政府采购法》第二十二条规定；</w:t>
      </w:r>
    </w:p>
    <w:p w14:paraId="3A5CBBEA">
      <w:pPr>
        <w:spacing w:line="360" w:lineRule="auto"/>
        <w:ind w:firstLine="420" w:firstLineChars="200"/>
        <w:rPr>
          <w:rFonts w:ascii="宋体" w:hAnsi="宋体" w:cs="宋体"/>
          <w:szCs w:val="21"/>
        </w:rPr>
      </w:pPr>
      <w:bookmarkStart w:id="14" w:name="_Toc28359004"/>
      <w:bookmarkStart w:id="15" w:name="_Toc28359081"/>
      <w:r>
        <w:rPr>
          <w:rFonts w:hint="eastAsia" w:ascii="宋体" w:hAnsi="宋体" w:cs="宋体"/>
          <w:szCs w:val="21"/>
        </w:rPr>
        <w:t>2.落实政府采购政策需满足的资格要求。</w:t>
      </w:r>
    </w:p>
    <w:p w14:paraId="12A1DB5A">
      <w:pPr>
        <w:spacing w:line="360" w:lineRule="auto"/>
        <w:ind w:firstLine="420" w:firstLineChars="200"/>
        <w:rPr>
          <w:rFonts w:ascii="宋体" w:hAnsi="宋体" w:cs="宋体"/>
          <w:szCs w:val="21"/>
        </w:rPr>
      </w:pPr>
      <w:r>
        <w:rPr>
          <w:rFonts w:hint="eastAsia" w:ascii="宋体" w:hAnsi="宋体" w:cs="宋体"/>
          <w:szCs w:val="21"/>
        </w:rPr>
        <w:t>□专门面向中小企业采购的项目（供应商应为中小微企业、监狱企业、残疾人福利性单位）</w:t>
      </w:r>
    </w:p>
    <w:p w14:paraId="6668B461">
      <w:pPr>
        <w:spacing w:line="360" w:lineRule="auto"/>
        <w:ind w:firstLine="422" w:firstLineChars="200"/>
        <w:rPr>
          <w:rFonts w:ascii="宋体" w:hAnsi="宋体" w:cs="宋体"/>
          <w:b/>
          <w:bCs/>
          <w:szCs w:val="21"/>
        </w:rPr>
      </w:pPr>
      <w:r>
        <w:rPr>
          <w:rFonts w:hint="eastAsia" w:ascii="宋体" w:hAnsi="宋体" w:cs="宋体"/>
          <w:b/>
          <w:bCs/>
          <w:szCs w:val="21"/>
        </w:rPr>
        <w:t>☑非专门面向中小企业采购的项目</w:t>
      </w:r>
    </w:p>
    <w:p w14:paraId="59DCDF47">
      <w:pPr>
        <w:spacing w:line="360" w:lineRule="auto"/>
        <w:ind w:firstLine="840" w:firstLineChars="400"/>
        <w:rPr>
          <w:rFonts w:ascii="宋体" w:hAnsi="宋体" w:cs="宋体"/>
          <w:color w:val="000000"/>
          <w:szCs w:val="21"/>
          <w:u w:val="single"/>
        </w:rPr>
      </w:pPr>
      <w:r>
        <w:rPr>
          <w:rFonts w:hint="eastAsia" w:ascii="宋体" w:hAnsi="宋体"/>
          <w:color w:val="000000"/>
          <w:szCs w:val="21"/>
        </w:rPr>
        <w:t>A分标(1分标)</w:t>
      </w:r>
      <w:r>
        <w:rPr>
          <w:rFonts w:hint="eastAsia" w:ascii="宋体" w:hAnsi="宋体" w:cs="宋体"/>
          <w:szCs w:val="21"/>
        </w:rPr>
        <w:t>特定资格要求：</w:t>
      </w:r>
      <w:r>
        <w:rPr>
          <w:rFonts w:hint="eastAsia" w:ascii="宋体" w:hAnsi="宋体" w:cs="宋体"/>
          <w:szCs w:val="21"/>
          <w:u w:val="single"/>
        </w:rPr>
        <w:t xml:space="preserve">无 </w:t>
      </w:r>
    </w:p>
    <w:p w14:paraId="096E922B">
      <w:pPr>
        <w:pStyle w:val="9"/>
        <w:ind w:left="3570" w:leftChars="400" w:hanging="2730" w:hangingChars="1300"/>
      </w:pPr>
      <w:r>
        <w:rPr>
          <w:rFonts w:hint="eastAsia" w:ascii="宋体" w:hAnsi="宋体"/>
          <w:color w:val="000000"/>
          <w:szCs w:val="21"/>
        </w:rPr>
        <w:t>B分标(2分标)</w:t>
      </w:r>
      <w:r>
        <w:rPr>
          <w:rFonts w:hint="eastAsia" w:ascii="宋体" w:hAnsi="宋体" w:cs="宋体"/>
          <w:szCs w:val="21"/>
        </w:rPr>
        <w:t>特定资格要求：</w:t>
      </w:r>
      <w:r>
        <w:rPr>
          <w:rFonts w:hint="eastAsia" w:ascii="宋体" w:hAnsi="宋体" w:cs="宋体"/>
          <w:szCs w:val="21"/>
          <w:u w:val="single"/>
        </w:rPr>
        <w:t>投标人必须具有新闻出版管理部门颁发有效的《中华人民共和国出版物发行许可证》或《中华人民共和国出版物经营许可证》。</w:t>
      </w:r>
    </w:p>
    <w:p w14:paraId="71EA3A42">
      <w:pPr>
        <w:spacing w:line="360" w:lineRule="auto"/>
        <w:ind w:firstLine="840" w:firstLineChars="400"/>
        <w:rPr>
          <w:rFonts w:ascii="宋体" w:hAnsi="宋体" w:cs="宋体"/>
          <w:szCs w:val="21"/>
        </w:rPr>
      </w:pPr>
      <w:r>
        <w:rPr>
          <w:rFonts w:hint="eastAsia" w:ascii="宋体" w:hAnsi="宋体"/>
          <w:color w:val="000000"/>
          <w:szCs w:val="21"/>
        </w:rPr>
        <w:t>C分标(3分标)</w:t>
      </w:r>
      <w:r>
        <w:rPr>
          <w:rFonts w:hint="eastAsia" w:ascii="宋体" w:hAnsi="宋体" w:cs="宋体"/>
          <w:szCs w:val="21"/>
        </w:rPr>
        <w:t>特定资格要求：</w:t>
      </w:r>
      <w:r>
        <w:rPr>
          <w:rFonts w:hint="eastAsia" w:ascii="宋体" w:hAnsi="宋体" w:cs="宋体"/>
          <w:szCs w:val="21"/>
          <w:u w:val="single"/>
        </w:rPr>
        <w:t>无。</w:t>
      </w:r>
    </w:p>
    <w:p w14:paraId="41C9F07C">
      <w:pPr>
        <w:spacing w:line="360" w:lineRule="auto"/>
        <w:ind w:firstLine="420" w:firstLineChars="200"/>
        <w:rPr>
          <w:rFonts w:ascii="宋体" w:hAnsi="宋体" w:cs="宋体"/>
          <w:szCs w:val="21"/>
        </w:rPr>
      </w:pPr>
      <w:r>
        <w:rPr>
          <w:rFonts w:hint="eastAsia" w:ascii="宋体" w:hAnsi="宋体" w:cs="宋体"/>
          <w:szCs w:val="21"/>
        </w:rPr>
        <w:t>4.本项目的特定条件：</w:t>
      </w:r>
      <w:r>
        <w:rPr>
          <w:rFonts w:hint="eastAsia" w:ascii="宋体" w:hAnsi="宋体" w:cs="宋体"/>
          <w:szCs w:val="21"/>
          <w:u w:val="single"/>
        </w:rPr>
        <w:t xml:space="preserve">无 </w:t>
      </w:r>
      <w:r>
        <w:rPr>
          <w:rFonts w:hint="eastAsia" w:ascii="宋体" w:hAnsi="宋体" w:cs="宋体"/>
          <w:szCs w:val="21"/>
        </w:rPr>
        <w:t>。</w:t>
      </w:r>
    </w:p>
    <w:p w14:paraId="7B1B9E48">
      <w:pPr>
        <w:snapToGrid w:val="0"/>
        <w:spacing w:line="360" w:lineRule="auto"/>
        <w:ind w:firstLine="420"/>
        <w:jc w:val="left"/>
        <w:rPr>
          <w:rFonts w:ascii="宋体" w:hAnsi="宋体" w:cs="宋体"/>
          <w:szCs w:val="21"/>
        </w:rPr>
      </w:pPr>
      <w:r>
        <w:rPr>
          <w:rFonts w:hint="eastAsia" w:ascii="宋体" w:hAnsi="宋体" w:cs="宋体"/>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D943D2B">
      <w:pPr>
        <w:spacing w:line="360" w:lineRule="auto"/>
        <w:ind w:firstLine="420" w:firstLineChars="200"/>
        <w:rPr>
          <w:rFonts w:ascii="宋体" w:hAnsi="宋体" w:cs="宋体"/>
          <w:szCs w:val="21"/>
        </w:rPr>
      </w:pPr>
      <w:r>
        <w:rPr>
          <w:rFonts w:hint="eastAsia" w:ascii="宋体" w:hAnsi="宋体" w:cs="宋体"/>
          <w:szCs w:val="21"/>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AFB9520">
      <w:pPr>
        <w:spacing w:line="360" w:lineRule="auto"/>
        <w:rPr>
          <w:rFonts w:ascii="宋体" w:hAnsi="宋体" w:cs="宋体"/>
          <w:b/>
          <w:bCs/>
          <w:sz w:val="24"/>
        </w:rPr>
      </w:pPr>
      <w:bookmarkStart w:id="16" w:name="_Toc35393792"/>
      <w:bookmarkStart w:id="17" w:name="_Toc35393623"/>
      <w:r>
        <w:rPr>
          <w:rFonts w:hint="eastAsia" w:ascii="宋体" w:hAnsi="宋体" w:cs="宋体"/>
          <w:b/>
          <w:bCs/>
          <w:sz w:val="24"/>
        </w:rPr>
        <w:t>三、获取招标文件</w:t>
      </w:r>
      <w:bookmarkEnd w:id="14"/>
      <w:bookmarkEnd w:id="15"/>
      <w:bookmarkEnd w:id="16"/>
      <w:bookmarkEnd w:id="17"/>
    </w:p>
    <w:p w14:paraId="5094EC3A">
      <w:pPr>
        <w:snapToGrid w:val="0"/>
        <w:spacing w:line="360" w:lineRule="auto"/>
        <w:ind w:firstLine="472" w:firstLineChars="225"/>
        <w:rPr>
          <w:rFonts w:ascii="宋体" w:hAnsi="宋体" w:cs="宋体"/>
          <w:szCs w:val="21"/>
        </w:rPr>
      </w:pPr>
      <w:bookmarkStart w:id="18" w:name="_Toc28359005"/>
      <w:bookmarkStart w:id="19" w:name="_Toc28359082"/>
      <w:bookmarkStart w:id="20" w:name="_Toc35393624"/>
      <w:bookmarkStart w:id="21" w:name="_Toc35393793"/>
      <w:r>
        <w:rPr>
          <w:rFonts w:hint="eastAsia" w:ascii="宋体" w:hAnsi="宋体" w:cs="宋体"/>
          <w:szCs w:val="21"/>
        </w:rPr>
        <w:t>时间：自公告发布之日起。</w:t>
      </w:r>
    </w:p>
    <w:p w14:paraId="7C3753CB">
      <w:pPr>
        <w:spacing w:line="360" w:lineRule="auto"/>
        <w:ind w:firstLine="420" w:firstLineChars="200"/>
        <w:rPr>
          <w:rFonts w:ascii="黑体" w:hAnsi="黑体" w:eastAsia="黑体"/>
          <w:b/>
          <w:bCs/>
          <w:color w:val="000000"/>
          <w:sz w:val="24"/>
        </w:rPr>
      </w:pPr>
      <w:r>
        <w:rPr>
          <w:rFonts w:hint="eastAsia" w:ascii="宋体" w:hAnsi="宋体"/>
          <w:color w:val="000000"/>
          <w:szCs w:val="21"/>
        </w:rPr>
        <w:t>获取方式:网上下载。本项目不发放纸质文件，供应商可自行在</w:t>
      </w:r>
      <w:r>
        <w:fldChar w:fldCharType="begin"/>
      </w:r>
      <w:r>
        <w:instrText xml:space="preserve"> HYPERLINK </w:instrText>
      </w:r>
      <w:r>
        <w:fldChar w:fldCharType="separate"/>
      </w:r>
      <w:r>
        <w:fldChar w:fldCharType="end"/>
      </w:r>
      <w:r>
        <w:rPr>
          <w:rFonts w:hint="eastAsia" w:ascii="宋体" w:hAnsi="宋体"/>
          <w:color w:val="000000"/>
          <w:szCs w:val="21"/>
        </w:rPr>
        <w:t>“广西政府采购云”平台（</w:t>
      </w:r>
      <w:r>
        <w:rPr>
          <w:rFonts w:hint="eastAsia" w:ascii="仿宋_GB2312" w:hAnsi="仿宋" w:eastAsia="仿宋_GB2312"/>
          <w:snapToGrid w:val="0"/>
        </w:rPr>
        <w:t>https://www.gcy.zfcg.gxzf.gov.cn/</w:t>
      </w:r>
      <w:r>
        <w:rPr>
          <w:rFonts w:hint="eastAsia" w:ascii="宋体" w:hAnsi="宋体"/>
          <w:color w:val="000000"/>
          <w:szCs w:val="21"/>
        </w:rPr>
        <w:t>）下载招标文件（操作路径：登录“广西政府采购云”平台-项目采购-获取采购文件-找到本项目-点击“申请获取采购文件”），电子投标文件制作需要基于“广西政府采购云”平台（</w:t>
      </w:r>
      <w:r>
        <w:rPr>
          <w:rFonts w:hint="eastAsia" w:ascii="仿宋_GB2312" w:hAnsi="仿宋" w:eastAsia="仿宋_GB2312"/>
          <w:snapToGrid w:val="0"/>
        </w:rPr>
        <w:t>https://www.gcy.zfcg.gxzf.gov.cn/</w:t>
      </w:r>
      <w:r>
        <w:rPr>
          <w:rFonts w:hint="eastAsia" w:ascii="宋体" w:hAnsi="宋体"/>
          <w:color w:val="000000"/>
          <w:szCs w:val="21"/>
        </w:rPr>
        <w:t>）获取的招标文件编制。</w:t>
      </w:r>
    </w:p>
    <w:p w14:paraId="71969412">
      <w:pPr>
        <w:spacing w:line="360" w:lineRule="auto"/>
        <w:rPr>
          <w:rFonts w:ascii="宋体" w:hAnsi="宋体" w:cs="宋体"/>
          <w:b/>
          <w:bCs/>
          <w:sz w:val="24"/>
        </w:rPr>
      </w:pPr>
      <w:r>
        <w:rPr>
          <w:rFonts w:hint="eastAsia" w:ascii="宋体" w:hAnsi="宋体" w:cs="宋体"/>
          <w:b/>
          <w:bCs/>
          <w:sz w:val="24"/>
        </w:rPr>
        <w:t>四、提交投标文件</w:t>
      </w:r>
      <w:bookmarkEnd w:id="18"/>
      <w:bookmarkEnd w:id="19"/>
      <w:r>
        <w:rPr>
          <w:rFonts w:hint="eastAsia" w:ascii="宋体" w:hAnsi="宋体" w:cs="宋体"/>
          <w:b/>
          <w:bCs/>
          <w:sz w:val="24"/>
        </w:rPr>
        <w:t>截止时间、开标时间和地点</w:t>
      </w:r>
      <w:bookmarkEnd w:id="20"/>
      <w:bookmarkEnd w:id="21"/>
    </w:p>
    <w:p w14:paraId="38BB6429">
      <w:pPr>
        <w:spacing w:line="360" w:lineRule="auto"/>
        <w:ind w:firstLine="420" w:firstLineChars="200"/>
        <w:rPr>
          <w:rFonts w:ascii="宋体" w:hAnsi="宋体" w:cs="宋体"/>
          <w:szCs w:val="21"/>
          <w:u w:val="single"/>
        </w:rPr>
      </w:pPr>
      <w:r>
        <w:rPr>
          <w:rFonts w:hint="eastAsia" w:ascii="宋体" w:hAnsi="宋体" w:cs="宋体"/>
          <w:bCs/>
          <w:szCs w:val="21"/>
        </w:rPr>
        <w:t>1、提交投标文件截止时间和开标时间</w:t>
      </w:r>
      <w:r>
        <w:rPr>
          <w:rFonts w:hint="eastAsia" w:ascii="宋体" w:hAnsi="宋体" w:cs="宋体"/>
          <w:bCs/>
          <w:szCs w:val="21"/>
          <w:highlight w:val="yellow"/>
        </w:rPr>
        <w:t>：</w:t>
      </w:r>
      <w:r>
        <w:rPr>
          <w:rFonts w:hint="eastAsia" w:ascii="宋体" w:hAnsi="宋体" w:cs="宋体"/>
          <w:bCs/>
          <w:color w:val="0000FF"/>
          <w:szCs w:val="21"/>
          <w:highlight w:val="yellow"/>
          <w:u w:val="single"/>
        </w:rPr>
        <w:t xml:space="preserve">2025年 </w:t>
      </w:r>
      <w:r>
        <w:rPr>
          <w:rFonts w:hint="eastAsia" w:ascii="宋体" w:hAnsi="宋体" w:cs="宋体"/>
          <w:bCs/>
          <w:color w:val="0000FF"/>
          <w:szCs w:val="21"/>
          <w:highlight w:val="yellow"/>
          <w:u w:val="single"/>
          <w:lang w:val="en-US" w:eastAsia="zh-CN"/>
        </w:rPr>
        <w:t>6</w:t>
      </w:r>
      <w:r>
        <w:rPr>
          <w:rFonts w:hint="eastAsia" w:ascii="宋体" w:hAnsi="宋体" w:cs="宋体"/>
          <w:bCs/>
          <w:color w:val="0000FF"/>
          <w:szCs w:val="21"/>
          <w:highlight w:val="yellow"/>
          <w:u w:val="single"/>
        </w:rPr>
        <w:t xml:space="preserve">  月</w:t>
      </w:r>
      <w:r>
        <w:rPr>
          <w:rFonts w:ascii="宋体" w:hAnsi="宋体" w:cs="宋体"/>
          <w:bCs/>
          <w:color w:val="0000FF"/>
          <w:szCs w:val="21"/>
          <w:highlight w:val="yellow"/>
          <w:u w:val="single"/>
        </w:rPr>
        <w:t xml:space="preserve"> </w:t>
      </w:r>
      <w:r>
        <w:rPr>
          <w:rFonts w:hint="eastAsia" w:ascii="宋体" w:hAnsi="宋体" w:cs="宋体"/>
          <w:bCs/>
          <w:color w:val="0000FF"/>
          <w:szCs w:val="21"/>
          <w:highlight w:val="yellow"/>
          <w:u w:val="single"/>
        </w:rPr>
        <w:t xml:space="preserve"> </w:t>
      </w:r>
      <w:r>
        <w:rPr>
          <w:rFonts w:hint="eastAsia" w:ascii="宋体" w:hAnsi="宋体" w:cs="宋体"/>
          <w:bCs/>
          <w:color w:val="0000FF"/>
          <w:szCs w:val="21"/>
          <w:highlight w:val="yellow"/>
          <w:u w:val="single"/>
          <w:lang w:val="en-US" w:eastAsia="zh-CN"/>
        </w:rPr>
        <w:t>11</w:t>
      </w:r>
      <w:r>
        <w:rPr>
          <w:rFonts w:hint="eastAsia" w:ascii="宋体" w:hAnsi="宋体" w:cs="宋体"/>
          <w:bCs/>
          <w:color w:val="0000FF"/>
          <w:szCs w:val="21"/>
          <w:highlight w:val="yellow"/>
          <w:u w:val="single"/>
        </w:rPr>
        <w:t xml:space="preserve">  日</w:t>
      </w:r>
      <w:r>
        <w:rPr>
          <w:rFonts w:ascii="宋体" w:hAnsi="宋体" w:cs="宋体"/>
          <w:bCs/>
          <w:color w:val="0000FF"/>
          <w:szCs w:val="21"/>
          <w:highlight w:val="yellow"/>
          <w:u w:val="single"/>
        </w:rPr>
        <w:t xml:space="preserve"> </w:t>
      </w:r>
      <w:r>
        <w:rPr>
          <w:rFonts w:hint="eastAsia" w:ascii="宋体" w:hAnsi="宋体" w:cs="宋体"/>
          <w:bCs/>
          <w:color w:val="0000FF"/>
          <w:szCs w:val="21"/>
          <w:highlight w:val="yellow"/>
          <w:u w:val="single"/>
        </w:rPr>
        <w:t>9点</w:t>
      </w:r>
      <w:r>
        <w:rPr>
          <w:rFonts w:ascii="宋体" w:hAnsi="宋体" w:cs="宋体"/>
          <w:bCs/>
          <w:color w:val="0000FF"/>
          <w:szCs w:val="21"/>
          <w:highlight w:val="yellow"/>
          <w:u w:val="single"/>
        </w:rPr>
        <w:t xml:space="preserve"> </w:t>
      </w:r>
      <w:r>
        <w:rPr>
          <w:rFonts w:hint="eastAsia" w:ascii="宋体" w:hAnsi="宋体" w:cs="宋体"/>
          <w:bCs/>
          <w:color w:val="0000FF"/>
          <w:szCs w:val="21"/>
          <w:highlight w:val="yellow"/>
          <w:u w:val="single"/>
        </w:rPr>
        <w:t>30分</w:t>
      </w:r>
      <w:r>
        <w:rPr>
          <w:rFonts w:hint="eastAsia" w:ascii="宋体" w:hAnsi="宋体" w:cs="宋体"/>
          <w:bCs/>
          <w:szCs w:val="21"/>
          <w:highlight w:val="yellow"/>
        </w:rPr>
        <w:t>（北京时间）</w:t>
      </w:r>
    </w:p>
    <w:p w14:paraId="07FE48D9">
      <w:pPr>
        <w:spacing w:line="360" w:lineRule="auto"/>
        <w:ind w:firstLine="420" w:firstLineChars="200"/>
        <w:rPr>
          <w:rFonts w:ascii="宋体" w:hAnsi="宋体" w:cs="宋体"/>
          <w:szCs w:val="21"/>
        </w:rPr>
      </w:pPr>
      <w:r>
        <w:rPr>
          <w:rFonts w:hint="eastAsia" w:ascii="宋体" w:hAnsi="宋体" w:cs="宋体"/>
          <w:szCs w:val="21"/>
        </w:rPr>
        <w:t>2、投标和开标地点：</w:t>
      </w:r>
    </w:p>
    <w:p w14:paraId="413D590A">
      <w:pPr>
        <w:spacing w:line="360" w:lineRule="auto"/>
        <w:rPr>
          <w:rFonts w:ascii="宋体" w:hAnsi="宋体" w:cs="宋体"/>
          <w:szCs w:val="21"/>
        </w:rPr>
      </w:pPr>
      <w:bookmarkStart w:id="22" w:name="_Toc35393625"/>
      <w:bookmarkStart w:id="23" w:name="_Toc28359084"/>
      <w:bookmarkStart w:id="24" w:name="_Toc28359007"/>
      <w:bookmarkStart w:id="25" w:name="_Toc35393794"/>
      <w:r>
        <w:rPr>
          <w:rFonts w:hint="eastAsia" w:ascii="宋体" w:hAnsi="宋体" w:cs="宋体"/>
          <w:szCs w:val="21"/>
        </w:rPr>
        <w:t>（1）投标文件提交方式：本项目为南宁市全流程电子化项目，通过“广西政府采购云”平台（https://www.gcy.zfcg.gxzf.gov.cn/）实行在线电子投标，供应商应先安装“广西政府采购云电子交易客户端”（请自行前往“广西政府采购云”平台进行下载），并按照本项目招标文件和“广西政府采购云”平台的要求编制、加密后在投标截止时间前通过网络上传至南宁市“广西政府采购云”平台，供应商在“广西政府采购云”平台提交电子版投标文件时，请填写参加远程开标活动经办人联系方式，电子投标具体操作流程详见本公告附件2。</w:t>
      </w:r>
    </w:p>
    <w:p w14:paraId="698DB4EA">
      <w:pPr>
        <w:spacing w:line="360" w:lineRule="auto"/>
        <w:rPr>
          <w:rFonts w:ascii="宋体" w:hAnsi="宋体" w:cs="宋体"/>
          <w:szCs w:val="21"/>
        </w:rPr>
      </w:pPr>
      <w:r>
        <w:rPr>
          <w:rFonts w:hint="eastAsia" w:ascii="宋体" w:hAnsi="宋体" w:cs="宋体"/>
          <w:szCs w:val="21"/>
        </w:rPr>
        <w:t>（2）未进行网上注册并办理数字证书（CA认证）的供应商将无法参与本项目政府采购活动，潜在供应商应当在投标截止时间前，完成电子交易平台上的CA数字证书办理（申领流程见本公告附件1）及投标文件的提交。完成CA数字证书办理预计7日左右，投标人只需办理其中一家CA数字证书及签章，建议各投标人抓紧时间办理。</w:t>
      </w:r>
    </w:p>
    <w:p w14:paraId="7C625E81">
      <w:pPr>
        <w:spacing w:line="360" w:lineRule="auto"/>
        <w:rPr>
          <w:rFonts w:ascii="宋体" w:hAnsi="宋体" w:cs="宋体"/>
          <w:szCs w:val="21"/>
        </w:rPr>
      </w:pPr>
      <w:r>
        <w:rPr>
          <w:rFonts w:hint="eastAsia" w:ascii="宋体" w:hAnsi="宋体" w:cs="宋体"/>
          <w:szCs w:val="21"/>
        </w:rPr>
        <w:t>（3）为确保网上操作合法、有效和安全，请投标供应商确保在电子投标过程中能够对相关数据电文进行加密和使用电子签章，妥善保管CA数字证书并使用有效的CA数字证书参与整个招标活动。</w:t>
      </w:r>
    </w:p>
    <w:p w14:paraId="64D07179">
      <w:pPr>
        <w:spacing w:line="360" w:lineRule="auto"/>
        <w:rPr>
          <w:rFonts w:ascii="宋体" w:hAnsi="宋体" w:cs="宋体"/>
          <w:szCs w:val="21"/>
        </w:rPr>
      </w:pPr>
      <w:r>
        <w:rPr>
          <w:rFonts w:hint="eastAsia" w:ascii="宋体" w:hAnsi="宋体" w:cs="宋体"/>
          <w:szCs w:val="21"/>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2B9E1D7A">
      <w:pPr>
        <w:spacing w:line="360" w:lineRule="auto"/>
        <w:rPr>
          <w:rFonts w:ascii="宋体" w:hAnsi="宋体" w:cs="宋体"/>
          <w:szCs w:val="21"/>
        </w:rPr>
      </w:pPr>
      <w:r>
        <w:rPr>
          <w:rFonts w:hint="eastAsia" w:ascii="宋体" w:hAnsi="宋体" w:cs="宋体"/>
          <w:szCs w:val="21"/>
        </w:rPr>
        <w:t>（4）开标地点：本次招标将于</w:t>
      </w:r>
      <w:r>
        <w:rPr>
          <w:rFonts w:hint="eastAsia" w:ascii="宋体" w:hAnsi="宋体" w:cs="宋体"/>
          <w:color w:val="FF0000"/>
          <w:szCs w:val="21"/>
          <w:highlight w:val="yellow"/>
          <w:u w:val="single"/>
        </w:rPr>
        <w:t xml:space="preserve">2025年 </w:t>
      </w:r>
      <w:r>
        <w:rPr>
          <w:rFonts w:hint="eastAsia" w:ascii="宋体" w:hAnsi="宋体" w:cs="宋体"/>
          <w:color w:val="FF0000"/>
          <w:szCs w:val="21"/>
          <w:highlight w:val="yellow"/>
          <w:u w:val="single"/>
          <w:lang w:val="en-US" w:eastAsia="zh-CN"/>
        </w:rPr>
        <w:t>6</w:t>
      </w:r>
      <w:r>
        <w:rPr>
          <w:rFonts w:hint="eastAsia" w:ascii="宋体" w:hAnsi="宋体" w:cs="宋体"/>
          <w:color w:val="FF0000"/>
          <w:szCs w:val="21"/>
          <w:highlight w:val="yellow"/>
          <w:u w:val="single"/>
        </w:rPr>
        <w:t xml:space="preserve"> 月 </w:t>
      </w:r>
      <w:r>
        <w:rPr>
          <w:rFonts w:hint="eastAsia" w:ascii="宋体" w:hAnsi="宋体" w:cs="宋体"/>
          <w:color w:val="FF0000"/>
          <w:szCs w:val="21"/>
          <w:highlight w:val="yellow"/>
          <w:u w:val="single"/>
          <w:lang w:val="en-US" w:eastAsia="zh-CN"/>
        </w:rPr>
        <w:t>11</w:t>
      </w:r>
      <w:r>
        <w:rPr>
          <w:rFonts w:hint="eastAsia" w:ascii="宋体" w:hAnsi="宋体" w:cs="宋体"/>
          <w:color w:val="FF0000"/>
          <w:szCs w:val="21"/>
          <w:highlight w:val="yellow"/>
          <w:u w:val="single"/>
        </w:rPr>
        <w:t xml:space="preserve"> 日9时30</w:t>
      </w:r>
      <w:r>
        <w:rPr>
          <w:rFonts w:hint="eastAsia" w:ascii="宋体" w:hAnsi="宋体" w:cs="宋体"/>
          <w:szCs w:val="21"/>
        </w:rPr>
        <w:t>分在“广西政府采购云”平台电子开标大厅开标。</w:t>
      </w:r>
    </w:p>
    <w:p w14:paraId="6BDDA816">
      <w:pPr>
        <w:spacing w:line="360" w:lineRule="auto"/>
        <w:rPr>
          <w:rFonts w:ascii="宋体" w:hAnsi="宋体" w:cs="宋体"/>
          <w:szCs w:val="21"/>
        </w:rPr>
      </w:pPr>
      <w:r>
        <w:rPr>
          <w:rFonts w:hint="eastAsia" w:ascii="宋体" w:hAnsi="宋体" w:cs="宋体"/>
          <w:szCs w:val="21"/>
        </w:rPr>
        <w:t>（5）CA证书在线解密：供应商投标时，需携带制作投标文件时用来加密的有效数字证书（CA认证）登录“广西政府采购云”平台电子开标大厅现场按规定时间对加密的投标文件进行解密，未能按要求进行解密的，由此产生的后果由投标人自行承担。</w:t>
      </w:r>
    </w:p>
    <w:p w14:paraId="31863ADF">
      <w:pPr>
        <w:spacing w:line="360" w:lineRule="auto"/>
        <w:rPr>
          <w:rFonts w:ascii="宋体" w:hAnsi="宋体" w:cs="宋体"/>
          <w:b/>
          <w:bCs/>
          <w:sz w:val="24"/>
        </w:rPr>
      </w:pPr>
      <w:r>
        <w:rPr>
          <w:rFonts w:hint="eastAsia" w:ascii="宋体" w:hAnsi="宋体" w:cs="宋体"/>
          <w:b/>
          <w:bCs/>
          <w:sz w:val="24"/>
        </w:rPr>
        <w:t>五、公告期限</w:t>
      </w:r>
      <w:bookmarkEnd w:id="22"/>
      <w:bookmarkEnd w:id="23"/>
      <w:bookmarkEnd w:id="24"/>
      <w:bookmarkEnd w:id="25"/>
    </w:p>
    <w:p w14:paraId="058D3FA0">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w:t>
      </w:r>
      <w:r>
        <w:rPr>
          <w:rFonts w:ascii="宋体" w:hAnsi="宋体" w:cs="宋体"/>
          <w:kern w:val="0"/>
          <w:szCs w:val="21"/>
        </w:rPr>
        <w:t xml:space="preserve"> </w:t>
      </w:r>
      <w:r>
        <w:rPr>
          <w:rFonts w:hint="eastAsia" w:ascii="宋体" w:hAnsi="宋体" w:cs="宋体"/>
          <w:kern w:val="0"/>
          <w:szCs w:val="21"/>
        </w:rPr>
        <w:t>个工作日。</w:t>
      </w:r>
    </w:p>
    <w:p w14:paraId="16CEA2F6">
      <w:pPr>
        <w:spacing w:line="360" w:lineRule="auto"/>
        <w:rPr>
          <w:rFonts w:ascii="宋体" w:hAnsi="宋体" w:cs="宋体"/>
          <w:b/>
          <w:bCs/>
          <w:sz w:val="24"/>
        </w:rPr>
      </w:pPr>
      <w:bookmarkStart w:id="26" w:name="_Toc35393795"/>
      <w:bookmarkStart w:id="27" w:name="_Toc35393626"/>
      <w:r>
        <w:rPr>
          <w:rFonts w:hint="eastAsia" w:ascii="宋体" w:hAnsi="宋体" w:cs="宋体"/>
          <w:b/>
          <w:bCs/>
          <w:sz w:val="24"/>
        </w:rPr>
        <w:t>六、其他补充事宜</w:t>
      </w:r>
      <w:bookmarkEnd w:id="26"/>
      <w:bookmarkEnd w:id="27"/>
    </w:p>
    <w:p w14:paraId="104E75F0">
      <w:pPr>
        <w:spacing w:line="360" w:lineRule="auto"/>
        <w:ind w:firstLine="315" w:firstLineChars="150"/>
        <w:rPr>
          <w:rFonts w:ascii="宋体" w:hAnsi="宋体" w:cs="宋体"/>
          <w:kern w:val="0"/>
          <w:szCs w:val="21"/>
        </w:rPr>
      </w:pPr>
      <w:r>
        <w:rPr>
          <w:rFonts w:hint="eastAsia" w:ascii="宋体" w:hAnsi="宋体" w:cs="宋体"/>
          <w:kern w:val="0"/>
          <w:szCs w:val="21"/>
        </w:rPr>
        <w:t>（一）投标保证金：本项目不收取投标保证金</w:t>
      </w:r>
    </w:p>
    <w:p w14:paraId="2D0F1F00">
      <w:pPr>
        <w:wordWrap w:val="0"/>
        <w:spacing w:line="360" w:lineRule="auto"/>
        <w:ind w:firstLine="315" w:firstLineChars="150"/>
        <w:jc w:val="left"/>
        <w:rPr>
          <w:rFonts w:hint="eastAsia" w:ascii="宋体" w:hAnsi="宋体" w:cs="宋体"/>
          <w:kern w:val="0"/>
          <w:szCs w:val="21"/>
          <w:u w:val="single"/>
        </w:rPr>
      </w:pPr>
      <w:r>
        <w:rPr>
          <w:rFonts w:hint="eastAsia" w:ascii="宋体" w:hAnsi="宋体" w:cs="宋体"/>
          <w:kern w:val="0"/>
          <w:szCs w:val="21"/>
        </w:rPr>
        <w:t>（二）采购意向公开链接：https://zfcg.gxzf.gov.cn/luban/detail?parentId=66601&amp;articleId=ann_sbghi28N6HkB/qR7O2X9KtD5ndTMr3NGt5TILBJnhQo=</w:t>
      </w:r>
    </w:p>
    <w:p w14:paraId="38252049">
      <w:pPr>
        <w:spacing w:line="360" w:lineRule="auto"/>
        <w:ind w:firstLine="315" w:firstLineChars="150"/>
        <w:rPr>
          <w:rFonts w:ascii="宋体" w:hAnsi="宋体" w:cs="宋体"/>
          <w:kern w:val="0"/>
          <w:szCs w:val="21"/>
        </w:rPr>
      </w:pPr>
      <w:bookmarkStart w:id="28" w:name="_Hlk37429585"/>
      <w:r>
        <w:rPr>
          <w:rFonts w:hint="eastAsia" w:ascii="宋体" w:hAnsi="宋体" w:cs="宋体"/>
          <w:szCs w:val="21"/>
        </w:rPr>
        <w:t xml:space="preserve">（三） </w:t>
      </w:r>
      <w:bookmarkStart w:id="29" w:name="_Hlk37429595"/>
      <w:r>
        <w:rPr>
          <w:rFonts w:hint="eastAsia" w:ascii="宋体" w:hAnsi="宋体" w:cs="宋体"/>
          <w:kern w:val="0"/>
          <w:szCs w:val="21"/>
        </w:rPr>
        <w:t>网上查询地址</w:t>
      </w:r>
    </w:p>
    <w:bookmarkEnd w:id="28"/>
    <w:bookmarkEnd w:id="29"/>
    <w:p w14:paraId="03546FD5">
      <w:pPr>
        <w:spacing w:line="360" w:lineRule="auto"/>
        <w:ind w:firstLine="420" w:firstLineChars="200"/>
        <w:rPr>
          <w:rFonts w:ascii="宋体" w:hAnsi="宋体" w:cs="宋体"/>
          <w:kern w:val="0"/>
          <w:szCs w:val="21"/>
        </w:rPr>
      </w:pPr>
      <w:bookmarkStart w:id="30" w:name="_Hlk37429674"/>
      <w:r>
        <w:rPr>
          <w:rFonts w:hint="eastAsia" w:ascii="宋体" w:hAnsi="宋体" w:cs="宋体"/>
          <w:kern w:val="0"/>
          <w:szCs w:val="21"/>
        </w:rPr>
        <w:t xml:space="preserve">http://www.ccgp.gov.cn（中国政府采购网）,http://zfcg.gxzf.gov.cn（广西政府采购网）, </w:t>
      </w:r>
      <w:r>
        <w:fldChar w:fldCharType="begin"/>
      </w:r>
      <w:r>
        <w:instrText xml:space="preserve"> HYPERLINK "http://ggzy.nanning.gov.cn/" </w:instrText>
      </w:r>
      <w:r>
        <w:fldChar w:fldCharType="separate"/>
      </w:r>
      <w:r>
        <w:rPr>
          <w:rStyle w:val="28"/>
          <w:rFonts w:hint="eastAsia" w:ascii="宋体" w:hAnsi="宋体" w:cs="宋体"/>
          <w:color w:val="auto"/>
          <w:kern w:val="0"/>
          <w:szCs w:val="21"/>
          <w:u w:val="none"/>
        </w:rPr>
        <w:t>http://ggzy.nanning.gov.cn/</w:t>
      </w:r>
      <w:r>
        <w:rPr>
          <w:rStyle w:val="28"/>
          <w:rFonts w:hint="eastAsia" w:ascii="宋体" w:hAnsi="宋体" w:cs="宋体"/>
          <w:color w:val="auto"/>
          <w:kern w:val="0"/>
          <w:szCs w:val="21"/>
          <w:u w:val="none"/>
        </w:rPr>
        <w:fldChar w:fldCharType="end"/>
      </w:r>
      <w:r>
        <w:rPr>
          <w:rFonts w:hint="eastAsia" w:ascii="宋体" w:hAnsi="宋体" w:cs="宋体"/>
          <w:kern w:val="0"/>
          <w:szCs w:val="21"/>
        </w:rPr>
        <w:t>（广西南宁市公共资源交易中心网站）</w:t>
      </w:r>
    </w:p>
    <w:p w14:paraId="5952F3A7">
      <w:pPr>
        <w:spacing w:line="360" w:lineRule="auto"/>
        <w:ind w:firstLine="315" w:firstLineChars="150"/>
        <w:rPr>
          <w:rFonts w:ascii="宋体" w:hAnsi="宋体" w:cs="宋体"/>
          <w:kern w:val="0"/>
          <w:szCs w:val="21"/>
        </w:rPr>
      </w:pPr>
      <w:r>
        <w:rPr>
          <w:rFonts w:hint="eastAsia" w:ascii="宋体" w:hAnsi="宋体" w:cs="宋体"/>
          <w:kern w:val="0"/>
          <w:szCs w:val="21"/>
        </w:rPr>
        <w:t>（四）本项目需要落实的政府采购政策：</w:t>
      </w:r>
    </w:p>
    <w:p w14:paraId="5E5A2D21">
      <w:pPr>
        <w:spacing w:line="360" w:lineRule="auto"/>
        <w:ind w:firstLine="420" w:firstLineChars="200"/>
        <w:rPr>
          <w:rFonts w:ascii="宋体" w:hAnsi="宋体" w:cs="宋体"/>
          <w:kern w:val="0"/>
          <w:szCs w:val="21"/>
        </w:rPr>
      </w:pPr>
      <w:r>
        <w:rPr>
          <w:rFonts w:hint="eastAsia" w:ascii="宋体" w:hAnsi="宋体" w:cs="宋体"/>
          <w:kern w:val="0"/>
          <w:szCs w:val="21"/>
        </w:rPr>
        <w:t>（1）政府采购促进中小企业发展。</w:t>
      </w:r>
    </w:p>
    <w:p w14:paraId="44822534">
      <w:pPr>
        <w:spacing w:line="360" w:lineRule="auto"/>
        <w:ind w:firstLine="420" w:firstLineChars="200"/>
        <w:rPr>
          <w:rFonts w:ascii="宋体" w:hAnsi="宋体" w:cs="宋体"/>
          <w:kern w:val="0"/>
          <w:szCs w:val="21"/>
        </w:rPr>
      </w:pPr>
      <w:r>
        <w:rPr>
          <w:rFonts w:hint="eastAsia" w:ascii="宋体" w:hAnsi="宋体" w:cs="宋体"/>
          <w:kern w:val="0"/>
          <w:szCs w:val="21"/>
        </w:rPr>
        <w:t>（2）政府采购支持采用本国产品的政策。</w:t>
      </w:r>
    </w:p>
    <w:p w14:paraId="4FDA0A0A">
      <w:pPr>
        <w:spacing w:line="360" w:lineRule="auto"/>
        <w:ind w:firstLine="420" w:firstLineChars="200"/>
        <w:rPr>
          <w:rFonts w:ascii="宋体" w:hAnsi="宋体" w:cs="宋体"/>
          <w:kern w:val="0"/>
          <w:szCs w:val="21"/>
        </w:rPr>
      </w:pPr>
      <w:r>
        <w:rPr>
          <w:rFonts w:hint="eastAsia" w:ascii="宋体" w:hAnsi="宋体" w:cs="宋体"/>
          <w:kern w:val="0"/>
          <w:szCs w:val="21"/>
        </w:rPr>
        <w:t>（3）强制采购节能产品；优先采购节能产品、环境标志产品。</w:t>
      </w:r>
    </w:p>
    <w:p w14:paraId="7AC00CC7">
      <w:pPr>
        <w:spacing w:line="360" w:lineRule="auto"/>
        <w:ind w:firstLine="420" w:firstLineChars="200"/>
        <w:rPr>
          <w:rFonts w:ascii="宋体" w:hAnsi="宋体" w:cs="宋体"/>
          <w:kern w:val="0"/>
          <w:szCs w:val="21"/>
        </w:rPr>
      </w:pPr>
      <w:r>
        <w:rPr>
          <w:rFonts w:hint="eastAsia" w:ascii="宋体" w:hAnsi="宋体" w:cs="宋体"/>
          <w:kern w:val="0"/>
          <w:szCs w:val="21"/>
        </w:rPr>
        <w:t>（4）政府采购促进残疾人就业政策。</w:t>
      </w:r>
    </w:p>
    <w:p w14:paraId="34B724C1">
      <w:pPr>
        <w:spacing w:line="360" w:lineRule="auto"/>
        <w:ind w:firstLine="420" w:firstLineChars="200"/>
        <w:rPr>
          <w:rFonts w:ascii="宋体" w:hAnsi="宋体" w:cs="宋体"/>
          <w:kern w:val="0"/>
          <w:szCs w:val="21"/>
        </w:rPr>
      </w:pPr>
      <w:r>
        <w:rPr>
          <w:rFonts w:hint="eastAsia" w:ascii="宋体" w:hAnsi="宋体" w:cs="宋体"/>
          <w:kern w:val="0"/>
          <w:szCs w:val="21"/>
        </w:rPr>
        <w:t>（5）政府采购支持监狱企业发展。</w:t>
      </w:r>
    </w:p>
    <w:bookmarkEnd w:id="30"/>
    <w:p w14:paraId="7109E0B1">
      <w:pPr>
        <w:spacing w:line="360" w:lineRule="auto"/>
        <w:ind w:firstLine="315" w:firstLineChars="150"/>
        <w:rPr>
          <w:rFonts w:ascii="宋体" w:hAnsi="宋体" w:cs="宋体"/>
          <w:kern w:val="0"/>
          <w:szCs w:val="21"/>
        </w:rPr>
      </w:pPr>
      <w:r>
        <w:rPr>
          <w:rFonts w:hint="eastAsia" w:ascii="宋体" w:hAnsi="宋体" w:cs="宋体"/>
          <w:kern w:val="0"/>
          <w:szCs w:val="21"/>
        </w:rPr>
        <w:t>（五）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22FDEBAD">
      <w:pPr>
        <w:spacing w:line="360" w:lineRule="auto"/>
        <w:ind w:firstLine="420" w:firstLineChars="200"/>
        <w:rPr>
          <w:rFonts w:ascii="宋体" w:hAnsi="宋体" w:cs="宋体"/>
          <w:kern w:val="0"/>
          <w:szCs w:val="21"/>
        </w:rPr>
      </w:pPr>
      <w:r>
        <w:rPr>
          <w:rFonts w:hint="eastAsia" w:ascii="宋体" w:hAnsi="宋体" w:cs="宋体"/>
          <w:kern w:val="0"/>
          <w:szCs w:val="21"/>
        </w:rPr>
        <w:t>（六）若对项目采购电子交易系统操作有疑问，可登录“广西政府采购云”平台（https://www.gcy.zfcg.gxzf.gov.cn/），点击右侧咨询小采，获取采小蜜智能服务管家帮助，或拨打广西政府采购云服务热线95763获取热线服务帮助。</w:t>
      </w:r>
    </w:p>
    <w:p w14:paraId="02470B9E">
      <w:pPr>
        <w:spacing w:line="360" w:lineRule="auto"/>
        <w:rPr>
          <w:rFonts w:ascii="宋体" w:hAnsi="宋体" w:cs="宋体"/>
          <w:b/>
          <w:bCs/>
          <w:sz w:val="24"/>
        </w:rPr>
      </w:pPr>
      <w:bookmarkStart w:id="31" w:name="_Toc28359008"/>
      <w:bookmarkStart w:id="32" w:name="_Toc35393796"/>
      <w:bookmarkStart w:id="33" w:name="_Toc35393627"/>
      <w:bookmarkStart w:id="34" w:name="_Toc28359085"/>
      <w:r>
        <w:rPr>
          <w:rFonts w:hint="eastAsia" w:ascii="宋体" w:hAnsi="宋体" w:cs="宋体"/>
          <w:b/>
          <w:bCs/>
          <w:sz w:val="24"/>
        </w:rPr>
        <w:t>七、对本次招标提出询问，请按以下方式联系。</w:t>
      </w:r>
      <w:bookmarkEnd w:id="31"/>
      <w:bookmarkEnd w:id="32"/>
      <w:bookmarkEnd w:id="33"/>
      <w:bookmarkEnd w:id="34"/>
    </w:p>
    <w:p w14:paraId="7A954F9D">
      <w:pPr>
        <w:spacing w:line="360" w:lineRule="auto"/>
        <w:jc w:val="left"/>
        <w:rPr>
          <w:rFonts w:ascii="宋体" w:hAnsi="宋体" w:cs="宋体"/>
          <w:szCs w:val="21"/>
        </w:rPr>
      </w:pPr>
      <w:r>
        <w:rPr>
          <w:rFonts w:hint="eastAsia" w:ascii="宋体" w:hAnsi="宋体" w:cs="宋体"/>
          <w:szCs w:val="21"/>
        </w:rPr>
        <w:t>　　　1.采购人信息</w:t>
      </w:r>
    </w:p>
    <w:p w14:paraId="4D1C221D">
      <w:pPr>
        <w:spacing w:line="360" w:lineRule="auto"/>
        <w:ind w:left="1041" w:leftChars="371" w:hanging="262" w:hangingChars="125"/>
        <w:jc w:val="left"/>
        <w:rPr>
          <w:rFonts w:ascii="宋体" w:hAnsi="宋体" w:cs="宋体"/>
          <w:szCs w:val="21"/>
          <w:u w:val="single"/>
        </w:rPr>
      </w:pPr>
      <w:r>
        <w:rPr>
          <w:rFonts w:hint="eastAsia" w:ascii="宋体" w:hAnsi="宋体" w:cs="宋体"/>
          <w:szCs w:val="21"/>
        </w:rPr>
        <w:t>名称：</w:t>
      </w:r>
      <w:r>
        <w:rPr>
          <w:rFonts w:hint="eastAsia" w:ascii="宋体" w:hAnsi="宋体" w:cs="宋体"/>
          <w:szCs w:val="21"/>
          <w:u w:val="single"/>
        </w:rPr>
        <w:t>隆安县教育局</w:t>
      </w:r>
    </w:p>
    <w:p w14:paraId="4B55887A">
      <w:pPr>
        <w:spacing w:line="360" w:lineRule="auto"/>
        <w:ind w:left="1041" w:leftChars="371" w:hanging="262" w:hangingChars="125"/>
        <w:jc w:val="left"/>
        <w:rPr>
          <w:rFonts w:ascii="宋体" w:hAnsi="宋体" w:cs="宋体"/>
          <w:szCs w:val="21"/>
        </w:rPr>
      </w:pPr>
      <w:r>
        <w:rPr>
          <w:rFonts w:hint="eastAsia" w:ascii="宋体" w:hAnsi="宋体" w:cs="宋体"/>
          <w:szCs w:val="21"/>
        </w:rPr>
        <w:t>地址：</w:t>
      </w:r>
      <w:r>
        <w:rPr>
          <w:rFonts w:hint="eastAsia" w:ascii="宋体" w:hAnsi="宋体" w:cs="宋体"/>
          <w:szCs w:val="21"/>
          <w:u w:val="single"/>
        </w:rPr>
        <w:t>隆安县城厢镇江滨路22号</w:t>
      </w:r>
    </w:p>
    <w:p w14:paraId="2B619746">
      <w:pPr>
        <w:pStyle w:val="12"/>
        <w:spacing w:line="360" w:lineRule="auto"/>
        <w:ind w:firstLine="735" w:firstLineChars="350"/>
        <w:rPr>
          <w:rFonts w:hAnsi="宋体" w:cs="宋体"/>
        </w:rPr>
      </w:pPr>
      <w:r>
        <w:rPr>
          <w:rFonts w:hint="eastAsia" w:hAnsi="宋体" w:cs="宋体"/>
        </w:rPr>
        <w:t>项目联系人：李老师</w:t>
      </w:r>
    </w:p>
    <w:p w14:paraId="59F521EF">
      <w:pPr>
        <w:spacing w:line="360" w:lineRule="auto"/>
        <w:ind w:left="1041" w:leftChars="371" w:hanging="262" w:hangingChars="125"/>
        <w:jc w:val="left"/>
        <w:rPr>
          <w:rFonts w:ascii="宋体" w:hAnsi="宋体" w:cs="宋体"/>
          <w:szCs w:val="21"/>
          <w:u w:val="single"/>
        </w:rPr>
      </w:pPr>
      <w:r>
        <w:rPr>
          <w:rFonts w:hint="eastAsia" w:ascii="宋体" w:hAnsi="宋体" w:cs="宋体"/>
          <w:szCs w:val="21"/>
        </w:rPr>
        <w:t>联系电话：</w:t>
      </w:r>
      <w:r>
        <w:rPr>
          <w:rFonts w:hint="eastAsia" w:ascii="宋体" w:hAnsi="宋体" w:cs="宋体"/>
          <w:szCs w:val="21"/>
          <w:u w:val="single"/>
        </w:rPr>
        <w:t>0771-6528701</w:t>
      </w:r>
    </w:p>
    <w:p w14:paraId="2C23AEEF">
      <w:pPr>
        <w:spacing w:line="360" w:lineRule="auto"/>
        <w:ind w:left="1041" w:leftChars="371" w:hanging="262" w:hangingChars="125"/>
        <w:jc w:val="left"/>
        <w:rPr>
          <w:rFonts w:ascii="宋体" w:hAnsi="宋体" w:cs="宋体"/>
          <w:szCs w:val="21"/>
        </w:rPr>
      </w:pPr>
      <w:r>
        <w:rPr>
          <w:rFonts w:hint="eastAsia" w:ascii="宋体" w:hAnsi="宋体" w:cs="宋体"/>
          <w:szCs w:val="21"/>
        </w:rPr>
        <w:t>2.采购代理机构信息</w:t>
      </w:r>
    </w:p>
    <w:p w14:paraId="6FFAC9E2">
      <w:pPr>
        <w:spacing w:line="360" w:lineRule="auto"/>
        <w:ind w:firstLine="735" w:firstLineChars="350"/>
        <w:rPr>
          <w:rFonts w:ascii="宋体" w:hAnsi="宋体" w:cs="宋体"/>
          <w:szCs w:val="21"/>
          <w:u w:val="single"/>
        </w:rPr>
      </w:pPr>
      <w:r>
        <w:rPr>
          <w:rFonts w:hint="eastAsia" w:ascii="宋体" w:hAnsi="宋体" w:cs="宋体"/>
          <w:szCs w:val="21"/>
        </w:rPr>
        <w:t>名 称：</w:t>
      </w:r>
      <w:r>
        <w:rPr>
          <w:rFonts w:hint="eastAsia" w:ascii="宋体" w:hAnsi="宋体" w:cs="宋体"/>
          <w:szCs w:val="21"/>
          <w:u w:val="single"/>
        </w:rPr>
        <w:t>隆安县政府集中采购中心</w:t>
      </w:r>
    </w:p>
    <w:p w14:paraId="031FD2C0">
      <w:pPr>
        <w:spacing w:line="360" w:lineRule="auto"/>
        <w:ind w:firstLine="735" w:firstLineChars="350"/>
        <w:rPr>
          <w:rFonts w:ascii="宋体" w:hAnsi="宋体" w:cs="宋体"/>
          <w:szCs w:val="21"/>
        </w:rPr>
      </w:pPr>
      <w:r>
        <w:rPr>
          <w:rFonts w:hint="eastAsia" w:ascii="宋体" w:hAnsi="宋体" w:cs="宋体"/>
          <w:szCs w:val="21"/>
        </w:rPr>
        <w:t>地　址：隆安县城厢镇城南路14号</w:t>
      </w:r>
    </w:p>
    <w:p w14:paraId="76E4B5BC">
      <w:pPr>
        <w:spacing w:line="360" w:lineRule="auto"/>
        <w:ind w:firstLine="735" w:firstLineChars="350"/>
        <w:rPr>
          <w:rFonts w:ascii="宋体" w:hAnsi="宋体" w:cs="宋体"/>
          <w:szCs w:val="21"/>
        </w:rPr>
      </w:pPr>
      <w:r>
        <w:rPr>
          <w:rFonts w:hint="eastAsia" w:ascii="宋体" w:hAnsi="宋体" w:cs="宋体"/>
          <w:szCs w:val="21"/>
        </w:rPr>
        <w:t>联系电话：</w:t>
      </w:r>
      <w:r>
        <w:rPr>
          <w:rFonts w:hint="eastAsia" w:ascii="宋体" w:hAnsi="宋体" w:cs="宋体"/>
          <w:szCs w:val="21"/>
          <w:u w:val="single"/>
        </w:rPr>
        <w:t>0771-6529585</w:t>
      </w:r>
    </w:p>
    <w:p w14:paraId="3F1CF106">
      <w:pPr>
        <w:spacing w:line="360" w:lineRule="auto"/>
        <w:ind w:firstLine="735" w:firstLineChars="350"/>
        <w:rPr>
          <w:rFonts w:ascii="宋体" w:hAnsi="宋体" w:cs="宋体"/>
          <w:szCs w:val="21"/>
        </w:rPr>
      </w:pPr>
      <w:r>
        <w:rPr>
          <w:rFonts w:hint="eastAsia" w:ascii="宋体" w:hAnsi="宋体" w:cs="宋体"/>
          <w:szCs w:val="21"/>
        </w:rPr>
        <w:t>3.项目联系方式</w:t>
      </w:r>
    </w:p>
    <w:p w14:paraId="54574A2C">
      <w:pPr>
        <w:spacing w:line="360" w:lineRule="auto"/>
        <w:ind w:firstLine="735" w:firstLineChars="350"/>
        <w:rPr>
          <w:rFonts w:ascii="宋体" w:hAnsi="宋体" w:cs="宋体"/>
          <w:szCs w:val="21"/>
        </w:rPr>
      </w:pPr>
      <w:r>
        <w:rPr>
          <w:rFonts w:hint="eastAsia" w:ascii="宋体" w:hAnsi="宋体" w:cs="宋体"/>
          <w:szCs w:val="21"/>
        </w:rPr>
        <w:t>项目联系人：</w:t>
      </w:r>
      <w:r>
        <w:rPr>
          <w:rFonts w:hint="eastAsia" w:ascii="宋体" w:hAnsi="宋体" w:cs="宋体"/>
          <w:szCs w:val="21"/>
          <w:u w:val="single"/>
        </w:rPr>
        <w:t xml:space="preserve">　隆工　 </w:t>
      </w:r>
    </w:p>
    <w:p w14:paraId="33C54F67">
      <w:pPr>
        <w:spacing w:line="360" w:lineRule="auto"/>
        <w:ind w:firstLine="735" w:firstLineChars="350"/>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0771-6529585  </w:t>
      </w:r>
    </w:p>
    <w:p w14:paraId="3383FEF5">
      <w:pPr>
        <w:spacing w:line="360" w:lineRule="auto"/>
        <w:rPr>
          <w:rFonts w:ascii="宋体" w:hAnsi="宋体" w:cs="宋体"/>
          <w:szCs w:val="21"/>
        </w:rPr>
      </w:pPr>
    </w:p>
    <w:p w14:paraId="69D8BCFE">
      <w:pPr>
        <w:pStyle w:val="8"/>
        <w:spacing w:line="360" w:lineRule="auto"/>
        <w:ind w:firstLine="420" w:firstLineChars="200"/>
        <w:rPr>
          <w:rFonts w:ascii="宋体" w:hAnsi="宋体" w:cs="宋体"/>
          <w:szCs w:val="21"/>
        </w:rPr>
      </w:pPr>
      <w:r>
        <w:rPr>
          <w:rFonts w:hint="eastAsia" w:ascii="宋体" w:hAnsi="宋体" w:cs="宋体"/>
          <w:szCs w:val="21"/>
        </w:rPr>
        <w:t xml:space="preserve">附件： </w:t>
      </w:r>
    </w:p>
    <w:p w14:paraId="3AD73AC2">
      <w:pPr>
        <w:pStyle w:val="8"/>
        <w:spacing w:line="360" w:lineRule="auto"/>
        <w:ind w:firstLine="420" w:firstLineChars="200"/>
        <w:rPr>
          <w:rFonts w:ascii="宋体" w:hAnsi="宋体" w:cs="宋体"/>
          <w:szCs w:val="21"/>
        </w:rPr>
      </w:pPr>
      <w:r>
        <w:rPr>
          <w:rFonts w:hint="eastAsia" w:ascii="宋体" w:hAnsi="宋体" w:cs="宋体"/>
          <w:szCs w:val="21"/>
        </w:rPr>
        <w:t>1.《采购需求》</w:t>
      </w:r>
    </w:p>
    <w:p w14:paraId="6DF60030">
      <w:pPr>
        <w:pStyle w:val="8"/>
        <w:spacing w:line="360" w:lineRule="auto"/>
        <w:ind w:firstLine="420" w:firstLineChars="200"/>
        <w:rPr>
          <w:rFonts w:ascii="宋体" w:hAnsi="宋体" w:cs="宋体"/>
        </w:rPr>
      </w:pPr>
      <w:r>
        <w:rPr>
          <w:rFonts w:hint="eastAsia" w:ascii="宋体" w:hAnsi="宋体" w:cs="宋体"/>
          <w:szCs w:val="21"/>
        </w:rPr>
        <w:t>2.CA证书申请方式及操作指南下载地址（现场申请方式见网址：</w:t>
      </w:r>
      <w:r>
        <w:fldChar w:fldCharType="begin"/>
      </w:r>
      <w:r>
        <w:instrText xml:space="preserve"> HYPERLINK "http://www.ccgp-guangxi.gov.cn/OfficeService/DownloadArea/8354055.html?utm=a0003.39a112b4.cmp001.d0002.f0464b20ff2a11eb873141bf9e381949" </w:instrText>
      </w:r>
      <w:r>
        <w:fldChar w:fldCharType="separate"/>
      </w:r>
      <w:r>
        <w:rPr>
          <w:rStyle w:val="28"/>
          <w:rFonts w:hint="eastAsia" w:ascii="宋体" w:hAnsi="宋体" w:cs="宋体"/>
          <w:color w:val="auto"/>
        </w:rPr>
        <w:t>http://www.ccgp-guangxi.gov.cn/OfficeService/DownloadArea/8354055.html?utm=a0003.39a112b4.cmp001.d0002.f0464b20ff2a11eb873141bf9e381949</w:t>
      </w:r>
      <w:r>
        <w:rPr>
          <w:rStyle w:val="28"/>
          <w:rFonts w:hint="eastAsia" w:ascii="宋体" w:hAnsi="宋体" w:cs="宋体"/>
          <w:color w:val="auto"/>
        </w:rPr>
        <w:fldChar w:fldCharType="end"/>
      </w:r>
      <w:r>
        <w:rPr>
          <w:rFonts w:hint="eastAsia" w:ascii="宋体" w:hAnsi="宋体" w:cs="宋体"/>
        </w:rPr>
        <w:t xml:space="preserve">（广西政府采购网）/网上申请方式见网址： </w:t>
      </w:r>
      <w:r>
        <w:fldChar w:fldCharType="begin"/>
      </w:r>
      <w:r>
        <w:instrText xml:space="preserve"> HYPERLINK "http://nncz.nanning.gov.cn/" </w:instrText>
      </w:r>
      <w:r>
        <w:fldChar w:fldCharType="separate"/>
      </w:r>
      <w:r>
        <w:rPr>
          <w:rStyle w:val="28"/>
          <w:rFonts w:hint="eastAsia" w:ascii="宋体" w:hAnsi="宋体" w:cs="宋体"/>
          <w:color w:val="auto"/>
        </w:rPr>
        <w:t>http://nncz.nanning.gov.cn/</w:t>
      </w:r>
      <w:r>
        <w:rPr>
          <w:rStyle w:val="28"/>
          <w:rFonts w:hint="eastAsia" w:ascii="宋体" w:hAnsi="宋体" w:cs="宋体"/>
          <w:color w:val="auto"/>
        </w:rPr>
        <w:fldChar w:fldCharType="end"/>
      </w:r>
      <w:r>
        <w:rPr>
          <w:rFonts w:hint="eastAsia" w:ascii="宋体" w:hAnsi="宋体" w:cs="宋体"/>
        </w:rPr>
        <w:t>（南宁市财政局官网）-下载专区-“广西政采云西部CA办理方式”或“南宁市政采云CA证书办理操作指南”</w:t>
      </w:r>
      <w:r>
        <w:rPr>
          <w:rFonts w:hint="eastAsia" w:ascii="宋体" w:hAnsi="宋体" w:cs="宋体"/>
          <w:szCs w:val="21"/>
        </w:rPr>
        <w:t>）</w:t>
      </w:r>
    </w:p>
    <w:p w14:paraId="117217DE">
      <w:pPr>
        <w:pStyle w:val="8"/>
        <w:spacing w:line="360" w:lineRule="auto"/>
        <w:ind w:firstLine="420" w:firstLineChars="200"/>
        <w:rPr>
          <w:rFonts w:ascii="宋体" w:hAnsi="宋体" w:cs="宋体"/>
          <w:szCs w:val="21"/>
        </w:rPr>
      </w:pPr>
      <w:r>
        <w:rPr>
          <w:rFonts w:hint="eastAsia" w:ascii="宋体" w:hAnsi="宋体" w:cs="宋体"/>
          <w:szCs w:val="21"/>
        </w:rPr>
        <w:t>3.电子投标文件制作与投送教程（在此网址下载：</w:t>
      </w:r>
      <w:r>
        <w:fldChar w:fldCharType="begin"/>
      </w:r>
      <w:r>
        <w:instrText xml:space="preserve"> HYPERLINK "http://nncz.nanning.gov.cn/" </w:instrText>
      </w:r>
      <w:r>
        <w:fldChar w:fldCharType="separate"/>
      </w:r>
      <w:r>
        <w:rPr>
          <w:rStyle w:val="28"/>
          <w:rFonts w:hint="eastAsia" w:ascii="宋体" w:hAnsi="宋体" w:cs="宋体"/>
          <w:color w:val="auto"/>
        </w:rPr>
        <w:t>http://nncz.nanning.gov.cn/</w:t>
      </w:r>
      <w:r>
        <w:rPr>
          <w:rStyle w:val="28"/>
          <w:rFonts w:hint="eastAsia" w:ascii="宋体" w:hAnsi="宋体" w:cs="宋体"/>
          <w:color w:val="auto"/>
        </w:rPr>
        <w:fldChar w:fldCharType="end"/>
      </w:r>
      <w:r>
        <w:rPr>
          <w:rFonts w:hint="eastAsia" w:ascii="宋体" w:hAnsi="宋体" w:cs="宋体"/>
        </w:rPr>
        <w:t>（南宁市财政局官网）-下载专区</w:t>
      </w:r>
      <w:r>
        <w:rPr>
          <w:rFonts w:hint="eastAsia" w:ascii="宋体" w:hAnsi="宋体" w:cs="宋体"/>
          <w:szCs w:val="21"/>
        </w:rPr>
        <w:t>）</w:t>
      </w:r>
    </w:p>
    <w:p w14:paraId="610A5ED0">
      <w:pPr>
        <w:spacing w:line="360" w:lineRule="auto"/>
        <w:rPr>
          <w:rFonts w:ascii="宋体" w:hAnsi="宋体" w:cs="宋体"/>
          <w:szCs w:val="21"/>
        </w:rPr>
      </w:pPr>
    </w:p>
    <w:p w14:paraId="65E4301F">
      <w:pPr>
        <w:spacing w:line="360" w:lineRule="auto"/>
        <w:ind w:firstLine="210" w:firstLineChars="100"/>
        <w:jc w:val="right"/>
        <w:rPr>
          <w:rFonts w:ascii="宋体" w:hAnsi="宋体" w:cs="宋体"/>
          <w:szCs w:val="21"/>
          <w:u w:val="single"/>
        </w:rPr>
      </w:pPr>
      <w:r>
        <w:rPr>
          <w:rFonts w:hint="eastAsia" w:ascii="宋体" w:hAnsi="宋体" w:cs="宋体"/>
          <w:szCs w:val="21"/>
          <w:u w:val="single"/>
        </w:rPr>
        <w:t>隆安县政府集中采购中心</w:t>
      </w:r>
    </w:p>
    <w:p w14:paraId="7E16F7F0">
      <w:pPr>
        <w:spacing w:line="360" w:lineRule="auto"/>
        <w:ind w:firstLine="210" w:firstLineChars="100"/>
        <w:jc w:val="right"/>
        <w:rPr>
          <w:rFonts w:ascii="宋体" w:hAnsi="宋体" w:cs="宋体"/>
          <w:color w:val="0000FF"/>
          <w:highlight w:val="yellow"/>
        </w:rPr>
      </w:pPr>
      <w:r>
        <w:rPr>
          <w:rFonts w:hint="eastAsia" w:ascii="宋体" w:hAnsi="宋体" w:cs="宋体"/>
          <w:color w:val="0000FF"/>
          <w:szCs w:val="21"/>
          <w:highlight w:val="yellow"/>
          <w:u w:val="single"/>
        </w:rPr>
        <w:t>2025</w:t>
      </w:r>
      <w:r>
        <w:rPr>
          <w:rFonts w:hint="eastAsia" w:ascii="宋体" w:hAnsi="宋体" w:cs="宋体"/>
          <w:color w:val="0000FF"/>
          <w:szCs w:val="21"/>
          <w:highlight w:val="yellow"/>
        </w:rPr>
        <w:t xml:space="preserve">年   </w:t>
      </w:r>
      <w:r>
        <w:rPr>
          <w:rFonts w:hint="eastAsia" w:ascii="宋体" w:hAnsi="宋体" w:cs="宋体"/>
          <w:color w:val="0000FF"/>
          <w:szCs w:val="21"/>
          <w:highlight w:val="yellow"/>
          <w:lang w:val="en-US" w:eastAsia="zh-CN"/>
        </w:rPr>
        <w:t>5</w:t>
      </w:r>
      <w:r>
        <w:rPr>
          <w:rFonts w:hint="eastAsia" w:ascii="宋体" w:hAnsi="宋体" w:cs="宋体"/>
          <w:color w:val="0000FF"/>
          <w:szCs w:val="21"/>
          <w:highlight w:val="yellow"/>
        </w:rPr>
        <w:t xml:space="preserve"> </w:t>
      </w:r>
      <w:r>
        <w:rPr>
          <w:rFonts w:hint="eastAsia" w:ascii="宋体" w:hAnsi="宋体" w:cs="宋体"/>
          <w:color w:val="0000FF"/>
          <w:szCs w:val="21"/>
          <w:highlight w:val="yellow"/>
          <w:u w:val="single"/>
        </w:rPr>
        <w:t xml:space="preserve"> </w:t>
      </w:r>
      <w:r>
        <w:rPr>
          <w:rFonts w:hint="eastAsia" w:ascii="宋体" w:hAnsi="宋体" w:cs="宋体"/>
          <w:color w:val="0000FF"/>
          <w:szCs w:val="21"/>
          <w:highlight w:val="yellow"/>
        </w:rPr>
        <w:t xml:space="preserve">月  </w:t>
      </w:r>
      <w:r>
        <w:rPr>
          <w:rFonts w:hint="eastAsia" w:ascii="宋体" w:hAnsi="宋体" w:cs="宋体"/>
          <w:color w:val="0000FF"/>
          <w:szCs w:val="21"/>
          <w:highlight w:val="yellow"/>
          <w:lang w:val="en-US" w:eastAsia="zh-CN"/>
        </w:rPr>
        <w:t>21</w:t>
      </w:r>
      <w:r>
        <w:rPr>
          <w:rFonts w:hint="eastAsia" w:ascii="宋体" w:hAnsi="宋体" w:cs="宋体"/>
          <w:color w:val="0000FF"/>
          <w:szCs w:val="21"/>
          <w:highlight w:val="yellow"/>
        </w:rPr>
        <w:t xml:space="preserve">  日</w:t>
      </w:r>
    </w:p>
    <w:p w14:paraId="5232BADB">
      <w:pPr>
        <w:snapToGrid w:val="0"/>
        <w:spacing w:line="360" w:lineRule="auto"/>
        <w:ind w:firstLine="420"/>
        <w:rPr>
          <w:rFonts w:ascii="宋体" w:hAnsi="宋体" w:cs="宋体"/>
          <w:sz w:val="24"/>
          <w:lang w:val="zh-CN"/>
        </w:rPr>
        <w:sectPr>
          <w:footerReference r:id="rId5" w:type="default"/>
          <w:pgSz w:w="11906" w:h="16838"/>
          <w:pgMar w:top="1440" w:right="1080" w:bottom="1440" w:left="1080" w:header="720" w:footer="720" w:gutter="0"/>
          <w:pgNumType w:start="1"/>
          <w:cols w:space="720" w:num="1"/>
          <w:docGrid w:type="lines" w:linePitch="331" w:charSpace="0"/>
        </w:sectPr>
      </w:pPr>
    </w:p>
    <w:p w14:paraId="7F374962">
      <w:pPr>
        <w:pStyle w:val="12"/>
        <w:spacing w:line="360" w:lineRule="auto"/>
        <w:jc w:val="center"/>
        <w:outlineLvl w:val="0"/>
        <w:rPr>
          <w:rFonts w:hAnsi="宋体" w:cs="宋体"/>
          <w:b/>
          <w:sz w:val="36"/>
        </w:rPr>
      </w:pPr>
      <w:bookmarkStart w:id="35" w:name="_Toc532545042"/>
      <w:bookmarkStart w:id="36" w:name="_Toc6782"/>
      <w:r>
        <w:rPr>
          <w:rFonts w:hint="eastAsia" w:hAnsi="宋体" w:cs="宋体"/>
          <w:b/>
          <w:sz w:val="36"/>
        </w:rPr>
        <w:t xml:space="preserve">第二章  </w:t>
      </w:r>
      <w:bookmarkEnd w:id="35"/>
      <w:r>
        <w:rPr>
          <w:rFonts w:hint="eastAsia" w:hAnsi="宋体" w:cs="宋体"/>
          <w:b/>
          <w:sz w:val="36"/>
        </w:rPr>
        <w:t>采购需求</w:t>
      </w:r>
      <w:bookmarkEnd w:id="36"/>
    </w:p>
    <w:p w14:paraId="07072F0A">
      <w:pPr>
        <w:adjustRightInd w:val="0"/>
        <w:spacing w:line="360" w:lineRule="auto"/>
        <w:rPr>
          <w:rFonts w:ascii="宋体" w:hAnsi="宋体" w:cs="宋体"/>
          <w:b/>
          <w:szCs w:val="21"/>
        </w:rPr>
      </w:pPr>
    </w:p>
    <w:p w14:paraId="39A43E9E">
      <w:pPr>
        <w:adjustRightInd w:val="0"/>
        <w:spacing w:line="360" w:lineRule="auto"/>
        <w:rPr>
          <w:rFonts w:ascii="宋体" w:hAnsi="宋体" w:cs="宋体"/>
          <w:b/>
          <w:szCs w:val="21"/>
        </w:rPr>
      </w:pPr>
      <w:r>
        <w:rPr>
          <w:rFonts w:hint="eastAsia" w:ascii="宋体" w:hAnsi="宋体" w:cs="宋体"/>
          <w:b/>
          <w:szCs w:val="21"/>
        </w:rPr>
        <w:t>说明：</w:t>
      </w:r>
    </w:p>
    <w:p w14:paraId="6D02FEC6">
      <w:pPr>
        <w:spacing w:line="360" w:lineRule="auto"/>
        <w:ind w:firstLine="420" w:firstLineChars="200"/>
        <w:jc w:val="left"/>
      </w:pPr>
      <w:r>
        <w:t xml:space="preserve">1. </w:t>
      </w:r>
      <w:r>
        <w:rPr>
          <w:rFonts w:hint="eastAsia"/>
        </w:rPr>
        <w:t>为落实政府采购政策需满足的要求（根据项目实际情况填写内容）</w:t>
      </w:r>
    </w:p>
    <w:p w14:paraId="26F4E7CB">
      <w:pPr>
        <w:spacing w:line="360" w:lineRule="auto"/>
        <w:ind w:firstLine="420" w:firstLineChars="200"/>
        <w:jc w:val="left"/>
        <w:rPr>
          <w:rFonts w:ascii="宋体" w:hAnsi="宋体" w:cs="宋体"/>
          <w:szCs w:val="21"/>
        </w:rPr>
      </w:pPr>
      <w:r>
        <w:rPr>
          <w:rFonts w:hint="eastAsia" w:ascii="宋体" w:hAnsi="宋体" w:cs="宋体"/>
          <w:szCs w:val="21"/>
        </w:rPr>
        <w:t>（1）本招标文件所称中小企业必须符合《政府采购促进中小企业发展管理办法》（财库〔2020〕46号）的规定。</w:t>
      </w:r>
    </w:p>
    <w:p w14:paraId="1C6D25F3">
      <w:pPr>
        <w:spacing w:line="360" w:lineRule="auto"/>
        <w:ind w:firstLine="424" w:firstLineChars="202"/>
        <w:jc w:val="left"/>
        <w:rPr>
          <w:rFonts w:ascii="宋体" w:hAnsi="宋体" w:cs="宋体"/>
          <w:szCs w:val="21"/>
        </w:rPr>
      </w:pPr>
      <w:r>
        <w:rPr>
          <w:rFonts w:hint="eastAsia" w:ascii="宋体" w:hAnsi="宋体" w:cs="宋体"/>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扫描件（加盖投标人电子公章），否则投标文件作无效处理。如本项目包含的货物属于品目清单内非标注“★”的产品时，应优先采购，具体详见“第四章 评标方法和评标标准”。</w:t>
      </w:r>
    </w:p>
    <w:p w14:paraId="22558E88">
      <w:pPr>
        <w:spacing w:line="360" w:lineRule="auto"/>
        <w:ind w:firstLine="424" w:firstLineChars="202"/>
        <w:jc w:val="left"/>
        <w:rPr>
          <w:rFonts w:ascii="宋体" w:hAnsi="宋体" w:cs="宋体"/>
          <w:b/>
          <w:szCs w:val="21"/>
        </w:rPr>
      </w:pPr>
      <w:r>
        <w:rPr>
          <w:rFonts w:hint="eastAsia" w:ascii="宋体" w:hAnsi="宋体" w:cs="宋体"/>
          <w:szCs w:val="21"/>
        </w:rPr>
        <w:t>（3）</w:t>
      </w:r>
      <w:r>
        <w:rPr>
          <w:rFonts w:hint="eastAsia" w:ascii="宋体" w:hAnsi="宋体" w:cs="宋体"/>
          <w:b/>
          <w:szCs w:val="21"/>
        </w:rPr>
        <w:t>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4749B42C">
      <w:pPr>
        <w:numPr>
          <w:ilvl w:val="0"/>
          <w:numId w:val="2"/>
        </w:numPr>
        <w:spacing w:line="360" w:lineRule="auto"/>
        <w:ind w:firstLine="424" w:firstLineChars="202"/>
        <w:jc w:val="left"/>
        <w:rPr>
          <w:rFonts w:ascii="宋体" w:hAnsi="宋体" w:cs="宋体"/>
          <w:szCs w:val="21"/>
        </w:rPr>
      </w:pPr>
      <w:r>
        <w:rPr>
          <w:rFonts w:hint="eastAsia" w:ascii="宋体" w:hAnsi="宋体" w:cs="宋体"/>
          <w:szCs w:val="21"/>
        </w:rPr>
        <w:t xml:space="preserve"> “实质性要求”是指招标文件中已经指明不满足则投标无效的条款，或者不能负偏离的条款，或者采购需求中带“▲”的条款。</w:t>
      </w:r>
    </w:p>
    <w:p w14:paraId="7191E1BC">
      <w:pPr>
        <w:numPr>
          <w:ilvl w:val="0"/>
          <w:numId w:val="2"/>
        </w:numPr>
        <w:spacing w:line="360" w:lineRule="auto"/>
        <w:ind w:firstLine="424" w:firstLineChars="202"/>
        <w:jc w:val="left"/>
        <w:rPr>
          <w:rFonts w:ascii="宋体" w:hAnsi="宋体" w:cs="宋体"/>
          <w:szCs w:val="21"/>
        </w:rPr>
      </w:pPr>
      <w:r>
        <w:rPr>
          <w:rFonts w:hint="eastAsia" w:ascii="宋体" w:hAnsi="宋体" w:cs="宋体"/>
          <w:szCs w:val="21"/>
        </w:rPr>
        <w:t>不需要投标人对采购需求响应为具体数值的，此采购需求的数值后将以◆号标注。</w:t>
      </w:r>
    </w:p>
    <w:p w14:paraId="048DDCC4">
      <w:pPr>
        <w:numPr>
          <w:ilvl w:val="0"/>
          <w:numId w:val="2"/>
        </w:numPr>
        <w:spacing w:line="360" w:lineRule="auto"/>
        <w:ind w:firstLine="424" w:firstLineChars="202"/>
        <w:jc w:val="left"/>
      </w:pPr>
      <w:r>
        <w:rPr>
          <w:rFonts w:hint="eastAsia"/>
        </w:rPr>
        <w:t>如投标人投标产品存在侵犯他人的知识产权或者专利成果行为的，应承担相应法律责任。</w:t>
      </w:r>
    </w:p>
    <w:p w14:paraId="515AFB3B">
      <w:pPr>
        <w:adjustRightInd w:val="0"/>
        <w:spacing w:line="360" w:lineRule="auto"/>
        <w:ind w:left="6" w:firstLine="431"/>
        <w:rPr>
          <w:rFonts w:ascii="宋体" w:hAnsi="宋体" w:cs="宋体"/>
          <w:szCs w:val="21"/>
        </w:rPr>
      </w:pPr>
      <w:r>
        <w:rPr>
          <w:rFonts w:hint="eastAsia" w:ascii="宋体" w:hAnsi="宋体" w:cs="宋体"/>
          <w:szCs w:val="21"/>
        </w:rPr>
        <w:t>5.本货物/服务需求一览表中所列的品牌、型号</w:t>
      </w:r>
      <w:r>
        <w:rPr>
          <w:rFonts w:hint="eastAsia" w:ascii="宋体" w:hAnsi="宋体" w:cs="宋体"/>
          <w:b/>
          <w:szCs w:val="21"/>
        </w:rPr>
        <w:t>仅起参考作</w:t>
      </w:r>
      <w:r>
        <w:rPr>
          <w:rFonts w:hint="eastAsia" w:ascii="宋体" w:hAnsi="宋体" w:cs="宋体"/>
          <w:szCs w:val="21"/>
        </w:rPr>
        <w:t>用，投标人可选用其他品牌、型号替代，但替代的品牌、型号在实质性要求和条件上要</w:t>
      </w:r>
      <w:r>
        <w:rPr>
          <w:rFonts w:hint="eastAsia" w:ascii="宋体" w:hAnsi="宋体" w:cs="宋体"/>
          <w:b/>
          <w:szCs w:val="21"/>
        </w:rPr>
        <w:t>相当于或优于</w:t>
      </w:r>
      <w:r>
        <w:rPr>
          <w:rFonts w:hint="eastAsia" w:ascii="宋体" w:hAnsi="宋体" w:cs="宋体"/>
          <w:szCs w:val="21"/>
        </w:rPr>
        <w:t>参考品牌、型号。</w:t>
      </w:r>
    </w:p>
    <w:p w14:paraId="2A64F0D5">
      <w:pPr>
        <w:spacing w:line="360" w:lineRule="auto"/>
        <w:ind w:firstLine="420" w:firstLineChars="200"/>
        <w:rPr>
          <w:rFonts w:ascii="宋体" w:hAnsi="宋体" w:cs="宋体"/>
          <w:szCs w:val="21"/>
        </w:rPr>
      </w:pPr>
      <w:r>
        <w:rPr>
          <w:rFonts w:hint="eastAsia" w:ascii="宋体" w:hAnsi="宋体" w:cs="宋体"/>
          <w:szCs w:val="21"/>
        </w:rPr>
        <w:t>6.凡在“技术参数要求”中表述为“标配”或“标准配置”的设备，将要求投标人按照“第六章 投标文件格式”规定的格式在“技术需求偏离表”中将其参数详细列明。</w:t>
      </w:r>
    </w:p>
    <w:p w14:paraId="7D77F284">
      <w:pPr>
        <w:spacing w:line="360" w:lineRule="auto"/>
        <w:ind w:firstLine="420" w:firstLineChars="200"/>
        <w:rPr>
          <w:rFonts w:ascii="宋体" w:hAnsi="宋体" w:cs="宋体"/>
          <w:szCs w:val="21"/>
        </w:rPr>
      </w:pPr>
      <w:r>
        <w:rPr>
          <w:rFonts w:hint="eastAsia" w:ascii="宋体" w:hAnsi="宋体" w:cs="宋体"/>
          <w:szCs w:val="21"/>
        </w:rPr>
        <w:t>7.本次货物采购最高限价为</w:t>
      </w:r>
      <w:r>
        <w:rPr>
          <w:rFonts w:hint="eastAsia" w:ascii="宋体" w:hAnsi="宋体" w:cs="宋体"/>
          <w:szCs w:val="21"/>
          <w:u w:val="single"/>
        </w:rPr>
        <w:t xml:space="preserve"> </w:t>
      </w:r>
      <w:r>
        <w:rPr>
          <w:rFonts w:hint="eastAsia" w:ascii="宋体" w:hAnsi="宋体" w:cs="宋体"/>
          <w:color w:val="auto"/>
          <w:szCs w:val="21"/>
          <w:u w:val="single"/>
        </w:rPr>
        <w:t>790.</w:t>
      </w:r>
      <w:r>
        <w:rPr>
          <w:rFonts w:hint="eastAsia" w:ascii="宋体" w:hAnsi="宋体" w:cs="宋体"/>
          <w:color w:val="auto"/>
          <w:szCs w:val="21"/>
          <w:u w:val="single"/>
          <w:lang w:val="en-US" w:eastAsia="zh-CN"/>
        </w:rPr>
        <w:t>1567</w:t>
      </w:r>
      <w:r>
        <w:rPr>
          <w:rFonts w:hint="eastAsia" w:ascii="宋体" w:hAnsi="宋体" w:cs="宋体"/>
          <w:szCs w:val="21"/>
          <w:u w:val="single"/>
        </w:rPr>
        <w:t xml:space="preserve"> </w:t>
      </w:r>
      <w:r>
        <w:rPr>
          <w:rFonts w:hint="eastAsia" w:ascii="宋体" w:hAnsi="宋体" w:cs="宋体"/>
          <w:szCs w:val="21"/>
        </w:rPr>
        <w:t>万元。在报价的过程中，投标人的分项报价不得超过分项最高限价，否则作无效投标处理。</w:t>
      </w:r>
    </w:p>
    <w:p w14:paraId="7D9FBBAB">
      <w:pPr>
        <w:spacing w:line="360" w:lineRule="auto"/>
        <w:ind w:firstLine="420" w:firstLineChars="200"/>
        <w:rPr>
          <w:rFonts w:ascii="宋体" w:hAnsi="宋体" w:cs="宋体"/>
          <w:szCs w:val="21"/>
        </w:rPr>
      </w:pPr>
    </w:p>
    <w:p w14:paraId="73EF89ED">
      <w:pPr>
        <w:spacing w:line="360" w:lineRule="auto"/>
        <w:ind w:firstLine="420" w:firstLineChars="200"/>
        <w:rPr>
          <w:rFonts w:ascii="宋体" w:hAnsi="宋体" w:cs="宋体"/>
          <w:szCs w:val="21"/>
        </w:rPr>
      </w:pPr>
    </w:p>
    <w:p w14:paraId="478B3E36">
      <w:pPr>
        <w:jc w:val="center"/>
        <w:rPr>
          <w:rFonts w:ascii="仿宋_GB2312" w:eastAsia="仿宋_GB2312"/>
          <w:b/>
          <w:sz w:val="32"/>
          <w:szCs w:val="32"/>
        </w:rPr>
      </w:pPr>
      <w:r>
        <w:rPr>
          <w:rFonts w:hint="eastAsia" w:ascii="仿宋_GB2312" w:eastAsia="仿宋_GB2312"/>
          <w:b/>
          <w:sz w:val="32"/>
          <w:szCs w:val="32"/>
        </w:rPr>
        <w:t>采购需求清单</w:t>
      </w:r>
    </w:p>
    <w:p w14:paraId="43DE73DC">
      <w:pPr>
        <w:pStyle w:val="21"/>
        <w:jc w:val="both"/>
      </w:pPr>
      <w:r>
        <w:rPr>
          <w:rFonts w:hint="eastAsia" w:ascii="宋体" w:hAnsi="宋体"/>
          <w:color w:val="000000"/>
          <w:szCs w:val="21"/>
        </w:rPr>
        <w:t>A分标（1分标）</w:t>
      </w:r>
      <w:r>
        <w:rPr>
          <w:rFonts w:hint="eastAsia" w:ascii="宋体" w:hAnsi="宋体"/>
          <w:color w:val="000000"/>
          <w:szCs w:val="21"/>
          <w:u w:val="single"/>
        </w:rPr>
        <w:t xml:space="preserve"> </w:t>
      </w:r>
      <w:r>
        <w:rPr>
          <w:rFonts w:hint="eastAsia" w:ascii="宋体" w:hAnsi="宋体"/>
          <w:color w:val="000000"/>
          <w:szCs w:val="21"/>
          <w:u w:val="single"/>
          <w:lang w:val="en-US" w:eastAsia="zh-CN"/>
        </w:rPr>
        <w:t>326.0587</w:t>
      </w:r>
      <w:r>
        <w:rPr>
          <w:rFonts w:hint="eastAsia" w:ascii="宋体" w:hAnsi="宋体"/>
          <w:color w:val="000000"/>
          <w:szCs w:val="21"/>
        </w:rPr>
        <w:t>万元</w:t>
      </w:r>
    </w:p>
    <w:tbl>
      <w:tblPr>
        <w:tblStyle w:val="24"/>
        <w:tblW w:w="10226"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072"/>
        <w:gridCol w:w="4897"/>
        <w:gridCol w:w="462"/>
        <w:gridCol w:w="605"/>
        <w:gridCol w:w="1048"/>
        <w:gridCol w:w="1489"/>
      </w:tblGrid>
      <w:tr w14:paraId="4F8D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80F9B62">
            <w:pPr>
              <w:widowControl/>
              <w:jc w:val="center"/>
              <w:rPr>
                <w:rFonts w:ascii="宋体" w:hAnsi="宋体" w:cs="宋体"/>
                <w:kern w:val="0"/>
                <w:sz w:val="20"/>
                <w:szCs w:val="20"/>
              </w:rPr>
            </w:pPr>
            <w:r>
              <w:rPr>
                <w:rFonts w:hint="eastAsia" w:ascii="宋体" w:hAnsi="宋体" w:cs="宋体"/>
                <w:b/>
                <w:bCs/>
                <w:kern w:val="0"/>
                <w:sz w:val="22"/>
              </w:rPr>
              <w:t>序号</w:t>
            </w:r>
          </w:p>
        </w:tc>
        <w:tc>
          <w:tcPr>
            <w:tcW w:w="1072" w:type="dxa"/>
            <w:shd w:val="clear" w:color="auto" w:fill="auto"/>
            <w:vAlign w:val="center"/>
          </w:tcPr>
          <w:p w14:paraId="19C8DDFD">
            <w:pPr>
              <w:widowControl/>
              <w:jc w:val="center"/>
              <w:rPr>
                <w:rFonts w:ascii="宋体" w:hAnsi="宋体" w:cs="宋体"/>
                <w:kern w:val="0"/>
                <w:sz w:val="20"/>
                <w:szCs w:val="20"/>
              </w:rPr>
            </w:pPr>
            <w:r>
              <w:rPr>
                <w:rFonts w:hint="eastAsia" w:ascii="宋体" w:hAnsi="宋体" w:cs="宋体"/>
                <w:b/>
                <w:bCs/>
                <w:kern w:val="0"/>
                <w:sz w:val="22"/>
              </w:rPr>
              <w:t>设备名称</w:t>
            </w:r>
          </w:p>
        </w:tc>
        <w:tc>
          <w:tcPr>
            <w:tcW w:w="4897" w:type="dxa"/>
            <w:shd w:val="clear" w:color="auto" w:fill="auto"/>
            <w:vAlign w:val="center"/>
          </w:tcPr>
          <w:p w14:paraId="49F8EF27">
            <w:pPr>
              <w:widowControl/>
              <w:jc w:val="center"/>
              <w:rPr>
                <w:rFonts w:ascii="宋体" w:hAnsi="宋体" w:cs="宋体"/>
                <w:kern w:val="0"/>
                <w:sz w:val="20"/>
                <w:szCs w:val="20"/>
              </w:rPr>
            </w:pPr>
            <w:r>
              <w:rPr>
                <w:rFonts w:hint="eastAsia" w:ascii="宋体" w:hAnsi="宋体" w:cs="宋体"/>
                <w:b/>
                <w:bCs/>
                <w:kern w:val="0"/>
                <w:sz w:val="22"/>
              </w:rPr>
              <w:t>规格及技术参数需求描述</w:t>
            </w:r>
          </w:p>
        </w:tc>
        <w:tc>
          <w:tcPr>
            <w:tcW w:w="462" w:type="dxa"/>
            <w:shd w:val="clear" w:color="auto" w:fill="auto"/>
            <w:vAlign w:val="center"/>
          </w:tcPr>
          <w:p w14:paraId="6DFB8681">
            <w:pPr>
              <w:widowControl/>
              <w:jc w:val="center"/>
              <w:rPr>
                <w:rFonts w:ascii="宋体" w:hAnsi="宋体" w:cs="宋体"/>
                <w:kern w:val="0"/>
                <w:sz w:val="20"/>
                <w:szCs w:val="20"/>
              </w:rPr>
            </w:pPr>
            <w:r>
              <w:rPr>
                <w:rFonts w:hint="eastAsia" w:ascii="宋体" w:hAnsi="宋体" w:cs="宋体"/>
                <w:b/>
                <w:bCs/>
                <w:kern w:val="0"/>
                <w:sz w:val="22"/>
              </w:rPr>
              <w:t>单位</w:t>
            </w:r>
          </w:p>
        </w:tc>
        <w:tc>
          <w:tcPr>
            <w:tcW w:w="605" w:type="dxa"/>
            <w:shd w:val="clear" w:color="auto" w:fill="auto"/>
            <w:vAlign w:val="center"/>
          </w:tcPr>
          <w:p w14:paraId="6563ECCF">
            <w:pPr>
              <w:widowControl/>
              <w:jc w:val="center"/>
              <w:rPr>
                <w:rFonts w:ascii="宋体" w:hAnsi="宋体" w:cs="宋体"/>
                <w:kern w:val="0"/>
                <w:sz w:val="20"/>
                <w:szCs w:val="20"/>
              </w:rPr>
            </w:pPr>
            <w:r>
              <w:rPr>
                <w:rFonts w:hint="eastAsia" w:ascii="宋体" w:hAnsi="宋体" w:cs="宋体"/>
                <w:b/>
                <w:bCs/>
                <w:kern w:val="0"/>
                <w:sz w:val="22"/>
              </w:rPr>
              <w:t>数量</w:t>
            </w:r>
          </w:p>
        </w:tc>
        <w:tc>
          <w:tcPr>
            <w:tcW w:w="1048" w:type="dxa"/>
            <w:shd w:val="clear" w:color="auto" w:fill="auto"/>
            <w:vAlign w:val="center"/>
          </w:tcPr>
          <w:p w14:paraId="4580BB68">
            <w:pPr>
              <w:widowControl/>
              <w:jc w:val="center"/>
              <w:rPr>
                <w:rFonts w:ascii="宋体" w:hAnsi="宋体" w:cs="宋体"/>
                <w:kern w:val="0"/>
                <w:sz w:val="20"/>
                <w:szCs w:val="20"/>
              </w:rPr>
            </w:pPr>
            <w:r>
              <w:rPr>
                <w:rFonts w:hint="eastAsia" w:ascii="宋体" w:hAnsi="宋体" w:cs="宋体"/>
                <w:b/>
                <w:bCs/>
                <w:kern w:val="0"/>
                <w:sz w:val="22"/>
              </w:rPr>
              <w:t>单价</w:t>
            </w:r>
            <w:r>
              <w:rPr>
                <w:rFonts w:hint="eastAsia" w:ascii="宋体" w:hAnsi="宋体" w:cs="宋体"/>
                <w:b/>
                <w:bCs/>
                <w:kern w:val="0"/>
                <w:sz w:val="16"/>
              </w:rPr>
              <w:t>（元）</w:t>
            </w:r>
          </w:p>
        </w:tc>
        <w:tc>
          <w:tcPr>
            <w:tcW w:w="1489" w:type="dxa"/>
            <w:shd w:val="clear" w:color="auto" w:fill="auto"/>
            <w:vAlign w:val="center"/>
          </w:tcPr>
          <w:p w14:paraId="76A2686F">
            <w:pPr>
              <w:widowControl/>
              <w:jc w:val="center"/>
              <w:rPr>
                <w:rFonts w:ascii="宋体" w:hAnsi="宋体" w:cs="宋体"/>
                <w:kern w:val="0"/>
                <w:sz w:val="20"/>
                <w:szCs w:val="20"/>
              </w:rPr>
            </w:pPr>
            <w:r>
              <w:rPr>
                <w:rFonts w:hint="eastAsia" w:ascii="宋体" w:hAnsi="宋体" w:cs="宋体"/>
                <w:b/>
                <w:bCs/>
                <w:kern w:val="0"/>
                <w:sz w:val="22"/>
              </w:rPr>
              <w:t>合价</w:t>
            </w:r>
            <w:r>
              <w:rPr>
                <w:rFonts w:hint="eastAsia" w:ascii="宋体" w:hAnsi="宋体" w:cs="宋体"/>
                <w:b/>
                <w:bCs/>
                <w:kern w:val="0"/>
                <w:sz w:val="18"/>
              </w:rPr>
              <w:t>（元）</w:t>
            </w:r>
          </w:p>
        </w:tc>
      </w:tr>
      <w:tr w14:paraId="2860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622" w:type="dxa"/>
            <w:gridSpan w:val="3"/>
            <w:shd w:val="clear" w:color="auto" w:fill="auto"/>
            <w:vAlign w:val="center"/>
          </w:tcPr>
          <w:p w14:paraId="7CD56A76">
            <w:pPr>
              <w:widowControl/>
              <w:jc w:val="left"/>
              <w:rPr>
                <w:rFonts w:ascii="宋体" w:hAnsi="宋体" w:cs="宋体"/>
                <w:b/>
                <w:bCs/>
                <w:kern w:val="0"/>
                <w:sz w:val="22"/>
              </w:rPr>
            </w:pPr>
            <w:r>
              <w:rPr>
                <w:rFonts w:hint="eastAsia" w:ascii="宋体" w:hAnsi="宋体" w:cs="宋体"/>
                <w:b/>
                <w:bCs/>
                <w:kern w:val="0"/>
                <w:sz w:val="22"/>
              </w:rPr>
              <w:t>一、物理数字化实验室</w:t>
            </w:r>
          </w:p>
        </w:tc>
        <w:tc>
          <w:tcPr>
            <w:tcW w:w="462" w:type="dxa"/>
            <w:shd w:val="clear" w:color="auto" w:fill="auto"/>
            <w:vAlign w:val="center"/>
          </w:tcPr>
          <w:p w14:paraId="22623724">
            <w:pPr>
              <w:widowControl/>
              <w:jc w:val="center"/>
              <w:rPr>
                <w:rFonts w:ascii="宋体" w:hAnsi="宋体" w:cs="宋体"/>
                <w:kern w:val="0"/>
                <w:sz w:val="20"/>
                <w:szCs w:val="20"/>
              </w:rPr>
            </w:pPr>
          </w:p>
        </w:tc>
        <w:tc>
          <w:tcPr>
            <w:tcW w:w="605" w:type="dxa"/>
            <w:shd w:val="clear" w:color="auto" w:fill="auto"/>
            <w:vAlign w:val="center"/>
          </w:tcPr>
          <w:p w14:paraId="2CEA26BD">
            <w:pPr>
              <w:widowControl/>
              <w:jc w:val="center"/>
              <w:rPr>
                <w:rFonts w:ascii="宋体" w:hAnsi="宋体" w:cs="宋体"/>
                <w:kern w:val="0"/>
                <w:sz w:val="20"/>
                <w:szCs w:val="20"/>
              </w:rPr>
            </w:pPr>
          </w:p>
        </w:tc>
        <w:tc>
          <w:tcPr>
            <w:tcW w:w="1048" w:type="dxa"/>
            <w:shd w:val="clear" w:color="auto" w:fill="auto"/>
            <w:noWrap/>
            <w:vAlign w:val="center"/>
          </w:tcPr>
          <w:p w14:paraId="2DDCDF27">
            <w:pPr>
              <w:widowControl/>
              <w:jc w:val="center"/>
              <w:rPr>
                <w:rFonts w:ascii="宋体" w:hAnsi="宋体" w:cs="宋体"/>
                <w:kern w:val="0"/>
                <w:sz w:val="20"/>
                <w:szCs w:val="20"/>
              </w:rPr>
            </w:pPr>
          </w:p>
        </w:tc>
        <w:tc>
          <w:tcPr>
            <w:tcW w:w="1489" w:type="dxa"/>
            <w:shd w:val="clear" w:color="auto" w:fill="auto"/>
            <w:vAlign w:val="center"/>
          </w:tcPr>
          <w:p w14:paraId="0D69A161">
            <w:pPr>
              <w:widowControl/>
              <w:jc w:val="center"/>
              <w:rPr>
                <w:rFonts w:ascii="宋体" w:hAnsi="宋体" w:cs="宋体"/>
                <w:kern w:val="0"/>
                <w:sz w:val="20"/>
                <w:szCs w:val="20"/>
              </w:rPr>
            </w:pPr>
          </w:p>
        </w:tc>
      </w:tr>
      <w:tr w14:paraId="45D7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2E3C618">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1</w:t>
            </w:r>
          </w:p>
        </w:tc>
        <w:tc>
          <w:tcPr>
            <w:tcW w:w="1072" w:type="dxa"/>
            <w:shd w:val="clear" w:color="auto" w:fill="auto"/>
            <w:vAlign w:val="center"/>
          </w:tcPr>
          <w:p w14:paraId="17333F8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计算机</w:t>
            </w:r>
          </w:p>
        </w:tc>
        <w:tc>
          <w:tcPr>
            <w:tcW w:w="4897" w:type="dxa"/>
            <w:shd w:val="clear" w:color="auto" w:fill="auto"/>
            <w:vAlign w:val="center"/>
          </w:tcPr>
          <w:p w14:paraId="241878A8">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lang w:bidi="ar"/>
              </w:rPr>
              <w:t>便携式。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1、≥i5-10210U(1.6 GHz/6 MB/四核)；</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2、14.0'FHD(1920X1080) IPS高清防眩屏；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3、≥8G DDR4 2666MHz(1根)内存；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4、≥128G PCIe NVMe+1TB；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5、≥AMD R530 GDDR5 2G独立显卡；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6、指纹识别；</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7、720P 高清摄像头；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8、802.11AC 2x2 wifi(RT)+蓝牙5.0；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9、3芯 41whr长寿命锂电池；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10、正版Win10 HB 64位(简体中文版)；</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11、一年保修；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12、配包、鼠标。</w:t>
            </w:r>
          </w:p>
        </w:tc>
        <w:tc>
          <w:tcPr>
            <w:tcW w:w="462" w:type="dxa"/>
            <w:shd w:val="clear" w:color="auto" w:fill="auto"/>
            <w:vAlign w:val="center"/>
          </w:tcPr>
          <w:p w14:paraId="59D986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0904ACF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048" w:type="dxa"/>
            <w:shd w:val="clear" w:color="auto" w:fill="auto"/>
            <w:noWrap/>
            <w:vAlign w:val="center"/>
          </w:tcPr>
          <w:p w14:paraId="136CAA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5000</w:t>
            </w:r>
          </w:p>
        </w:tc>
        <w:tc>
          <w:tcPr>
            <w:tcW w:w="1489" w:type="dxa"/>
            <w:shd w:val="clear" w:color="auto" w:fill="auto"/>
            <w:vAlign w:val="center"/>
          </w:tcPr>
          <w:p w14:paraId="4ADE1B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50000</w:t>
            </w:r>
          </w:p>
        </w:tc>
      </w:tr>
      <w:tr w14:paraId="20CF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C72570B">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2</w:t>
            </w:r>
          </w:p>
        </w:tc>
        <w:tc>
          <w:tcPr>
            <w:tcW w:w="1072" w:type="dxa"/>
            <w:shd w:val="clear" w:color="auto" w:fill="auto"/>
            <w:vAlign w:val="center"/>
          </w:tcPr>
          <w:p w14:paraId="4982498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计算机</w:t>
            </w:r>
          </w:p>
        </w:tc>
        <w:tc>
          <w:tcPr>
            <w:tcW w:w="4897" w:type="dxa"/>
            <w:shd w:val="clear" w:color="auto" w:fill="auto"/>
            <w:vAlign w:val="center"/>
          </w:tcPr>
          <w:p w14:paraId="264B24F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台式机。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一、硬件配置（不得低于以下配置参数，可高于）：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▲1.CPU:第12代英特尔酷睿6核I5-12500同类或以上处理器，最高睿频：4.2GHz，12M三级缓存；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▲2.主板：英特尔600系列芯片组同类或以上主板，带BIOS自动控制的可变速CPU风扇，配备智能散热系统包括由BIOS管理的智能风扇通过对机箱内部的温度感应来调节风扇速度，有效的降低噪音的同时高效散热功能；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3.扩展插槽： 1个PCIe x1，1个PCIe x16，1个PCI；</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▲4.内存：16G DDR4 2933，2个DIMM插槽，最高支持128G内存,支持双通道内存；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5.端口和接口：前置1个麦克风/耳机组合插孔，5个USB 3.1 Gen 1；后置1个HDMI， 1个音频输入，1个音频输出，1个麦克风输入，1个RJ-45，1个VGA，2个USB 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▲6.硬盘：配置原厂1TB SSD M.2 PL固态硬盘，支持混合双硬盘；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▲7.显卡：Intel UHD Graphics 750高性能同类或以上集成显卡， HDMI+VGA支持双屏屏幕1080P分辨率输出；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8.网络接口：集成千兆网卡10/100/1000M以太网卡；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9.电源：采用要求电源额定300W高效白金级高效率热插拔电源模块，支持睿能技术，噪音优化；兼容市场主流电源.完美适配；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10.键盘/鼠标：原厂同品牌标准键盘和鼠标；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▲11.机箱：前置电源开关, 内置2W扬声器/0.6mm厚精钢防辐射机箱，不大于17L机箱（宽度小于等于18CM）；适配电脑桌尺寸；显示器23.8”英寸宽屏LED IPS背光液晶显示器，最高分辨率≥1920*1080；通过蓝光危害试验，最大可降低70%蓝光危害辐照度值。</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▲二、软件要求：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1.操作系统：出厂预装Windows10正版操作系统。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原厂网络同传管理功能：支持同一硬盘上支持同时安装24个操作系统；在同一硬盘上同时支持40个分区（包括启动分区和数据分区）；支持可由任意一台主机发起网络拷贝、增量拷贝和临时部署；网络传输速度标值：千兆网卡：1GB-7GB/Min；支持断点续传功能：支持多种情况的断点续传功能；支持网络故障定位：支持网络故障定位，便于排查；支持在局域网内分组管理；支持硬盘容量差异网络拷贝；支持6秒内的物理掉线(断路)可自动恢复；支持网络传输数据加密；网络克隆维护：在局域网络内一次可传输250台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三、配置正版管理终端系统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 系统支持全中文界面，B/S架构，管理员只需通过浏览器登录控制中心，即可对系统进p行管理；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 客户端支持WindowsXP、Windows 7、Windows 8、Windows 10、Windows2003、Windows2008、Windows2012等32位/64位微软操作系统，同时应支持Centos、Redhat、Ubuntu等Linux操作系统以及中标麒麟、银河麒麟等国产操作系统；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▲3.客户端安装后占用小于30MB存储资源，病毒库小于3MB，日常内存占用小于10MB，有效节省PC或Server资源；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4.支持本地上传客户端升级包或https/ftp远端同步方式更新客户端，可根据不同网络环境提供在线获取和隔离网获取相应工具；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▲5.支持单个或多个客户端不同管理中心的平滑迁移，迁移过程自动完成，无需手动添加客户端；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6.控制中心支持全网、分组、标签等方式指定某些客户端定制特殊策略，特殊策略包括文件实时监控、恶意行为监控、下载保护、系统加固、软件安装拦截、浏览器保护、黑客入侵拦截、恶意网站拦截等；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7.支持网络准入功能，支持标准802.1x协议，通过与支持该协议的交换机联动，实现有线局域网网络准入；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▲8.支持敏感数据防泄漏，支持敏感信息检查，针对终端存储的word、pdf、Excel、文本文件等进行全盘关键字检查，对含有制定关键字的文档进行禁止发送、禁止打印、禁止拷贝等管控；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▲9.要求对流行病毒的检测能力必须超过98%的检出率，超过98%的清除率，小于0.1%的误报率；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 支持对webshell后门进行扫描检测 , webshell后门库数量大于90000条；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▲11.支持非法外联监控，实时检测内部网络用户通过调制解调器、ADSL、双网卡等任意连接设备非法外联互联网行为，支持报警、断开网络、自动重启等管控措施；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12.支持终端防火墙功能，支持包括但不限于通过协议（TCP、UDP、ICMP、IGMP、GGP、PUP、IDP、ND、ESP、AH、RDP、GRE、SKIP、RAW），端口号，IP地址、进出口方向等控制规则对终端进行防护，从网络层保护终端安全；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 须有正版序列号，支持电话查询真伪；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 投标时提供所竞标产品的节能产品认证证书扫描件（加盖供应商公章）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四、服务及保修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原厂五年有限保修（鼠标键盘1年），365天全年无休。具备微信、QQ等即时通讯群组服务能力，提供自助查询、驱动自动下载、在线技术支持、维修单进度查询等自助售后功能，中标后须提供产品生产厂家官网截图证明（包含官网链接、服务平台微信二维码、功能模块简单介绍、微信服务平台关注流程指引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2.所投产品为商用节能认证产品、环境标志产品产品。供货时提供3年7x24售后支持服务证明，提供原厂基础安装服务。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3.供货时提供防雷击检测报告及证书扫描件证明。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4.为了证明产品可靠性，供货时提供国家认可的第三方检测机构出具的认证产品相关证书。</w:t>
            </w:r>
          </w:p>
        </w:tc>
        <w:tc>
          <w:tcPr>
            <w:tcW w:w="462" w:type="dxa"/>
            <w:shd w:val="clear" w:color="auto" w:fill="auto"/>
            <w:vAlign w:val="center"/>
          </w:tcPr>
          <w:p w14:paraId="2BD70E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7454F3E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A1D10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5000</w:t>
            </w:r>
          </w:p>
        </w:tc>
        <w:tc>
          <w:tcPr>
            <w:tcW w:w="1489" w:type="dxa"/>
            <w:shd w:val="clear" w:color="auto" w:fill="auto"/>
            <w:vAlign w:val="center"/>
          </w:tcPr>
          <w:p w14:paraId="481676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5000</w:t>
            </w:r>
          </w:p>
        </w:tc>
      </w:tr>
      <w:tr w14:paraId="0184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A369E3B">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3</w:t>
            </w:r>
          </w:p>
        </w:tc>
        <w:tc>
          <w:tcPr>
            <w:tcW w:w="1072" w:type="dxa"/>
            <w:shd w:val="clear" w:color="auto" w:fill="auto"/>
            <w:vAlign w:val="center"/>
          </w:tcPr>
          <w:p w14:paraId="7C6134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网络接入设备</w:t>
            </w:r>
          </w:p>
        </w:tc>
        <w:tc>
          <w:tcPr>
            <w:tcW w:w="4897" w:type="dxa"/>
            <w:shd w:val="clear" w:color="auto" w:fill="auto"/>
            <w:vAlign w:val="center"/>
          </w:tcPr>
          <w:p w14:paraId="3833372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保证计算机联网，宜千兆到桌面，室内宜实现无线网覆盖。</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1、路由器2台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6000M双频超千兆Wi-Fi 6无线路由器，外置天线设计，四核旗舰CPU，2500M宽带接入能力，推荐带机100台终端，无线：双频6000Mbps；端口：1个2.5G WAN/LAN口，4个千兆网口，支持双WAN/LAN叠加，特有自研多台“一键易联”技术，支持Wi-Fi无缝漫游，支持睿易APP                                            2、交换机1台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24个10/100/1000Mbps电口，支持端口状态/流量查询，端口远程重启，交换机远程重启，VLAN隔离，端口隔离，环路保护，DHCP Snooping等，支持EWEB/APP/MACC远程管理。</w:t>
            </w:r>
          </w:p>
        </w:tc>
        <w:tc>
          <w:tcPr>
            <w:tcW w:w="462" w:type="dxa"/>
            <w:shd w:val="clear" w:color="auto" w:fill="auto"/>
            <w:vAlign w:val="center"/>
          </w:tcPr>
          <w:p w14:paraId="1FD779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2866CF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0B40F03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2240</w:t>
            </w:r>
          </w:p>
        </w:tc>
        <w:tc>
          <w:tcPr>
            <w:tcW w:w="1489" w:type="dxa"/>
            <w:shd w:val="clear" w:color="auto" w:fill="auto"/>
            <w:vAlign w:val="center"/>
          </w:tcPr>
          <w:p w14:paraId="554CE1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2240</w:t>
            </w:r>
          </w:p>
        </w:tc>
      </w:tr>
      <w:tr w14:paraId="3AC4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335D3D9">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4</w:t>
            </w:r>
          </w:p>
        </w:tc>
        <w:tc>
          <w:tcPr>
            <w:tcW w:w="1072" w:type="dxa"/>
            <w:shd w:val="clear" w:color="auto" w:fill="auto"/>
            <w:vAlign w:val="center"/>
          </w:tcPr>
          <w:p w14:paraId="230D23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数据采集器</w:t>
            </w:r>
          </w:p>
        </w:tc>
        <w:tc>
          <w:tcPr>
            <w:tcW w:w="4897" w:type="dxa"/>
            <w:shd w:val="clear" w:color="auto" w:fill="auto"/>
            <w:vAlign w:val="center"/>
          </w:tcPr>
          <w:p w14:paraId="4A2300A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实时无延时采样频率不低于80kHz；与计算机USB接口通讯或无线通讯，支持有线连接的四通道并行数据采集，传感器即插即用；宜支持脱机使用，宜支持与移动设备（手机或平板电脑）的无线通讯</w:t>
            </w:r>
          </w:p>
        </w:tc>
        <w:tc>
          <w:tcPr>
            <w:tcW w:w="462" w:type="dxa"/>
            <w:shd w:val="clear" w:color="auto" w:fill="auto"/>
            <w:vAlign w:val="center"/>
          </w:tcPr>
          <w:p w14:paraId="3BDC11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048BF2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07EC457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2950</w:t>
            </w:r>
          </w:p>
        </w:tc>
        <w:tc>
          <w:tcPr>
            <w:tcW w:w="1489" w:type="dxa"/>
            <w:shd w:val="clear" w:color="auto" w:fill="auto"/>
            <w:vAlign w:val="center"/>
          </w:tcPr>
          <w:p w14:paraId="0E324D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32450</w:t>
            </w:r>
          </w:p>
        </w:tc>
      </w:tr>
      <w:tr w14:paraId="149C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EC61B3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w:t>
            </w:r>
          </w:p>
        </w:tc>
        <w:tc>
          <w:tcPr>
            <w:tcW w:w="1072" w:type="dxa"/>
            <w:shd w:val="clear" w:color="auto" w:fill="auto"/>
            <w:vAlign w:val="center"/>
          </w:tcPr>
          <w:p w14:paraId="610FA9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数据采集器软件</w:t>
            </w:r>
          </w:p>
        </w:tc>
        <w:tc>
          <w:tcPr>
            <w:tcW w:w="4897" w:type="dxa"/>
            <w:shd w:val="clear" w:color="auto" w:fill="auto"/>
            <w:vAlign w:val="center"/>
          </w:tcPr>
          <w:p w14:paraId="30E8A7D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1.软件基于Android系统开发，支持蓝牙和USB两种连接方式；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2.实现与传感器的直接通信，无需其他扩展配件进行二次连接；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3.软件内置操作帮助说明，长按各个按钮出现简要提示，可查看与该按钮对应的详细说明，提高实用性、易用性；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4.提供不低于12种页面布局模板，可依据实验要求选择对应的页面布局方式；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5.提供多种数据显示方式，包含点线图、数据表格、指针仪表、数字仪表等；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6.支持用户自行设计实验模板、设置公式、数据分析等；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7.支持用户对已完成实验进行模板保存，便于分享及后续使用；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8.支持实验保存及回放，利于学生巩固学习；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9.支持对实验数据进行导出及导入，方便实验数据留存，让学生进一步学习探究。</w:t>
            </w:r>
          </w:p>
        </w:tc>
        <w:tc>
          <w:tcPr>
            <w:tcW w:w="462" w:type="dxa"/>
            <w:shd w:val="clear" w:color="auto" w:fill="auto"/>
            <w:vAlign w:val="center"/>
          </w:tcPr>
          <w:p w14:paraId="687BDB9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72A40C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1A87BE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1125</w:t>
            </w:r>
          </w:p>
        </w:tc>
        <w:tc>
          <w:tcPr>
            <w:tcW w:w="1489" w:type="dxa"/>
            <w:shd w:val="clear" w:color="auto" w:fill="auto"/>
            <w:vAlign w:val="center"/>
          </w:tcPr>
          <w:p w14:paraId="64971F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12375</w:t>
            </w:r>
          </w:p>
        </w:tc>
      </w:tr>
      <w:tr w14:paraId="7167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D15518F">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w:t>
            </w:r>
          </w:p>
        </w:tc>
        <w:tc>
          <w:tcPr>
            <w:tcW w:w="1072" w:type="dxa"/>
            <w:shd w:val="clear" w:color="auto" w:fill="auto"/>
            <w:vAlign w:val="center"/>
          </w:tcPr>
          <w:p w14:paraId="15E6BB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力传感器</w:t>
            </w:r>
          </w:p>
        </w:tc>
        <w:tc>
          <w:tcPr>
            <w:tcW w:w="4897" w:type="dxa"/>
            <w:shd w:val="clear" w:color="auto" w:fill="auto"/>
            <w:vAlign w:val="center"/>
          </w:tcPr>
          <w:p w14:paraId="4FB24F8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量程：-50N～+50N；分度：0.001N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2.屏幕：内置不小于1.8寸显示屏，可脱离计算机独立显示实时数据；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3.电池：内置大容量锂离子电池，通过内置USB接口充电；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5.可分别支持Android、windows系统。</w:t>
            </w:r>
          </w:p>
        </w:tc>
        <w:tc>
          <w:tcPr>
            <w:tcW w:w="462" w:type="dxa"/>
            <w:shd w:val="clear" w:color="auto" w:fill="auto"/>
            <w:vAlign w:val="center"/>
          </w:tcPr>
          <w:p w14:paraId="06A271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20F2759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10960D7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633</w:t>
            </w:r>
          </w:p>
        </w:tc>
        <w:tc>
          <w:tcPr>
            <w:tcW w:w="1489" w:type="dxa"/>
            <w:shd w:val="clear" w:color="auto" w:fill="auto"/>
            <w:vAlign w:val="center"/>
          </w:tcPr>
          <w:p w14:paraId="678EEEA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6963</w:t>
            </w:r>
          </w:p>
        </w:tc>
      </w:tr>
      <w:tr w14:paraId="7D5F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F1A7622">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w:t>
            </w:r>
          </w:p>
        </w:tc>
        <w:tc>
          <w:tcPr>
            <w:tcW w:w="1072" w:type="dxa"/>
            <w:shd w:val="clear" w:color="auto" w:fill="auto"/>
            <w:vAlign w:val="center"/>
          </w:tcPr>
          <w:p w14:paraId="2532CB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微力传感器</w:t>
            </w:r>
          </w:p>
        </w:tc>
        <w:tc>
          <w:tcPr>
            <w:tcW w:w="4897" w:type="dxa"/>
            <w:shd w:val="clear" w:color="auto" w:fill="auto"/>
            <w:vAlign w:val="center"/>
          </w:tcPr>
          <w:p w14:paraId="28B7817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量程：-2N～2N；分度： 0.001N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2.屏幕：内置不小于1.8寸显示屏，可脱离计算机独立显示实时数据。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3.电池：内置大容量锂离子电池，通过内置的USB接口充电；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5.可分别支持Android、windows系统。</w:t>
            </w:r>
          </w:p>
        </w:tc>
        <w:tc>
          <w:tcPr>
            <w:tcW w:w="462" w:type="dxa"/>
            <w:shd w:val="clear" w:color="auto" w:fill="auto"/>
            <w:vAlign w:val="center"/>
          </w:tcPr>
          <w:p w14:paraId="22EF8B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5AB927F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0C3FD4D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798</w:t>
            </w:r>
          </w:p>
        </w:tc>
        <w:tc>
          <w:tcPr>
            <w:tcW w:w="1489" w:type="dxa"/>
            <w:shd w:val="clear" w:color="auto" w:fill="auto"/>
            <w:vAlign w:val="center"/>
          </w:tcPr>
          <w:p w14:paraId="07D47A2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8778</w:t>
            </w:r>
          </w:p>
        </w:tc>
      </w:tr>
      <w:tr w14:paraId="0F3F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90E7F31">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w:t>
            </w:r>
          </w:p>
        </w:tc>
        <w:tc>
          <w:tcPr>
            <w:tcW w:w="1072" w:type="dxa"/>
            <w:shd w:val="clear" w:color="auto" w:fill="auto"/>
            <w:vAlign w:val="center"/>
          </w:tcPr>
          <w:p w14:paraId="1C3263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光电门传感器</w:t>
            </w:r>
          </w:p>
        </w:tc>
        <w:tc>
          <w:tcPr>
            <w:tcW w:w="4897" w:type="dxa"/>
            <w:shd w:val="clear" w:color="auto" w:fill="auto"/>
            <w:vAlign w:val="center"/>
          </w:tcPr>
          <w:p w14:paraId="54304ED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量程：0～∞μs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分辨率：1μs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1.外壳采用ABS塑料注塑工艺一次成型、组装；光电门A内置显示屏，可脱离计算机独立显示实时数据，内置小型锂离子电池，可通过内置的USB接口对锂离子电池进行充电；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2.光电门A内置无线传输模块，通过数据线或无线方式与采集器相连；</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3.可检测特定物体与光电门A的距离，搭配光电门B可实现区间记时；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功能：作为常见的多功能计时工具，广泛应用于与运动有关的各类实验。</w:t>
            </w:r>
          </w:p>
        </w:tc>
        <w:tc>
          <w:tcPr>
            <w:tcW w:w="462" w:type="dxa"/>
            <w:shd w:val="clear" w:color="auto" w:fill="auto"/>
            <w:vAlign w:val="center"/>
          </w:tcPr>
          <w:p w14:paraId="5C4E775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4944EC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742503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743</w:t>
            </w:r>
          </w:p>
        </w:tc>
        <w:tc>
          <w:tcPr>
            <w:tcW w:w="1489" w:type="dxa"/>
            <w:shd w:val="clear" w:color="auto" w:fill="auto"/>
            <w:vAlign w:val="center"/>
          </w:tcPr>
          <w:p w14:paraId="4B1211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8173</w:t>
            </w:r>
          </w:p>
        </w:tc>
      </w:tr>
      <w:tr w14:paraId="21A1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8B346E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w:t>
            </w:r>
          </w:p>
        </w:tc>
        <w:tc>
          <w:tcPr>
            <w:tcW w:w="1072" w:type="dxa"/>
            <w:shd w:val="clear" w:color="auto" w:fill="auto"/>
            <w:vAlign w:val="center"/>
          </w:tcPr>
          <w:p w14:paraId="30B4521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加速度传感器</w:t>
            </w:r>
          </w:p>
        </w:tc>
        <w:tc>
          <w:tcPr>
            <w:tcW w:w="4897" w:type="dxa"/>
            <w:shd w:val="clear" w:color="auto" w:fill="auto"/>
            <w:vAlign w:val="center"/>
          </w:tcPr>
          <w:p w14:paraId="10BE9A2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量程：-16g～16g 分度：0.01g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3.电池：内置大容量锂离子电池，可通过内置的USB接口对锂离子电池进行充电；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有线：通过USB连接；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5.功能：可同时测量传感器本身或与传感器同步运行物体三个互为垂直方向上的加速度，用于与加速度有关的各类实验。</w:t>
            </w:r>
          </w:p>
        </w:tc>
        <w:tc>
          <w:tcPr>
            <w:tcW w:w="462" w:type="dxa"/>
            <w:shd w:val="clear" w:color="auto" w:fill="auto"/>
            <w:vAlign w:val="center"/>
          </w:tcPr>
          <w:p w14:paraId="7B2C4A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6D234D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7E646F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530</w:t>
            </w:r>
          </w:p>
        </w:tc>
        <w:tc>
          <w:tcPr>
            <w:tcW w:w="1489" w:type="dxa"/>
            <w:shd w:val="clear" w:color="auto" w:fill="auto"/>
            <w:vAlign w:val="center"/>
          </w:tcPr>
          <w:p w14:paraId="6E21CC2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5830</w:t>
            </w:r>
          </w:p>
        </w:tc>
      </w:tr>
      <w:tr w14:paraId="0E32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F058D5F">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w:t>
            </w:r>
          </w:p>
        </w:tc>
        <w:tc>
          <w:tcPr>
            <w:tcW w:w="1072" w:type="dxa"/>
            <w:shd w:val="clear" w:color="auto" w:fill="auto"/>
            <w:vAlign w:val="center"/>
          </w:tcPr>
          <w:p w14:paraId="530D3B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分体式位移传感器</w:t>
            </w:r>
          </w:p>
        </w:tc>
        <w:tc>
          <w:tcPr>
            <w:tcW w:w="4897" w:type="dxa"/>
            <w:shd w:val="clear" w:color="auto" w:fill="auto"/>
            <w:vAlign w:val="center"/>
          </w:tcPr>
          <w:p w14:paraId="3DBBC31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测量范围不小于0.01 m〜1.5m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分度：分辨力不大于0.01m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误差≤±1.0%FS+l字</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3.电池：内置大容量锂离子电池，可通过内置的USB接口对锂离子电池进行充电；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5.分体式设计，不应对被测量物的外观形状有特殊要求。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6.功能：反映被测物的实时位移。用于与时间位移有关的各类实验。</w:t>
            </w:r>
          </w:p>
        </w:tc>
        <w:tc>
          <w:tcPr>
            <w:tcW w:w="462" w:type="dxa"/>
            <w:shd w:val="clear" w:color="auto" w:fill="auto"/>
            <w:vAlign w:val="center"/>
          </w:tcPr>
          <w:p w14:paraId="673957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1DCE53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0F63B9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1065</w:t>
            </w:r>
          </w:p>
        </w:tc>
        <w:tc>
          <w:tcPr>
            <w:tcW w:w="1489" w:type="dxa"/>
            <w:shd w:val="clear" w:color="auto" w:fill="auto"/>
            <w:vAlign w:val="center"/>
          </w:tcPr>
          <w:p w14:paraId="7FDE4C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11715</w:t>
            </w:r>
          </w:p>
        </w:tc>
      </w:tr>
      <w:tr w14:paraId="0D18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58928DC">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w:t>
            </w:r>
          </w:p>
        </w:tc>
        <w:tc>
          <w:tcPr>
            <w:tcW w:w="1072" w:type="dxa"/>
            <w:shd w:val="clear" w:color="auto" w:fill="auto"/>
            <w:vAlign w:val="center"/>
          </w:tcPr>
          <w:p w14:paraId="09F152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磁感应强度传感器</w:t>
            </w:r>
          </w:p>
        </w:tc>
        <w:tc>
          <w:tcPr>
            <w:tcW w:w="4897" w:type="dxa"/>
            <w:shd w:val="clear" w:color="auto" w:fill="auto"/>
            <w:vAlign w:val="center"/>
          </w:tcPr>
          <w:p w14:paraId="0A020B8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量程：-130mT～130mT 分度：0.01mT</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2.屏幕：内置显示屏，支持脱离计算机独立显示实时数据；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3.电池：内置大容量锂离子电池，支持通过内置的USB接口对锂离子电池进行充电；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5.功能：用于测量空间任意点的磁场强度。</w:t>
            </w:r>
          </w:p>
        </w:tc>
        <w:tc>
          <w:tcPr>
            <w:tcW w:w="462" w:type="dxa"/>
            <w:shd w:val="clear" w:color="auto" w:fill="auto"/>
            <w:vAlign w:val="center"/>
          </w:tcPr>
          <w:p w14:paraId="0B8186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030431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52EDCE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595</w:t>
            </w:r>
          </w:p>
        </w:tc>
        <w:tc>
          <w:tcPr>
            <w:tcW w:w="1489" w:type="dxa"/>
            <w:shd w:val="clear" w:color="auto" w:fill="auto"/>
            <w:vAlign w:val="center"/>
          </w:tcPr>
          <w:p w14:paraId="081AF4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6545</w:t>
            </w:r>
          </w:p>
        </w:tc>
      </w:tr>
      <w:tr w14:paraId="7013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0B05DD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w:t>
            </w:r>
          </w:p>
        </w:tc>
        <w:tc>
          <w:tcPr>
            <w:tcW w:w="1072" w:type="dxa"/>
            <w:shd w:val="clear" w:color="auto" w:fill="auto"/>
            <w:vAlign w:val="center"/>
          </w:tcPr>
          <w:p w14:paraId="090D414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压强传感器</w:t>
            </w:r>
          </w:p>
        </w:tc>
        <w:tc>
          <w:tcPr>
            <w:tcW w:w="4897" w:type="dxa"/>
            <w:shd w:val="clear" w:color="auto" w:fill="auto"/>
            <w:vAlign w:val="center"/>
          </w:tcPr>
          <w:p w14:paraId="5C8ED6E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量程：0kPa～700kPa，分度：0.01kPa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3.电池：内置大容量锂离子电池，可通过内置的USB接口对锂离子电池进行充电；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有线：通过USB连接；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5.功能：用于与气体压力有关的各类实验。</w:t>
            </w:r>
          </w:p>
        </w:tc>
        <w:tc>
          <w:tcPr>
            <w:tcW w:w="462" w:type="dxa"/>
            <w:shd w:val="clear" w:color="auto" w:fill="auto"/>
            <w:vAlign w:val="center"/>
          </w:tcPr>
          <w:p w14:paraId="6ED831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76DDC3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34A18C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1290</w:t>
            </w:r>
          </w:p>
        </w:tc>
        <w:tc>
          <w:tcPr>
            <w:tcW w:w="1489" w:type="dxa"/>
            <w:shd w:val="clear" w:color="auto" w:fill="auto"/>
            <w:vAlign w:val="center"/>
          </w:tcPr>
          <w:p w14:paraId="349C6D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14190</w:t>
            </w:r>
          </w:p>
        </w:tc>
      </w:tr>
      <w:tr w14:paraId="7830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1B41A56">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w:t>
            </w:r>
          </w:p>
        </w:tc>
        <w:tc>
          <w:tcPr>
            <w:tcW w:w="1072" w:type="dxa"/>
            <w:shd w:val="clear" w:color="auto" w:fill="auto"/>
            <w:vAlign w:val="center"/>
          </w:tcPr>
          <w:p w14:paraId="65632EA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多量程电流传感器</w:t>
            </w:r>
          </w:p>
        </w:tc>
        <w:tc>
          <w:tcPr>
            <w:tcW w:w="4897" w:type="dxa"/>
            <w:shd w:val="clear" w:color="auto" w:fill="auto"/>
            <w:vAlign w:val="center"/>
          </w:tcPr>
          <w:p w14:paraId="2900CB1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量程：-2A～2A；-200mA～200mA；-20mA〜20mA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分度：0.01A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3.电池：内置大容量锂离子电池，通过内置USB接口充电；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有线：通过USB连接；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5.可分别支持Android、windows系统；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6.屏幕要求具备电量提示和连接状态提示功能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7.功能：用于与微小电流有关的实验。</w:t>
            </w:r>
          </w:p>
        </w:tc>
        <w:tc>
          <w:tcPr>
            <w:tcW w:w="462" w:type="dxa"/>
            <w:shd w:val="clear" w:color="auto" w:fill="auto"/>
            <w:vAlign w:val="center"/>
          </w:tcPr>
          <w:p w14:paraId="1E7B8A0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046AAD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0B9A25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990</w:t>
            </w:r>
          </w:p>
        </w:tc>
        <w:tc>
          <w:tcPr>
            <w:tcW w:w="1489" w:type="dxa"/>
            <w:shd w:val="clear" w:color="auto" w:fill="auto"/>
            <w:vAlign w:val="center"/>
          </w:tcPr>
          <w:p w14:paraId="33A2660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10890</w:t>
            </w:r>
          </w:p>
        </w:tc>
      </w:tr>
      <w:tr w14:paraId="7215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BBC7796">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14</w:t>
            </w:r>
          </w:p>
        </w:tc>
        <w:tc>
          <w:tcPr>
            <w:tcW w:w="1072" w:type="dxa"/>
            <w:shd w:val="clear" w:color="auto" w:fill="auto"/>
            <w:vAlign w:val="center"/>
          </w:tcPr>
          <w:p w14:paraId="3844B5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微电流传感器</w:t>
            </w:r>
          </w:p>
        </w:tc>
        <w:tc>
          <w:tcPr>
            <w:tcW w:w="4897" w:type="dxa"/>
            <w:shd w:val="clear" w:color="auto" w:fill="auto"/>
            <w:vAlign w:val="center"/>
          </w:tcPr>
          <w:p w14:paraId="3F06BEE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量程：-100μA～100μA；分度：0.1μA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3.电池：内置大容量锂离子电池，通过内置USB接口充电；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有线：通过USB连接；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5.可分别支持Android、windows系统；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6.屏幕要求具备电量提示和连接状态提示功能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7.功能：用于与微小电流有关的实验。</w:t>
            </w:r>
          </w:p>
        </w:tc>
        <w:tc>
          <w:tcPr>
            <w:tcW w:w="462" w:type="dxa"/>
            <w:shd w:val="clear" w:color="auto" w:fill="auto"/>
            <w:vAlign w:val="center"/>
          </w:tcPr>
          <w:p w14:paraId="00D627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32A582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1296F0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635</w:t>
            </w:r>
          </w:p>
        </w:tc>
        <w:tc>
          <w:tcPr>
            <w:tcW w:w="1489" w:type="dxa"/>
            <w:shd w:val="clear" w:color="auto" w:fill="auto"/>
            <w:vAlign w:val="center"/>
          </w:tcPr>
          <w:p w14:paraId="439CD1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6985</w:t>
            </w:r>
          </w:p>
        </w:tc>
      </w:tr>
      <w:tr w14:paraId="135E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D30F508">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15</w:t>
            </w:r>
          </w:p>
        </w:tc>
        <w:tc>
          <w:tcPr>
            <w:tcW w:w="1072" w:type="dxa"/>
            <w:shd w:val="clear" w:color="auto" w:fill="auto"/>
            <w:vAlign w:val="center"/>
          </w:tcPr>
          <w:p w14:paraId="6A3524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多量程电压传感器</w:t>
            </w:r>
          </w:p>
        </w:tc>
        <w:tc>
          <w:tcPr>
            <w:tcW w:w="4897" w:type="dxa"/>
            <w:shd w:val="clear" w:color="auto" w:fill="auto"/>
            <w:vAlign w:val="center"/>
          </w:tcPr>
          <w:p w14:paraId="13D2823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量程：-25V～25V；分度：0.01V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3.电池：内置大容量锂离子电池，通过内置USB接口充电；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有线：通过USB连接；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5.可分别支持Android、windows系统；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6.屏幕具备电量提示和连接状态提示功能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7.功能：用于与电压有关的实验。</w:t>
            </w:r>
          </w:p>
        </w:tc>
        <w:tc>
          <w:tcPr>
            <w:tcW w:w="462" w:type="dxa"/>
            <w:shd w:val="clear" w:color="auto" w:fill="auto"/>
            <w:vAlign w:val="center"/>
          </w:tcPr>
          <w:p w14:paraId="0DDAC1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1C3136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270F7E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1015</w:t>
            </w:r>
          </w:p>
        </w:tc>
        <w:tc>
          <w:tcPr>
            <w:tcW w:w="1489" w:type="dxa"/>
            <w:shd w:val="clear" w:color="auto" w:fill="auto"/>
            <w:vAlign w:val="center"/>
          </w:tcPr>
          <w:p w14:paraId="186C72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11165</w:t>
            </w:r>
          </w:p>
        </w:tc>
      </w:tr>
      <w:tr w14:paraId="4B10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4E44B64">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16</w:t>
            </w:r>
          </w:p>
        </w:tc>
        <w:tc>
          <w:tcPr>
            <w:tcW w:w="1072" w:type="dxa"/>
            <w:shd w:val="clear" w:color="auto" w:fill="auto"/>
            <w:vAlign w:val="center"/>
          </w:tcPr>
          <w:p w14:paraId="352D0B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工作服</w:t>
            </w:r>
          </w:p>
        </w:tc>
        <w:tc>
          <w:tcPr>
            <w:tcW w:w="4897" w:type="dxa"/>
            <w:shd w:val="clear" w:color="auto" w:fill="auto"/>
            <w:vAlign w:val="center"/>
          </w:tcPr>
          <w:p w14:paraId="1C16755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棉，纯白色，由布料制成，防酸碱。长度不小于90cm</w:t>
            </w:r>
          </w:p>
        </w:tc>
        <w:tc>
          <w:tcPr>
            <w:tcW w:w="462" w:type="dxa"/>
            <w:shd w:val="clear" w:color="auto" w:fill="auto"/>
            <w:vAlign w:val="center"/>
          </w:tcPr>
          <w:p w14:paraId="24A151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件</w:t>
            </w:r>
          </w:p>
        </w:tc>
        <w:tc>
          <w:tcPr>
            <w:tcW w:w="605" w:type="dxa"/>
            <w:shd w:val="clear" w:color="auto" w:fill="auto"/>
            <w:vAlign w:val="center"/>
          </w:tcPr>
          <w:p w14:paraId="5BAFE2A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048" w:type="dxa"/>
            <w:shd w:val="clear" w:color="auto" w:fill="auto"/>
            <w:vAlign w:val="center"/>
          </w:tcPr>
          <w:p w14:paraId="0597D71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w:t>
            </w:r>
          </w:p>
        </w:tc>
        <w:tc>
          <w:tcPr>
            <w:tcW w:w="1489" w:type="dxa"/>
            <w:shd w:val="clear" w:color="auto" w:fill="auto"/>
            <w:vAlign w:val="center"/>
          </w:tcPr>
          <w:p w14:paraId="2D23A2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3300</w:t>
            </w:r>
          </w:p>
        </w:tc>
      </w:tr>
      <w:tr w14:paraId="7109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4960515">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17</w:t>
            </w:r>
          </w:p>
        </w:tc>
        <w:tc>
          <w:tcPr>
            <w:tcW w:w="1072" w:type="dxa"/>
            <w:shd w:val="clear" w:color="auto" w:fill="auto"/>
            <w:vAlign w:val="center"/>
          </w:tcPr>
          <w:p w14:paraId="6A4DDF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机械危害防护手套</w:t>
            </w:r>
          </w:p>
        </w:tc>
        <w:tc>
          <w:tcPr>
            <w:tcW w:w="4897" w:type="dxa"/>
            <w:shd w:val="clear" w:color="auto" w:fill="auto"/>
            <w:vAlign w:val="center"/>
          </w:tcPr>
          <w:p w14:paraId="4876C3E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3级</w:t>
            </w:r>
          </w:p>
        </w:tc>
        <w:tc>
          <w:tcPr>
            <w:tcW w:w="462" w:type="dxa"/>
            <w:shd w:val="clear" w:color="auto" w:fill="auto"/>
            <w:vAlign w:val="center"/>
          </w:tcPr>
          <w:p w14:paraId="0F46E5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w:t>
            </w:r>
          </w:p>
        </w:tc>
        <w:tc>
          <w:tcPr>
            <w:tcW w:w="605" w:type="dxa"/>
            <w:shd w:val="clear" w:color="auto" w:fill="auto"/>
            <w:vAlign w:val="center"/>
          </w:tcPr>
          <w:p w14:paraId="2DE575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048" w:type="dxa"/>
            <w:shd w:val="clear" w:color="auto" w:fill="auto"/>
            <w:vAlign w:val="center"/>
          </w:tcPr>
          <w:p w14:paraId="56E0ACF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489" w:type="dxa"/>
            <w:shd w:val="clear" w:color="auto" w:fill="auto"/>
            <w:vAlign w:val="center"/>
          </w:tcPr>
          <w:p w14:paraId="04594DC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w:t>
            </w:r>
          </w:p>
        </w:tc>
      </w:tr>
      <w:tr w14:paraId="0572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1A7B42F">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18</w:t>
            </w:r>
          </w:p>
        </w:tc>
        <w:tc>
          <w:tcPr>
            <w:tcW w:w="1072" w:type="dxa"/>
            <w:shd w:val="clear" w:color="auto" w:fill="auto"/>
            <w:vAlign w:val="center"/>
          </w:tcPr>
          <w:p w14:paraId="19B810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绝缘手套</w:t>
            </w:r>
          </w:p>
        </w:tc>
        <w:tc>
          <w:tcPr>
            <w:tcW w:w="4897" w:type="dxa"/>
            <w:shd w:val="clear" w:color="auto" w:fill="auto"/>
            <w:vAlign w:val="center"/>
          </w:tcPr>
          <w:p w14:paraId="4554EC7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全手掌绝缘</w:t>
            </w:r>
          </w:p>
        </w:tc>
        <w:tc>
          <w:tcPr>
            <w:tcW w:w="462" w:type="dxa"/>
            <w:shd w:val="clear" w:color="auto" w:fill="auto"/>
            <w:vAlign w:val="center"/>
          </w:tcPr>
          <w:p w14:paraId="65FFE4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w:t>
            </w:r>
          </w:p>
        </w:tc>
        <w:tc>
          <w:tcPr>
            <w:tcW w:w="605" w:type="dxa"/>
            <w:shd w:val="clear" w:color="auto" w:fill="auto"/>
            <w:vAlign w:val="center"/>
          </w:tcPr>
          <w:p w14:paraId="24F7DB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048" w:type="dxa"/>
            <w:shd w:val="clear" w:color="auto" w:fill="auto"/>
            <w:vAlign w:val="center"/>
          </w:tcPr>
          <w:p w14:paraId="539BE6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1489" w:type="dxa"/>
            <w:shd w:val="clear" w:color="auto" w:fill="auto"/>
            <w:vAlign w:val="center"/>
          </w:tcPr>
          <w:p w14:paraId="1EF704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780</w:t>
            </w:r>
          </w:p>
        </w:tc>
      </w:tr>
      <w:tr w14:paraId="3DD8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5E53E9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19</w:t>
            </w:r>
          </w:p>
        </w:tc>
        <w:tc>
          <w:tcPr>
            <w:tcW w:w="1072" w:type="dxa"/>
            <w:shd w:val="clear" w:color="auto" w:fill="auto"/>
            <w:vAlign w:val="center"/>
          </w:tcPr>
          <w:p w14:paraId="469DC99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套袖</w:t>
            </w:r>
          </w:p>
        </w:tc>
        <w:tc>
          <w:tcPr>
            <w:tcW w:w="4897" w:type="dxa"/>
            <w:shd w:val="clear" w:color="auto" w:fill="auto"/>
            <w:vAlign w:val="center"/>
          </w:tcPr>
          <w:p w14:paraId="2E4B974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棉</w:t>
            </w:r>
          </w:p>
        </w:tc>
        <w:tc>
          <w:tcPr>
            <w:tcW w:w="462" w:type="dxa"/>
            <w:shd w:val="clear" w:color="auto" w:fill="auto"/>
            <w:vAlign w:val="center"/>
          </w:tcPr>
          <w:p w14:paraId="24F818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5CD485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048" w:type="dxa"/>
            <w:shd w:val="clear" w:color="auto" w:fill="auto"/>
            <w:vAlign w:val="center"/>
          </w:tcPr>
          <w:p w14:paraId="600679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1489" w:type="dxa"/>
            <w:shd w:val="clear" w:color="auto" w:fill="auto"/>
            <w:vAlign w:val="center"/>
          </w:tcPr>
          <w:p w14:paraId="73812E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1140</w:t>
            </w:r>
          </w:p>
        </w:tc>
      </w:tr>
      <w:tr w14:paraId="427B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AF5915C">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20</w:t>
            </w:r>
          </w:p>
        </w:tc>
        <w:tc>
          <w:tcPr>
            <w:tcW w:w="1072" w:type="dxa"/>
            <w:shd w:val="clear" w:color="auto" w:fill="auto"/>
            <w:vAlign w:val="center"/>
          </w:tcPr>
          <w:p w14:paraId="29D63BA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激光防护镜</w:t>
            </w:r>
          </w:p>
        </w:tc>
        <w:tc>
          <w:tcPr>
            <w:tcW w:w="4897" w:type="dxa"/>
            <w:shd w:val="clear" w:color="auto" w:fill="auto"/>
            <w:vAlign w:val="center"/>
          </w:tcPr>
          <w:p w14:paraId="1ABB6F9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激光类实验用，需与激光波长匹配</w:t>
            </w:r>
          </w:p>
        </w:tc>
        <w:tc>
          <w:tcPr>
            <w:tcW w:w="462" w:type="dxa"/>
            <w:shd w:val="clear" w:color="auto" w:fill="auto"/>
            <w:vAlign w:val="center"/>
          </w:tcPr>
          <w:p w14:paraId="23B4488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564FFD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048" w:type="dxa"/>
            <w:shd w:val="clear" w:color="auto" w:fill="auto"/>
            <w:vAlign w:val="center"/>
          </w:tcPr>
          <w:p w14:paraId="55AF6FE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73</w:t>
            </w:r>
          </w:p>
        </w:tc>
        <w:tc>
          <w:tcPr>
            <w:tcW w:w="1489" w:type="dxa"/>
            <w:shd w:val="clear" w:color="auto" w:fill="auto"/>
            <w:vAlign w:val="center"/>
          </w:tcPr>
          <w:p w14:paraId="466597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4380</w:t>
            </w:r>
          </w:p>
        </w:tc>
      </w:tr>
      <w:tr w14:paraId="1CA7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5F2AE0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21</w:t>
            </w:r>
          </w:p>
        </w:tc>
        <w:tc>
          <w:tcPr>
            <w:tcW w:w="1072" w:type="dxa"/>
            <w:shd w:val="clear" w:color="auto" w:fill="auto"/>
            <w:vAlign w:val="center"/>
          </w:tcPr>
          <w:p w14:paraId="6A0BEC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护目镜</w:t>
            </w:r>
          </w:p>
        </w:tc>
        <w:tc>
          <w:tcPr>
            <w:tcW w:w="4897" w:type="dxa"/>
            <w:shd w:val="clear" w:color="auto" w:fill="auto"/>
            <w:vAlign w:val="center"/>
          </w:tcPr>
          <w:p w14:paraId="666FA6A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防机械冲击</w:t>
            </w:r>
          </w:p>
        </w:tc>
        <w:tc>
          <w:tcPr>
            <w:tcW w:w="462" w:type="dxa"/>
            <w:shd w:val="clear" w:color="auto" w:fill="auto"/>
            <w:vAlign w:val="center"/>
          </w:tcPr>
          <w:p w14:paraId="645932A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4CF81B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048" w:type="dxa"/>
            <w:shd w:val="clear" w:color="auto" w:fill="auto"/>
            <w:vAlign w:val="center"/>
          </w:tcPr>
          <w:p w14:paraId="654ECA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489" w:type="dxa"/>
            <w:shd w:val="clear" w:color="auto" w:fill="auto"/>
            <w:vAlign w:val="center"/>
          </w:tcPr>
          <w:p w14:paraId="1ACBEF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480</w:t>
            </w:r>
          </w:p>
        </w:tc>
      </w:tr>
      <w:tr w14:paraId="55C8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E67DB35">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22</w:t>
            </w:r>
          </w:p>
        </w:tc>
        <w:tc>
          <w:tcPr>
            <w:tcW w:w="1072" w:type="dxa"/>
            <w:shd w:val="clear" w:color="auto" w:fill="auto"/>
            <w:vAlign w:val="center"/>
          </w:tcPr>
          <w:p w14:paraId="21517B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灭火毯</w:t>
            </w:r>
          </w:p>
        </w:tc>
        <w:tc>
          <w:tcPr>
            <w:tcW w:w="4897" w:type="dxa"/>
            <w:shd w:val="clear" w:color="auto" w:fill="auto"/>
            <w:vAlign w:val="center"/>
          </w:tcPr>
          <w:p w14:paraId="4DF942D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玻璃纤维材质，1200mm×1800mm</w:t>
            </w:r>
          </w:p>
        </w:tc>
        <w:tc>
          <w:tcPr>
            <w:tcW w:w="462" w:type="dxa"/>
            <w:shd w:val="clear" w:color="auto" w:fill="auto"/>
            <w:vAlign w:val="center"/>
          </w:tcPr>
          <w:p w14:paraId="6E8613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w:t>
            </w:r>
          </w:p>
        </w:tc>
        <w:tc>
          <w:tcPr>
            <w:tcW w:w="605" w:type="dxa"/>
            <w:shd w:val="clear" w:color="auto" w:fill="auto"/>
            <w:vAlign w:val="center"/>
          </w:tcPr>
          <w:p w14:paraId="2896284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2394E3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98</w:t>
            </w:r>
          </w:p>
        </w:tc>
        <w:tc>
          <w:tcPr>
            <w:tcW w:w="1489" w:type="dxa"/>
            <w:shd w:val="clear" w:color="auto" w:fill="auto"/>
            <w:vAlign w:val="center"/>
          </w:tcPr>
          <w:p w14:paraId="21EB2A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98</w:t>
            </w:r>
          </w:p>
        </w:tc>
      </w:tr>
      <w:tr w14:paraId="2BFE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1F5E05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23</w:t>
            </w:r>
          </w:p>
        </w:tc>
        <w:tc>
          <w:tcPr>
            <w:tcW w:w="1072" w:type="dxa"/>
            <w:shd w:val="clear" w:color="auto" w:fill="auto"/>
            <w:vAlign w:val="center"/>
          </w:tcPr>
          <w:p w14:paraId="20ACF8E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仪器车</w:t>
            </w:r>
          </w:p>
        </w:tc>
        <w:tc>
          <w:tcPr>
            <w:tcW w:w="4897" w:type="dxa"/>
            <w:shd w:val="clear" w:color="auto" w:fill="auto"/>
            <w:vAlign w:val="center"/>
          </w:tcPr>
          <w:p w14:paraId="26D644D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600mm×400mm×1000mm,橡胶包车轮,车轮Ø75mm,厚25mm；2轮带刹车，车轮固定，车架扭动量（上部）≤20mm；钢材制作，载重≥60kg</w:t>
            </w:r>
          </w:p>
        </w:tc>
        <w:tc>
          <w:tcPr>
            <w:tcW w:w="462" w:type="dxa"/>
            <w:shd w:val="clear" w:color="auto" w:fill="auto"/>
            <w:vAlign w:val="center"/>
          </w:tcPr>
          <w:p w14:paraId="051C7E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辆</w:t>
            </w:r>
          </w:p>
        </w:tc>
        <w:tc>
          <w:tcPr>
            <w:tcW w:w="605" w:type="dxa"/>
            <w:shd w:val="clear" w:color="auto" w:fill="auto"/>
            <w:vAlign w:val="center"/>
          </w:tcPr>
          <w:p w14:paraId="313067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290FD4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576</w:t>
            </w:r>
          </w:p>
        </w:tc>
        <w:tc>
          <w:tcPr>
            <w:tcW w:w="1489" w:type="dxa"/>
            <w:shd w:val="clear" w:color="auto" w:fill="auto"/>
            <w:vAlign w:val="center"/>
          </w:tcPr>
          <w:p w14:paraId="5F571C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576</w:t>
            </w:r>
          </w:p>
        </w:tc>
      </w:tr>
      <w:tr w14:paraId="233C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22FE783">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24</w:t>
            </w:r>
          </w:p>
        </w:tc>
        <w:tc>
          <w:tcPr>
            <w:tcW w:w="1072" w:type="dxa"/>
            <w:shd w:val="clear" w:color="auto" w:fill="auto"/>
            <w:vAlign w:val="center"/>
          </w:tcPr>
          <w:p w14:paraId="12D1797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小托盘</w:t>
            </w:r>
          </w:p>
        </w:tc>
        <w:tc>
          <w:tcPr>
            <w:tcW w:w="4897" w:type="dxa"/>
            <w:shd w:val="clear" w:color="auto" w:fill="auto"/>
            <w:vAlign w:val="center"/>
          </w:tcPr>
          <w:p w14:paraId="092D7AC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250mmX350mmX60mm</w:t>
            </w:r>
          </w:p>
        </w:tc>
        <w:tc>
          <w:tcPr>
            <w:tcW w:w="462" w:type="dxa"/>
            <w:shd w:val="clear" w:color="auto" w:fill="auto"/>
            <w:vAlign w:val="center"/>
          </w:tcPr>
          <w:p w14:paraId="30CC3F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26ABBF4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25D4E0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489" w:type="dxa"/>
            <w:shd w:val="clear" w:color="auto" w:fill="auto"/>
            <w:vAlign w:val="center"/>
          </w:tcPr>
          <w:p w14:paraId="72AAF3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154</w:t>
            </w:r>
          </w:p>
        </w:tc>
      </w:tr>
      <w:tr w14:paraId="5E76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24718F9">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25</w:t>
            </w:r>
          </w:p>
        </w:tc>
        <w:tc>
          <w:tcPr>
            <w:tcW w:w="1072" w:type="dxa"/>
            <w:shd w:val="clear" w:color="auto" w:fill="auto"/>
            <w:vAlign w:val="center"/>
          </w:tcPr>
          <w:p w14:paraId="0C95E02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大托盘</w:t>
            </w:r>
          </w:p>
        </w:tc>
        <w:tc>
          <w:tcPr>
            <w:tcW w:w="4897" w:type="dxa"/>
            <w:shd w:val="clear" w:color="auto" w:fill="auto"/>
            <w:vAlign w:val="center"/>
          </w:tcPr>
          <w:p w14:paraId="6CC3F30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350mmX470mmX80mm</w:t>
            </w:r>
          </w:p>
        </w:tc>
        <w:tc>
          <w:tcPr>
            <w:tcW w:w="462" w:type="dxa"/>
            <w:shd w:val="clear" w:color="auto" w:fill="auto"/>
            <w:vAlign w:val="center"/>
          </w:tcPr>
          <w:p w14:paraId="344F57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62E4F1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04063D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1489" w:type="dxa"/>
            <w:shd w:val="clear" w:color="auto" w:fill="auto"/>
            <w:vAlign w:val="center"/>
          </w:tcPr>
          <w:p w14:paraId="7E60B1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176</w:t>
            </w:r>
          </w:p>
        </w:tc>
      </w:tr>
      <w:tr w14:paraId="4F21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44A9ADE">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26</w:t>
            </w:r>
          </w:p>
        </w:tc>
        <w:tc>
          <w:tcPr>
            <w:tcW w:w="1072" w:type="dxa"/>
            <w:shd w:val="clear" w:color="auto" w:fill="auto"/>
            <w:vAlign w:val="center"/>
          </w:tcPr>
          <w:p w14:paraId="6D242E1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提盒</w:t>
            </w:r>
          </w:p>
        </w:tc>
        <w:tc>
          <w:tcPr>
            <w:tcW w:w="4897" w:type="dxa"/>
            <w:shd w:val="clear" w:color="auto" w:fill="auto"/>
            <w:vAlign w:val="center"/>
          </w:tcPr>
          <w:p w14:paraId="2008CA2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承重大于3000g</w:t>
            </w:r>
          </w:p>
        </w:tc>
        <w:tc>
          <w:tcPr>
            <w:tcW w:w="462" w:type="dxa"/>
            <w:shd w:val="clear" w:color="auto" w:fill="auto"/>
            <w:vAlign w:val="center"/>
          </w:tcPr>
          <w:p w14:paraId="0C3FEA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0B19A9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729368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68</w:t>
            </w:r>
          </w:p>
        </w:tc>
        <w:tc>
          <w:tcPr>
            <w:tcW w:w="1489" w:type="dxa"/>
            <w:shd w:val="clear" w:color="auto" w:fill="auto"/>
            <w:vAlign w:val="center"/>
          </w:tcPr>
          <w:p w14:paraId="1C283FB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748</w:t>
            </w:r>
          </w:p>
        </w:tc>
      </w:tr>
      <w:tr w14:paraId="1715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23BAE8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27</w:t>
            </w:r>
          </w:p>
        </w:tc>
        <w:tc>
          <w:tcPr>
            <w:tcW w:w="1072" w:type="dxa"/>
            <w:shd w:val="clear" w:color="auto" w:fill="auto"/>
            <w:vAlign w:val="center"/>
          </w:tcPr>
          <w:p w14:paraId="06A247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一字螺 丝刀</w:t>
            </w:r>
          </w:p>
        </w:tc>
        <w:tc>
          <w:tcPr>
            <w:tcW w:w="4897" w:type="dxa"/>
            <w:shd w:val="clear" w:color="auto" w:fill="auto"/>
            <w:vAlign w:val="center"/>
          </w:tcPr>
          <w:p w14:paraId="1A91920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Ø6mm,长150 mm；Ø3mm,长75 mm；工作部带磁性，硬度不低于HRC48；旋杆采用铬钒钢，长度不小于100mm,应经镀铬防锈处理，手柄采用高强度PP+高强性TPR注塑成型</w:t>
            </w:r>
          </w:p>
        </w:tc>
        <w:tc>
          <w:tcPr>
            <w:tcW w:w="462" w:type="dxa"/>
            <w:shd w:val="clear" w:color="auto" w:fill="auto"/>
            <w:vAlign w:val="center"/>
          </w:tcPr>
          <w:p w14:paraId="5D9B89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32EE63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7E617A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489" w:type="dxa"/>
            <w:shd w:val="clear" w:color="auto" w:fill="auto"/>
            <w:vAlign w:val="center"/>
          </w:tcPr>
          <w:p w14:paraId="7C9C66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w:t>
            </w:r>
          </w:p>
        </w:tc>
      </w:tr>
      <w:tr w14:paraId="2584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A35D88C">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28</w:t>
            </w:r>
          </w:p>
        </w:tc>
        <w:tc>
          <w:tcPr>
            <w:tcW w:w="1072" w:type="dxa"/>
            <w:shd w:val="clear" w:color="auto" w:fill="auto"/>
            <w:vAlign w:val="center"/>
          </w:tcPr>
          <w:p w14:paraId="6EC12D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十字螺 丝刀</w:t>
            </w:r>
          </w:p>
        </w:tc>
        <w:tc>
          <w:tcPr>
            <w:tcW w:w="4897" w:type="dxa"/>
            <w:shd w:val="clear" w:color="auto" w:fill="auto"/>
            <w:vAlign w:val="center"/>
          </w:tcPr>
          <w:p w14:paraId="03EE172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Ø6mm,长150 mm；Ø3mm,长75 mm；工作部带磁性，硬度不低于HRC48；旋杆采用铬钒钢，长度不小于100mm,应经镀铬防锈处理，手柄采用高强度PP+高强性TPR注塑成型</w:t>
            </w:r>
          </w:p>
        </w:tc>
        <w:tc>
          <w:tcPr>
            <w:tcW w:w="462" w:type="dxa"/>
            <w:shd w:val="clear" w:color="auto" w:fill="auto"/>
            <w:vAlign w:val="center"/>
          </w:tcPr>
          <w:p w14:paraId="5FFAC8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32EB8D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11A42D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489" w:type="dxa"/>
            <w:shd w:val="clear" w:color="auto" w:fill="auto"/>
            <w:vAlign w:val="center"/>
          </w:tcPr>
          <w:p w14:paraId="626DB3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w:t>
            </w:r>
          </w:p>
        </w:tc>
      </w:tr>
      <w:tr w14:paraId="68CD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295975E">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29</w:t>
            </w:r>
          </w:p>
        </w:tc>
        <w:tc>
          <w:tcPr>
            <w:tcW w:w="1072" w:type="dxa"/>
            <w:shd w:val="clear" w:color="auto" w:fill="auto"/>
            <w:vAlign w:val="center"/>
          </w:tcPr>
          <w:p w14:paraId="6FDCE0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剥线钳</w:t>
            </w:r>
          </w:p>
        </w:tc>
        <w:tc>
          <w:tcPr>
            <w:tcW w:w="4897" w:type="dxa"/>
            <w:shd w:val="clear" w:color="auto" w:fill="auto"/>
            <w:vAlign w:val="center"/>
          </w:tcPr>
          <w:p w14:paraId="079478E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用于剥离线芯直径为0.5mm</w:t>
            </w:r>
            <w:r>
              <w:rPr>
                <w:rStyle w:val="40"/>
                <w:lang w:bidi="ar"/>
              </w:rPr>
              <w:t>〜</w:t>
            </w:r>
            <w:r>
              <w:rPr>
                <w:rStyle w:val="41"/>
                <w:rFonts w:hint="default"/>
                <w:lang w:bidi="ar"/>
              </w:rPr>
              <w:t>2.5mm的导线；刃口闭合状态间隙应不大于0.3mm,刃口错位应不大于0.2mm；剥线刃口硬度不应低于40HRC；剪切刃口硬度应为50HRC</w:t>
            </w:r>
            <w:r>
              <w:rPr>
                <w:rStyle w:val="40"/>
                <w:lang w:bidi="ar"/>
              </w:rPr>
              <w:t>〜</w:t>
            </w:r>
            <w:r>
              <w:rPr>
                <w:rStyle w:val="41"/>
                <w:rFonts w:hint="default"/>
                <w:lang w:bidi="ar"/>
              </w:rPr>
              <w:t>59HRC</w:t>
            </w:r>
          </w:p>
        </w:tc>
        <w:tc>
          <w:tcPr>
            <w:tcW w:w="462" w:type="dxa"/>
            <w:shd w:val="clear" w:color="auto" w:fill="auto"/>
            <w:vAlign w:val="center"/>
          </w:tcPr>
          <w:p w14:paraId="65F00F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458C1D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2B63792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1489" w:type="dxa"/>
            <w:shd w:val="clear" w:color="auto" w:fill="auto"/>
            <w:vAlign w:val="center"/>
          </w:tcPr>
          <w:p w14:paraId="222B0E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r>
      <w:tr w14:paraId="6A11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60FC062">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30</w:t>
            </w:r>
          </w:p>
        </w:tc>
        <w:tc>
          <w:tcPr>
            <w:tcW w:w="1072" w:type="dxa"/>
            <w:shd w:val="clear" w:color="auto" w:fill="auto"/>
            <w:vAlign w:val="center"/>
          </w:tcPr>
          <w:p w14:paraId="155441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钢丝钳</w:t>
            </w:r>
          </w:p>
        </w:tc>
        <w:tc>
          <w:tcPr>
            <w:tcW w:w="4897" w:type="dxa"/>
            <w:shd w:val="clear" w:color="auto" w:fill="auto"/>
            <w:vAlign w:val="center"/>
          </w:tcPr>
          <w:p w14:paraId="5C5613F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160mm,抗弯强度1120N,扭力矩15N•m,15</w:t>
            </w:r>
            <w:r>
              <w:rPr>
                <w:rStyle w:val="42"/>
                <w:rFonts w:hint="default"/>
                <w:lang w:bidi="ar"/>
              </w:rPr>
              <w:t>。</w:t>
            </w:r>
            <w:r>
              <w:rPr>
                <w:rStyle w:val="41"/>
                <w:rFonts w:hint="default"/>
                <w:lang w:bidi="ar"/>
              </w:rPr>
              <w:t>；剪切性能Ø1.6mm钢丝，580N；夹持面硬度不低于44HRC；PVC环保手柄，在不大于18N的力作用下撑开角度不小于22</w:t>
            </w:r>
            <w:r>
              <w:rPr>
                <w:rStyle w:val="42"/>
                <w:rFonts w:hint="default"/>
                <w:lang w:bidi="ar"/>
              </w:rPr>
              <w:t>。</w:t>
            </w:r>
          </w:p>
        </w:tc>
        <w:tc>
          <w:tcPr>
            <w:tcW w:w="462" w:type="dxa"/>
            <w:shd w:val="clear" w:color="auto" w:fill="auto"/>
            <w:vAlign w:val="center"/>
          </w:tcPr>
          <w:p w14:paraId="6D4823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038B7C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193430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1489" w:type="dxa"/>
            <w:shd w:val="clear" w:color="auto" w:fill="auto"/>
            <w:vAlign w:val="center"/>
          </w:tcPr>
          <w:p w14:paraId="0235EEA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r>
      <w:tr w14:paraId="1443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3E0658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31</w:t>
            </w:r>
          </w:p>
        </w:tc>
        <w:tc>
          <w:tcPr>
            <w:tcW w:w="1072" w:type="dxa"/>
            <w:shd w:val="clear" w:color="auto" w:fill="auto"/>
            <w:vAlign w:val="center"/>
          </w:tcPr>
          <w:p w14:paraId="42A454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尖嘴钳</w:t>
            </w:r>
          </w:p>
        </w:tc>
        <w:tc>
          <w:tcPr>
            <w:tcW w:w="4897" w:type="dxa"/>
            <w:shd w:val="clear" w:color="auto" w:fill="auto"/>
            <w:vAlign w:val="center"/>
          </w:tcPr>
          <w:p w14:paraId="35496AA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160mm,抗弯强度710N,剪切性能Ø1.6mm钢丝，570N；在不大于18N的力作用下撑开角度不小于22</w:t>
            </w:r>
            <w:r>
              <w:rPr>
                <w:rStyle w:val="42"/>
                <w:rFonts w:hint="default"/>
                <w:lang w:bidi="ar"/>
              </w:rPr>
              <w:t>。</w:t>
            </w:r>
            <w:r>
              <w:rPr>
                <w:rStyle w:val="41"/>
                <w:rFonts w:hint="default"/>
                <w:lang w:bidi="ar"/>
              </w:rPr>
              <w:t>，硬度不低于44HRC，PVC环保手柄</w:t>
            </w:r>
          </w:p>
        </w:tc>
        <w:tc>
          <w:tcPr>
            <w:tcW w:w="462" w:type="dxa"/>
            <w:shd w:val="clear" w:color="auto" w:fill="auto"/>
            <w:vAlign w:val="center"/>
          </w:tcPr>
          <w:p w14:paraId="5C8DEB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4B86DAE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0F87C1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489" w:type="dxa"/>
            <w:shd w:val="clear" w:color="auto" w:fill="auto"/>
            <w:vAlign w:val="center"/>
          </w:tcPr>
          <w:p w14:paraId="66137A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r>
      <w:tr w14:paraId="25D3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7F6979C">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32</w:t>
            </w:r>
          </w:p>
        </w:tc>
        <w:tc>
          <w:tcPr>
            <w:tcW w:w="1072" w:type="dxa"/>
            <w:shd w:val="clear" w:color="auto" w:fill="auto"/>
            <w:vAlign w:val="center"/>
          </w:tcPr>
          <w:p w14:paraId="4A2320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斜口钳</w:t>
            </w:r>
          </w:p>
        </w:tc>
        <w:tc>
          <w:tcPr>
            <w:tcW w:w="4897" w:type="dxa"/>
            <w:shd w:val="clear" w:color="auto" w:fill="auto"/>
            <w:vAlign w:val="center"/>
          </w:tcPr>
          <w:p w14:paraId="40AF20E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125mm,双刃刀</w:t>
            </w:r>
          </w:p>
        </w:tc>
        <w:tc>
          <w:tcPr>
            <w:tcW w:w="462" w:type="dxa"/>
            <w:shd w:val="clear" w:color="auto" w:fill="auto"/>
            <w:vAlign w:val="center"/>
          </w:tcPr>
          <w:p w14:paraId="198D5C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5F3421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6DF83C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1489" w:type="dxa"/>
            <w:shd w:val="clear" w:color="auto" w:fill="auto"/>
            <w:vAlign w:val="center"/>
          </w:tcPr>
          <w:p w14:paraId="674038E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r>
      <w:tr w14:paraId="7126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B5FBDB9">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33</w:t>
            </w:r>
          </w:p>
        </w:tc>
        <w:tc>
          <w:tcPr>
            <w:tcW w:w="1072" w:type="dxa"/>
            <w:shd w:val="clear" w:color="auto" w:fill="auto"/>
            <w:vAlign w:val="center"/>
          </w:tcPr>
          <w:p w14:paraId="62FE230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砂纸</w:t>
            </w:r>
          </w:p>
        </w:tc>
        <w:tc>
          <w:tcPr>
            <w:tcW w:w="4897" w:type="dxa"/>
            <w:shd w:val="clear" w:color="auto" w:fill="auto"/>
            <w:vAlign w:val="center"/>
          </w:tcPr>
          <w:p w14:paraId="4A92553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A4300目</w:t>
            </w:r>
          </w:p>
        </w:tc>
        <w:tc>
          <w:tcPr>
            <w:tcW w:w="462" w:type="dxa"/>
            <w:shd w:val="clear" w:color="auto" w:fill="auto"/>
            <w:vAlign w:val="center"/>
          </w:tcPr>
          <w:p w14:paraId="6ADC66D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w:t>
            </w:r>
          </w:p>
        </w:tc>
        <w:tc>
          <w:tcPr>
            <w:tcW w:w="605" w:type="dxa"/>
            <w:shd w:val="clear" w:color="auto" w:fill="auto"/>
            <w:vAlign w:val="center"/>
          </w:tcPr>
          <w:p w14:paraId="246124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048" w:type="dxa"/>
            <w:shd w:val="clear" w:color="auto" w:fill="auto"/>
            <w:vAlign w:val="center"/>
          </w:tcPr>
          <w:p w14:paraId="3DB32B6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489" w:type="dxa"/>
            <w:shd w:val="clear" w:color="auto" w:fill="auto"/>
            <w:vAlign w:val="center"/>
          </w:tcPr>
          <w:p w14:paraId="1D94D11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w:t>
            </w:r>
          </w:p>
        </w:tc>
      </w:tr>
      <w:tr w14:paraId="6829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777D27A">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34</w:t>
            </w:r>
          </w:p>
        </w:tc>
        <w:tc>
          <w:tcPr>
            <w:tcW w:w="1072" w:type="dxa"/>
            <w:shd w:val="clear" w:color="auto" w:fill="auto"/>
            <w:vAlign w:val="center"/>
          </w:tcPr>
          <w:p w14:paraId="4AD2863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民用剪刀</w:t>
            </w:r>
          </w:p>
        </w:tc>
        <w:tc>
          <w:tcPr>
            <w:tcW w:w="4897" w:type="dxa"/>
            <w:shd w:val="clear" w:color="auto" w:fill="auto"/>
            <w:vAlign w:val="center"/>
          </w:tcPr>
          <w:p w14:paraId="097485A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长170mm,用于剪布</w:t>
            </w:r>
          </w:p>
        </w:tc>
        <w:tc>
          <w:tcPr>
            <w:tcW w:w="462" w:type="dxa"/>
            <w:shd w:val="clear" w:color="auto" w:fill="auto"/>
            <w:vAlign w:val="center"/>
          </w:tcPr>
          <w:p w14:paraId="56378F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2C97D0D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7342F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489" w:type="dxa"/>
            <w:shd w:val="clear" w:color="auto" w:fill="auto"/>
            <w:vAlign w:val="center"/>
          </w:tcPr>
          <w:p w14:paraId="0819FDC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r>
      <w:tr w14:paraId="1C6E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677852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35</w:t>
            </w:r>
          </w:p>
        </w:tc>
        <w:tc>
          <w:tcPr>
            <w:tcW w:w="1072" w:type="dxa"/>
            <w:shd w:val="clear" w:color="auto" w:fill="auto"/>
            <w:vAlign w:val="center"/>
          </w:tcPr>
          <w:p w14:paraId="023C70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电烙铁 套装</w:t>
            </w:r>
          </w:p>
        </w:tc>
        <w:tc>
          <w:tcPr>
            <w:tcW w:w="4897" w:type="dxa"/>
            <w:shd w:val="clear" w:color="auto" w:fill="auto"/>
            <w:vAlign w:val="center"/>
          </w:tcPr>
          <w:p w14:paraId="63BF57E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20W,内热式，橡胶线，含烙铁架</w:t>
            </w:r>
          </w:p>
        </w:tc>
        <w:tc>
          <w:tcPr>
            <w:tcW w:w="462" w:type="dxa"/>
            <w:shd w:val="clear" w:color="auto" w:fill="auto"/>
            <w:vAlign w:val="center"/>
          </w:tcPr>
          <w:p w14:paraId="3E9D5D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360FEA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1BAB853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1489" w:type="dxa"/>
            <w:shd w:val="clear" w:color="auto" w:fill="auto"/>
            <w:vAlign w:val="center"/>
          </w:tcPr>
          <w:p w14:paraId="1E2214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r>
      <w:tr w14:paraId="0ECD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060E532">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36</w:t>
            </w:r>
          </w:p>
        </w:tc>
        <w:tc>
          <w:tcPr>
            <w:tcW w:w="1072" w:type="dxa"/>
            <w:shd w:val="clear" w:color="auto" w:fill="auto"/>
            <w:vAlign w:val="center"/>
          </w:tcPr>
          <w:p w14:paraId="0045A2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打孔器</w:t>
            </w:r>
          </w:p>
        </w:tc>
        <w:tc>
          <w:tcPr>
            <w:tcW w:w="4897" w:type="dxa"/>
            <w:shd w:val="clear" w:color="auto" w:fill="auto"/>
            <w:vAlign w:val="center"/>
          </w:tcPr>
          <w:p w14:paraId="0A82908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齿口式，不锈钢材质，每组4支，外径分别为5.0mm、6.5mm、8mm、9.5mm； 附通棒。</w:t>
            </w:r>
          </w:p>
        </w:tc>
        <w:tc>
          <w:tcPr>
            <w:tcW w:w="462" w:type="dxa"/>
            <w:shd w:val="clear" w:color="auto" w:fill="auto"/>
            <w:vAlign w:val="center"/>
          </w:tcPr>
          <w:p w14:paraId="4DF026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10F084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762181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489" w:type="dxa"/>
            <w:shd w:val="clear" w:color="auto" w:fill="auto"/>
            <w:vAlign w:val="center"/>
          </w:tcPr>
          <w:p w14:paraId="7E75F89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r>
      <w:tr w14:paraId="70B1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212A4B5">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37</w:t>
            </w:r>
          </w:p>
        </w:tc>
        <w:tc>
          <w:tcPr>
            <w:tcW w:w="1072" w:type="dxa"/>
            <w:shd w:val="clear" w:color="auto" w:fill="auto"/>
            <w:vAlign w:val="center"/>
          </w:tcPr>
          <w:p w14:paraId="204559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打孔器 夹板</w:t>
            </w:r>
          </w:p>
        </w:tc>
        <w:tc>
          <w:tcPr>
            <w:tcW w:w="4897" w:type="dxa"/>
            <w:shd w:val="clear" w:color="auto" w:fill="auto"/>
            <w:vAlign w:val="center"/>
          </w:tcPr>
          <w:p w14:paraId="1F76CC8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锥形孔</w:t>
            </w:r>
          </w:p>
        </w:tc>
        <w:tc>
          <w:tcPr>
            <w:tcW w:w="462" w:type="dxa"/>
            <w:shd w:val="clear" w:color="auto" w:fill="auto"/>
            <w:vAlign w:val="center"/>
          </w:tcPr>
          <w:p w14:paraId="2B9212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1DEA99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4C184E8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1489" w:type="dxa"/>
            <w:shd w:val="clear" w:color="auto" w:fill="auto"/>
            <w:vAlign w:val="center"/>
          </w:tcPr>
          <w:p w14:paraId="5B8AA3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r>
      <w:tr w14:paraId="1432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30C6C0E">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38</w:t>
            </w:r>
          </w:p>
        </w:tc>
        <w:tc>
          <w:tcPr>
            <w:tcW w:w="1072" w:type="dxa"/>
            <w:shd w:val="clear" w:color="auto" w:fill="auto"/>
            <w:vAlign w:val="center"/>
          </w:tcPr>
          <w:p w14:paraId="6E9A404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锥子</w:t>
            </w:r>
          </w:p>
        </w:tc>
        <w:tc>
          <w:tcPr>
            <w:tcW w:w="4897" w:type="dxa"/>
            <w:shd w:val="clear" w:color="auto" w:fill="auto"/>
            <w:vAlign w:val="center"/>
          </w:tcPr>
          <w:p w14:paraId="2EA1EDC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锥头长77mm,锥杆直径渐变</w:t>
            </w:r>
          </w:p>
        </w:tc>
        <w:tc>
          <w:tcPr>
            <w:tcW w:w="462" w:type="dxa"/>
            <w:shd w:val="clear" w:color="auto" w:fill="auto"/>
            <w:vAlign w:val="center"/>
          </w:tcPr>
          <w:p w14:paraId="152B54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3A5EBD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F85FA9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489" w:type="dxa"/>
            <w:shd w:val="clear" w:color="auto" w:fill="auto"/>
            <w:vAlign w:val="center"/>
          </w:tcPr>
          <w:p w14:paraId="31EAB51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r>
      <w:tr w14:paraId="3EB4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0DE5A6C">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39</w:t>
            </w:r>
          </w:p>
        </w:tc>
        <w:tc>
          <w:tcPr>
            <w:tcW w:w="1072" w:type="dxa"/>
            <w:shd w:val="clear" w:color="auto" w:fill="auto"/>
            <w:vAlign w:val="center"/>
          </w:tcPr>
          <w:p w14:paraId="5D3FA63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水平尺</w:t>
            </w:r>
          </w:p>
        </w:tc>
        <w:tc>
          <w:tcPr>
            <w:tcW w:w="4897" w:type="dxa"/>
            <w:shd w:val="clear" w:color="auto" w:fill="auto"/>
            <w:vAlign w:val="center"/>
          </w:tcPr>
          <w:p w14:paraId="6DD97D8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三水泡型，水平面工作长度160 mm</w:t>
            </w:r>
            <w:r>
              <w:rPr>
                <w:rStyle w:val="40"/>
                <w:lang w:bidi="ar"/>
              </w:rPr>
              <w:t>〜</w:t>
            </w:r>
            <w:r>
              <w:rPr>
                <w:rStyle w:val="41"/>
                <w:rFonts w:hint="default"/>
                <w:lang w:bidi="ar"/>
              </w:rPr>
              <w:t>250mm</w:t>
            </w:r>
          </w:p>
        </w:tc>
        <w:tc>
          <w:tcPr>
            <w:tcW w:w="462" w:type="dxa"/>
            <w:shd w:val="clear" w:color="auto" w:fill="auto"/>
            <w:vAlign w:val="center"/>
          </w:tcPr>
          <w:p w14:paraId="4BB178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725CA2A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66D9AD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1489" w:type="dxa"/>
            <w:shd w:val="clear" w:color="auto" w:fill="auto"/>
            <w:vAlign w:val="center"/>
          </w:tcPr>
          <w:p w14:paraId="47E1DBA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r>
      <w:tr w14:paraId="4EF1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F8D457F">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40</w:t>
            </w:r>
          </w:p>
        </w:tc>
        <w:tc>
          <w:tcPr>
            <w:tcW w:w="1072" w:type="dxa"/>
            <w:shd w:val="clear" w:color="auto" w:fill="auto"/>
            <w:vAlign w:val="center"/>
          </w:tcPr>
          <w:p w14:paraId="09AFCAE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低压测电器（测电笔）</w:t>
            </w:r>
          </w:p>
        </w:tc>
        <w:tc>
          <w:tcPr>
            <w:tcW w:w="4897" w:type="dxa"/>
            <w:shd w:val="clear" w:color="auto" w:fill="auto"/>
            <w:vAlign w:val="center"/>
          </w:tcPr>
          <w:p w14:paraId="380757A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笔式，氖泡式，测电极长度不少于10mm,100V-500V,辉光应稳定不闪烁</w:t>
            </w:r>
          </w:p>
        </w:tc>
        <w:tc>
          <w:tcPr>
            <w:tcW w:w="462" w:type="dxa"/>
            <w:shd w:val="clear" w:color="auto" w:fill="auto"/>
            <w:vAlign w:val="center"/>
          </w:tcPr>
          <w:p w14:paraId="0CBB99A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w:t>
            </w:r>
          </w:p>
        </w:tc>
        <w:tc>
          <w:tcPr>
            <w:tcW w:w="605" w:type="dxa"/>
            <w:shd w:val="clear" w:color="auto" w:fill="auto"/>
            <w:vAlign w:val="center"/>
          </w:tcPr>
          <w:p w14:paraId="1402AE0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45DA2C6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489" w:type="dxa"/>
            <w:shd w:val="clear" w:color="auto" w:fill="auto"/>
            <w:vAlign w:val="center"/>
          </w:tcPr>
          <w:p w14:paraId="5DE5AB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r>
      <w:tr w14:paraId="7030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A97E00E">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41</w:t>
            </w:r>
          </w:p>
        </w:tc>
        <w:tc>
          <w:tcPr>
            <w:tcW w:w="1072" w:type="dxa"/>
            <w:shd w:val="clear" w:color="auto" w:fill="auto"/>
            <w:vAlign w:val="center"/>
          </w:tcPr>
          <w:p w14:paraId="4F7B45D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三脚架</w:t>
            </w:r>
          </w:p>
        </w:tc>
        <w:tc>
          <w:tcPr>
            <w:tcW w:w="4897" w:type="dxa"/>
            <w:shd w:val="clear" w:color="auto" w:fill="auto"/>
            <w:vAlign w:val="center"/>
          </w:tcPr>
          <w:p w14:paraId="4732166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铁制，环内径75mm,高150mm</w:t>
            </w:r>
          </w:p>
        </w:tc>
        <w:tc>
          <w:tcPr>
            <w:tcW w:w="462" w:type="dxa"/>
            <w:shd w:val="clear" w:color="auto" w:fill="auto"/>
            <w:vAlign w:val="center"/>
          </w:tcPr>
          <w:p w14:paraId="67923F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708B2E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268D23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489" w:type="dxa"/>
            <w:shd w:val="clear" w:color="auto" w:fill="auto"/>
            <w:vAlign w:val="center"/>
          </w:tcPr>
          <w:p w14:paraId="0F9C09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r>
      <w:tr w14:paraId="6FCD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96DE84F">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42</w:t>
            </w:r>
          </w:p>
        </w:tc>
        <w:tc>
          <w:tcPr>
            <w:tcW w:w="1072" w:type="dxa"/>
            <w:shd w:val="clear" w:color="auto" w:fill="auto"/>
            <w:vAlign w:val="center"/>
          </w:tcPr>
          <w:p w14:paraId="5875CC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物理支架</w:t>
            </w:r>
          </w:p>
        </w:tc>
        <w:tc>
          <w:tcPr>
            <w:tcW w:w="4897" w:type="dxa"/>
            <w:shd w:val="clear" w:color="auto" w:fill="auto"/>
            <w:vAlign w:val="center"/>
          </w:tcPr>
          <w:p w14:paraId="3A43A31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立杆φ12mmX500mm、φ12mmX700mm各1根；A形座2个，质量分别不小于1.5kg和3.0kg；平行夹2个、垂直夹2个、烧瓶夹1个、万向夹1个、台边夹1个、大铁环1个、圆托盘1个、绝缘杆1根、吊杆1个、吊钩4个</w:t>
            </w:r>
          </w:p>
        </w:tc>
        <w:tc>
          <w:tcPr>
            <w:tcW w:w="462" w:type="dxa"/>
            <w:shd w:val="clear" w:color="auto" w:fill="auto"/>
            <w:vAlign w:val="center"/>
          </w:tcPr>
          <w:p w14:paraId="4FD3D6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0CE690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043A1C9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191</w:t>
            </w:r>
          </w:p>
        </w:tc>
        <w:tc>
          <w:tcPr>
            <w:tcW w:w="1489" w:type="dxa"/>
            <w:shd w:val="clear" w:color="auto" w:fill="auto"/>
            <w:vAlign w:val="center"/>
          </w:tcPr>
          <w:p w14:paraId="446849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2101</w:t>
            </w:r>
          </w:p>
        </w:tc>
      </w:tr>
      <w:tr w14:paraId="384B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CAD057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43</w:t>
            </w:r>
          </w:p>
        </w:tc>
        <w:tc>
          <w:tcPr>
            <w:tcW w:w="1072" w:type="dxa"/>
            <w:shd w:val="clear" w:color="auto" w:fill="auto"/>
            <w:vAlign w:val="center"/>
          </w:tcPr>
          <w:p w14:paraId="54B815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方座支架</w:t>
            </w:r>
          </w:p>
        </w:tc>
        <w:tc>
          <w:tcPr>
            <w:tcW w:w="4897" w:type="dxa"/>
            <w:shd w:val="clear" w:color="auto" w:fill="auto"/>
            <w:vAlign w:val="center"/>
          </w:tcPr>
          <w:p w14:paraId="350B831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由方形座、立杆、烧瓶夹、大小铁环、垂直夹（2只）、平行夹、吊杆等组成；立杆长600mm,方形座长210mm,宽135mm,烧瓶夹夹口内壁有耐热不低于120°C的缓压层</w:t>
            </w:r>
          </w:p>
        </w:tc>
        <w:tc>
          <w:tcPr>
            <w:tcW w:w="462" w:type="dxa"/>
            <w:shd w:val="clear" w:color="auto" w:fill="auto"/>
            <w:vAlign w:val="center"/>
          </w:tcPr>
          <w:p w14:paraId="15B1B3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5D459F0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52F394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1489" w:type="dxa"/>
            <w:shd w:val="clear" w:color="auto" w:fill="auto"/>
            <w:vAlign w:val="center"/>
          </w:tcPr>
          <w:p w14:paraId="65A64FA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1200</w:t>
            </w:r>
          </w:p>
        </w:tc>
      </w:tr>
      <w:tr w14:paraId="5501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E3E1803">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44</w:t>
            </w:r>
          </w:p>
        </w:tc>
        <w:tc>
          <w:tcPr>
            <w:tcW w:w="1072" w:type="dxa"/>
            <w:shd w:val="clear" w:color="auto" w:fill="auto"/>
            <w:vAlign w:val="center"/>
          </w:tcPr>
          <w:p w14:paraId="6F2C05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多功能实验支架</w:t>
            </w:r>
          </w:p>
        </w:tc>
        <w:tc>
          <w:tcPr>
            <w:tcW w:w="4897" w:type="dxa"/>
            <w:shd w:val="clear" w:color="auto" w:fill="auto"/>
            <w:vAlign w:val="center"/>
          </w:tcPr>
          <w:p w14:paraId="06E86E9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组合座架1个，最小组合支承面积应不小于560mmX10 mm；滑块式垂直夹5个、烧瓶夹1个、万向夹1个、大铁环1个、方托盘1个、绝缘环2个、吊钩4个</w:t>
            </w:r>
          </w:p>
        </w:tc>
        <w:tc>
          <w:tcPr>
            <w:tcW w:w="462" w:type="dxa"/>
            <w:shd w:val="clear" w:color="auto" w:fill="auto"/>
            <w:vAlign w:val="center"/>
          </w:tcPr>
          <w:p w14:paraId="1DE7189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45A6C6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2A1703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133</w:t>
            </w:r>
          </w:p>
        </w:tc>
        <w:tc>
          <w:tcPr>
            <w:tcW w:w="1489" w:type="dxa"/>
            <w:shd w:val="clear" w:color="auto" w:fill="auto"/>
            <w:vAlign w:val="center"/>
          </w:tcPr>
          <w:p w14:paraId="4FE310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133</w:t>
            </w:r>
          </w:p>
        </w:tc>
      </w:tr>
      <w:tr w14:paraId="035E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89AA7D2">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45</w:t>
            </w:r>
          </w:p>
        </w:tc>
        <w:tc>
          <w:tcPr>
            <w:tcW w:w="1072" w:type="dxa"/>
            <w:shd w:val="clear" w:color="auto" w:fill="auto"/>
            <w:vAlign w:val="center"/>
          </w:tcPr>
          <w:p w14:paraId="2024F3F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升降台</w:t>
            </w:r>
          </w:p>
        </w:tc>
        <w:tc>
          <w:tcPr>
            <w:tcW w:w="4897" w:type="dxa"/>
            <w:shd w:val="clear" w:color="auto" w:fill="auto"/>
            <w:vAlign w:val="center"/>
          </w:tcPr>
          <w:p w14:paraId="44B0FC7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产品由上面板、下面板、旋转轴、手轮等组成。2、升降范围不小于150mm，载重量不小于10kg。3、工作台面：上面板150mm×150mm，下底板180mm×180mm。4、上下面板均采用厚不小于1mm的冷轧板冲压成型，成型厚度约8mm，表面烤黑漆。其它金属表面均电镀处理。</w:t>
            </w:r>
          </w:p>
        </w:tc>
        <w:tc>
          <w:tcPr>
            <w:tcW w:w="462" w:type="dxa"/>
            <w:shd w:val="clear" w:color="auto" w:fill="auto"/>
            <w:vAlign w:val="center"/>
          </w:tcPr>
          <w:p w14:paraId="54D1321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787CBC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64589A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125</w:t>
            </w:r>
          </w:p>
        </w:tc>
        <w:tc>
          <w:tcPr>
            <w:tcW w:w="1489" w:type="dxa"/>
            <w:shd w:val="clear" w:color="auto" w:fill="auto"/>
            <w:vAlign w:val="center"/>
          </w:tcPr>
          <w:p w14:paraId="3630A6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125</w:t>
            </w:r>
          </w:p>
        </w:tc>
      </w:tr>
      <w:tr w14:paraId="679A2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9642162">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46</w:t>
            </w:r>
          </w:p>
        </w:tc>
        <w:tc>
          <w:tcPr>
            <w:tcW w:w="1072" w:type="dxa"/>
            <w:shd w:val="clear" w:color="auto" w:fill="auto"/>
            <w:vAlign w:val="center"/>
          </w:tcPr>
          <w:p w14:paraId="41619B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电火花计时器</w:t>
            </w:r>
          </w:p>
        </w:tc>
        <w:tc>
          <w:tcPr>
            <w:tcW w:w="4897" w:type="dxa"/>
            <w:shd w:val="clear" w:color="auto" w:fill="auto"/>
            <w:vAlign w:val="center"/>
          </w:tcPr>
          <w:p w14:paraId="5885EB2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交流电压：220V,单频率：0.020s,火花距离≥10mm,平均电流≤O.5mA,附固定夹</w:t>
            </w:r>
          </w:p>
        </w:tc>
        <w:tc>
          <w:tcPr>
            <w:tcW w:w="462" w:type="dxa"/>
            <w:shd w:val="clear" w:color="auto" w:fill="auto"/>
            <w:vAlign w:val="center"/>
          </w:tcPr>
          <w:p w14:paraId="249B48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743A4B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7B71E2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84</w:t>
            </w:r>
          </w:p>
        </w:tc>
        <w:tc>
          <w:tcPr>
            <w:tcW w:w="1489" w:type="dxa"/>
            <w:shd w:val="clear" w:color="auto" w:fill="auto"/>
            <w:vAlign w:val="center"/>
          </w:tcPr>
          <w:p w14:paraId="5B0847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1260</w:t>
            </w:r>
          </w:p>
        </w:tc>
      </w:tr>
      <w:tr w14:paraId="5578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F53892F">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47</w:t>
            </w:r>
          </w:p>
        </w:tc>
        <w:tc>
          <w:tcPr>
            <w:tcW w:w="1072" w:type="dxa"/>
            <w:shd w:val="clear" w:color="auto" w:fill="auto"/>
            <w:vAlign w:val="center"/>
          </w:tcPr>
          <w:p w14:paraId="62C28E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演示轨道小车</w:t>
            </w:r>
          </w:p>
        </w:tc>
        <w:tc>
          <w:tcPr>
            <w:tcW w:w="4897" w:type="dxa"/>
            <w:shd w:val="clear" w:color="auto" w:fill="auto"/>
            <w:vAlign w:val="center"/>
          </w:tcPr>
          <w:p w14:paraId="5CD5B78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铝合金轨道、2辆小车及配件组成，应有调节轨道倾斜度的装置，轨道始端应有固定及释放小车的装置，终端有捕捉小车的装置。轨道的有效运动长度≥900mm,轨道轨面的直线度误差不大于有效长度的0.03%；可进行打点计时法测量加速度、滑动摩擦与滚动摩擦、物质的惯性、弹性碰撞、非弹性碰撞等实验；测量加速度相对误差≤8%</w:t>
            </w:r>
          </w:p>
        </w:tc>
        <w:tc>
          <w:tcPr>
            <w:tcW w:w="462" w:type="dxa"/>
            <w:shd w:val="clear" w:color="auto" w:fill="auto"/>
            <w:vAlign w:val="center"/>
          </w:tcPr>
          <w:p w14:paraId="0DEEAC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184B72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2166E63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261</w:t>
            </w:r>
          </w:p>
        </w:tc>
        <w:tc>
          <w:tcPr>
            <w:tcW w:w="1489" w:type="dxa"/>
            <w:shd w:val="clear" w:color="auto" w:fill="auto"/>
            <w:vAlign w:val="center"/>
          </w:tcPr>
          <w:p w14:paraId="039A67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261</w:t>
            </w:r>
          </w:p>
        </w:tc>
      </w:tr>
      <w:tr w14:paraId="5F03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8AF660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48</w:t>
            </w:r>
          </w:p>
        </w:tc>
        <w:tc>
          <w:tcPr>
            <w:tcW w:w="1072" w:type="dxa"/>
            <w:shd w:val="clear" w:color="auto" w:fill="auto"/>
            <w:vAlign w:val="center"/>
          </w:tcPr>
          <w:p w14:paraId="7BEAEF6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轨道小车</w:t>
            </w:r>
          </w:p>
        </w:tc>
        <w:tc>
          <w:tcPr>
            <w:tcW w:w="4897" w:type="dxa"/>
            <w:shd w:val="clear" w:color="auto" w:fill="auto"/>
            <w:vAlign w:val="center"/>
          </w:tcPr>
          <w:p w14:paraId="7EEEB41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车拖纸带打点式；由轨道、1辆小车及配件组成，应配有打点纸带，应有调节轨道倾斜度的装置，轨道始端应有固定及释放小车的装置、固定计时器的平台，终端有捕捉小车的装置；轨道的有效运动长度≥600mm,轨道轨面的直线度误差不大于有效长度的0.03%；安装计时器后，记录纸带应能平行轨道运动；在倾斜度1:50的轨道上小车应能从静止开始运动</w:t>
            </w:r>
          </w:p>
        </w:tc>
        <w:tc>
          <w:tcPr>
            <w:tcW w:w="462" w:type="dxa"/>
            <w:shd w:val="clear" w:color="auto" w:fill="auto"/>
            <w:vAlign w:val="center"/>
          </w:tcPr>
          <w:p w14:paraId="268055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245C62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074028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136</w:t>
            </w:r>
          </w:p>
        </w:tc>
        <w:tc>
          <w:tcPr>
            <w:tcW w:w="1489" w:type="dxa"/>
            <w:shd w:val="clear" w:color="auto" w:fill="auto"/>
            <w:vAlign w:val="center"/>
          </w:tcPr>
          <w:p w14:paraId="436A45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2040</w:t>
            </w:r>
          </w:p>
        </w:tc>
      </w:tr>
      <w:tr w14:paraId="6725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2C82E46">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49</w:t>
            </w:r>
          </w:p>
        </w:tc>
        <w:tc>
          <w:tcPr>
            <w:tcW w:w="1072" w:type="dxa"/>
            <w:shd w:val="clear" w:color="auto" w:fill="auto"/>
            <w:vAlign w:val="center"/>
          </w:tcPr>
          <w:p w14:paraId="74A3F4C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坐标纸</w:t>
            </w:r>
          </w:p>
        </w:tc>
        <w:tc>
          <w:tcPr>
            <w:tcW w:w="4897" w:type="dxa"/>
            <w:shd w:val="clear" w:color="auto" w:fill="auto"/>
            <w:vAlign w:val="center"/>
          </w:tcPr>
          <w:p w14:paraId="50F1EC0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1cn大格，1mm小格</w:t>
            </w:r>
          </w:p>
        </w:tc>
        <w:tc>
          <w:tcPr>
            <w:tcW w:w="462" w:type="dxa"/>
            <w:shd w:val="clear" w:color="auto" w:fill="auto"/>
            <w:vAlign w:val="center"/>
          </w:tcPr>
          <w:p w14:paraId="6BF8A6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3D26D3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048" w:type="dxa"/>
            <w:shd w:val="clear" w:color="auto" w:fill="auto"/>
            <w:vAlign w:val="center"/>
          </w:tcPr>
          <w:p w14:paraId="158D37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1489" w:type="dxa"/>
            <w:shd w:val="clear" w:color="auto" w:fill="auto"/>
            <w:vAlign w:val="center"/>
          </w:tcPr>
          <w:p w14:paraId="659383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1260</w:t>
            </w:r>
          </w:p>
        </w:tc>
      </w:tr>
      <w:tr w14:paraId="21FA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8F69086">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50</w:t>
            </w:r>
          </w:p>
        </w:tc>
        <w:tc>
          <w:tcPr>
            <w:tcW w:w="1072" w:type="dxa"/>
            <w:shd w:val="clear" w:color="auto" w:fill="auto"/>
            <w:vAlign w:val="center"/>
          </w:tcPr>
          <w:p w14:paraId="16133B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有机直尺</w:t>
            </w:r>
          </w:p>
        </w:tc>
        <w:tc>
          <w:tcPr>
            <w:tcW w:w="4897" w:type="dxa"/>
            <w:shd w:val="clear" w:color="auto" w:fill="auto"/>
            <w:vAlign w:val="center"/>
          </w:tcPr>
          <w:p w14:paraId="7AEACAA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标称长度1000mm,分度值1mm</w:t>
            </w:r>
          </w:p>
        </w:tc>
        <w:tc>
          <w:tcPr>
            <w:tcW w:w="462" w:type="dxa"/>
            <w:shd w:val="clear" w:color="auto" w:fill="auto"/>
            <w:vAlign w:val="center"/>
          </w:tcPr>
          <w:p w14:paraId="1C6CF0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1A4914F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00B672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1489" w:type="dxa"/>
            <w:shd w:val="clear" w:color="auto" w:fill="auto"/>
            <w:vAlign w:val="center"/>
          </w:tcPr>
          <w:p w14:paraId="726183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465</w:t>
            </w:r>
          </w:p>
        </w:tc>
      </w:tr>
      <w:tr w14:paraId="21F2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1BBEAFF">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51</w:t>
            </w:r>
          </w:p>
        </w:tc>
        <w:tc>
          <w:tcPr>
            <w:tcW w:w="1072" w:type="dxa"/>
            <w:shd w:val="clear" w:color="auto" w:fill="auto"/>
            <w:vAlign w:val="center"/>
          </w:tcPr>
          <w:p w14:paraId="4132EC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金属直尺（钢直尺）</w:t>
            </w:r>
          </w:p>
        </w:tc>
        <w:tc>
          <w:tcPr>
            <w:tcW w:w="4897" w:type="dxa"/>
            <w:shd w:val="clear" w:color="auto" w:fill="auto"/>
            <w:vAlign w:val="center"/>
          </w:tcPr>
          <w:p w14:paraId="59A185D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300mm，分度值为1mm；材料为1Cr18Ni9、1Cr13或其他类似性能材料，硬度应不低于342HV；刻度面平面度误差应≤0.25mm,允许误差应±0.15mm；需有计量器具制造许可证标志</w:t>
            </w:r>
          </w:p>
        </w:tc>
        <w:tc>
          <w:tcPr>
            <w:tcW w:w="462" w:type="dxa"/>
            <w:shd w:val="clear" w:color="auto" w:fill="auto"/>
            <w:vAlign w:val="center"/>
          </w:tcPr>
          <w:p w14:paraId="2497965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666E70C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35E9437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489" w:type="dxa"/>
            <w:shd w:val="clear" w:color="auto" w:fill="auto"/>
            <w:vAlign w:val="center"/>
          </w:tcPr>
          <w:p w14:paraId="50CEA0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105</w:t>
            </w:r>
          </w:p>
        </w:tc>
      </w:tr>
      <w:tr w14:paraId="2DCD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EA9858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52</w:t>
            </w:r>
          </w:p>
        </w:tc>
        <w:tc>
          <w:tcPr>
            <w:tcW w:w="1072" w:type="dxa"/>
            <w:shd w:val="clear" w:color="auto" w:fill="auto"/>
            <w:vAlign w:val="center"/>
          </w:tcPr>
          <w:p w14:paraId="48756C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钢卷尺</w:t>
            </w:r>
          </w:p>
        </w:tc>
        <w:tc>
          <w:tcPr>
            <w:tcW w:w="4897" w:type="dxa"/>
            <w:shd w:val="clear" w:color="auto" w:fill="auto"/>
            <w:vAlign w:val="center"/>
          </w:tcPr>
          <w:p w14:paraId="5BBF3C6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0mm</w:t>
            </w:r>
            <w:r>
              <w:rPr>
                <w:rStyle w:val="40"/>
                <w:lang w:bidi="ar"/>
              </w:rPr>
              <w:t>〜</w:t>
            </w:r>
            <w:r>
              <w:rPr>
                <w:rStyle w:val="41"/>
                <w:rFonts w:hint="default"/>
                <w:lang w:bidi="ar"/>
              </w:rPr>
              <w:t>5000mm,分度值1mm。B型（自卷制动式），尺带宽不小于12mm,厚不低于0.15mm。尺带拉伸、收卷轻便灵活, 无卡阻现象</w:t>
            </w:r>
          </w:p>
        </w:tc>
        <w:tc>
          <w:tcPr>
            <w:tcW w:w="462" w:type="dxa"/>
            <w:shd w:val="clear" w:color="auto" w:fill="auto"/>
            <w:vAlign w:val="center"/>
          </w:tcPr>
          <w:p w14:paraId="527D74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31EAD2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048" w:type="dxa"/>
            <w:shd w:val="clear" w:color="auto" w:fill="auto"/>
            <w:vAlign w:val="center"/>
          </w:tcPr>
          <w:p w14:paraId="1891B2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489" w:type="dxa"/>
            <w:shd w:val="clear" w:color="auto" w:fill="auto"/>
            <w:vAlign w:val="center"/>
          </w:tcPr>
          <w:p w14:paraId="2882679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r>
      <w:tr w14:paraId="6E26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F574931">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53</w:t>
            </w:r>
          </w:p>
        </w:tc>
        <w:tc>
          <w:tcPr>
            <w:tcW w:w="1072" w:type="dxa"/>
            <w:shd w:val="clear" w:color="auto" w:fill="auto"/>
            <w:vAlign w:val="center"/>
          </w:tcPr>
          <w:p w14:paraId="129FC00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游标卡尺</w:t>
            </w:r>
          </w:p>
        </w:tc>
        <w:tc>
          <w:tcPr>
            <w:tcW w:w="4897" w:type="dxa"/>
            <w:shd w:val="clear" w:color="auto" w:fill="auto"/>
            <w:vAlign w:val="center"/>
          </w:tcPr>
          <w:p w14:paraId="1595D31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测量范围0mm</w:t>
            </w:r>
            <w:r>
              <w:rPr>
                <w:rStyle w:val="40"/>
                <w:lang w:bidi="ar"/>
              </w:rPr>
              <w:t>〜</w:t>
            </w:r>
            <w:r>
              <w:rPr>
                <w:rStyle w:val="41"/>
                <w:rFonts w:hint="default"/>
                <w:lang w:bidi="ar"/>
              </w:rPr>
              <w:t>150mm,分度值0.02mm, 尺框微动装置沿尺身移动平稳、无卡滞和松动现象，用制动螺钉能准确、可靠的固定在尺身上，带深度尺</w:t>
            </w:r>
          </w:p>
        </w:tc>
        <w:tc>
          <w:tcPr>
            <w:tcW w:w="462" w:type="dxa"/>
            <w:shd w:val="clear" w:color="auto" w:fill="auto"/>
            <w:vAlign w:val="center"/>
          </w:tcPr>
          <w:p w14:paraId="2FCFBB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4F6B16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5A3D8F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w:t>
            </w:r>
          </w:p>
        </w:tc>
        <w:tc>
          <w:tcPr>
            <w:tcW w:w="1489" w:type="dxa"/>
            <w:shd w:val="clear" w:color="auto" w:fill="auto"/>
            <w:vAlign w:val="center"/>
          </w:tcPr>
          <w:p w14:paraId="06BF26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870</w:t>
            </w:r>
          </w:p>
        </w:tc>
      </w:tr>
      <w:tr w14:paraId="5C20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70E343F">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54</w:t>
            </w:r>
          </w:p>
        </w:tc>
        <w:tc>
          <w:tcPr>
            <w:tcW w:w="1072" w:type="dxa"/>
            <w:shd w:val="clear" w:color="auto" w:fill="auto"/>
            <w:vAlign w:val="center"/>
          </w:tcPr>
          <w:p w14:paraId="26F7365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演示外径千分尺（演示螺旋测微器）</w:t>
            </w:r>
          </w:p>
        </w:tc>
        <w:tc>
          <w:tcPr>
            <w:tcW w:w="4897" w:type="dxa"/>
            <w:shd w:val="clear" w:color="auto" w:fill="auto"/>
            <w:vAlign w:val="center"/>
          </w:tcPr>
          <w:p w14:paraId="74ED9A0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木质或铝合金材质，刻度清晰，刻度放大比例1:20,锁紧装置能有效锁紧测微装置</w:t>
            </w:r>
          </w:p>
        </w:tc>
        <w:tc>
          <w:tcPr>
            <w:tcW w:w="462" w:type="dxa"/>
            <w:shd w:val="clear" w:color="auto" w:fill="auto"/>
            <w:vAlign w:val="center"/>
          </w:tcPr>
          <w:p w14:paraId="5A3BBF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413869F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048" w:type="dxa"/>
            <w:shd w:val="clear" w:color="auto" w:fill="auto"/>
            <w:vAlign w:val="center"/>
          </w:tcPr>
          <w:p w14:paraId="2C46FA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204</w:t>
            </w:r>
          </w:p>
        </w:tc>
        <w:tc>
          <w:tcPr>
            <w:tcW w:w="1489" w:type="dxa"/>
            <w:shd w:val="clear" w:color="auto" w:fill="auto"/>
            <w:vAlign w:val="center"/>
          </w:tcPr>
          <w:p w14:paraId="39F3E1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408</w:t>
            </w:r>
          </w:p>
        </w:tc>
      </w:tr>
      <w:tr w14:paraId="25FC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982263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55</w:t>
            </w:r>
          </w:p>
        </w:tc>
        <w:tc>
          <w:tcPr>
            <w:tcW w:w="1072" w:type="dxa"/>
            <w:shd w:val="clear" w:color="auto" w:fill="auto"/>
            <w:vAlign w:val="center"/>
          </w:tcPr>
          <w:p w14:paraId="40FFE9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外径千分尺（螺旋测微器）</w:t>
            </w:r>
          </w:p>
        </w:tc>
        <w:tc>
          <w:tcPr>
            <w:tcW w:w="4897" w:type="dxa"/>
            <w:shd w:val="clear" w:color="auto" w:fill="auto"/>
            <w:vAlign w:val="center"/>
          </w:tcPr>
          <w:p w14:paraId="34B4CE2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测量范围0mm</w:t>
            </w:r>
            <w:r>
              <w:rPr>
                <w:rStyle w:val="40"/>
                <w:lang w:bidi="ar"/>
              </w:rPr>
              <w:t>〜</w:t>
            </w:r>
            <w:r>
              <w:rPr>
                <w:rStyle w:val="41"/>
                <w:rFonts w:hint="default"/>
                <w:lang w:bidi="ar"/>
              </w:rPr>
              <w:t>25mm,分度值0.01mm。 螺杆和螺母全量程范围内充分啮合，配合良好，无明显卡滞和轴向窜动，螺杆与轴套配合良好无明显径向摆动，锁紧装置能有效锁紧测微装置</w:t>
            </w:r>
          </w:p>
        </w:tc>
        <w:tc>
          <w:tcPr>
            <w:tcW w:w="462" w:type="dxa"/>
            <w:shd w:val="clear" w:color="auto" w:fill="auto"/>
            <w:vAlign w:val="center"/>
          </w:tcPr>
          <w:p w14:paraId="175526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38B98E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419880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w:t>
            </w:r>
          </w:p>
        </w:tc>
        <w:tc>
          <w:tcPr>
            <w:tcW w:w="1489" w:type="dxa"/>
            <w:shd w:val="clear" w:color="auto" w:fill="auto"/>
            <w:vAlign w:val="center"/>
          </w:tcPr>
          <w:p w14:paraId="12857C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990</w:t>
            </w:r>
          </w:p>
        </w:tc>
      </w:tr>
      <w:tr w14:paraId="68B7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BE2D763">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56</w:t>
            </w:r>
          </w:p>
        </w:tc>
        <w:tc>
          <w:tcPr>
            <w:tcW w:w="1072" w:type="dxa"/>
            <w:shd w:val="clear" w:color="auto" w:fill="auto"/>
            <w:vAlign w:val="center"/>
          </w:tcPr>
          <w:p w14:paraId="286DE7C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金属钩码</w:t>
            </w:r>
          </w:p>
        </w:tc>
        <w:tc>
          <w:tcPr>
            <w:tcW w:w="4897" w:type="dxa"/>
            <w:shd w:val="clear" w:color="auto" w:fill="auto"/>
            <w:vAlign w:val="center"/>
          </w:tcPr>
          <w:p w14:paraId="1B62807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50g±0.5g,每盒10个，可叠放；材料采用纯度99. 6%、粒度不小于80#的铁基粉或其它钢材，钩码表面应有防腐镀层；硬度不小于HB70；上下勾的连线应通过钩码主体的轴线</w:t>
            </w:r>
          </w:p>
        </w:tc>
        <w:tc>
          <w:tcPr>
            <w:tcW w:w="462" w:type="dxa"/>
            <w:shd w:val="clear" w:color="auto" w:fill="auto"/>
            <w:vAlign w:val="center"/>
          </w:tcPr>
          <w:p w14:paraId="2CE6F24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32EA60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647556A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1489" w:type="dxa"/>
            <w:shd w:val="clear" w:color="auto" w:fill="auto"/>
            <w:vAlign w:val="center"/>
          </w:tcPr>
          <w:p w14:paraId="048B228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330</w:t>
            </w:r>
          </w:p>
        </w:tc>
      </w:tr>
      <w:tr w14:paraId="3748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A39CB8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57</w:t>
            </w:r>
          </w:p>
        </w:tc>
        <w:tc>
          <w:tcPr>
            <w:tcW w:w="1072" w:type="dxa"/>
            <w:shd w:val="clear" w:color="auto" w:fill="auto"/>
            <w:vAlign w:val="center"/>
          </w:tcPr>
          <w:p w14:paraId="464283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金属槽码</w:t>
            </w:r>
          </w:p>
        </w:tc>
        <w:tc>
          <w:tcPr>
            <w:tcW w:w="4897" w:type="dxa"/>
            <w:shd w:val="clear" w:color="auto" w:fill="auto"/>
            <w:vAlign w:val="center"/>
          </w:tcPr>
          <w:p w14:paraId="00C4C74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2gX4，5gX4，10gX4，20gX4，50gX4，100gX2，200gX1，5gX1金属槽码盘和10gX1金属槽码盘</w:t>
            </w:r>
          </w:p>
        </w:tc>
        <w:tc>
          <w:tcPr>
            <w:tcW w:w="462" w:type="dxa"/>
            <w:shd w:val="clear" w:color="auto" w:fill="auto"/>
            <w:vAlign w:val="center"/>
          </w:tcPr>
          <w:p w14:paraId="181C90B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1AE83A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5A28C2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68</w:t>
            </w:r>
          </w:p>
        </w:tc>
        <w:tc>
          <w:tcPr>
            <w:tcW w:w="1489" w:type="dxa"/>
            <w:shd w:val="clear" w:color="auto" w:fill="auto"/>
            <w:vAlign w:val="center"/>
          </w:tcPr>
          <w:p w14:paraId="68C3B6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1020</w:t>
            </w:r>
          </w:p>
        </w:tc>
      </w:tr>
      <w:tr w14:paraId="4B6F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3B32E87">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58</w:t>
            </w:r>
          </w:p>
        </w:tc>
        <w:tc>
          <w:tcPr>
            <w:tcW w:w="1072" w:type="dxa"/>
            <w:shd w:val="clear" w:color="auto" w:fill="auto"/>
            <w:vAlign w:val="center"/>
          </w:tcPr>
          <w:p w14:paraId="3C0CD5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频闪光源</w:t>
            </w:r>
          </w:p>
        </w:tc>
        <w:tc>
          <w:tcPr>
            <w:tcW w:w="4897" w:type="dxa"/>
            <w:shd w:val="clear" w:color="auto" w:fill="auto"/>
            <w:vAlign w:val="center"/>
          </w:tcPr>
          <w:p w14:paraId="5359E00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闪烁频率0.5 Hz～50Hz可调，数字读数显示，光触发</w:t>
            </w:r>
          </w:p>
        </w:tc>
        <w:tc>
          <w:tcPr>
            <w:tcW w:w="462" w:type="dxa"/>
            <w:shd w:val="clear" w:color="auto" w:fill="auto"/>
            <w:vAlign w:val="center"/>
          </w:tcPr>
          <w:p w14:paraId="39F55D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150AAD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5BA20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715</w:t>
            </w:r>
          </w:p>
        </w:tc>
        <w:tc>
          <w:tcPr>
            <w:tcW w:w="1489" w:type="dxa"/>
            <w:shd w:val="clear" w:color="auto" w:fill="auto"/>
            <w:vAlign w:val="center"/>
          </w:tcPr>
          <w:p w14:paraId="60878E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715</w:t>
            </w:r>
          </w:p>
        </w:tc>
      </w:tr>
      <w:tr w14:paraId="0ED0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7FC1A6A">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59</w:t>
            </w:r>
          </w:p>
        </w:tc>
        <w:tc>
          <w:tcPr>
            <w:tcW w:w="1072" w:type="dxa"/>
            <w:shd w:val="clear" w:color="auto" w:fill="auto"/>
            <w:vAlign w:val="center"/>
          </w:tcPr>
          <w:p w14:paraId="6D8E06D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运动频闪观测仪</w:t>
            </w:r>
          </w:p>
        </w:tc>
        <w:tc>
          <w:tcPr>
            <w:tcW w:w="4897" w:type="dxa"/>
            <w:shd w:val="clear" w:color="auto" w:fill="auto"/>
            <w:vAlign w:val="center"/>
          </w:tcPr>
          <w:p w14:paraId="7CAA022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频闪光源25Hz、50Hz,可实时观测运动物体图像</w:t>
            </w:r>
          </w:p>
        </w:tc>
        <w:tc>
          <w:tcPr>
            <w:tcW w:w="462" w:type="dxa"/>
            <w:shd w:val="clear" w:color="auto" w:fill="auto"/>
            <w:vAlign w:val="center"/>
          </w:tcPr>
          <w:p w14:paraId="2121A97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236E706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EDBE2A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857</w:t>
            </w:r>
          </w:p>
        </w:tc>
        <w:tc>
          <w:tcPr>
            <w:tcW w:w="1489" w:type="dxa"/>
            <w:shd w:val="clear" w:color="auto" w:fill="auto"/>
            <w:vAlign w:val="center"/>
          </w:tcPr>
          <w:p w14:paraId="349337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857</w:t>
            </w:r>
          </w:p>
        </w:tc>
      </w:tr>
      <w:tr w14:paraId="5AD5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E299181">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60</w:t>
            </w:r>
          </w:p>
        </w:tc>
        <w:tc>
          <w:tcPr>
            <w:tcW w:w="1072" w:type="dxa"/>
            <w:shd w:val="clear" w:color="auto" w:fill="auto"/>
            <w:vAlign w:val="center"/>
          </w:tcPr>
          <w:p w14:paraId="4BBFF60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直角坐标书写板</w:t>
            </w:r>
          </w:p>
        </w:tc>
        <w:tc>
          <w:tcPr>
            <w:tcW w:w="4897" w:type="dxa"/>
            <w:shd w:val="clear" w:color="auto" w:fill="auto"/>
            <w:vAlign w:val="center"/>
          </w:tcPr>
          <w:p w14:paraId="1E4D4CD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做背景板用，印有方格。尺寸800mmX600 mm,分格50mmX50mm</w:t>
            </w:r>
          </w:p>
        </w:tc>
        <w:tc>
          <w:tcPr>
            <w:tcW w:w="462" w:type="dxa"/>
            <w:shd w:val="clear" w:color="auto" w:fill="auto"/>
            <w:vAlign w:val="center"/>
          </w:tcPr>
          <w:p w14:paraId="1688E0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1C1BF1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76FC03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1489" w:type="dxa"/>
            <w:shd w:val="clear" w:color="auto" w:fill="auto"/>
            <w:vAlign w:val="center"/>
          </w:tcPr>
          <w:p w14:paraId="3D21F58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14:paraId="67B7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424375C">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61</w:t>
            </w:r>
          </w:p>
        </w:tc>
        <w:tc>
          <w:tcPr>
            <w:tcW w:w="1072" w:type="dxa"/>
            <w:shd w:val="clear" w:color="auto" w:fill="auto"/>
            <w:vAlign w:val="center"/>
          </w:tcPr>
          <w:p w14:paraId="0C6CA7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直联泵（真空泵）</w:t>
            </w:r>
          </w:p>
        </w:tc>
        <w:tc>
          <w:tcPr>
            <w:tcW w:w="4897" w:type="dxa"/>
            <w:shd w:val="clear" w:color="auto" w:fill="auto"/>
            <w:vAlign w:val="center"/>
          </w:tcPr>
          <w:p w14:paraId="3F5EF23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ZXZ-1型，单相，有防回油功能</w:t>
            </w:r>
          </w:p>
        </w:tc>
        <w:tc>
          <w:tcPr>
            <w:tcW w:w="462" w:type="dxa"/>
            <w:shd w:val="clear" w:color="auto" w:fill="auto"/>
            <w:vAlign w:val="center"/>
          </w:tcPr>
          <w:p w14:paraId="387FBD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1787E3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3351B6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655</w:t>
            </w:r>
          </w:p>
        </w:tc>
        <w:tc>
          <w:tcPr>
            <w:tcW w:w="1489" w:type="dxa"/>
            <w:shd w:val="clear" w:color="auto" w:fill="auto"/>
            <w:vAlign w:val="center"/>
          </w:tcPr>
          <w:p w14:paraId="37698F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655</w:t>
            </w:r>
          </w:p>
        </w:tc>
      </w:tr>
      <w:tr w14:paraId="33E7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5A83E86">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62</w:t>
            </w:r>
          </w:p>
        </w:tc>
        <w:tc>
          <w:tcPr>
            <w:tcW w:w="1072" w:type="dxa"/>
            <w:shd w:val="clear" w:color="auto" w:fill="auto"/>
            <w:vAlign w:val="center"/>
          </w:tcPr>
          <w:p w14:paraId="227357E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两用气筒</w:t>
            </w:r>
          </w:p>
        </w:tc>
        <w:tc>
          <w:tcPr>
            <w:tcW w:w="4897" w:type="dxa"/>
            <w:shd w:val="clear" w:color="auto" w:fill="auto"/>
            <w:vAlign w:val="center"/>
          </w:tcPr>
          <w:p w14:paraId="3DFFD56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活塞胶垫，气嘴外径8mm±0.1mm,长 度15mm，台阶口；抽气压强达到6.7kPa时，放置30s,漏气引起的压强变化应不大于2.6 kPa；充气压强达到290kPa 时，放置30s,漏气引起的压强变化应不大于9.8kPa</w:t>
            </w:r>
          </w:p>
        </w:tc>
        <w:tc>
          <w:tcPr>
            <w:tcW w:w="462" w:type="dxa"/>
            <w:shd w:val="clear" w:color="auto" w:fill="auto"/>
            <w:vAlign w:val="center"/>
          </w:tcPr>
          <w:p w14:paraId="1AAA38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0F35BC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1B9693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c>
          <w:tcPr>
            <w:tcW w:w="1489" w:type="dxa"/>
            <w:shd w:val="clear" w:color="auto" w:fill="auto"/>
            <w:vAlign w:val="center"/>
          </w:tcPr>
          <w:p w14:paraId="7A9EA9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14:paraId="2A9A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C79BEC4">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63</w:t>
            </w:r>
          </w:p>
        </w:tc>
        <w:tc>
          <w:tcPr>
            <w:tcW w:w="1072" w:type="dxa"/>
            <w:shd w:val="clear" w:color="auto" w:fill="auto"/>
            <w:vAlign w:val="center"/>
          </w:tcPr>
          <w:p w14:paraId="45983D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打气筒</w:t>
            </w:r>
          </w:p>
        </w:tc>
        <w:tc>
          <w:tcPr>
            <w:tcW w:w="4897" w:type="dxa"/>
            <w:shd w:val="clear" w:color="auto" w:fill="auto"/>
            <w:vAlign w:val="center"/>
          </w:tcPr>
          <w:p w14:paraId="7C6F7DE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气嘴外径8mm±0.1mm,长度15mm,台阶口，工作气压不小于0.295MPa</w:t>
            </w:r>
          </w:p>
        </w:tc>
        <w:tc>
          <w:tcPr>
            <w:tcW w:w="462" w:type="dxa"/>
            <w:shd w:val="clear" w:color="auto" w:fill="auto"/>
            <w:vAlign w:val="center"/>
          </w:tcPr>
          <w:p w14:paraId="5C3DD43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4B0439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7C282B7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1489" w:type="dxa"/>
            <w:shd w:val="clear" w:color="auto" w:fill="auto"/>
            <w:vAlign w:val="center"/>
          </w:tcPr>
          <w:p w14:paraId="2C17DD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r>
      <w:tr w14:paraId="50D8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EDCBB19">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64</w:t>
            </w:r>
          </w:p>
        </w:tc>
        <w:tc>
          <w:tcPr>
            <w:tcW w:w="1072" w:type="dxa"/>
            <w:shd w:val="clear" w:color="auto" w:fill="auto"/>
            <w:vAlign w:val="center"/>
          </w:tcPr>
          <w:p w14:paraId="7502AB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毛钱管 （牛顿管）</w:t>
            </w:r>
          </w:p>
        </w:tc>
        <w:tc>
          <w:tcPr>
            <w:tcW w:w="4897" w:type="dxa"/>
            <w:shd w:val="clear" w:color="auto" w:fill="auto"/>
            <w:vAlign w:val="center"/>
          </w:tcPr>
          <w:p w14:paraId="0271FD7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配真空泵；金属片和羽毛片有明显的颜色区分；抽气使管内压强降至一0.095MPa,停止抽气，静置1min,管内压强应保持一0.095MPa不变；金属片和羽毛片同时到达时间相差不超过0.02s</w:t>
            </w:r>
          </w:p>
        </w:tc>
        <w:tc>
          <w:tcPr>
            <w:tcW w:w="462" w:type="dxa"/>
            <w:shd w:val="clear" w:color="auto" w:fill="auto"/>
            <w:vAlign w:val="center"/>
          </w:tcPr>
          <w:p w14:paraId="6A149D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33EB6C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69B521A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173</w:t>
            </w:r>
          </w:p>
        </w:tc>
        <w:tc>
          <w:tcPr>
            <w:tcW w:w="1489" w:type="dxa"/>
            <w:shd w:val="clear" w:color="auto" w:fill="auto"/>
            <w:vAlign w:val="center"/>
          </w:tcPr>
          <w:p w14:paraId="64D8163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173</w:t>
            </w:r>
          </w:p>
        </w:tc>
      </w:tr>
      <w:tr w14:paraId="365D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9FD2CC8">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65</w:t>
            </w:r>
          </w:p>
        </w:tc>
        <w:tc>
          <w:tcPr>
            <w:tcW w:w="1072" w:type="dxa"/>
            <w:shd w:val="clear" w:color="auto" w:fill="auto"/>
            <w:vAlign w:val="center"/>
          </w:tcPr>
          <w:p w14:paraId="20ABC3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自由落体实验仪</w:t>
            </w:r>
          </w:p>
        </w:tc>
        <w:tc>
          <w:tcPr>
            <w:tcW w:w="4897" w:type="dxa"/>
            <w:shd w:val="clear" w:color="auto" w:fill="auto"/>
            <w:vAlign w:val="center"/>
          </w:tcPr>
          <w:p w14:paraId="7882A24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包括主杆、支架座、电磁铁，光电门， 钢球、钢球俘获装置、标尺及方向调节座等</w:t>
            </w:r>
          </w:p>
        </w:tc>
        <w:tc>
          <w:tcPr>
            <w:tcW w:w="462" w:type="dxa"/>
            <w:shd w:val="clear" w:color="auto" w:fill="auto"/>
            <w:vAlign w:val="center"/>
          </w:tcPr>
          <w:p w14:paraId="46994B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01E7AF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303A6F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346</w:t>
            </w:r>
          </w:p>
        </w:tc>
        <w:tc>
          <w:tcPr>
            <w:tcW w:w="1489" w:type="dxa"/>
            <w:shd w:val="clear" w:color="auto" w:fill="auto"/>
            <w:vAlign w:val="center"/>
          </w:tcPr>
          <w:p w14:paraId="4CCED8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346</w:t>
            </w:r>
          </w:p>
        </w:tc>
      </w:tr>
      <w:tr w14:paraId="4AA4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633DDD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66</w:t>
            </w:r>
          </w:p>
        </w:tc>
        <w:tc>
          <w:tcPr>
            <w:tcW w:w="1072" w:type="dxa"/>
            <w:shd w:val="clear" w:color="auto" w:fill="auto"/>
            <w:vAlign w:val="center"/>
          </w:tcPr>
          <w:p w14:paraId="4ED2EF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螺旋弹簧组</w:t>
            </w:r>
          </w:p>
        </w:tc>
        <w:tc>
          <w:tcPr>
            <w:tcW w:w="4897" w:type="dxa"/>
            <w:shd w:val="clear" w:color="auto" w:fill="auto"/>
            <w:vAlign w:val="center"/>
          </w:tcPr>
          <w:p w14:paraId="0D39074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由拉力极限分别为4.9N、2.94N、1.96N、0.98N和0.49N的5种弹簧构成；各弹簧带长50mm挂钩（有指针），两端应为圆拉环，附标度板</w:t>
            </w:r>
          </w:p>
        </w:tc>
        <w:tc>
          <w:tcPr>
            <w:tcW w:w="462" w:type="dxa"/>
            <w:shd w:val="clear" w:color="auto" w:fill="auto"/>
            <w:vAlign w:val="center"/>
          </w:tcPr>
          <w:p w14:paraId="5FD872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组</w:t>
            </w:r>
          </w:p>
        </w:tc>
        <w:tc>
          <w:tcPr>
            <w:tcW w:w="605" w:type="dxa"/>
            <w:shd w:val="clear" w:color="auto" w:fill="auto"/>
            <w:vAlign w:val="center"/>
          </w:tcPr>
          <w:p w14:paraId="0DA104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752B59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1489" w:type="dxa"/>
            <w:shd w:val="clear" w:color="auto" w:fill="auto"/>
            <w:vAlign w:val="center"/>
          </w:tcPr>
          <w:p w14:paraId="1B19DF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360</w:t>
            </w:r>
          </w:p>
        </w:tc>
      </w:tr>
      <w:tr w14:paraId="4B87E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99F1EDA">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67</w:t>
            </w:r>
          </w:p>
        </w:tc>
        <w:tc>
          <w:tcPr>
            <w:tcW w:w="1072" w:type="dxa"/>
            <w:shd w:val="clear" w:color="auto" w:fill="auto"/>
            <w:vAlign w:val="center"/>
          </w:tcPr>
          <w:p w14:paraId="086F49E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摩擦力演示器</w:t>
            </w:r>
          </w:p>
        </w:tc>
        <w:tc>
          <w:tcPr>
            <w:tcW w:w="4897" w:type="dxa"/>
            <w:shd w:val="clear" w:color="auto" w:fill="auto"/>
            <w:vAlign w:val="center"/>
          </w:tcPr>
          <w:p w14:paraId="3073831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由摩擦板、摩擦块、摩擦材料、匀速电机、定滑轮、测力计、测力计支架、细绳、钩码等组成。提供3种不同摩擦系统的摩擦面。摩擦板不小于800mmX100mmX10mm,平面度误差不大于0.6mm, 质地坚硬，表面均匀。摩擦块尺寸不小于11OmmX50mmX35mm,两摩擦面平面度误差应不大于0.1mm,侧面有挂钩。 电机拉动速度0cm/s～5cm/s,可调节。匀速运动速度误差±5%</w:t>
            </w:r>
          </w:p>
        </w:tc>
        <w:tc>
          <w:tcPr>
            <w:tcW w:w="462" w:type="dxa"/>
            <w:shd w:val="clear" w:color="auto" w:fill="auto"/>
            <w:vAlign w:val="center"/>
          </w:tcPr>
          <w:p w14:paraId="5A7968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7EA1E1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234776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467</w:t>
            </w:r>
          </w:p>
        </w:tc>
        <w:tc>
          <w:tcPr>
            <w:tcW w:w="1489" w:type="dxa"/>
            <w:shd w:val="clear" w:color="auto" w:fill="auto"/>
            <w:vAlign w:val="center"/>
          </w:tcPr>
          <w:p w14:paraId="07AB23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467</w:t>
            </w:r>
          </w:p>
        </w:tc>
      </w:tr>
      <w:tr w14:paraId="638A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7D19606">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68</w:t>
            </w:r>
          </w:p>
        </w:tc>
        <w:tc>
          <w:tcPr>
            <w:tcW w:w="1072" w:type="dxa"/>
            <w:shd w:val="clear" w:color="auto" w:fill="auto"/>
            <w:vAlign w:val="center"/>
          </w:tcPr>
          <w:p w14:paraId="7E753AA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力的合成与分解演示器</w:t>
            </w:r>
          </w:p>
        </w:tc>
        <w:tc>
          <w:tcPr>
            <w:tcW w:w="4897" w:type="dxa"/>
            <w:shd w:val="clear" w:color="auto" w:fill="auto"/>
            <w:vAlign w:val="center"/>
          </w:tcPr>
          <w:p w14:paraId="7257BD4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仪器由分度标盘、汇力环、测力计、调节器、滑轮、滑轮夹、主杆、底座组成。仪器的结构符合力系构成的实际条件，在一个分度的直角座标盘上，借助于挂线将三个力汇集在一个园环上，构成共点力的平衡力系，以此来演示力的合成与分解。1.分度座标盘应采用塑料注塑成型，表面光滑平整、无变形，直径不小于270mm；2.主杆为金属制品，直径12mm,长不小于400mm,一端有M10的外丝，表面镀铬处理。</w:t>
            </w:r>
          </w:p>
        </w:tc>
        <w:tc>
          <w:tcPr>
            <w:tcW w:w="462" w:type="dxa"/>
            <w:shd w:val="clear" w:color="auto" w:fill="auto"/>
            <w:vAlign w:val="center"/>
          </w:tcPr>
          <w:p w14:paraId="2B0652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2CA320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092361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151</w:t>
            </w:r>
          </w:p>
        </w:tc>
        <w:tc>
          <w:tcPr>
            <w:tcW w:w="1489" w:type="dxa"/>
            <w:shd w:val="clear" w:color="auto" w:fill="auto"/>
            <w:vAlign w:val="center"/>
          </w:tcPr>
          <w:p w14:paraId="2D7102F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151</w:t>
            </w:r>
          </w:p>
        </w:tc>
      </w:tr>
      <w:tr w14:paraId="7221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477838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69</w:t>
            </w:r>
          </w:p>
        </w:tc>
        <w:tc>
          <w:tcPr>
            <w:tcW w:w="1072" w:type="dxa"/>
            <w:shd w:val="clear" w:color="auto" w:fill="auto"/>
            <w:vAlign w:val="center"/>
          </w:tcPr>
          <w:p w14:paraId="07FE9B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演示定滑轮</w:t>
            </w:r>
          </w:p>
        </w:tc>
        <w:tc>
          <w:tcPr>
            <w:tcW w:w="4897" w:type="dxa"/>
            <w:shd w:val="clear" w:color="auto" w:fill="auto"/>
            <w:vAlign w:val="center"/>
          </w:tcPr>
          <w:p w14:paraId="4DA910C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有磁性，配合磁吸黑板使用，滑轮转盘尺寸不小于50mm</w:t>
            </w:r>
          </w:p>
        </w:tc>
        <w:tc>
          <w:tcPr>
            <w:tcW w:w="462" w:type="dxa"/>
            <w:shd w:val="clear" w:color="auto" w:fill="auto"/>
            <w:vAlign w:val="center"/>
          </w:tcPr>
          <w:p w14:paraId="69F6675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块</w:t>
            </w:r>
          </w:p>
        </w:tc>
        <w:tc>
          <w:tcPr>
            <w:tcW w:w="605" w:type="dxa"/>
            <w:shd w:val="clear" w:color="auto" w:fill="auto"/>
            <w:vAlign w:val="center"/>
          </w:tcPr>
          <w:p w14:paraId="2CE700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048" w:type="dxa"/>
            <w:shd w:val="clear" w:color="auto" w:fill="auto"/>
            <w:vAlign w:val="center"/>
          </w:tcPr>
          <w:p w14:paraId="34FA845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1489" w:type="dxa"/>
            <w:shd w:val="clear" w:color="auto" w:fill="auto"/>
            <w:vAlign w:val="center"/>
          </w:tcPr>
          <w:p w14:paraId="09B4A4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116</w:t>
            </w:r>
          </w:p>
        </w:tc>
      </w:tr>
      <w:tr w14:paraId="7C43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BCB3BCC">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70</w:t>
            </w:r>
          </w:p>
        </w:tc>
        <w:tc>
          <w:tcPr>
            <w:tcW w:w="1072" w:type="dxa"/>
            <w:shd w:val="clear" w:color="auto" w:fill="auto"/>
            <w:vAlign w:val="center"/>
          </w:tcPr>
          <w:p w14:paraId="3EC1EC7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条形盒测力计</w:t>
            </w:r>
          </w:p>
        </w:tc>
        <w:tc>
          <w:tcPr>
            <w:tcW w:w="4897" w:type="dxa"/>
            <w:shd w:val="clear" w:color="auto" w:fill="auto"/>
            <w:vAlign w:val="center"/>
          </w:tcPr>
          <w:p w14:paraId="309A0FC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测量范围0N</w:t>
            </w:r>
            <w:r>
              <w:rPr>
                <w:rStyle w:val="40"/>
                <w:lang w:bidi="ar"/>
              </w:rPr>
              <w:t>〜</w:t>
            </w:r>
            <w:r>
              <w:rPr>
                <w:rStyle w:val="41"/>
                <w:rFonts w:hint="default"/>
                <w:lang w:bidi="ar"/>
              </w:rPr>
              <w:t>1N,分度值0.01N；示值误差≤1/2分度，升降示差≤1/2分度，重复性偏差≤1/4分度</w:t>
            </w:r>
          </w:p>
        </w:tc>
        <w:tc>
          <w:tcPr>
            <w:tcW w:w="462" w:type="dxa"/>
            <w:shd w:val="clear" w:color="auto" w:fill="auto"/>
            <w:vAlign w:val="center"/>
          </w:tcPr>
          <w:p w14:paraId="215B86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4F5513A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0DE100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489" w:type="dxa"/>
            <w:shd w:val="clear" w:color="auto" w:fill="auto"/>
            <w:vAlign w:val="center"/>
          </w:tcPr>
          <w:p w14:paraId="0BE21B7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w:t>
            </w:r>
          </w:p>
        </w:tc>
      </w:tr>
      <w:tr w14:paraId="414A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E50F08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71</w:t>
            </w:r>
          </w:p>
        </w:tc>
        <w:tc>
          <w:tcPr>
            <w:tcW w:w="1072" w:type="dxa"/>
            <w:shd w:val="clear" w:color="auto" w:fill="auto"/>
            <w:vAlign w:val="center"/>
          </w:tcPr>
          <w:p w14:paraId="122738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条形盒测力计</w:t>
            </w:r>
          </w:p>
        </w:tc>
        <w:tc>
          <w:tcPr>
            <w:tcW w:w="4897" w:type="dxa"/>
            <w:shd w:val="clear" w:color="auto" w:fill="auto"/>
            <w:vAlign w:val="center"/>
          </w:tcPr>
          <w:p w14:paraId="05C0323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测量范围0N</w:t>
            </w:r>
            <w:r>
              <w:rPr>
                <w:rStyle w:val="40"/>
                <w:lang w:bidi="ar"/>
              </w:rPr>
              <w:t>〜</w:t>
            </w:r>
            <w:r>
              <w:rPr>
                <w:rStyle w:val="41"/>
                <w:rFonts w:hint="default"/>
                <w:lang w:bidi="ar"/>
              </w:rPr>
              <w:t>2.5N,分度值0.05N；示值误差≤1/4分度，升降示差≤1/2分度，重复性偏差≤1/4分度</w:t>
            </w:r>
          </w:p>
        </w:tc>
        <w:tc>
          <w:tcPr>
            <w:tcW w:w="462" w:type="dxa"/>
            <w:shd w:val="clear" w:color="auto" w:fill="auto"/>
            <w:vAlign w:val="center"/>
          </w:tcPr>
          <w:p w14:paraId="395453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730CCEE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4D6B09A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489" w:type="dxa"/>
            <w:shd w:val="clear" w:color="auto" w:fill="auto"/>
            <w:vAlign w:val="center"/>
          </w:tcPr>
          <w:p w14:paraId="1E5F18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w:t>
            </w:r>
          </w:p>
        </w:tc>
      </w:tr>
      <w:tr w14:paraId="0D24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2CE76D1">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72</w:t>
            </w:r>
          </w:p>
        </w:tc>
        <w:tc>
          <w:tcPr>
            <w:tcW w:w="1072" w:type="dxa"/>
            <w:shd w:val="clear" w:color="auto" w:fill="auto"/>
            <w:vAlign w:val="center"/>
          </w:tcPr>
          <w:p w14:paraId="55B119B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条形盒测力计</w:t>
            </w:r>
          </w:p>
        </w:tc>
        <w:tc>
          <w:tcPr>
            <w:tcW w:w="4897" w:type="dxa"/>
            <w:shd w:val="clear" w:color="auto" w:fill="auto"/>
            <w:vAlign w:val="center"/>
          </w:tcPr>
          <w:p w14:paraId="0634BA5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测量范围0N</w:t>
            </w:r>
            <w:r>
              <w:rPr>
                <w:rStyle w:val="40"/>
                <w:lang w:bidi="ar"/>
              </w:rPr>
              <w:t>〜</w:t>
            </w:r>
            <w:r>
              <w:rPr>
                <w:rStyle w:val="41"/>
                <w:rFonts w:hint="default"/>
                <w:lang w:bidi="ar"/>
              </w:rPr>
              <w:t>5N,分度值0.1N；示值误差≤1/4分度，升降示差≤1/2分度， 重复性偏差≤1/4分度</w:t>
            </w:r>
          </w:p>
        </w:tc>
        <w:tc>
          <w:tcPr>
            <w:tcW w:w="462" w:type="dxa"/>
            <w:shd w:val="clear" w:color="auto" w:fill="auto"/>
            <w:vAlign w:val="center"/>
          </w:tcPr>
          <w:p w14:paraId="2FDD06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4D4E47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4F1E55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489" w:type="dxa"/>
            <w:shd w:val="clear" w:color="auto" w:fill="auto"/>
            <w:vAlign w:val="center"/>
          </w:tcPr>
          <w:p w14:paraId="59BB9A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w:t>
            </w:r>
          </w:p>
        </w:tc>
      </w:tr>
      <w:tr w14:paraId="4E94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D84571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73</w:t>
            </w:r>
          </w:p>
        </w:tc>
        <w:tc>
          <w:tcPr>
            <w:tcW w:w="1072" w:type="dxa"/>
            <w:shd w:val="clear" w:color="auto" w:fill="auto"/>
            <w:vAlign w:val="center"/>
          </w:tcPr>
          <w:p w14:paraId="190E7BA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条形盒测力计</w:t>
            </w:r>
          </w:p>
        </w:tc>
        <w:tc>
          <w:tcPr>
            <w:tcW w:w="4897" w:type="dxa"/>
            <w:shd w:val="clear" w:color="auto" w:fill="auto"/>
            <w:vAlign w:val="center"/>
          </w:tcPr>
          <w:p w14:paraId="5BA99AA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测量范围0N</w:t>
            </w:r>
            <w:r>
              <w:rPr>
                <w:rStyle w:val="40"/>
                <w:lang w:bidi="ar"/>
              </w:rPr>
              <w:t>〜</w:t>
            </w:r>
            <w:r>
              <w:rPr>
                <w:rStyle w:val="41"/>
                <w:rFonts w:hint="default"/>
                <w:lang w:bidi="ar"/>
              </w:rPr>
              <w:t>10N,分度值0.2N；示值误差≤1/4分度，升降示差≤1/2分度，重复性偏差≤1/4分度</w:t>
            </w:r>
          </w:p>
        </w:tc>
        <w:tc>
          <w:tcPr>
            <w:tcW w:w="462" w:type="dxa"/>
            <w:shd w:val="clear" w:color="auto" w:fill="auto"/>
            <w:vAlign w:val="center"/>
          </w:tcPr>
          <w:p w14:paraId="149E668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1BD071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2695C28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489" w:type="dxa"/>
            <w:shd w:val="clear" w:color="auto" w:fill="auto"/>
            <w:vAlign w:val="center"/>
          </w:tcPr>
          <w:p w14:paraId="5A5373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w:t>
            </w:r>
          </w:p>
        </w:tc>
      </w:tr>
      <w:tr w14:paraId="336C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5B9B32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74</w:t>
            </w:r>
          </w:p>
        </w:tc>
        <w:tc>
          <w:tcPr>
            <w:tcW w:w="1072" w:type="dxa"/>
            <w:shd w:val="clear" w:color="auto" w:fill="auto"/>
            <w:vAlign w:val="center"/>
          </w:tcPr>
          <w:p w14:paraId="601B98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量角器（圆等分器）</w:t>
            </w:r>
          </w:p>
        </w:tc>
        <w:tc>
          <w:tcPr>
            <w:tcW w:w="4897" w:type="dxa"/>
            <w:shd w:val="clear" w:color="auto" w:fill="auto"/>
            <w:vAlign w:val="center"/>
          </w:tcPr>
          <w:p w14:paraId="1DB131E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最小分度值应为1°,分度线应为0°</w:t>
            </w:r>
            <w:r>
              <w:rPr>
                <w:rStyle w:val="40"/>
                <w:lang w:bidi="ar"/>
              </w:rPr>
              <w:t>〜</w:t>
            </w:r>
            <w:r>
              <w:rPr>
                <w:rStyle w:val="41"/>
                <w:rFonts w:hint="default"/>
                <w:lang w:bidi="ar"/>
              </w:rPr>
              <w:t>180°和180°</w:t>
            </w:r>
            <w:r>
              <w:rPr>
                <w:rStyle w:val="40"/>
                <w:lang w:bidi="ar"/>
              </w:rPr>
              <w:t>〜</w:t>
            </w:r>
            <w:r>
              <w:rPr>
                <w:rStyle w:val="41"/>
                <w:rFonts w:hint="default"/>
                <w:lang w:bidi="ar"/>
              </w:rPr>
              <w:t>0°双向标度，双向角度标度中间有划线槽。半圆直径应为500mm</w:t>
            </w:r>
            <w:r>
              <w:rPr>
                <w:rStyle w:val="40"/>
                <w:lang w:bidi="ar"/>
              </w:rPr>
              <w:t>〜</w:t>
            </w:r>
            <w:r>
              <w:rPr>
                <w:rStyle w:val="41"/>
                <w:rFonts w:hint="default"/>
                <w:lang w:bidi="ar"/>
              </w:rPr>
              <w:t>510mm,尺面厚不小于6mm</w:t>
            </w:r>
          </w:p>
        </w:tc>
        <w:tc>
          <w:tcPr>
            <w:tcW w:w="462" w:type="dxa"/>
            <w:shd w:val="clear" w:color="auto" w:fill="auto"/>
            <w:vAlign w:val="center"/>
          </w:tcPr>
          <w:p w14:paraId="31D3558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138455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56C1064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1489" w:type="dxa"/>
            <w:shd w:val="clear" w:color="auto" w:fill="auto"/>
            <w:vAlign w:val="center"/>
          </w:tcPr>
          <w:p w14:paraId="461BCB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540</w:t>
            </w:r>
          </w:p>
        </w:tc>
      </w:tr>
      <w:tr w14:paraId="6A5B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BC19457">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75</w:t>
            </w:r>
          </w:p>
        </w:tc>
        <w:tc>
          <w:tcPr>
            <w:tcW w:w="1072" w:type="dxa"/>
            <w:shd w:val="clear" w:color="auto" w:fill="auto"/>
            <w:vAlign w:val="center"/>
          </w:tcPr>
          <w:p w14:paraId="2C64B2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三角板</w:t>
            </w:r>
          </w:p>
        </w:tc>
        <w:tc>
          <w:tcPr>
            <w:tcW w:w="4897" w:type="dxa"/>
            <w:shd w:val="clear" w:color="auto" w:fill="auto"/>
            <w:vAlign w:val="center"/>
          </w:tcPr>
          <w:p w14:paraId="2E0DDFD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等腰直角，中间带量角器，斜边不小于300mm</w:t>
            </w:r>
          </w:p>
        </w:tc>
        <w:tc>
          <w:tcPr>
            <w:tcW w:w="462" w:type="dxa"/>
            <w:shd w:val="clear" w:color="auto" w:fill="auto"/>
            <w:vAlign w:val="center"/>
          </w:tcPr>
          <w:p w14:paraId="655181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02F3BD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5BB67F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1489" w:type="dxa"/>
            <w:shd w:val="clear" w:color="auto" w:fill="auto"/>
            <w:vAlign w:val="center"/>
          </w:tcPr>
          <w:p w14:paraId="03518B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660</w:t>
            </w:r>
          </w:p>
        </w:tc>
      </w:tr>
      <w:tr w14:paraId="0306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3F2CE36">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76</w:t>
            </w:r>
          </w:p>
        </w:tc>
        <w:tc>
          <w:tcPr>
            <w:tcW w:w="1072" w:type="dxa"/>
            <w:shd w:val="clear" w:color="auto" w:fill="auto"/>
            <w:vAlign w:val="center"/>
          </w:tcPr>
          <w:p w14:paraId="74DDE8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圆规</w:t>
            </w:r>
          </w:p>
        </w:tc>
        <w:tc>
          <w:tcPr>
            <w:tcW w:w="4897" w:type="dxa"/>
            <w:shd w:val="clear" w:color="auto" w:fill="auto"/>
            <w:vAlign w:val="center"/>
          </w:tcPr>
          <w:p w14:paraId="001C0CE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教学用</w:t>
            </w:r>
          </w:p>
        </w:tc>
        <w:tc>
          <w:tcPr>
            <w:tcW w:w="462" w:type="dxa"/>
            <w:shd w:val="clear" w:color="auto" w:fill="auto"/>
            <w:vAlign w:val="center"/>
          </w:tcPr>
          <w:p w14:paraId="4F2877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5E73B0F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1758A6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489" w:type="dxa"/>
            <w:shd w:val="clear" w:color="auto" w:fill="auto"/>
            <w:vAlign w:val="center"/>
          </w:tcPr>
          <w:p w14:paraId="3EE56F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w:t>
            </w:r>
          </w:p>
        </w:tc>
      </w:tr>
      <w:tr w14:paraId="209B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573E465">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77</w:t>
            </w:r>
          </w:p>
        </w:tc>
        <w:tc>
          <w:tcPr>
            <w:tcW w:w="1072" w:type="dxa"/>
            <w:shd w:val="clear" w:color="auto" w:fill="auto"/>
            <w:vAlign w:val="center"/>
          </w:tcPr>
          <w:p w14:paraId="6A0DAE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伽利略理想斜面演示器</w:t>
            </w:r>
          </w:p>
        </w:tc>
        <w:tc>
          <w:tcPr>
            <w:tcW w:w="4897" w:type="dxa"/>
            <w:shd w:val="clear" w:color="auto" w:fill="auto"/>
            <w:vAlign w:val="center"/>
          </w:tcPr>
          <w:p w14:paraId="29DB959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长度≥1200mm, 一端高度可连续升降，连接曲面光滑</w:t>
            </w:r>
          </w:p>
        </w:tc>
        <w:tc>
          <w:tcPr>
            <w:tcW w:w="462" w:type="dxa"/>
            <w:shd w:val="clear" w:color="auto" w:fill="auto"/>
            <w:vAlign w:val="center"/>
          </w:tcPr>
          <w:p w14:paraId="6805E23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44C56D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650376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453</w:t>
            </w:r>
          </w:p>
        </w:tc>
        <w:tc>
          <w:tcPr>
            <w:tcW w:w="1489" w:type="dxa"/>
            <w:shd w:val="clear" w:color="auto" w:fill="auto"/>
            <w:vAlign w:val="center"/>
          </w:tcPr>
          <w:p w14:paraId="50DBF0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453</w:t>
            </w:r>
          </w:p>
        </w:tc>
      </w:tr>
      <w:tr w14:paraId="008B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623F75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78</w:t>
            </w:r>
          </w:p>
        </w:tc>
        <w:tc>
          <w:tcPr>
            <w:tcW w:w="1072" w:type="dxa"/>
            <w:shd w:val="clear" w:color="auto" w:fill="auto"/>
            <w:vAlign w:val="center"/>
          </w:tcPr>
          <w:p w14:paraId="7CD51E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牛顿第二定律演示仪</w:t>
            </w:r>
          </w:p>
        </w:tc>
        <w:tc>
          <w:tcPr>
            <w:tcW w:w="4897" w:type="dxa"/>
            <w:shd w:val="clear" w:color="auto" w:fill="auto"/>
            <w:vAlign w:val="center"/>
          </w:tcPr>
          <w:p w14:paraId="16FA105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包含铝合金底座、支架、1.2m平行双轨平行铝合金轨道、轨道滑块、轨道堵头、轨道小车、显示屏直读的专用加速度计、配套钩码（注塑成型挂钩，挂钩的受力点与轴心一致，精度1%）、配重等。轨道配有电磁释放装置，可同时释放2个轨道小车</w:t>
            </w:r>
          </w:p>
        </w:tc>
        <w:tc>
          <w:tcPr>
            <w:tcW w:w="462" w:type="dxa"/>
            <w:shd w:val="clear" w:color="auto" w:fill="auto"/>
            <w:vAlign w:val="center"/>
          </w:tcPr>
          <w:p w14:paraId="125131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4FF10D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6DAC04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343</w:t>
            </w:r>
          </w:p>
        </w:tc>
        <w:tc>
          <w:tcPr>
            <w:tcW w:w="1489" w:type="dxa"/>
            <w:shd w:val="clear" w:color="auto" w:fill="auto"/>
            <w:vAlign w:val="center"/>
          </w:tcPr>
          <w:p w14:paraId="7B36CE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343</w:t>
            </w:r>
          </w:p>
        </w:tc>
      </w:tr>
      <w:tr w14:paraId="6C75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9386937">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79</w:t>
            </w:r>
          </w:p>
        </w:tc>
        <w:tc>
          <w:tcPr>
            <w:tcW w:w="1072" w:type="dxa"/>
            <w:shd w:val="clear" w:color="auto" w:fill="auto"/>
            <w:vAlign w:val="center"/>
          </w:tcPr>
          <w:p w14:paraId="042956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架盘天平（托盘天平）</w:t>
            </w:r>
          </w:p>
        </w:tc>
        <w:tc>
          <w:tcPr>
            <w:tcW w:w="4897" w:type="dxa"/>
            <w:shd w:val="clear" w:color="auto" w:fill="auto"/>
            <w:vAlign w:val="center"/>
          </w:tcPr>
          <w:p w14:paraId="40F494A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测量范围0g～100g,分度值0.1g</w:t>
            </w:r>
          </w:p>
        </w:tc>
        <w:tc>
          <w:tcPr>
            <w:tcW w:w="462" w:type="dxa"/>
            <w:shd w:val="clear" w:color="auto" w:fill="auto"/>
            <w:vAlign w:val="center"/>
          </w:tcPr>
          <w:p w14:paraId="01F68B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6A61E5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48A3A06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77</w:t>
            </w:r>
          </w:p>
        </w:tc>
        <w:tc>
          <w:tcPr>
            <w:tcW w:w="1489" w:type="dxa"/>
            <w:shd w:val="clear" w:color="auto" w:fill="auto"/>
            <w:vAlign w:val="center"/>
          </w:tcPr>
          <w:p w14:paraId="484DD1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2310</w:t>
            </w:r>
          </w:p>
        </w:tc>
      </w:tr>
      <w:tr w14:paraId="3927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D42F12A">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80</w:t>
            </w:r>
          </w:p>
        </w:tc>
        <w:tc>
          <w:tcPr>
            <w:tcW w:w="1072" w:type="dxa"/>
            <w:shd w:val="clear" w:color="auto" w:fill="auto"/>
            <w:vAlign w:val="center"/>
          </w:tcPr>
          <w:p w14:paraId="0C2AE4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电子天平</w:t>
            </w:r>
          </w:p>
        </w:tc>
        <w:tc>
          <w:tcPr>
            <w:tcW w:w="4897" w:type="dxa"/>
            <w:shd w:val="clear" w:color="auto" w:fill="auto"/>
            <w:vAlign w:val="center"/>
          </w:tcPr>
          <w:p w14:paraId="6496636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1、测量范围0g</w:t>
            </w:r>
            <w:r>
              <w:rPr>
                <w:rStyle w:val="40"/>
                <w:lang w:bidi="ar"/>
              </w:rPr>
              <w:t>〜</w:t>
            </w:r>
            <w:r>
              <w:rPr>
                <w:rStyle w:val="41"/>
                <w:rFonts w:hint="default"/>
                <w:lang w:bidi="ar"/>
              </w:rPr>
              <w:t>100g；2、分辨力0.001 g，3、采用高精度应变式称量传感器。4、自动外置砝码校准，标配砝码操作简便。5、可拆卸式方形透明防风罩。6、数码显示。7、具有超载保护及去皮，计数等功能。8、产品应符合JJG1036-2008《电子天平》。</w:t>
            </w:r>
          </w:p>
        </w:tc>
        <w:tc>
          <w:tcPr>
            <w:tcW w:w="462" w:type="dxa"/>
            <w:shd w:val="clear" w:color="auto" w:fill="auto"/>
            <w:vAlign w:val="center"/>
          </w:tcPr>
          <w:p w14:paraId="7870557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088B71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687CC9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566</w:t>
            </w:r>
          </w:p>
        </w:tc>
        <w:tc>
          <w:tcPr>
            <w:tcW w:w="1489" w:type="dxa"/>
            <w:shd w:val="clear" w:color="auto" w:fill="auto"/>
            <w:vAlign w:val="center"/>
          </w:tcPr>
          <w:p w14:paraId="165796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566</w:t>
            </w:r>
          </w:p>
        </w:tc>
      </w:tr>
      <w:tr w14:paraId="2FBD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7AC30D5">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81</w:t>
            </w:r>
          </w:p>
        </w:tc>
        <w:tc>
          <w:tcPr>
            <w:tcW w:w="1072" w:type="dxa"/>
            <w:shd w:val="clear" w:color="auto" w:fill="auto"/>
            <w:vAlign w:val="center"/>
          </w:tcPr>
          <w:p w14:paraId="33DA31C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电子天平</w:t>
            </w:r>
          </w:p>
        </w:tc>
        <w:tc>
          <w:tcPr>
            <w:tcW w:w="4897" w:type="dxa"/>
            <w:shd w:val="clear" w:color="auto" w:fill="auto"/>
            <w:vAlign w:val="center"/>
          </w:tcPr>
          <w:p w14:paraId="54B43CF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1、测量范围0g</w:t>
            </w:r>
            <w:r>
              <w:rPr>
                <w:rStyle w:val="40"/>
                <w:lang w:bidi="ar"/>
              </w:rPr>
              <w:t>〜</w:t>
            </w:r>
            <w:r>
              <w:rPr>
                <w:rStyle w:val="41"/>
                <w:rFonts w:hint="default"/>
                <w:lang w:bidi="ar"/>
              </w:rPr>
              <w:t>1000g；2、分辨力0.1 g，3、采用高精度应变式称量传感器。4、自动外置砝码校准，标配砝码操作简便。5、可拆卸式方形透明防风罩。6、数码显示。7、具有超载保护及去皮，计数等功能。8、产品应符合JJG1036-2008《电子天平》。</w:t>
            </w:r>
          </w:p>
        </w:tc>
        <w:tc>
          <w:tcPr>
            <w:tcW w:w="462" w:type="dxa"/>
            <w:shd w:val="clear" w:color="auto" w:fill="auto"/>
            <w:vAlign w:val="center"/>
          </w:tcPr>
          <w:p w14:paraId="2193A6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38759C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12FC967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302</w:t>
            </w:r>
          </w:p>
        </w:tc>
        <w:tc>
          <w:tcPr>
            <w:tcW w:w="1489" w:type="dxa"/>
            <w:shd w:val="clear" w:color="auto" w:fill="auto"/>
            <w:vAlign w:val="center"/>
          </w:tcPr>
          <w:p w14:paraId="7F2454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302</w:t>
            </w:r>
          </w:p>
        </w:tc>
      </w:tr>
      <w:tr w14:paraId="5DC0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871C09E">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82</w:t>
            </w:r>
          </w:p>
        </w:tc>
        <w:tc>
          <w:tcPr>
            <w:tcW w:w="1072" w:type="dxa"/>
            <w:shd w:val="clear" w:color="auto" w:fill="auto"/>
            <w:vAlign w:val="center"/>
          </w:tcPr>
          <w:p w14:paraId="0EF711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电子台秤</w:t>
            </w:r>
          </w:p>
        </w:tc>
        <w:tc>
          <w:tcPr>
            <w:tcW w:w="4897" w:type="dxa"/>
            <w:shd w:val="clear" w:color="auto" w:fill="auto"/>
            <w:vAlign w:val="center"/>
          </w:tcPr>
          <w:p w14:paraId="37733D0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测量范围0g</w:t>
            </w:r>
            <w:r>
              <w:rPr>
                <w:rStyle w:val="40"/>
                <w:lang w:bidi="ar"/>
              </w:rPr>
              <w:t>〜</w:t>
            </w:r>
            <w:r>
              <w:rPr>
                <w:rStyle w:val="41"/>
                <w:rFonts w:hint="default"/>
                <w:lang w:bidi="ar"/>
              </w:rPr>
              <w:t>5kg,分辨力0.1g</w:t>
            </w:r>
          </w:p>
        </w:tc>
        <w:tc>
          <w:tcPr>
            <w:tcW w:w="462" w:type="dxa"/>
            <w:shd w:val="clear" w:color="auto" w:fill="auto"/>
            <w:vAlign w:val="center"/>
          </w:tcPr>
          <w:p w14:paraId="5AF998B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3464E7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1E072C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479</w:t>
            </w:r>
          </w:p>
        </w:tc>
        <w:tc>
          <w:tcPr>
            <w:tcW w:w="1489" w:type="dxa"/>
            <w:shd w:val="clear" w:color="auto" w:fill="auto"/>
            <w:vAlign w:val="center"/>
          </w:tcPr>
          <w:p w14:paraId="143F5C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479</w:t>
            </w:r>
          </w:p>
        </w:tc>
      </w:tr>
      <w:tr w14:paraId="5AA3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80C3A3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83</w:t>
            </w:r>
          </w:p>
        </w:tc>
        <w:tc>
          <w:tcPr>
            <w:tcW w:w="1072" w:type="dxa"/>
            <w:shd w:val="clear" w:color="auto" w:fill="auto"/>
            <w:vAlign w:val="center"/>
          </w:tcPr>
          <w:p w14:paraId="482303F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重锤</w:t>
            </w:r>
          </w:p>
        </w:tc>
        <w:tc>
          <w:tcPr>
            <w:tcW w:w="4897" w:type="dxa"/>
            <w:shd w:val="clear" w:color="auto" w:fill="auto"/>
            <w:vAlign w:val="center"/>
          </w:tcPr>
          <w:p w14:paraId="025AD67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300g、600g</w:t>
            </w:r>
          </w:p>
        </w:tc>
        <w:tc>
          <w:tcPr>
            <w:tcW w:w="462" w:type="dxa"/>
            <w:shd w:val="clear" w:color="auto" w:fill="auto"/>
            <w:vAlign w:val="center"/>
          </w:tcPr>
          <w:p w14:paraId="71E384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405E1A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753D03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1489" w:type="dxa"/>
            <w:shd w:val="clear" w:color="auto" w:fill="auto"/>
            <w:vAlign w:val="center"/>
          </w:tcPr>
          <w:p w14:paraId="40B4295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r>
      <w:tr w14:paraId="5FD0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668EB09">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84</w:t>
            </w:r>
          </w:p>
        </w:tc>
        <w:tc>
          <w:tcPr>
            <w:tcW w:w="1072" w:type="dxa"/>
            <w:shd w:val="clear" w:color="auto" w:fill="auto"/>
            <w:vAlign w:val="center"/>
          </w:tcPr>
          <w:p w14:paraId="120D95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超重失重演示器</w:t>
            </w:r>
          </w:p>
        </w:tc>
        <w:tc>
          <w:tcPr>
            <w:tcW w:w="4897" w:type="dxa"/>
            <w:shd w:val="clear" w:color="auto" w:fill="auto"/>
            <w:vAlign w:val="center"/>
          </w:tcPr>
          <w:p w14:paraId="2E23C86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记忆式</w:t>
            </w:r>
          </w:p>
        </w:tc>
        <w:tc>
          <w:tcPr>
            <w:tcW w:w="462" w:type="dxa"/>
            <w:shd w:val="clear" w:color="auto" w:fill="auto"/>
            <w:vAlign w:val="center"/>
          </w:tcPr>
          <w:p w14:paraId="2DCC50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12301E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B1531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398</w:t>
            </w:r>
          </w:p>
        </w:tc>
        <w:tc>
          <w:tcPr>
            <w:tcW w:w="1489" w:type="dxa"/>
            <w:shd w:val="clear" w:color="auto" w:fill="auto"/>
            <w:vAlign w:val="center"/>
          </w:tcPr>
          <w:p w14:paraId="5707C2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398</w:t>
            </w:r>
          </w:p>
        </w:tc>
      </w:tr>
      <w:tr w14:paraId="7AFE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FB62C79">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85</w:t>
            </w:r>
          </w:p>
        </w:tc>
        <w:tc>
          <w:tcPr>
            <w:tcW w:w="1072" w:type="dxa"/>
            <w:shd w:val="clear" w:color="auto" w:fill="auto"/>
            <w:vAlign w:val="center"/>
          </w:tcPr>
          <w:p w14:paraId="6AD4FB8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体重秤</w:t>
            </w:r>
          </w:p>
        </w:tc>
        <w:tc>
          <w:tcPr>
            <w:tcW w:w="4897" w:type="dxa"/>
            <w:shd w:val="clear" w:color="auto" w:fill="auto"/>
            <w:vAlign w:val="center"/>
          </w:tcPr>
          <w:p w14:paraId="07C2D85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指针式，测量范围0kg</w:t>
            </w:r>
            <w:r>
              <w:rPr>
                <w:rStyle w:val="40"/>
                <w:lang w:bidi="ar"/>
              </w:rPr>
              <w:t>〜</w:t>
            </w:r>
            <w:r>
              <w:rPr>
                <w:rStyle w:val="41"/>
                <w:rFonts w:hint="default"/>
                <w:lang w:bidi="ar"/>
              </w:rPr>
              <w:t>160kg,分度值0.5kg</w:t>
            </w:r>
          </w:p>
        </w:tc>
        <w:tc>
          <w:tcPr>
            <w:tcW w:w="462" w:type="dxa"/>
            <w:shd w:val="clear" w:color="auto" w:fill="auto"/>
            <w:vAlign w:val="center"/>
          </w:tcPr>
          <w:p w14:paraId="58F166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3FF91CB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2CFC0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473</w:t>
            </w:r>
          </w:p>
        </w:tc>
        <w:tc>
          <w:tcPr>
            <w:tcW w:w="1489" w:type="dxa"/>
            <w:shd w:val="clear" w:color="auto" w:fill="auto"/>
            <w:vAlign w:val="center"/>
          </w:tcPr>
          <w:p w14:paraId="07203E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473</w:t>
            </w:r>
          </w:p>
        </w:tc>
      </w:tr>
      <w:tr w14:paraId="6B25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0F03B4C">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86</w:t>
            </w:r>
          </w:p>
        </w:tc>
        <w:tc>
          <w:tcPr>
            <w:tcW w:w="1072" w:type="dxa"/>
            <w:shd w:val="clear" w:color="auto" w:fill="auto"/>
            <w:vAlign w:val="center"/>
          </w:tcPr>
          <w:p w14:paraId="6B1F9D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滚摆</w:t>
            </w:r>
          </w:p>
        </w:tc>
        <w:tc>
          <w:tcPr>
            <w:tcW w:w="4897" w:type="dxa"/>
            <w:shd w:val="clear" w:color="auto" w:fill="auto"/>
            <w:vAlign w:val="center"/>
          </w:tcPr>
          <w:p w14:paraId="36F422C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包括摆体（摆轮和摆轴）、悬线和支架等。摆轮采用金属材质，直径125mm； 摆轴采用钢材制作，直径8mm，长160mm；支架高460mm,横梁长300mm；摆体质 量为0.6kg</w:t>
            </w:r>
            <w:r>
              <w:rPr>
                <w:rStyle w:val="40"/>
                <w:lang w:bidi="ar"/>
              </w:rPr>
              <w:t>〜</w:t>
            </w:r>
            <w:r>
              <w:rPr>
                <w:rStyle w:val="41"/>
                <w:rFonts w:hint="default"/>
                <w:lang w:bidi="ar"/>
              </w:rPr>
              <w:t>0.8kg。摆体前10次的回升累计递减量应≤65mm</w:t>
            </w:r>
          </w:p>
        </w:tc>
        <w:tc>
          <w:tcPr>
            <w:tcW w:w="462" w:type="dxa"/>
            <w:shd w:val="clear" w:color="auto" w:fill="auto"/>
            <w:vAlign w:val="center"/>
          </w:tcPr>
          <w:p w14:paraId="4EE7C7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2CE6C9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2CDA4D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w:t>
            </w:r>
          </w:p>
        </w:tc>
        <w:tc>
          <w:tcPr>
            <w:tcW w:w="1489" w:type="dxa"/>
            <w:shd w:val="clear" w:color="auto" w:fill="auto"/>
            <w:vAlign w:val="center"/>
          </w:tcPr>
          <w:p w14:paraId="4DCA763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w:t>
            </w:r>
          </w:p>
        </w:tc>
      </w:tr>
      <w:tr w14:paraId="6A40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70CF0BA">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87</w:t>
            </w:r>
          </w:p>
        </w:tc>
        <w:tc>
          <w:tcPr>
            <w:tcW w:w="1072" w:type="dxa"/>
            <w:shd w:val="clear" w:color="auto" w:fill="auto"/>
            <w:vAlign w:val="center"/>
          </w:tcPr>
          <w:p w14:paraId="367BD0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气垫导轨</w:t>
            </w:r>
          </w:p>
        </w:tc>
        <w:tc>
          <w:tcPr>
            <w:tcW w:w="4897" w:type="dxa"/>
            <w:shd w:val="clear" w:color="auto" w:fill="auto"/>
            <w:vAlign w:val="center"/>
          </w:tcPr>
          <w:p w14:paraId="47075D3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导轨长1200mm</w:t>
            </w:r>
            <w:r>
              <w:rPr>
                <w:rStyle w:val="40"/>
                <w:lang w:bidi="ar"/>
              </w:rPr>
              <w:t>〜</w:t>
            </w:r>
            <w:r>
              <w:rPr>
                <w:rStyle w:val="41"/>
                <w:rFonts w:hint="default"/>
                <w:lang w:bidi="ar"/>
              </w:rPr>
              <w:t>2000mm,配气源，含滑行器、配备块、挡光片、挡光条、弹性碰撞器、非弹性碰撞器、滑轮、垫脚、定高垫块、砝码盘、弹簧振子、光电门架等附件</w:t>
            </w:r>
          </w:p>
        </w:tc>
        <w:tc>
          <w:tcPr>
            <w:tcW w:w="462" w:type="dxa"/>
            <w:shd w:val="clear" w:color="auto" w:fill="auto"/>
            <w:vAlign w:val="center"/>
          </w:tcPr>
          <w:p w14:paraId="0090A9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48B710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31F32B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506</w:t>
            </w:r>
          </w:p>
        </w:tc>
        <w:tc>
          <w:tcPr>
            <w:tcW w:w="1489" w:type="dxa"/>
            <w:shd w:val="clear" w:color="auto" w:fill="auto"/>
            <w:vAlign w:val="center"/>
          </w:tcPr>
          <w:p w14:paraId="58D4795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7590</w:t>
            </w:r>
          </w:p>
        </w:tc>
      </w:tr>
      <w:tr w14:paraId="079A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0A17483">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88</w:t>
            </w:r>
          </w:p>
        </w:tc>
        <w:tc>
          <w:tcPr>
            <w:tcW w:w="1072" w:type="dxa"/>
            <w:shd w:val="clear" w:color="auto" w:fill="auto"/>
            <w:vAlign w:val="center"/>
          </w:tcPr>
          <w:p w14:paraId="5CFFA8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小型气源</w:t>
            </w:r>
          </w:p>
        </w:tc>
        <w:tc>
          <w:tcPr>
            <w:tcW w:w="4897" w:type="dxa"/>
            <w:shd w:val="clear" w:color="auto" w:fill="auto"/>
            <w:vAlign w:val="center"/>
          </w:tcPr>
          <w:p w14:paraId="56FB607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气压不小于5kPa,静音气源，噪音不大于55dB,应有配合弹簧振子和气垫导轨使用的接口或过渡接口</w:t>
            </w:r>
          </w:p>
        </w:tc>
        <w:tc>
          <w:tcPr>
            <w:tcW w:w="462" w:type="dxa"/>
            <w:shd w:val="clear" w:color="auto" w:fill="auto"/>
            <w:vAlign w:val="center"/>
          </w:tcPr>
          <w:p w14:paraId="04B0A4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07A672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1773E2A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388</w:t>
            </w:r>
          </w:p>
        </w:tc>
        <w:tc>
          <w:tcPr>
            <w:tcW w:w="1489" w:type="dxa"/>
            <w:shd w:val="clear" w:color="auto" w:fill="auto"/>
            <w:vAlign w:val="center"/>
          </w:tcPr>
          <w:p w14:paraId="53CA01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5820</w:t>
            </w:r>
          </w:p>
        </w:tc>
      </w:tr>
      <w:tr w14:paraId="0AAB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8C2A2D1">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89</w:t>
            </w:r>
          </w:p>
        </w:tc>
        <w:tc>
          <w:tcPr>
            <w:tcW w:w="1072" w:type="dxa"/>
            <w:shd w:val="clear" w:color="auto" w:fill="auto"/>
            <w:vAlign w:val="center"/>
          </w:tcPr>
          <w:p w14:paraId="3DED0D5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数字计时器</w:t>
            </w:r>
          </w:p>
        </w:tc>
        <w:tc>
          <w:tcPr>
            <w:tcW w:w="4897" w:type="dxa"/>
            <w:shd w:val="clear" w:color="auto" w:fill="auto"/>
            <w:vAlign w:val="center"/>
          </w:tcPr>
          <w:p w14:paraId="4A2554D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四位及以上，数据存储。可通过液晶屏选择控制菜单，可设定多种计时模式，包括通过时间、挡光时间、速度、周期、平均周期、平均频率、计数、单摆周期、平均单摆周期、平均单摆频率、周期数等，能显示10个挡光间隔时间、10周振动、n次振动时间总和、加速度计时3个时间、自由落体时间不少于2个、2路光电门分别计2个挡光时间（对碰、追碰），对应间隔时间的平均速度、加速度、碰撞计时四个平均速度；电磁铁可调释放延时补偿。具有2路光电门接口、2路独立计时触发按钮，有电磁铁接口，统一通用接口，1个电磁释放按钮，能够存储不少于20组数据。可用于匀加速运动、自由落体、圆周运动、牛顿第二定律、摆、碰撞、声速测量等实验。时间测量精度：0.01ms；可计时范围：0.02ms～100h„配备无线传输模块，可与显示屏配套使用</w:t>
            </w:r>
          </w:p>
        </w:tc>
        <w:tc>
          <w:tcPr>
            <w:tcW w:w="462" w:type="dxa"/>
            <w:shd w:val="clear" w:color="auto" w:fill="auto"/>
            <w:vAlign w:val="center"/>
          </w:tcPr>
          <w:p w14:paraId="15338EB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75F71C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241CD7F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221</w:t>
            </w:r>
          </w:p>
        </w:tc>
        <w:tc>
          <w:tcPr>
            <w:tcW w:w="1489" w:type="dxa"/>
            <w:shd w:val="clear" w:color="auto" w:fill="auto"/>
            <w:vAlign w:val="center"/>
          </w:tcPr>
          <w:p w14:paraId="0196A1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3315</w:t>
            </w:r>
          </w:p>
        </w:tc>
      </w:tr>
      <w:tr w14:paraId="70F5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6585BB7">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90</w:t>
            </w:r>
          </w:p>
        </w:tc>
        <w:tc>
          <w:tcPr>
            <w:tcW w:w="1072" w:type="dxa"/>
            <w:shd w:val="clear" w:color="auto" w:fill="auto"/>
            <w:vAlign w:val="center"/>
          </w:tcPr>
          <w:p w14:paraId="36C379C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机械能守恒演示器</w:t>
            </w:r>
          </w:p>
        </w:tc>
        <w:tc>
          <w:tcPr>
            <w:tcW w:w="4897" w:type="dxa"/>
            <w:shd w:val="clear" w:color="auto" w:fill="auto"/>
            <w:vAlign w:val="center"/>
          </w:tcPr>
          <w:p w14:paraId="04236D9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由底座、刻度板（含释放与收纳装置）挡片、立柱、摆锤等组成，通过摆锤的运动获得不同高度的实验数据</w:t>
            </w:r>
          </w:p>
        </w:tc>
        <w:tc>
          <w:tcPr>
            <w:tcW w:w="462" w:type="dxa"/>
            <w:shd w:val="clear" w:color="auto" w:fill="auto"/>
            <w:vAlign w:val="center"/>
          </w:tcPr>
          <w:p w14:paraId="5E2FC00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68E595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4AB065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463</w:t>
            </w:r>
          </w:p>
        </w:tc>
        <w:tc>
          <w:tcPr>
            <w:tcW w:w="1489" w:type="dxa"/>
            <w:shd w:val="clear" w:color="auto" w:fill="auto"/>
            <w:vAlign w:val="center"/>
          </w:tcPr>
          <w:p w14:paraId="6C3CBB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463</w:t>
            </w:r>
          </w:p>
        </w:tc>
      </w:tr>
      <w:tr w14:paraId="02AE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D1EFA74">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91</w:t>
            </w:r>
          </w:p>
        </w:tc>
        <w:tc>
          <w:tcPr>
            <w:tcW w:w="1072" w:type="dxa"/>
            <w:shd w:val="clear" w:color="auto" w:fill="auto"/>
            <w:vAlign w:val="center"/>
          </w:tcPr>
          <w:p w14:paraId="787AE7E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曲线运动速度方向实验器</w:t>
            </w:r>
          </w:p>
        </w:tc>
        <w:tc>
          <w:tcPr>
            <w:tcW w:w="4897" w:type="dxa"/>
            <w:shd w:val="clear" w:color="auto" w:fill="auto"/>
            <w:vAlign w:val="center"/>
          </w:tcPr>
          <w:p w14:paraId="1E1FE98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由可拼接的铝合金“S”形轨道、钢球、钢球释放装置等组成。小钢球能够在轨道内自由滚动。小钢球表面粘上印泥后， 能够以一定的初速度从同一入口滚入轨道，滚出轨道时的速度方向（沿轨道该点切线）即为此时瞬时速度的方向，在加、减轨道时，小球滚出的速度方向不同。钢球在滚出轨道时会在白纸上留下一条运动的痕迹，记录钢球在离开轨道时的速度方向</w:t>
            </w:r>
          </w:p>
        </w:tc>
        <w:tc>
          <w:tcPr>
            <w:tcW w:w="462" w:type="dxa"/>
            <w:shd w:val="clear" w:color="auto" w:fill="auto"/>
            <w:vAlign w:val="center"/>
          </w:tcPr>
          <w:p w14:paraId="494FB5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11F8323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79AC29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440</w:t>
            </w:r>
          </w:p>
        </w:tc>
        <w:tc>
          <w:tcPr>
            <w:tcW w:w="1489" w:type="dxa"/>
            <w:shd w:val="clear" w:color="auto" w:fill="auto"/>
            <w:vAlign w:val="center"/>
          </w:tcPr>
          <w:p w14:paraId="5CD216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4840</w:t>
            </w:r>
          </w:p>
        </w:tc>
      </w:tr>
      <w:tr w14:paraId="7720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38A28E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92</w:t>
            </w:r>
          </w:p>
        </w:tc>
        <w:tc>
          <w:tcPr>
            <w:tcW w:w="1072" w:type="dxa"/>
            <w:shd w:val="clear" w:color="auto" w:fill="auto"/>
            <w:vAlign w:val="center"/>
          </w:tcPr>
          <w:p w14:paraId="664ED6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曲线运动条件实验器</w:t>
            </w:r>
          </w:p>
        </w:tc>
        <w:tc>
          <w:tcPr>
            <w:tcW w:w="4897" w:type="dxa"/>
            <w:shd w:val="clear" w:color="auto" w:fill="auto"/>
            <w:vAlign w:val="center"/>
          </w:tcPr>
          <w:p w14:paraId="797FDF9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倾角可调的轨道（斜面倾角30°左右，轨道长200mm）、小钢球、磁铁、小球释放装置等组成。小钢球能够在轨道内自由滚动。将轨道放在水平面上并调好倾角后，能够保证小球从轨道顶端释放后，在水平面内做同一直线运动。用磁铁在水平面内对运动的小球施加力，使小球运动方向改变</w:t>
            </w:r>
          </w:p>
        </w:tc>
        <w:tc>
          <w:tcPr>
            <w:tcW w:w="462" w:type="dxa"/>
            <w:shd w:val="clear" w:color="auto" w:fill="auto"/>
            <w:vAlign w:val="center"/>
          </w:tcPr>
          <w:p w14:paraId="39B090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45A620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11453F6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514</w:t>
            </w:r>
          </w:p>
        </w:tc>
        <w:tc>
          <w:tcPr>
            <w:tcW w:w="1489" w:type="dxa"/>
            <w:shd w:val="clear" w:color="auto" w:fill="auto"/>
            <w:vAlign w:val="center"/>
          </w:tcPr>
          <w:p w14:paraId="289F021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5654</w:t>
            </w:r>
          </w:p>
        </w:tc>
      </w:tr>
      <w:tr w14:paraId="7775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4F08AA6">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93</w:t>
            </w:r>
          </w:p>
        </w:tc>
        <w:tc>
          <w:tcPr>
            <w:tcW w:w="1072" w:type="dxa"/>
            <w:shd w:val="clear" w:color="auto" w:fill="auto"/>
            <w:vAlign w:val="center"/>
          </w:tcPr>
          <w:p w14:paraId="0B03CB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运动合成分解演示器</w:t>
            </w:r>
          </w:p>
        </w:tc>
        <w:tc>
          <w:tcPr>
            <w:tcW w:w="4897" w:type="dxa"/>
            <w:shd w:val="clear" w:color="auto" w:fill="auto"/>
            <w:vAlign w:val="center"/>
          </w:tcPr>
          <w:p w14:paraId="2BA8E59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两个分运动互成任何角，可做匀速-匀速、匀速-匀加速运动合成</w:t>
            </w:r>
          </w:p>
        </w:tc>
        <w:tc>
          <w:tcPr>
            <w:tcW w:w="462" w:type="dxa"/>
            <w:shd w:val="clear" w:color="auto" w:fill="auto"/>
            <w:vAlign w:val="center"/>
          </w:tcPr>
          <w:p w14:paraId="097BB6F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6A2783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08F4D6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467</w:t>
            </w:r>
          </w:p>
        </w:tc>
        <w:tc>
          <w:tcPr>
            <w:tcW w:w="1489" w:type="dxa"/>
            <w:shd w:val="clear" w:color="auto" w:fill="auto"/>
            <w:vAlign w:val="center"/>
          </w:tcPr>
          <w:p w14:paraId="33DE6FD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5137</w:t>
            </w:r>
          </w:p>
        </w:tc>
      </w:tr>
      <w:tr w14:paraId="4C96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0380C5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94</w:t>
            </w:r>
          </w:p>
        </w:tc>
        <w:tc>
          <w:tcPr>
            <w:tcW w:w="1072" w:type="dxa"/>
            <w:shd w:val="clear" w:color="auto" w:fill="auto"/>
            <w:vAlign w:val="center"/>
          </w:tcPr>
          <w:p w14:paraId="313EF42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二维空间一时间描迹仪</w:t>
            </w:r>
          </w:p>
        </w:tc>
        <w:tc>
          <w:tcPr>
            <w:tcW w:w="4897" w:type="dxa"/>
            <w:shd w:val="clear" w:color="auto" w:fill="auto"/>
            <w:vAlign w:val="center"/>
          </w:tcPr>
          <w:p w14:paraId="572A123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平抛、斜抛、验证向心力、单摆运动图像。高压脉冲频率：20Hz、50Hz、100Hz。电源输入一外壳：I类1500V, II类 3000V；高压部分与外壳：15kV</w:t>
            </w:r>
          </w:p>
        </w:tc>
        <w:tc>
          <w:tcPr>
            <w:tcW w:w="462" w:type="dxa"/>
            <w:shd w:val="clear" w:color="auto" w:fill="auto"/>
            <w:vAlign w:val="center"/>
          </w:tcPr>
          <w:p w14:paraId="040A17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12359B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2DA676F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714</w:t>
            </w:r>
          </w:p>
        </w:tc>
        <w:tc>
          <w:tcPr>
            <w:tcW w:w="1489" w:type="dxa"/>
            <w:shd w:val="clear" w:color="auto" w:fill="auto"/>
            <w:vAlign w:val="center"/>
          </w:tcPr>
          <w:p w14:paraId="662FA33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714</w:t>
            </w:r>
          </w:p>
        </w:tc>
      </w:tr>
      <w:tr w14:paraId="2BD6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765927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95</w:t>
            </w:r>
          </w:p>
        </w:tc>
        <w:tc>
          <w:tcPr>
            <w:tcW w:w="1072" w:type="dxa"/>
            <w:shd w:val="clear" w:color="auto" w:fill="auto"/>
            <w:vAlign w:val="center"/>
          </w:tcPr>
          <w:p w14:paraId="1EAFA8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平抛竖落仪</w:t>
            </w:r>
          </w:p>
        </w:tc>
        <w:tc>
          <w:tcPr>
            <w:tcW w:w="4897" w:type="dxa"/>
            <w:shd w:val="clear" w:color="auto" w:fill="auto"/>
            <w:vAlign w:val="center"/>
          </w:tcPr>
          <w:p w14:paraId="53DC6FD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重锤击打式，两球应同时落地</w:t>
            </w:r>
          </w:p>
        </w:tc>
        <w:tc>
          <w:tcPr>
            <w:tcW w:w="462" w:type="dxa"/>
            <w:shd w:val="clear" w:color="auto" w:fill="auto"/>
            <w:vAlign w:val="center"/>
          </w:tcPr>
          <w:p w14:paraId="4ABAEDE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0044D7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6BFC34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w:t>
            </w:r>
          </w:p>
        </w:tc>
        <w:tc>
          <w:tcPr>
            <w:tcW w:w="1489" w:type="dxa"/>
            <w:shd w:val="clear" w:color="auto" w:fill="auto"/>
            <w:vAlign w:val="center"/>
          </w:tcPr>
          <w:p w14:paraId="457B722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w:t>
            </w:r>
          </w:p>
        </w:tc>
      </w:tr>
      <w:tr w14:paraId="4273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8E39DC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96</w:t>
            </w:r>
          </w:p>
        </w:tc>
        <w:tc>
          <w:tcPr>
            <w:tcW w:w="1072" w:type="dxa"/>
            <w:shd w:val="clear" w:color="auto" w:fill="auto"/>
            <w:vAlign w:val="center"/>
          </w:tcPr>
          <w:p w14:paraId="2F27A3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平抛和碰撞实验器</w:t>
            </w:r>
          </w:p>
        </w:tc>
        <w:tc>
          <w:tcPr>
            <w:tcW w:w="4897" w:type="dxa"/>
            <w:shd w:val="clear" w:color="auto" w:fill="auto"/>
            <w:vAlign w:val="center"/>
          </w:tcPr>
          <w:p w14:paraId="1EB2439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包含钢制演示板、钢球释放机构、钢球、铝合金钢球轨道、水平挡板、支球柱、重锤等。小球从斜轨轨道末端飞出后做平抛运动，落到挡板上，挤压复写纸，留下痕迹，挡板上下位置可调，实验误差≤5%</w:t>
            </w:r>
          </w:p>
        </w:tc>
        <w:tc>
          <w:tcPr>
            <w:tcW w:w="462" w:type="dxa"/>
            <w:shd w:val="clear" w:color="auto" w:fill="auto"/>
            <w:vAlign w:val="center"/>
          </w:tcPr>
          <w:p w14:paraId="37D772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5F40905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4AEECF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121</w:t>
            </w:r>
          </w:p>
        </w:tc>
        <w:tc>
          <w:tcPr>
            <w:tcW w:w="1489" w:type="dxa"/>
            <w:shd w:val="clear" w:color="auto" w:fill="auto"/>
            <w:vAlign w:val="center"/>
          </w:tcPr>
          <w:p w14:paraId="468DA15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1815</w:t>
            </w:r>
          </w:p>
        </w:tc>
      </w:tr>
      <w:tr w14:paraId="6FA8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96E522C">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97</w:t>
            </w:r>
          </w:p>
        </w:tc>
        <w:tc>
          <w:tcPr>
            <w:tcW w:w="1072" w:type="dxa"/>
            <w:shd w:val="clear" w:color="auto" w:fill="auto"/>
            <w:vAlign w:val="center"/>
          </w:tcPr>
          <w:p w14:paraId="48535D8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向心力实验器</w:t>
            </w:r>
          </w:p>
        </w:tc>
        <w:tc>
          <w:tcPr>
            <w:tcW w:w="4897" w:type="dxa"/>
            <w:shd w:val="clear" w:color="auto" w:fill="auto"/>
            <w:vAlign w:val="center"/>
          </w:tcPr>
          <w:p w14:paraId="4138652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质量、半径和角速度均可调，向心力综合实验相对误差平均值不大于5%</w:t>
            </w:r>
          </w:p>
        </w:tc>
        <w:tc>
          <w:tcPr>
            <w:tcW w:w="462" w:type="dxa"/>
            <w:shd w:val="clear" w:color="auto" w:fill="auto"/>
            <w:vAlign w:val="center"/>
          </w:tcPr>
          <w:p w14:paraId="2B8C6F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459839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7BF49F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129</w:t>
            </w:r>
          </w:p>
        </w:tc>
        <w:tc>
          <w:tcPr>
            <w:tcW w:w="1489" w:type="dxa"/>
            <w:shd w:val="clear" w:color="auto" w:fill="auto"/>
            <w:vAlign w:val="center"/>
          </w:tcPr>
          <w:p w14:paraId="7284E7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1935</w:t>
            </w:r>
          </w:p>
        </w:tc>
      </w:tr>
      <w:tr w14:paraId="7134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E482A3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98</w:t>
            </w:r>
          </w:p>
        </w:tc>
        <w:tc>
          <w:tcPr>
            <w:tcW w:w="1072" w:type="dxa"/>
            <w:shd w:val="clear" w:color="auto" w:fill="auto"/>
            <w:vAlign w:val="center"/>
          </w:tcPr>
          <w:p w14:paraId="51873D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玻棒（附丝绸）</w:t>
            </w:r>
          </w:p>
        </w:tc>
        <w:tc>
          <w:tcPr>
            <w:tcW w:w="4897" w:type="dxa"/>
            <w:shd w:val="clear" w:color="auto" w:fill="auto"/>
            <w:vAlign w:val="center"/>
          </w:tcPr>
          <w:p w14:paraId="4C3F8A6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或有机玻棒（附丝绸），丝绸面积≥350mmX350mm。在规定工作条件下，用丝绸裹住玻棒（或有机玻棒），做一次快速拉出，棒上所带的电荷用D—YDQ—Z—100型指针验电器检验张角≥30°（≥50°）</w:t>
            </w:r>
          </w:p>
        </w:tc>
        <w:tc>
          <w:tcPr>
            <w:tcW w:w="462" w:type="dxa"/>
            <w:shd w:val="clear" w:color="auto" w:fill="auto"/>
            <w:vAlign w:val="center"/>
          </w:tcPr>
          <w:p w14:paraId="3CAD4C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w:t>
            </w:r>
          </w:p>
        </w:tc>
        <w:tc>
          <w:tcPr>
            <w:tcW w:w="605" w:type="dxa"/>
            <w:shd w:val="clear" w:color="auto" w:fill="auto"/>
            <w:vAlign w:val="center"/>
          </w:tcPr>
          <w:p w14:paraId="5F528A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7C8C3E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1489" w:type="dxa"/>
            <w:shd w:val="clear" w:color="auto" w:fill="auto"/>
            <w:vAlign w:val="center"/>
          </w:tcPr>
          <w:p w14:paraId="2B582F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195</w:t>
            </w:r>
          </w:p>
        </w:tc>
      </w:tr>
      <w:tr w14:paraId="36E3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82E4594">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99</w:t>
            </w:r>
          </w:p>
        </w:tc>
        <w:tc>
          <w:tcPr>
            <w:tcW w:w="1072" w:type="dxa"/>
            <w:shd w:val="clear" w:color="auto" w:fill="auto"/>
            <w:vAlign w:val="center"/>
          </w:tcPr>
          <w:p w14:paraId="223035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胶棒（附毛皮）</w:t>
            </w:r>
          </w:p>
        </w:tc>
        <w:tc>
          <w:tcPr>
            <w:tcW w:w="4897" w:type="dxa"/>
            <w:shd w:val="clear" w:color="auto" w:fill="auto"/>
            <w:vAlign w:val="center"/>
          </w:tcPr>
          <w:p w14:paraId="2E8811E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或聚碳酸酯棒（附毛皮），毛皮面积≥150mmX150mm。在规定工作条件下，用毛皮裹胶棒（或聚碳酸脂棒），做一次快速拉出，棒上所带的电荷用D—YDQ—Z-100型指针验电器检验张角≥30°（≥45°）</w:t>
            </w:r>
          </w:p>
        </w:tc>
        <w:tc>
          <w:tcPr>
            <w:tcW w:w="462" w:type="dxa"/>
            <w:shd w:val="clear" w:color="auto" w:fill="auto"/>
            <w:vAlign w:val="center"/>
          </w:tcPr>
          <w:p w14:paraId="3522AB0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w:t>
            </w:r>
          </w:p>
        </w:tc>
        <w:tc>
          <w:tcPr>
            <w:tcW w:w="605" w:type="dxa"/>
            <w:shd w:val="clear" w:color="auto" w:fill="auto"/>
            <w:vAlign w:val="center"/>
          </w:tcPr>
          <w:p w14:paraId="0E07C73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5B717D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1489" w:type="dxa"/>
            <w:shd w:val="clear" w:color="auto" w:fill="auto"/>
            <w:vAlign w:val="center"/>
          </w:tcPr>
          <w:p w14:paraId="2BECCF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w:t>
            </w:r>
          </w:p>
        </w:tc>
      </w:tr>
      <w:tr w14:paraId="5432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ED0DD7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100</w:t>
            </w:r>
          </w:p>
        </w:tc>
        <w:tc>
          <w:tcPr>
            <w:tcW w:w="1072" w:type="dxa"/>
            <w:shd w:val="clear" w:color="auto" w:fill="auto"/>
            <w:vAlign w:val="center"/>
          </w:tcPr>
          <w:p w14:paraId="0DCBFC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指针验电器</w:t>
            </w:r>
          </w:p>
        </w:tc>
        <w:tc>
          <w:tcPr>
            <w:tcW w:w="4897" w:type="dxa"/>
            <w:shd w:val="clear" w:color="auto" w:fill="auto"/>
            <w:vAlign w:val="center"/>
          </w:tcPr>
          <w:p w14:paraId="659E2E9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D-YDQ-Z-100型指针验电器，由外壳、圆球、法拉第圆筒、导电杆、绝缘子、指针、指针架、接地线柱构成。外壳应由不能带静电的材料制成，外壳上观察面应采用透明材料（透光率≥90%）,指 针用非磁性材料，长度≥100mm,带法拉第圆筒。性能要求：相对湿度≤65%的环境，圆球加9kV直流高压，指针张开角度在45°</w:t>
            </w:r>
            <w:r>
              <w:rPr>
                <w:rStyle w:val="40"/>
                <w:lang w:bidi="ar"/>
              </w:rPr>
              <w:t>〜</w:t>
            </w:r>
            <w:r>
              <w:rPr>
                <w:rStyle w:val="41"/>
                <w:rFonts w:hint="default"/>
                <w:lang w:bidi="ar"/>
              </w:rPr>
              <w:t>50°，移去高压后，指针保持30°以上的时间≥20min</w:t>
            </w:r>
          </w:p>
        </w:tc>
        <w:tc>
          <w:tcPr>
            <w:tcW w:w="462" w:type="dxa"/>
            <w:shd w:val="clear" w:color="auto" w:fill="auto"/>
            <w:vAlign w:val="center"/>
          </w:tcPr>
          <w:p w14:paraId="006F364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w:t>
            </w:r>
          </w:p>
        </w:tc>
        <w:tc>
          <w:tcPr>
            <w:tcW w:w="605" w:type="dxa"/>
            <w:shd w:val="clear" w:color="auto" w:fill="auto"/>
            <w:vAlign w:val="center"/>
          </w:tcPr>
          <w:p w14:paraId="4581CA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1F5032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173</w:t>
            </w:r>
          </w:p>
        </w:tc>
        <w:tc>
          <w:tcPr>
            <w:tcW w:w="1489" w:type="dxa"/>
            <w:shd w:val="clear" w:color="auto" w:fill="auto"/>
            <w:vAlign w:val="center"/>
          </w:tcPr>
          <w:p w14:paraId="62BEFE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2595</w:t>
            </w:r>
          </w:p>
        </w:tc>
      </w:tr>
      <w:tr w14:paraId="359B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CB56D74">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101</w:t>
            </w:r>
          </w:p>
        </w:tc>
        <w:tc>
          <w:tcPr>
            <w:tcW w:w="1072" w:type="dxa"/>
            <w:shd w:val="clear" w:color="auto" w:fill="auto"/>
            <w:vAlign w:val="center"/>
          </w:tcPr>
          <w:p w14:paraId="4734B3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移电球（验电 球）</w:t>
            </w:r>
          </w:p>
        </w:tc>
        <w:tc>
          <w:tcPr>
            <w:tcW w:w="4897" w:type="dxa"/>
            <w:shd w:val="clear" w:color="auto" w:fill="auto"/>
            <w:vAlign w:val="center"/>
          </w:tcPr>
          <w:p w14:paraId="4BE4EC0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带有绝缘棒的金属小球</w:t>
            </w:r>
          </w:p>
        </w:tc>
        <w:tc>
          <w:tcPr>
            <w:tcW w:w="462" w:type="dxa"/>
            <w:shd w:val="clear" w:color="auto" w:fill="auto"/>
            <w:vAlign w:val="center"/>
          </w:tcPr>
          <w:p w14:paraId="283F41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1DB802E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375353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1489" w:type="dxa"/>
            <w:shd w:val="clear" w:color="auto" w:fill="auto"/>
            <w:vAlign w:val="center"/>
          </w:tcPr>
          <w:p w14:paraId="12B7F0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r>
      <w:tr w14:paraId="623A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66E8AF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102</w:t>
            </w:r>
          </w:p>
        </w:tc>
        <w:tc>
          <w:tcPr>
            <w:tcW w:w="1072" w:type="dxa"/>
            <w:shd w:val="clear" w:color="auto" w:fill="auto"/>
            <w:vAlign w:val="center"/>
          </w:tcPr>
          <w:p w14:paraId="29D6BB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验电器连接杆</w:t>
            </w:r>
          </w:p>
        </w:tc>
        <w:tc>
          <w:tcPr>
            <w:tcW w:w="4897" w:type="dxa"/>
            <w:shd w:val="clear" w:color="auto" w:fill="auto"/>
            <w:vAlign w:val="center"/>
          </w:tcPr>
          <w:p w14:paraId="2DE9511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含导电杆、绝缘手柄等，导电杆直径不小于2mm,长度不小于250mm,绝缘柄直径不小于10mm,长度不小于150mm</w:t>
            </w:r>
          </w:p>
        </w:tc>
        <w:tc>
          <w:tcPr>
            <w:tcW w:w="462" w:type="dxa"/>
            <w:shd w:val="clear" w:color="auto" w:fill="auto"/>
            <w:vAlign w:val="center"/>
          </w:tcPr>
          <w:p w14:paraId="6AD93A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2A95A6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4A1D53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489" w:type="dxa"/>
            <w:shd w:val="clear" w:color="auto" w:fill="auto"/>
            <w:vAlign w:val="center"/>
          </w:tcPr>
          <w:p w14:paraId="620E86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r>
      <w:tr w14:paraId="1B6E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7A647C6">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103</w:t>
            </w:r>
          </w:p>
        </w:tc>
        <w:tc>
          <w:tcPr>
            <w:tcW w:w="1072" w:type="dxa"/>
            <w:shd w:val="clear" w:color="auto" w:fill="auto"/>
            <w:vAlign w:val="center"/>
          </w:tcPr>
          <w:p w14:paraId="411C76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感应起电机</w:t>
            </w:r>
          </w:p>
        </w:tc>
        <w:tc>
          <w:tcPr>
            <w:tcW w:w="4897" w:type="dxa"/>
            <w:shd w:val="clear" w:color="auto" w:fill="auto"/>
            <w:vAlign w:val="center"/>
          </w:tcPr>
          <w:p w14:paraId="7BFC262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起电盘、底座、莱顿瓶、集电杆、放电杆、电刷、电刷杆、皮带轮、连接片组成。起电盘上导电膜应采用铝箔和纸箔交替分布，电刷应采用束状磷铜线，导电膜与起电盘的90°剥离强度应≥8N,使用硅橡胶带。性能要求：在温度为20°C、相对湿度为65%±5%的环境中，摇柄转速120r/min,火花放电距离应≥55mm,在温度为5°C</w:t>
            </w:r>
            <w:r>
              <w:rPr>
                <w:rStyle w:val="40"/>
                <w:lang w:bidi="ar"/>
              </w:rPr>
              <w:t>〜</w:t>
            </w:r>
            <w:r>
              <w:rPr>
                <w:rStyle w:val="41"/>
                <w:rFonts w:hint="default"/>
                <w:lang w:bidi="ar"/>
              </w:rPr>
              <w:t>30°C范围，相对湿度为85%±5%的条件下，仪器应正常工作，火花放电距离应≥30mm</w:t>
            </w:r>
          </w:p>
        </w:tc>
        <w:tc>
          <w:tcPr>
            <w:tcW w:w="462" w:type="dxa"/>
            <w:shd w:val="clear" w:color="auto" w:fill="auto"/>
            <w:vAlign w:val="center"/>
          </w:tcPr>
          <w:p w14:paraId="134FC15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75B807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300B947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204</w:t>
            </w:r>
          </w:p>
        </w:tc>
        <w:tc>
          <w:tcPr>
            <w:tcW w:w="1489" w:type="dxa"/>
            <w:shd w:val="clear" w:color="auto" w:fill="auto"/>
            <w:vAlign w:val="center"/>
          </w:tcPr>
          <w:p w14:paraId="474ACB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204</w:t>
            </w:r>
          </w:p>
        </w:tc>
      </w:tr>
      <w:tr w14:paraId="57C0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96F4C7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104</w:t>
            </w:r>
          </w:p>
        </w:tc>
        <w:tc>
          <w:tcPr>
            <w:tcW w:w="1072" w:type="dxa"/>
            <w:shd w:val="clear" w:color="auto" w:fill="auto"/>
            <w:vAlign w:val="center"/>
          </w:tcPr>
          <w:p w14:paraId="0DD605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枕形导体</w:t>
            </w:r>
          </w:p>
        </w:tc>
        <w:tc>
          <w:tcPr>
            <w:tcW w:w="4897" w:type="dxa"/>
            <w:shd w:val="clear" w:color="auto" w:fill="auto"/>
            <w:vAlign w:val="center"/>
          </w:tcPr>
          <w:p w14:paraId="66A0615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一对相同的半枕形导体、绝缘支杆和底座等组成。半枕形导体下方应有一个导电挂钩，导电挂钩不应有尖端。圆筒导体的直径应不小于55mm,长度应不小于100mm半枕形导体应宜用304号以上不锈钢制成，封闭端应为半球面。性能要求：使各静电导体与D-YDQ-Z-100型指针验电器连接，用9kV高压使导体带电，10min内指针验电器的指针张角应≥30°</w:t>
            </w:r>
          </w:p>
        </w:tc>
        <w:tc>
          <w:tcPr>
            <w:tcW w:w="462" w:type="dxa"/>
            <w:shd w:val="clear" w:color="auto" w:fill="auto"/>
            <w:vAlign w:val="center"/>
          </w:tcPr>
          <w:p w14:paraId="31C251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w:t>
            </w:r>
          </w:p>
        </w:tc>
        <w:tc>
          <w:tcPr>
            <w:tcW w:w="605" w:type="dxa"/>
            <w:shd w:val="clear" w:color="auto" w:fill="auto"/>
            <w:vAlign w:val="center"/>
          </w:tcPr>
          <w:p w14:paraId="06CB8B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49B8CB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104</w:t>
            </w:r>
          </w:p>
        </w:tc>
        <w:tc>
          <w:tcPr>
            <w:tcW w:w="1489" w:type="dxa"/>
            <w:shd w:val="clear" w:color="auto" w:fill="auto"/>
            <w:vAlign w:val="center"/>
          </w:tcPr>
          <w:p w14:paraId="51702E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104</w:t>
            </w:r>
          </w:p>
        </w:tc>
      </w:tr>
      <w:tr w14:paraId="622D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502297E">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105</w:t>
            </w:r>
          </w:p>
        </w:tc>
        <w:tc>
          <w:tcPr>
            <w:tcW w:w="1072" w:type="dxa"/>
            <w:shd w:val="clear" w:color="auto" w:fill="auto"/>
            <w:vAlign w:val="center"/>
          </w:tcPr>
          <w:p w14:paraId="3EFE698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球形导体</w:t>
            </w:r>
          </w:p>
        </w:tc>
        <w:tc>
          <w:tcPr>
            <w:tcW w:w="4897" w:type="dxa"/>
            <w:shd w:val="clear" w:color="auto" w:fill="auto"/>
            <w:vAlign w:val="center"/>
          </w:tcPr>
          <w:p w14:paraId="4123B7C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圆球形导体或开口的圆球形导体、绝缘支杆和底座构成。导体宜用不锈钢（304号以上）制成，球体直径应不小于90mm。性能要求：使静电导体与D-YDQ-Z-100型指针验电器连接，用9kV高压使导体带电，10min内指针验电器的指针张角应≥30°</w:t>
            </w:r>
          </w:p>
        </w:tc>
        <w:tc>
          <w:tcPr>
            <w:tcW w:w="462" w:type="dxa"/>
            <w:shd w:val="clear" w:color="auto" w:fill="auto"/>
            <w:vAlign w:val="center"/>
          </w:tcPr>
          <w:p w14:paraId="124D8B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43EDC1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132A41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w:t>
            </w:r>
          </w:p>
        </w:tc>
        <w:tc>
          <w:tcPr>
            <w:tcW w:w="1489" w:type="dxa"/>
            <w:shd w:val="clear" w:color="auto" w:fill="auto"/>
            <w:vAlign w:val="center"/>
          </w:tcPr>
          <w:p w14:paraId="5725DA1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w:t>
            </w:r>
          </w:p>
        </w:tc>
      </w:tr>
      <w:tr w14:paraId="0C1E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9E252CF">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106</w:t>
            </w:r>
          </w:p>
        </w:tc>
        <w:tc>
          <w:tcPr>
            <w:tcW w:w="1072" w:type="dxa"/>
            <w:shd w:val="clear" w:color="auto" w:fill="auto"/>
            <w:vAlign w:val="center"/>
          </w:tcPr>
          <w:p w14:paraId="4A8F79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验电幡</w:t>
            </w:r>
          </w:p>
        </w:tc>
        <w:tc>
          <w:tcPr>
            <w:tcW w:w="4897" w:type="dxa"/>
            <w:shd w:val="clear" w:color="auto" w:fill="auto"/>
            <w:vAlign w:val="center"/>
          </w:tcPr>
          <w:p w14:paraId="7D3EE7E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一面长方形的铜丝网，用三根绝缘支柱支起，绝缘支柱由三部分组成。为增加仪器的稳定，使用铁底座，绝缘部分用有机玻璃制成，支杆部分与铜丝网固定， 在铜丝网的两面悬挂红色丝线。使用完毕后，可将其从绝缘支柱中抽出</w:t>
            </w:r>
          </w:p>
        </w:tc>
        <w:tc>
          <w:tcPr>
            <w:tcW w:w="462" w:type="dxa"/>
            <w:shd w:val="clear" w:color="auto" w:fill="auto"/>
            <w:vAlign w:val="center"/>
          </w:tcPr>
          <w:p w14:paraId="7153A6B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312FA90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0C733BD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w:t>
            </w:r>
          </w:p>
        </w:tc>
        <w:tc>
          <w:tcPr>
            <w:tcW w:w="1489" w:type="dxa"/>
            <w:shd w:val="clear" w:color="auto" w:fill="auto"/>
            <w:vAlign w:val="center"/>
          </w:tcPr>
          <w:p w14:paraId="3BCB94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w:t>
            </w:r>
          </w:p>
        </w:tc>
      </w:tr>
      <w:tr w14:paraId="0596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8CDE5B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107</w:t>
            </w:r>
          </w:p>
        </w:tc>
        <w:tc>
          <w:tcPr>
            <w:tcW w:w="1072" w:type="dxa"/>
            <w:shd w:val="clear" w:color="auto" w:fill="auto"/>
            <w:vAlign w:val="center"/>
          </w:tcPr>
          <w:p w14:paraId="0DF176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干燥箱</w:t>
            </w:r>
          </w:p>
        </w:tc>
        <w:tc>
          <w:tcPr>
            <w:tcW w:w="4897" w:type="dxa"/>
            <w:shd w:val="clear" w:color="auto" w:fill="auto"/>
            <w:vAlign w:val="center"/>
          </w:tcPr>
          <w:p w14:paraId="035A91D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500mmX700mmX700mm,箱体透明，具有抽湿和照明功能，用于潮湿地区静电实验</w:t>
            </w:r>
          </w:p>
        </w:tc>
        <w:tc>
          <w:tcPr>
            <w:tcW w:w="462" w:type="dxa"/>
            <w:shd w:val="clear" w:color="auto" w:fill="auto"/>
            <w:vAlign w:val="center"/>
          </w:tcPr>
          <w:p w14:paraId="449AB4E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7E1C13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161219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6500</w:t>
            </w:r>
          </w:p>
        </w:tc>
        <w:tc>
          <w:tcPr>
            <w:tcW w:w="1489" w:type="dxa"/>
            <w:shd w:val="clear" w:color="auto" w:fill="auto"/>
            <w:vAlign w:val="center"/>
          </w:tcPr>
          <w:p w14:paraId="4F79900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6500</w:t>
            </w:r>
          </w:p>
        </w:tc>
      </w:tr>
      <w:tr w14:paraId="7462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9D378E3">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108</w:t>
            </w:r>
          </w:p>
        </w:tc>
        <w:tc>
          <w:tcPr>
            <w:tcW w:w="1072" w:type="dxa"/>
            <w:shd w:val="clear" w:color="auto" w:fill="auto"/>
            <w:vAlign w:val="center"/>
          </w:tcPr>
          <w:p w14:paraId="40D188F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库仑定律演示器</w:t>
            </w:r>
          </w:p>
        </w:tc>
        <w:tc>
          <w:tcPr>
            <w:tcW w:w="4897" w:type="dxa"/>
            <w:shd w:val="clear" w:color="auto" w:fill="auto"/>
            <w:vAlign w:val="center"/>
          </w:tcPr>
          <w:p w14:paraId="41801FC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精确到千分位的电子天平，三个带有绝缘底座的相同的金属小球，带刻度（最小刻度1mm）的支架，一个金属小球通过绝缘杆连接在支架上，并可自由升降和固定。将以上仪器封装于矩形有机玻璃罩内，有开口可进行相应调节，另附红外干燥器</w:t>
            </w:r>
          </w:p>
        </w:tc>
        <w:tc>
          <w:tcPr>
            <w:tcW w:w="462" w:type="dxa"/>
            <w:shd w:val="clear" w:color="auto" w:fill="auto"/>
            <w:vAlign w:val="center"/>
          </w:tcPr>
          <w:p w14:paraId="6B5104E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1E357D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0520C1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993</w:t>
            </w:r>
          </w:p>
        </w:tc>
        <w:tc>
          <w:tcPr>
            <w:tcW w:w="1489" w:type="dxa"/>
            <w:shd w:val="clear" w:color="auto" w:fill="auto"/>
            <w:vAlign w:val="center"/>
          </w:tcPr>
          <w:p w14:paraId="54A5B6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993</w:t>
            </w:r>
          </w:p>
        </w:tc>
      </w:tr>
      <w:tr w14:paraId="5D67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92C75D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109</w:t>
            </w:r>
          </w:p>
        </w:tc>
        <w:tc>
          <w:tcPr>
            <w:tcW w:w="1072" w:type="dxa"/>
            <w:shd w:val="clear" w:color="auto" w:fill="auto"/>
            <w:vAlign w:val="center"/>
          </w:tcPr>
          <w:p w14:paraId="39B256A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验电羽</w:t>
            </w:r>
          </w:p>
        </w:tc>
        <w:tc>
          <w:tcPr>
            <w:tcW w:w="4897" w:type="dxa"/>
            <w:shd w:val="clear" w:color="auto" w:fill="auto"/>
            <w:vAlign w:val="center"/>
          </w:tcPr>
          <w:p w14:paraId="09B34DD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由绝缘支架、金属片、细尼龙绳、螺钉等组成。绝缘支架上装有两片金属片， 两金属片间夹有若干长条形细尼龙绳</w:t>
            </w:r>
          </w:p>
        </w:tc>
        <w:tc>
          <w:tcPr>
            <w:tcW w:w="462" w:type="dxa"/>
            <w:shd w:val="clear" w:color="auto" w:fill="auto"/>
            <w:vAlign w:val="center"/>
          </w:tcPr>
          <w:p w14:paraId="3EBEE1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w:t>
            </w:r>
          </w:p>
        </w:tc>
        <w:tc>
          <w:tcPr>
            <w:tcW w:w="605" w:type="dxa"/>
            <w:shd w:val="clear" w:color="auto" w:fill="auto"/>
            <w:vAlign w:val="center"/>
          </w:tcPr>
          <w:p w14:paraId="3BD0E5D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80E64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1489" w:type="dxa"/>
            <w:shd w:val="clear" w:color="auto" w:fill="auto"/>
            <w:vAlign w:val="center"/>
          </w:tcPr>
          <w:p w14:paraId="3B2A360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r>
      <w:tr w14:paraId="5440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3DF048E">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110</w:t>
            </w:r>
          </w:p>
        </w:tc>
        <w:tc>
          <w:tcPr>
            <w:tcW w:w="1072" w:type="dxa"/>
            <w:shd w:val="clear" w:color="auto" w:fill="auto"/>
            <w:vAlign w:val="center"/>
          </w:tcPr>
          <w:p w14:paraId="4DBEB3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电场线演示器</w:t>
            </w:r>
          </w:p>
        </w:tc>
        <w:tc>
          <w:tcPr>
            <w:tcW w:w="4897" w:type="dxa"/>
            <w:shd w:val="clear" w:color="auto" w:fill="auto"/>
            <w:vAlign w:val="center"/>
          </w:tcPr>
          <w:p w14:paraId="27F7F46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由单点电极演示板、双点电极演示板（同种电极和异种电极）、平行板电极演示板、环形电极演示板、尖形导体演示板组成</w:t>
            </w:r>
          </w:p>
        </w:tc>
        <w:tc>
          <w:tcPr>
            <w:tcW w:w="462" w:type="dxa"/>
            <w:shd w:val="clear" w:color="auto" w:fill="auto"/>
            <w:vAlign w:val="center"/>
          </w:tcPr>
          <w:p w14:paraId="6E68369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2F03F0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451C82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198</w:t>
            </w:r>
          </w:p>
        </w:tc>
        <w:tc>
          <w:tcPr>
            <w:tcW w:w="1489" w:type="dxa"/>
            <w:shd w:val="clear" w:color="auto" w:fill="auto"/>
            <w:vAlign w:val="center"/>
          </w:tcPr>
          <w:p w14:paraId="71D004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198</w:t>
            </w:r>
          </w:p>
        </w:tc>
      </w:tr>
      <w:tr w14:paraId="779D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D0940CA">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111</w:t>
            </w:r>
          </w:p>
        </w:tc>
        <w:tc>
          <w:tcPr>
            <w:tcW w:w="1072" w:type="dxa"/>
            <w:shd w:val="clear" w:color="auto" w:fill="auto"/>
            <w:vAlign w:val="center"/>
          </w:tcPr>
          <w:p w14:paraId="770762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平行板电容器演示器</w:t>
            </w:r>
          </w:p>
        </w:tc>
        <w:tc>
          <w:tcPr>
            <w:tcW w:w="4897" w:type="dxa"/>
            <w:shd w:val="clear" w:color="auto" w:fill="auto"/>
            <w:vAlign w:val="center"/>
          </w:tcPr>
          <w:p w14:paraId="714CFA5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由两片带有有机玻璃支架的金属板构成，两金属板均有弯脚，可用螺丝固定在立柱上，且面积、材质完全相同。另配与金属板面积相同的绝缘板一件，配合感应起电机和指针验电器等仪器使用</w:t>
            </w:r>
          </w:p>
        </w:tc>
        <w:tc>
          <w:tcPr>
            <w:tcW w:w="462" w:type="dxa"/>
            <w:shd w:val="clear" w:color="auto" w:fill="auto"/>
            <w:vAlign w:val="center"/>
          </w:tcPr>
          <w:p w14:paraId="312C87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1454B7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1113146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125</w:t>
            </w:r>
          </w:p>
        </w:tc>
        <w:tc>
          <w:tcPr>
            <w:tcW w:w="1489" w:type="dxa"/>
            <w:shd w:val="clear" w:color="auto" w:fill="auto"/>
            <w:vAlign w:val="center"/>
          </w:tcPr>
          <w:p w14:paraId="2401E4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125</w:t>
            </w:r>
          </w:p>
        </w:tc>
      </w:tr>
      <w:tr w14:paraId="76AD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FD8065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112</w:t>
            </w:r>
          </w:p>
        </w:tc>
        <w:tc>
          <w:tcPr>
            <w:tcW w:w="1072" w:type="dxa"/>
            <w:shd w:val="clear" w:color="auto" w:fill="auto"/>
            <w:vAlign w:val="center"/>
          </w:tcPr>
          <w:p w14:paraId="7D78C4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常用电容器示教板</w:t>
            </w:r>
          </w:p>
        </w:tc>
        <w:tc>
          <w:tcPr>
            <w:tcW w:w="4897" w:type="dxa"/>
            <w:shd w:val="clear" w:color="auto" w:fill="auto"/>
            <w:vAlign w:val="center"/>
          </w:tcPr>
          <w:p w14:paraId="1D181F0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电解电容器、云母电容器、陶瓷电容器、独石电容器、薄膜电容器、贴片电容器、微调电容器、可变电容器等。性能要求：电容器要标明相应参数</w:t>
            </w:r>
          </w:p>
        </w:tc>
        <w:tc>
          <w:tcPr>
            <w:tcW w:w="462" w:type="dxa"/>
            <w:shd w:val="clear" w:color="auto" w:fill="auto"/>
            <w:vAlign w:val="center"/>
          </w:tcPr>
          <w:p w14:paraId="416A00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1A9167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73A16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w:t>
            </w:r>
          </w:p>
        </w:tc>
        <w:tc>
          <w:tcPr>
            <w:tcW w:w="1489" w:type="dxa"/>
            <w:shd w:val="clear" w:color="auto" w:fill="auto"/>
            <w:vAlign w:val="center"/>
          </w:tcPr>
          <w:p w14:paraId="6A8475E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w:t>
            </w:r>
          </w:p>
        </w:tc>
      </w:tr>
      <w:tr w14:paraId="17A7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1842FF9">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113</w:t>
            </w:r>
          </w:p>
        </w:tc>
        <w:tc>
          <w:tcPr>
            <w:tcW w:w="1072" w:type="dxa"/>
            <w:shd w:val="clear" w:color="auto" w:fill="auto"/>
            <w:vAlign w:val="center"/>
          </w:tcPr>
          <w:p w14:paraId="77314E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电容器实验板</w:t>
            </w:r>
          </w:p>
        </w:tc>
        <w:tc>
          <w:tcPr>
            <w:tcW w:w="4897" w:type="dxa"/>
            <w:shd w:val="clear" w:color="auto" w:fill="auto"/>
            <w:vAlign w:val="center"/>
          </w:tcPr>
          <w:p w14:paraId="398D416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包含不少于5种规格不同电解电容器，排列均匀，焊接在实验板上，能有效实现电容器充放电等实验</w:t>
            </w:r>
          </w:p>
        </w:tc>
        <w:tc>
          <w:tcPr>
            <w:tcW w:w="462" w:type="dxa"/>
            <w:shd w:val="clear" w:color="auto" w:fill="auto"/>
            <w:vAlign w:val="center"/>
          </w:tcPr>
          <w:p w14:paraId="7B1250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块</w:t>
            </w:r>
          </w:p>
        </w:tc>
        <w:tc>
          <w:tcPr>
            <w:tcW w:w="605" w:type="dxa"/>
            <w:shd w:val="clear" w:color="auto" w:fill="auto"/>
            <w:vAlign w:val="center"/>
          </w:tcPr>
          <w:p w14:paraId="08BA45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6D001A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166</w:t>
            </w:r>
          </w:p>
        </w:tc>
        <w:tc>
          <w:tcPr>
            <w:tcW w:w="1489" w:type="dxa"/>
            <w:shd w:val="clear" w:color="auto" w:fill="auto"/>
            <w:vAlign w:val="center"/>
          </w:tcPr>
          <w:p w14:paraId="380AF6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4980</w:t>
            </w:r>
          </w:p>
        </w:tc>
      </w:tr>
      <w:tr w14:paraId="40F9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CB55AA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114</w:t>
            </w:r>
          </w:p>
        </w:tc>
        <w:tc>
          <w:tcPr>
            <w:tcW w:w="1072" w:type="dxa"/>
            <w:shd w:val="clear" w:color="auto" w:fill="auto"/>
            <w:vAlign w:val="center"/>
          </w:tcPr>
          <w:p w14:paraId="746273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常用电阻器示教板</w:t>
            </w:r>
          </w:p>
        </w:tc>
        <w:tc>
          <w:tcPr>
            <w:tcW w:w="4897" w:type="dxa"/>
            <w:shd w:val="clear" w:color="auto" w:fill="auto"/>
            <w:vAlign w:val="center"/>
          </w:tcPr>
          <w:p w14:paraId="7FF7063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定值电阻（碳膜电阻、金属膜电阻、绕线电阻、水泥电阻、贴片式电阻等）、可变电阻（电位器、小型滑动变阻器）、特殊电阻（热敏电阻、光敏电阻、压敏电阻）等</w:t>
            </w:r>
          </w:p>
        </w:tc>
        <w:tc>
          <w:tcPr>
            <w:tcW w:w="462" w:type="dxa"/>
            <w:shd w:val="clear" w:color="auto" w:fill="auto"/>
            <w:vAlign w:val="center"/>
          </w:tcPr>
          <w:p w14:paraId="42B655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6802BF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4C7DF97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w:t>
            </w:r>
          </w:p>
        </w:tc>
        <w:tc>
          <w:tcPr>
            <w:tcW w:w="1489" w:type="dxa"/>
            <w:shd w:val="clear" w:color="auto" w:fill="auto"/>
            <w:vAlign w:val="center"/>
          </w:tcPr>
          <w:p w14:paraId="17D77D9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w:t>
            </w:r>
          </w:p>
        </w:tc>
      </w:tr>
      <w:tr w14:paraId="068F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D6D0FF4">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115</w:t>
            </w:r>
          </w:p>
        </w:tc>
        <w:tc>
          <w:tcPr>
            <w:tcW w:w="1072" w:type="dxa"/>
            <w:shd w:val="clear" w:color="auto" w:fill="auto"/>
            <w:vAlign w:val="center"/>
          </w:tcPr>
          <w:p w14:paraId="1C09DD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电阻实验板</w:t>
            </w:r>
          </w:p>
        </w:tc>
        <w:tc>
          <w:tcPr>
            <w:tcW w:w="4897" w:type="dxa"/>
            <w:shd w:val="clear" w:color="auto" w:fill="auto"/>
            <w:vAlign w:val="center"/>
          </w:tcPr>
          <w:p w14:paraId="417FA97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由不少于6种不同规格的定值电阻（1Ω</w:t>
            </w:r>
            <w:r>
              <w:rPr>
                <w:rStyle w:val="40"/>
                <w:lang w:bidi="ar"/>
              </w:rPr>
              <w:t>〜</w:t>
            </w:r>
            <w:r>
              <w:rPr>
                <w:rStyle w:val="41"/>
                <w:rFonts w:hint="default"/>
                <w:lang w:bidi="ar"/>
              </w:rPr>
              <w:t>100kΩ）组成，排列均匀，焊接在实验板上，应注明标称值及系列</w:t>
            </w:r>
          </w:p>
        </w:tc>
        <w:tc>
          <w:tcPr>
            <w:tcW w:w="462" w:type="dxa"/>
            <w:shd w:val="clear" w:color="auto" w:fill="auto"/>
            <w:vAlign w:val="center"/>
          </w:tcPr>
          <w:p w14:paraId="5995D7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块</w:t>
            </w:r>
          </w:p>
        </w:tc>
        <w:tc>
          <w:tcPr>
            <w:tcW w:w="605" w:type="dxa"/>
            <w:shd w:val="clear" w:color="auto" w:fill="auto"/>
            <w:vAlign w:val="center"/>
          </w:tcPr>
          <w:p w14:paraId="647B56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6ABDC5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85</w:t>
            </w:r>
          </w:p>
        </w:tc>
        <w:tc>
          <w:tcPr>
            <w:tcW w:w="1489" w:type="dxa"/>
            <w:shd w:val="clear" w:color="auto" w:fill="auto"/>
            <w:vAlign w:val="center"/>
          </w:tcPr>
          <w:p w14:paraId="0D5810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1275</w:t>
            </w:r>
          </w:p>
        </w:tc>
      </w:tr>
      <w:tr w14:paraId="1B29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788A092">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116</w:t>
            </w:r>
          </w:p>
        </w:tc>
        <w:tc>
          <w:tcPr>
            <w:tcW w:w="1072" w:type="dxa"/>
            <w:shd w:val="clear" w:color="auto" w:fill="auto"/>
            <w:vAlign w:val="center"/>
          </w:tcPr>
          <w:p w14:paraId="2F84F0F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单刀开关</w:t>
            </w:r>
          </w:p>
        </w:tc>
        <w:tc>
          <w:tcPr>
            <w:tcW w:w="4897" w:type="dxa"/>
            <w:shd w:val="clear" w:color="auto" w:fill="auto"/>
            <w:vAlign w:val="center"/>
          </w:tcPr>
          <w:p w14:paraId="1A1DB54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最高工作电压36V,额定工作电流6A。 开关闸刀、接线柱、垫片均为铜质。闸刀宽度≥7mm,闸刀厚度≥0.7mm。接线柱直径为4mm,有效行程≥4mm。通额定电流，导电部分允许温升≤35℃, 操作手柄允许温升≤25℃。开关的绝缘强度应能承受1200V在额定直流电流工作条件下，接线两端直流电压降≤100mV</w:t>
            </w:r>
          </w:p>
        </w:tc>
        <w:tc>
          <w:tcPr>
            <w:tcW w:w="462" w:type="dxa"/>
            <w:shd w:val="clear" w:color="auto" w:fill="auto"/>
            <w:vAlign w:val="center"/>
          </w:tcPr>
          <w:p w14:paraId="00BF8A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4F28B5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67D3B53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489" w:type="dxa"/>
            <w:shd w:val="clear" w:color="auto" w:fill="auto"/>
            <w:vAlign w:val="center"/>
          </w:tcPr>
          <w:p w14:paraId="3FDCF8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w:t>
            </w:r>
          </w:p>
        </w:tc>
      </w:tr>
      <w:tr w14:paraId="436A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0071E74">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117</w:t>
            </w:r>
          </w:p>
        </w:tc>
        <w:tc>
          <w:tcPr>
            <w:tcW w:w="1072" w:type="dxa"/>
            <w:shd w:val="clear" w:color="auto" w:fill="auto"/>
            <w:vAlign w:val="center"/>
          </w:tcPr>
          <w:p w14:paraId="4C2801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单刀双 掷开关</w:t>
            </w:r>
          </w:p>
        </w:tc>
        <w:tc>
          <w:tcPr>
            <w:tcW w:w="4897" w:type="dxa"/>
            <w:shd w:val="clear" w:color="auto" w:fill="auto"/>
            <w:vAlign w:val="center"/>
          </w:tcPr>
          <w:p w14:paraId="35C7243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最高工作电压36V,额定工作电流6A。 开关闸刀、接线柱、垫片均为铜质。闸刀宽度≥7mm,闸刀厚度≥0.7mm。接线柱直径为4mm,有效行程≥4mm。通额定电流，导电部分允许温升≤35℃, 操作手柄允许温升≤25℃。开关的绝缘强度应能承受1200V在额定直流电流工作条件下，接线两端直流电压降≤100mV</w:t>
            </w:r>
          </w:p>
        </w:tc>
        <w:tc>
          <w:tcPr>
            <w:tcW w:w="462" w:type="dxa"/>
            <w:shd w:val="clear" w:color="auto" w:fill="auto"/>
            <w:vAlign w:val="center"/>
          </w:tcPr>
          <w:p w14:paraId="33C631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556A65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6DB53C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489" w:type="dxa"/>
            <w:shd w:val="clear" w:color="auto" w:fill="auto"/>
            <w:vAlign w:val="center"/>
          </w:tcPr>
          <w:p w14:paraId="5CE7CB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210</w:t>
            </w:r>
          </w:p>
        </w:tc>
      </w:tr>
      <w:tr w14:paraId="4A02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58AA943">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118</w:t>
            </w:r>
          </w:p>
        </w:tc>
        <w:tc>
          <w:tcPr>
            <w:tcW w:w="1072" w:type="dxa"/>
            <w:shd w:val="clear" w:color="auto" w:fill="auto"/>
            <w:vAlign w:val="center"/>
          </w:tcPr>
          <w:p w14:paraId="438C5F3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电池盒</w:t>
            </w:r>
          </w:p>
        </w:tc>
        <w:tc>
          <w:tcPr>
            <w:tcW w:w="4897" w:type="dxa"/>
            <w:shd w:val="clear" w:color="auto" w:fill="auto"/>
            <w:vAlign w:val="center"/>
          </w:tcPr>
          <w:p w14:paraId="7B2D555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R20（1#）电池用，有接线柱，负极可用弹簧或弹性磷铜片，有串联接插口，电池装反时不能接通</w:t>
            </w:r>
          </w:p>
        </w:tc>
        <w:tc>
          <w:tcPr>
            <w:tcW w:w="462" w:type="dxa"/>
            <w:shd w:val="clear" w:color="auto" w:fill="auto"/>
            <w:vAlign w:val="center"/>
          </w:tcPr>
          <w:p w14:paraId="153093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组</w:t>
            </w:r>
          </w:p>
        </w:tc>
        <w:tc>
          <w:tcPr>
            <w:tcW w:w="605" w:type="dxa"/>
            <w:shd w:val="clear" w:color="auto" w:fill="auto"/>
            <w:vAlign w:val="center"/>
          </w:tcPr>
          <w:p w14:paraId="03A4B5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60C7C59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1489" w:type="dxa"/>
            <w:shd w:val="clear" w:color="auto" w:fill="auto"/>
            <w:vAlign w:val="center"/>
          </w:tcPr>
          <w:p w14:paraId="6AF4BC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255</w:t>
            </w:r>
          </w:p>
        </w:tc>
      </w:tr>
      <w:tr w14:paraId="1FCB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EA8CEF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119</w:t>
            </w:r>
          </w:p>
        </w:tc>
        <w:tc>
          <w:tcPr>
            <w:tcW w:w="1072" w:type="dxa"/>
            <w:shd w:val="clear" w:color="auto" w:fill="auto"/>
            <w:vAlign w:val="center"/>
          </w:tcPr>
          <w:p w14:paraId="0D17C5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干电池</w:t>
            </w:r>
          </w:p>
        </w:tc>
        <w:tc>
          <w:tcPr>
            <w:tcW w:w="4897" w:type="dxa"/>
            <w:shd w:val="clear" w:color="auto" w:fill="auto"/>
            <w:vAlign w:val="center"/>
          </w:tcPr>
          <w:p w14:paraId="640CF40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R20,无汞</w:t>
            </w:r>
          </w:p>
        </w:tc>
        <w:tc>
          <w:tcPr>
            <w:tcW w:w="462" w:type="dxa"/>
            <w:shd w:val="clear" w:color="auto" w:fill="auto"/>
            <w:vAlign w:val="center"/>
          </w:tcPr>
          <w:p w14:paraId="5FFBDD6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5C6ABA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048" w:type="dxa"/>
            <w:shd w:val="clear" w:color="auto" w:fill="auto"/>
            <w:vAlign w:val="center"/>
          </w:tcPr>
          <w:p w14:paraId="057141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489" w:type="dxa"/>
            <w:shd w:val="clear" w:color="auto" w:fill="auto"/>
            <w:vAlign w:val="center"/>
          </w:tcPr>
          <w:p w14:paraId="64DA250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480</w:t>
            </w:r>
          </w:p>
        </w:tc>
      </w:tr>
      <w:tr w14:paraId="3E54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E16A96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120</w:t>
            </w:r>
          </w:p>
        </w:tc>
        <w:tc>
          <w:tcPr>
            <w:tcW w:w="1072" w:type="dxa"/>
            <w:shd w:val="clear" w:color="auto" w:fill="auto"/>
            <w:vAlign w:val="center"/>
          </w:tcPr>
          <w:p w14:paraId="266CA6B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高中学生电源</w:t>
            </w:r>
          </w:p>
        </w:tc>
        <w:tc>
          <w:tcPr>
            <w:tcW w:w="4897" w:type="dxa"/>
            <w:shd w:val="clear" w:color="auto" w:fill="auto"/>
            <w:vAlign w:val="center"/>
          </w:tcPr>
          <w:p w14:paraId="3145527D">
            <w:pPr>
              <w:widowControl/>
              <w:jc w:val="left"/>
              <w:textAlignment w:val="center"/>
              <w:rPr>
                <w:rFonts w:ascii="宋体" w:hAnsi="宋体" w:cs="宋体"/>
                <w:color w:val="000000"/>
                <w:sz w:val="22"/>
                <w:szCs w:val="22"/>
              </w:rPr>
            </w:pPr>
            <w:r>
              <w:rPr>
                <w:rFonts w:hint="eastAsia" w:ascii="宋体" w:hAnsi="宋体" w:cs="宋体"/>
                <w:color w:val="000000"/>
                <w:kern w:val="0"/>
                <w:sz w:val="20"/>
                <w:szCs w:val="20"/>
                <w:lang w:bidi="ar"/>
              </w:rPr>
              <w:t>直流稳压输出：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1.标称电压：1.5至16V单双选择十六档可调；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2.输出电压：额定2A；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3.电压稳定性：各档输出不大于2%U标+0.1V；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4.负载稳定性：各档输出不大于2%U标+0.1V。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交流输出：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1.标称电压：2－16V每2V一档，八档可调；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2.输出电流：额定3A；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3.空载电压：各档输出不大于1.5U标+0.3V；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4.满载电压：输出电流为额定值，各档输出不0.95U标－0.3V。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过载保护：输出电流在额定电流的1.05－1.5倍间能自动关断输出，并能启动不大于额定电流的白炽灯。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5.机壳为全塑料制，外形尺寸：250mm×200mm×115mm。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6.电源系统符合JY/T0374-2004《教学实验室设备 电源系统》标准。</w:t>
            </w:r>
          </w:p>
        </w:tc>
        <w:tc>
          <w:tcPr>
            <w:tcW w:w="462" w:type="dxa"/>
            <w:shd w:val="clear" w:color="auto" w:fill="auto"/>
            <w:vAlign w:val="center"/>
          </w:tcPr>
          <w:p w14:paraId="4B7A57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2F7159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2A8D53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226</w:t>
            </w:r>
          </w:p>
        </w:tc>
        <w:tc>
          <w:tcPr>
            <w:tcW w:w="1489" w:type="dxa"/>
            <w:shd w:val="clear" w:color="auto" w:fill="auto"/>
            <w:vAlign w:val="center"/>
          </w:tcPr>
          <w:p w14:paraId="0AD592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3390</w:t>
            </w:r>
          </w:p>
        </w:tc>
      </w:tr>
      <w:tr w14:paraId="5BBC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65B2C44">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121</w:t>
            </w:r>
          </w:p>
        </w:tc>
        <w:tc>
          <w:tcPr>
            <w:tcW w:w="1072" w:type="dxa"/>
            <w:shd w:val="clear" w:color="auto" w:fill="auto"/>
            <w:vAlign w:val="center"/>
          </w:tcPr>
          <w:p w14:paraId="02BE04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高中教学电源</w:t>
            </w:r>
          </w:p>
        </w:tc>
        <w:tc>
          <w:tcPr>
            <w:tcW w:w="4897" w:type="dxa"/>
            <w:shd w:val="clear" w:color="auto" w:fill="auto"/>
            <w:vAlign w:val="center"/>
          </w:tcPr>
          <w:p w14:paraId="4ED176E2">
            <w:pPr>
              <w:widowControl/>
              <w:jc w:val="left"/>
              <w:textAlignment w:val="center"/>
              <w:rPr>
                <w:rFonts w:ascii="宋体" w:hAnsi="宋体" w:cs="宋体"/>
                <w:color w:val="000000"/>
                <w:sz w:val="22"/>
                <w:szCs w:val="22"/>
              </w:rPr>
            </w:pPr>
            <w:r>
              <w:rPr>
                <w:rFonts w:hint="eastAsia" w:ascii="宋体" w:hAnsi="宋体" w:cs="宋体"/>
                <w:color w:val="000000"/>
                <w:kern w:val="0"/>
                <w:sz w:val="20"/>
                <w:szCs w:val="20"/>
                <w:lang w:bidi="ar"/>
              </w:rPr>
              <w:t>1.交流输出：2V～24V，每2V一档，4A。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2.直流稳压输出：1.5V～25V，连续可调，3A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3.3位数码管显示。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4.直流大电流输出：40A、8s自动关断。</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5.外壳为全金属制成，表面现象烤漆处理，外形尺寸：268mm×205mm×115mm。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6.电源系统符合JY/T0374-2004《教学实验室设备 电源系统》标准。</w:t>
            </w:r>
          </w:p>
        </w:tc>
        <w:tc>
          <w:tcPr>
            <w:tcW w:w="462" w:type="dxa"/>
            <w:shd w:val="clear" w:color="auto" w:fill="auto"/>
            <w:vAlign w:val="center"/>
          </w:tcPr>
          <w:p w14:paraId="54CA9F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7C4E77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693A60B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510</w:t>
            </w:r>
          </w:p>
        </w:tc>
        <w:tc>
          <w:tcPr>
            <w:tcW w:w="1489" w:type="dxa"/>
            <w:shd w:val="clear" w:color="auto" w:fill="auto"/>
            <w:vAlign w:val="center"/>
          </w:tcPr>
          <w:p w14:paraId="7F9D97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7650</w:t>
            </w:r>
          </w:p>
        </w:tc>
      </w:tr>
      <w:tr w14:paraId="7C19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8EB1C98">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122</w:t>
            </w:r>
          </w:p>
        </w:tc>
        <w:tc>
          <w:tcPr>
            <w:tcW w:w="1072" w:type="dxa"/>
            <w:shd w:val="clear" w:color="auto" w:fill="auto"/>
            <w:vAlign w:val="center"/>
          </w:tcPr>
          <w:p w14:paraId="6EB4DC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演示电表</w:t>
            </w:r>
          </w:p>
        </w:tc>
        <w:tc>
          <w:tcPr>
            <w:tcW w:w="4897" w:type="dxa"/>
            <w:shd w:val="clear" w:color="auto" w:fill="auto"/>
            <w:vAlign w:val="center"/>
          </w:tcPr>
          <w:p w14:paraId="2B7E8F8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2.5级，直流电流：200μA, 0.5A、2.5A,直流电压：2.5V、10V,检流：-500uA～500μA,电压灵敏度：5kΩ/V</w:t>
            </w:r>
          </w:p>
        </w:tc>
        <w:tc>
          <w:tcPr>
            <w:tcW w:w="462" w:type="dxa"/>
            <w:shd w:val="clear" w:color="auto" w:fill="auto"/>
            <w:vAlign w:val="center"/>
          </w:tcPr>
          <w:p w14:paraId="3153FFD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7E8A82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048" w:type="dxa"/>
            <w:shd w:val="clear" w:color="auto" w:fill="auto"/>
            <w:vAlign w:val="center"/>
          </w:tcPr>
          <w:p w14:paraId="22BDF0A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242</w:t>
            </w:r>
          </w:p>
        </w:tc>
        <w:tc>
          <w:tcPr>
            <w:tcW w:w="1489" w:type="dxa"/>
            <w:shd w:val="clear" w:color="auto" w:fill="auto"/>
            <w:vAlign w:val="center"/>
          </w:tcPr>
          <w:p w14:paraId="6BC4E88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968</w:t>
            </w:r>
          </w:p>
        </w:tc>
      </w:tr>
      <w:tr w14:paraId="2FA1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70FA0D4">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123</w:t>
            </w:r>
          </w:p>
        </w:tc>
        <w:tc>
          <w:tcPr>
            <w:tcW w:w="1072" w:type="dxa"/>
            <w:shd w:val="clear" w:color="auto" w:fill="auto"/>
            <w:vAlign w:val="center"/>
          </w:tcPr>
          <w:p w14:paraId="7D999D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直流电压表</w:t>
            </w:r>
          </w:p>
        </w:tc>
        <w:tc>
          <w:tcPr>
            <w:tcW w:w="4897" w:type="dxa"/>
            <w:shd w:val="clear" w:color="auto" w:fill="auto"/>
            <w:vAlign w:val="center"/>
          </w:tcPr>
          <w:p w14:paraId="0933E32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3V、15V双量程，2.5级，基本误差、 升降变差、平衡误差不超过量程上限的2.5%</w:t>
            </w:r>
          </w:p>
        </w:tc>
        <w:tc>
          <w:tcPr>
            <w:tcW w:w="462" w:type="dxa"/>
            <w:shd w:val="clear" w:color="auto" w:fill="auto"/>
            <w:vAlign w:val="center"/>
          </w:tcPr>
          <w:p w14:paraId="269EC6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344372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1A972A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1489" w:type="dxa"/>
            <w:shd w:val="clear" w:color="auto" w:fill="auto"/>
            <w:vAlign w:val="center"/>
          </w:tcPr>
          <w:p w14:paraId="345804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w:t>
            </w:r>
          </w:p>
        </w:tc>
      </w:tr>
      <w:tr w14:paraId="3290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F5052A2">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124</w:t>
            </w:r>
          </w:p>
        </w:tc>
        <w:tc>
          <w:tcPr>
            <w:tcW w:w="1072" w:type="dxa"/>
            <w:shd w:val="clear" w:color="auto" w:fill="auto"/>
            <w:vAlign w:val="center"/>
          </w:tcPr>
          <w:p w14:paraId="577EEF0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直流电流表</w:t>
            </w:r>
          </w:p>
        </w:tc>
        <w:tc>
          <w:tcPr>
            <w:tcW w:w="4897" w:type="dxa"/>
            <w:shd w:val="clear" w:color="auto" w:fill="auto"/>
            <w:vAlign w:val="center"/>
          </w:tcPr>
          <w:p w14:paraId="3BA5127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产品由测量机构、外壳等组成。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1.指示面板与水平面成45度夹角。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2.测量范围：（-0.2A~0~0.6A）（-1~0~3A）。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3.仪表准确度等级：2.5级。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4.对外界磁场的防御等级为Ⅲ级。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5.规格：130mm×95mm×90mm。</w:t>
            </w:r>
          </w:p>
        </w:tc>
        <w:tc>
          <w:tcPr>
            <w:tcW w:w="462" w:type="dxa"/>
            <w:shd w:val="clear" w:color="auto" w:fill="auto"/>
            <w:vAlign w:val="center"/>
          </w:tcPr>
          <w:p w14:paraId="46C27C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2E2F44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666FEB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1489" w:type="dxa"/>
            <w:shd w:val="clear" w:color="auto" w:fill="auto"/>
            <w:vAlign w:val="center"/>
          </w:tcPr>
          <w:p w14:paraId="6EAE5F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w:t>
            </w:r>
          </w:p>
        </w:tc>
      </w:tr>
      <w:tr w14:paraId="7554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4D33A8A">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125</w:t>
            </w:r>
          </w:p>
        </w:tc>
        <w:tc>
          <w:tcPr>
            <w:tcW w:w="1072" w:type="dxa"/>
            <w:shd w:val="clear" w:color="auto" w:fill="auto"/>
            <w:vAlign w:val="center"/>
          </w:tcPr>
          <w:p w14:paraId="1679A5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直流电流表</w:t>
            </w:r>
          </w:p>
        </w:tc>
        <w:tc>
          <w:tcPr>
            <w:tcW w:w="4897" w:type="dxa"/>
            <w:shd w:val="clear" w:color="auto" w:fill="auto"/>
            <w:vAlign w:val="center"/>
          </w:tcPr>
          <w:p w14:paraId="53DDC29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2.5级，200μA</w:t>
            </w:r>
          </w:p>
        </w:tc>
        <w:tc>
          <w:tcPr>
            <w:tcW w:w="462" w:type="dxa"/>
            <w:shd w:val="clear" w:color="auto" w:fill="auto"/>
            <w:vAlign w:val="center"/>
          </w:tcPr>
          <w:p w14:paraId="7D7E0AF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677895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1813F5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1489" w:type="dxa"/>
            <w:shd w:val="clear" w:color="auto" w:fill="auto"/>
            <w:vAlign w:val="center"/>
          </w:tcPr>
          <w:p w14:paraId="50C6CA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630</w:t>
            </w:r>
          </w:p>
        </w:tc>
      </w:tr>
      <w:tr w14:paraId="6CE5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7F65CCF">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126</w:t>
            </w:r>
          </w:p>
        </w:tc>
        <w:tc>
          <w:tcPr>
            <w:tcW w:w="1072" w:type="dxa"/>
            <w:shd w:val="clear" w:color="auto" w:fill="auto"/>
            <w:vAlign w:val="center"/>
          </w:tcPr>
          <w:p w14:paraId="015343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多用电表</w:t>
            </w:r>
          </w:p>
        </w:tc>
        <w:tc>
          <w:tcPr>
            <w:tcW w:w="4897" w:type="dxa"/>
            <w:shd w:val="clear" w:color="auto" w:fill="auto"/>
            <w:vAlign w:val="center"/>
          </w:tcPr>
          <w:p w14:paraId="72479DC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1.MF-47型，内磁表头。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2.测量范围：直流电流：0～5～50～500mA,10A；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3.直流电压：0～0.25～0.5～10～50～250～500～1000V，交流电压：0～10～50～250～500～1000V；直流电阻：X1～X10K；温度测试：-10～150℃，电容：0.01～100000μf；电感：20～1000H；音频电平：-10～+22db。表笔1套。</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4.外型规格：165×113×52mm。重量：0.6kg。</w:t>
            </w:r>
          </w:p>
        </w:tc>
        <w:tc>
          <w:tcPr>
            <w:tcW w:w="462" w:type="dxa"/>
            <w:shd w:val="clear" w:color="auto" w:fill="auto"/>
            <w:vAlign w:val="center"/>
          </w:tcPr>
          <w:p w14:paraId="407BD5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69AAF9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5F2BA5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w:t>
            </w:r>
          </w:p>
        </w:tc>
        <w:tc>
          <w:tcPr>
            <w:tcW w:w="1489" w:type="dxa"/>
            <w:shd w:val="clear" w:color="auto" w:fill="auto"/>
            <w:vAlign w:val="center"/>
          </w:tcPr>
          <w:p w14:paraId="2876B4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1650</w:t>
            </w:r>
          </w:p>
        </w:tc>
      </w:tr>
      <w:tr w14:paraId="2BAB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DF1916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127</w:t>
            </w:r>
          </w:p>
        </w:tc>
        <w:tc>
          <w:tcPr>
            <w:tcW w:w="1072" w:type="dxa"/>
            <w:shd w:val="clear" w:color="auto" w:fill="auto"/>
            <w:vAlign w:val="center"/>
          </w:tcPr>
          <w:p w14:paraId="47648D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电阻定律实验器</w:t>
            </w:r>
          </w:p>
        </w:tc>
        <w:tc>
          <w:tcPr>
            <w:tcW w:w="4897" w:type="dxa"/>
            <w:shd w:val="clear" w:color="auto" w:fill="auto"/>
            <w:vAlign w:val="center"/>
          </w:tcPr>
          <w:p w14:paraId="778E0EE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由底板、2种金属导线（康铜、镍铬）、接线柱、连接片、支撑架等组成；康铜导线2根（长均为500mm,直径分别为0.5mm、0.3mm）；镍铬线2根（长分别为500mm、300mm,直径均为0.3mm）</w:t>
            </w:r>
          </w:p>
        </w:tc>
        <w:tc>
          <w:tcPr>
            <w:tcW w:w="462" w:type="dxa"/>
            <w:shd w:val="clear" w:color="auto" w:fill="auto"/>
            <w:vAlign w:val="center"/>
          </w:tcPr>
          <w:p w14:paraId="1FDF844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5CE233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6CE7D0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w:t>
            </w:r>
          </w:p>
        </w:tc>
        <w:tc>
          <w:tcPr>
            <w:tcW w:w="1489" w:type="dxa"/>
            <w:shd w:val="clear" w:color="auto" w:fill="auto"/>
            <w:vAlign w:val="center"/>
          </w:tcPr>
          <w:p w14:paraId="1430B5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495</w:t>
            </w:r>
          </w:p>
        </w:tc>
      </w:tr>
      <w:tr w14:paraId="7430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3373B09">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128</w:t>
            </w:r>
          </w:p>
        </w:tc>
        <w:tc>
          <w:tcPr>
            <w:tcW w:w="1072" w:type="dxa"/>
            <w:shd w:val="clear" w:color="auto" w:fill="auto"/>
            <w:vAlign w:val="center"/>
          </w:tcPr>
          <w:p w14:paraId="58E0A9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接线夹导线</w:t>
            </w:r>
          </w:p>
        </w:tc>
        <w:tc>
          <w:tcPr>
            <w:tcW w:w="4897" w:type="dxa"/>
            <w:shd w:val="clear" w:color="auto" w:fill="auto"/>
            <w:vAlign w:val="center"/>
          </w:tcPr>
          <w:p w14:paraId="3DC611B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纯铜接线夹；纯铜导线，长度分别为200mm、300mm、400mm,芯线截面积不小于0.5mm</w:t>
            </w:r>
            <w:r>
              <w:rPr>
                <w:rStyle w:val="42"/>
                <w:rFonts w:hint="default"/>
                <w:lang w:bidi="ar"/>
              </w:rPr>
              <w:t>2</w:t>
            </w:r>
            <w:r>
              <w:rPr>
                <w:rStyle w:val="41"/>
                <w:rFonts w:hint="default"/>
                <w:lang w:bidi="ar"/>
              </w:rPr>
              <w:t>；宜用不同线色</w:t>
            </w:r>
          </w:p>
        </w:tc>
        <w:tc>
          <w:tcPr>
            <w:tcW w:w="462" w:type="dxa"/>
            <w:shd w:val="clear" w:color="auto" w:fill="auto"/>
            <w:vAlign w:val="center"/>
          </w:tcPr>
          <w:p w14:paraId="72A162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根</w:t>
            </w:r>
          </w:p>
        </w:tc>
        <w:tc>
          <w:tcPr>
            <w:tcW w:w="605" w:type="dxa"/>
            <w:shd w:val="clear" w:color="auto" w:fill="auto"/>
            <w:vAlign w:val="center"/>
          </w:tcPr>
          <w:p w14:paraId="344FB93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718100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489" w:type="dxa"/>
            <w:shd w:val="clear" w:color="auto" w:fill="auto"/>
            <w:vAlign w:val="center"/>
          </w:tcPr>
          <w:p w14:paraId="7CF8E9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w:t>
            </w:r>
          </w:p>
        </w:tc>
      </w:tr>
      <w:tr w14:paraId="381C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6C3FCB3">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129</w:t>
            </w:r>
          </w:p>
        </w:tc>
        <w:tc>
          <w:tcPr>
            <w:tcW w:w="1072" w:type="dxa"/>
            <w:shd w:val="clear" w:color="auto" w:fill="auto"/>
            <w:vAlign w:val="center"/>
          </w:tcPr>
          <w:p w14:paraId="77C21B7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接线叉导线</w:t>
            </w:r>
          </w:p>
        </w:tc>
        <w:tc>
          <w:tcPr>
            <w:tcW w:w="4897" w:type="dxa"/>
            <w:shd w:val="clear" w:color="auto" w:fill="auto"/>
            <w:vAlign w:val="center"/>
          </w:tcPr>
          <w:p w14:paraId="6CA5A10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纯铜接线叉，接线叉开口5.9mm；纯铜导线，长度分别为200mm、300mm、400mm,芯线截面积不小于0.5mm</w:t>
            </w:r>
            <w:r>
              <w:rPr>
                <w:rStyle w:val="42"/>
                <w:rFonts w:hint="default"/>
                <w:lang w:bidi="ar"/>
              </w:rPr>
              <w:t>2</w:t>
            </w:r>
            <w:r>
              <w:rPr>
                <w:rStyle w:val="41"/>
                <w:rFonts w:hint="default"/>
                <w:lang w:bidi="ar"/>
              </w:rPr>
              <w:t>；宜用不同线色</w:t>
            </w:r>
          </w:p>
        </w:tc>
        <w:tc>
          <w:tcPr>
            <w:tcW w:w="462" w:type="dxa"/>
            <w:shd w:val="clear" w:color="auto" w:fill="auto"/>
            <w:vAlign w:val="center"/>
          </w:tcPr>
          <w:p w14:paraId="291EF4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根</w:t>
            </w:r>
          </w:p>
        </w:tc>
        <w:tc>
          <w:tcPr>
            <w:tcW w:w="605" w:type="dxa"/>
            <w:shd w:val="clear" w:color="auto" w:fill="auto"/>
            <w:vAlign w:val="center"/>
          </w:tcPr>
          <w:p w14:paraId="238AB8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1BCBF8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489" w:type="dxa"/>
            <w:shd w:val="clear" w:color="auto" w:fill="auto"/>
            <w:vAlign w:val="center"/>
          </w:tcPr>
          <w:p w14:paraId="7B1A39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w:t>
            </w:r>
          </w:p>
        </w:tc>
      </w:tr>
      <w:tr w14:paraId="73CE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0D7ECF1">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130</w:t>
            </w:r>
          </w:p>
        </w:tc>
        <w:tc>
          <w:tcPr>
            <w:tcW w:w="1072" w:type="dxa"/>
            <w:shd w:val="clear" w:color="auto" w:fill="auto"/>
            <w:vAlign w:val="center"/>
          </w:tcPr>
          <w:p w14:paraId="36A9BA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组合接头导线</w:t>
            </w:r>
          </w:p>
        </w:tc>
        <w:tc>
          <w:tcPr>
            <w:tcW w:w="4897" w:type="dxa"/>
            <w:shd w:val="clear" w:color="auto" w:fill="auto"/>
            <w:vAlign w:val="center"/>
          </w:tcPr>
          <w:p w14:paraId="2864E8B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一头为纯铜接线叉，一头为接线夹，接线叉开口5.9mm；纯铜导线，长度分别为200mm、300mm、400mm,芯线截面积不小于0.5mm</w:t>
            </w:r>
            <w:r>
              <w:rPr>
                <w:rStyle w:val="42"/>
                <w:rFonts w:hint="default"/>
                <w:lang w:bidi="ar"/>
              </w:rPr>
              <w:t>2</w:t>
            </w:r>
            <w:r>
              <w:rPr>
                <w:rStyle w:val="41"/>
                <w:rFonts w:hint="default"/>
                <w:lang w:bidi="ar"/>
              </w:rPr>
              <w:t>；宜用不同线色</w:t>
            </w:r>
          </w:p>
        </w:tc>
        <w:tc>
          <w:tcPr>
            <w:tcW w:w="462" w:type="dxa"/>
            <w:shd w:val="clear" w:color="auto" w:fill="auto"/>
            <w:vAlign w:val="center"/>
          </w:tcPr>
          <w:p w14:paraId="424086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根</w:t>
            </w:r>
          </w:p>
        </w:tc>
        <w:tc>
          <w:tcPr>
            <w:tcW w:w="605" w:type="dxa"/>
            <w:shd w:val="clear" w:color="auto" w:fill="auto"/>
            <w:vAlign w:val="center"/>
          </w:tcPr>
          <w:p w14:paraId="40619F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7C3CEB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489" w:type="dxa"/>
            <w:shd w:val="clear" w:color="auto" w:fill="auto"/>
            <w:vAlign w:val="center"/>
          </w:tcPr>
          <w:p w14:paraId="481F4C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w:t>
            </w:r>
          </w:p>
        </w:tc>
      </w:tr>
      <w:tr w14:paraId="3BCF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50BCC2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131</w:t>
            </w:r>
          </w:p>
        </w:tc>
        <w:tc>
          <w:tcPr>
            <w:tcW w:w="1072" w:type="dxa"/>
            <w:shd w:val="clear" w:color="auto" w:fill="auto"/>
            <w:vAlign w:val="center"/>
          </w:tcPr>
          <w:p w14:paraId="70A4A6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电阻箱</w:t>
            </w:r>
          </w:p>
        </w:tc>
        <w:tc>
          <w:tcPr>
            <w:tcW w:w="4897" w:type="dxa"/>
            <w:shd w:val="clear" w:color="auto" w:fill="auto"/>
            <w:vAlign w:val="center"/>
          </w:tcPr>
          <w:p w14:paraId="77A77DD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六位，99999.9 Ω, 1级</w:t>
            </w:r>
          </w:p>
        </w:tc>
        <w:tc>
          <w:tcPr>
            <w:tcW w:w="462" w:type="dxa"/>
            <w:shd w:val="clear" w:color="auto" w:fill="auto"/>
            <w:vAlign w:val="center"/>
          </w:tcPr>
          <w:p w14:paraId="6F94A9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3548DC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47465C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193</w:t>
            </w:r>
          </w:p>
        </w:tc>
        <w:tc>
          <w:tcPr>
            <w:tcW w:w="1489" w:type="dxa"/>
            <w:shd w:val="clear" w:color="auto" w:fill="auto"/>
            <w:vAlign w:val="center"/>
          </w:tcPr>
          <w:p w14:paraId="715DF0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2895</w:t>
            </w:r>
          </w:p>
        </w:tc>
      </w:tr>
      <w:tr w14:paraId="1D8C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3009056">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132</w:t>
            </w:r>
          </w:p>
        </w:tc>
        <w:tc>
          <w:tcPr>
            <w:tcW w:w="1072" w:type="dxa"/>
            <w:shd w:val="clear" w:color="auto" w:fill="auto"/>
            <w:vAlign w:val="center"/>
          </w:tcPr>
          <w:p w14:paraId="37AE14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滑动变 阻器</w:t>
            </w:r>
          </w:p>
        </w:tc>
        <w:tc>
          <w:tcPr>
            <w:tcW w:w="4897" w:type="dxa"/>
            <w:shd w:val="clear" w:color="auto" w:fill="auto"/>
            <w:vAlign w:val="center"/>
          </w:tcPr>
          <w:p w14:paraId="2C5B033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10Ω,2A。滑杆宜采用正多边形截面（正六边形、正四边形、正三角形）；滑片不应滑出端夹以外；全部电阻线以额定电流连续工作30min,温升不应超过300K</w:t>
            </w:r>
          </w:p>
        </w:tc>
        <w:tc>
          <w:tcPr>
            <w:tcW w:w="462" w:type="dxa"/>
            <w:shd w:val="clear" w:color="auto" w:fill="auto"/>
            <w:vAlign w:val="center"/>
          </w:tcPr>
          <w:p w14:paraId="3A981A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783689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F45681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1489" w:type="dxa"/>
            <w:shd w:val="clear" w:color="auto" w:fill="auto"/>
            <w:vAlign w:val="center"/>
          </w:tcPr>
          <w:p w14:paraId="04B7E30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r>
      <w:tr w14:paraId="6777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5EFF45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133</w:t>
            </w:r>
          </w:p>
        </w:tc>
        <w:tc>
          <w:tcPr>
            <w:tcW w:w="1072" w:type="dxa"/>
            <w:shd w:val="clear" w:color="auto" w:fill="auto"/>
            <w:vAlign w:val="center"/>
          </w:tcPr>
          <w:p w14:paraId="017E60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滑动变 阻器</w:t>
            </w:r>
          </w:p>
        </w:tc>
        <w:tc>
          <w:tcPr>
            <w:tcW w:w="4897" w:type="dxa"/>
            <w:shd w:val="clear" w:color="auto" w:fill="auto"/>
            <w:vAlign w:val="center"/>
          </w:tcPr>
          <w:p w14:paraId="683DDBF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20Ω,2A。滑杆宜采用正多边形截面（正六边形、正四边形、正三角形）；滑片不应滑出端夹以外；全部电阻线以额定电流连续工作30min,温升不应超过300K</w:t>
            </w:r>
          </w:p>
        </w:tc>
        <w:tc>
          <w:tcPr>
            <w:tcW w:w="462" w:type="dxa"/>
            <w:shd w:val="clear" w:color="auto" w:fill="auto"/>
            <w:vAlign w:val="center"/>
          </w:tcPr>
          <w:p w14:paraId="282BB5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2FCE56E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19E863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1489" w:type="dxa"/>
            <w:shd w:val="clear" w:color="auto" w:fill="auto"/>
            <w:vAlign w:val="center"/>
          </w:tcPr>
          <w:p w14:paraId="033D73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r>
      <w:tr w14:paraId="7273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74E59C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134</w:t>
            </w:r>
          </w:p>
        </w:tc>
        <w:tc>
          <w:tcPr>
            <w:tcW w:w="1072" w:type="dxa"/>
            <w:shd w:val="clear" w:color="auto" w:fill="auto"/>
            <w:vAlign w:val="center"/>
          </w:tcPr>
          <w:p w14:paraId="43D61B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滑动变 阻器</w:t>
            </w:r>
          </w:p>
        </w:tc>
        <w:tc>
          <w:tcPr>
            <w:tcW w:w="4897" w:type="dxa"/>
            <w:shd w:val="clear" w:color="auto" w:fill="auto"/>
            <w:vAlign w:val="center"/>
          </w:tcPr>
          <w:p w14:paraId="07FA32A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50Ω,1.5A。滑杆宜采用正多边形截面（正六边形、正四边形、正三角形）；滑片不应滑出端夹以外；全部电阻线以额定电流连续工作30min,温升不应超过300K</w:t>
            </w:r>
          </w:p>
        </w:tc>
        <w:tc>
          <w:tcPr>
            <w:tcW w:w="462" w:type="dxa"/>
            <w:shd w:val="clear" w:color="auto" w:fill="auto"/>
            <w:vAlign w:val="center"/>
          </w:tcPr>
          <w:p w14:paraId="24753B0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406675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35A36B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1489" w:type="dxa"/>
            <w:shd w:val="clear" w:color="auto" w:fill="auto"/>
            <w:vAlign w:val="center"/>
          </w:tcPr>
          <w:p w14:paraId="59677E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r>
      <w:tr w14:paraId="7F0D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A9D776C">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135</w:t>
            </w:r>
          </w:p>
        </w:tc>
        <w:tc>
          <w:tcPr>
            <w:tcW w:w="1072" w:type="dxa"/>
            <w:shd w:val="clear" w:color="auto" w:fill="auto"/>
            <w:vAlign w:val="center"/>
          </w:tcPr>
          <w:p w14:paraId="65FB43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菱形小磁针</w:t>
            </w:r>
          </w:p>
        </w:tc>
        <w:tc>
          <w:tcPr>
            <w:tcW w:w="4897" w:type="dxa"/>
            <w:shd w:val="clear" w:color="auto" w:fill="auto"/>
            <w:vAlign w:val="center"/>
          </w:tcPr>
          <w:p w14:paraId="73529FD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16支，磁针28mmX8mm,座</w:t>
            </w:r>
            <w:r>
              <w:rPr>
                <w:rStyle w:val="43"/>
                <w:lang w:bidi="ar"/>
              </w:rPr>
              <w:t>Ø</w:t>
            </w:r>
            <w:r>
              <w:rPr>
                <w:rStyle w:val="41"/>
                <w:rFonts w:hint="default"/>
                <w:lang w:bidi="ar"/>
              </w:rPr>
              <w:t>25mmX25mm,磁针体中间铆接铜轴承套，内嵌玻璃轴承，平均磁感应强度≥5mT</w:t>
            </w:r>
          </w:p>
        </w:tc>
        <w:tc>
          <w:tcPr>
            <w:tcW w:w="462" w:type="dxa"/>
            <w:shd w:val="clear" w:color="auto" w:fill="auto"/>
            <w:vAlign w:val="center"/>
          </w:tcPr>
          <w:p w14:paraId="43CBE3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7FF246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1048" w:type="dxa"/>
            <w:shd w:val="clear" w:color="auto" w:fill="auto"/>
            <w:vAlign w:val="center"/>
          </w:tcPr>
          <w:p w14:paraId="0C74FD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1489" w:type="dxa"/>
            <w:shd w:val="clear" w:color="auto" w:fill="auto"/>
            <w:vAlign w:val="center"/>
          </w:tcPr>
          <w:p w14:paraId="7F29BB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320</w:t>
            </w:r>
          </w:p>
        </w:tc>
      </w:tr>
      <w:tr w14:paraId="1118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A9F8A09">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136</w:t>
            </w:r>
          </w:p>
        </w:tc>
        <w:tc>
          <w:tcPr>
            <w:tcW w:w="1072" w:type="dxa"/>
            <w:shd w:val="clear" w:color="auto" w:fill="auto"/>
            <w:vAlign w:val="center"/>
          </w:tcPr>
          <w:p w14:paraId="657F45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翼形磁针</w:t>
            </w:r>
          </w:p>
        </w:tc>
        <w:tc>
          <w:tcPr>
            <w:tcW w:w="4897" w:type="dxa"/>
            <w:shd w:val="clear" w:color="auto" w:fill="auto"/>
            <w:vAlign w:val="center"/>
          </w:tcPr>
          <w:p w14:paraId="5E9AFFB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2支，针体140mmX8mm,座Ø71mmX112mm。磁针体中间铆接铜轴承套，内嵌玻璃轴承，平均磁感应强度≥9mT</w:t>
            </w:r>
          </w:p>
        </w:tc>
        <w:tc>
          <w:tcPr>
            <w:tcW w:w="462" w:type="dxa"/>
            <w:shd w:val="clear" w:color="auto" w:fill="auto"/>
            <w:vAlign w:val="center"/>
          </w:tcPr>
          <w:p w14:paraId="7B52029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w:t>
            </w:r>
          </w:p>
        </w:tc>
        <w:tc>
          <w:tcPr>
            <w:tcW w:w="605" w:type="dxa"/>
            <w:shd w:val="clear" w:color="auto" w:fill="auto"/>
            <w:vAlign w:val="center"/>
          </w:tcPr>
          <w:p w14:paraId="143A9A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275811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489" w:type="dxa"/>
            <w:shd w:val="clear" w:color="auto" w:fill="auto"/>
            <w:vAlign w:val="center"/>
          </w:tcPr>
          <w:p w14:paraId="78AFF3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r>
      <w:tr w14:paraId="1EBE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5E94CC7">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137</w:t>
            </w:r>
          </w:p>
        </w:tc>
        <w:tc>
          <w:tcPr>
            <w:tcW w:w="1072" w:type="dxa"/>
            <w:shd w:val="clear" w:color="auto" w:fill="auto"/>
            <w:vAlign w:val="center"/>
          </w:tcPr>
          <w:p w14:paraId="623314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条形磁铁</w:t>
            </w:r>
          </w:p>
        </w:tc>
        <w:tc>
          <w:tcPr>
            <w:tcW w:w="4897" w:type="dxa"/>
            <w:shd w:val="clear" w:color="auto" w:fill="auto"/>
            <w:vAlign w:val="center"/>
          </w:tcPr>
          <w:p w14:paraId="5CB7CA5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D-CG-LT-180,表面磁感应强度≥0.07T</w:t>
            </w:r>
          </w:p>
        </w:tc>
        <w:tc>
          <w:tcPr>
            <w:tcW w:w="462" w:type="dxa"/>
            <w:shd w:val="clear" w:color="auto" w:fill="auto"/>
            <w:vAlign w:val="center"/>
          </w:tcPr>
          <w:p w14:paraId="11DAC6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w:t>
            </w:r>
          </w:p>
        </w:tc>
        <w:tc>
          <w:tcPr>
            <w:tcW w:w="605" w:type="dxa"/>
            <w:shd w:val="clear" w:color="auto" w:fill="auto"/>
            <w:vAlign w:val="center"/>
          </w:tcPr>
          <w:p w14:paraId="10F439C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045947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1489" w:type="dxa"/>
            <w:shd w:val="clear" w:color="auto" w:fill="auto"/>
            <w:vAlign w:val="center"/>
          </w:tcPr>
          <w:p w14:paraId="7016336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r>
      <w:tr w14:paraId="17CF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B953BD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138</w:t>
            </w:r>
          </w:p>
        </w:tc>
        <w:tc>
          <w:tcPr>
            <w:tcW w:w="1072" w:type="dxa"/>
            <w:shd w:val="clear" w:color="auto" w:fill="auto"/>
            <w:vAlign w:val="center"/>
          </w:tcPr>
          <w:p w14:paraId="272679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蹄形磁铁</w:t>
            </w:r>
          </w:p>
        </w:tc>
        <w:tc>
          <w:tcPr>
            <w:tcW w:w="4897" w:type="dxa"/>
            <w:shd w:val="clear" w:color="auto" w:fill="auto"/>
            <w:vAlign w:val="center"/>
          </w:tcPr>
          <w:p w14:paraId="0A15088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一体成型，D-CG-LU-100,表面磁感应强度≥0.055T</w:t>
            </w:r>
          </w:p>
        </w:tc>
        <w:tc>
          <w:tcPr>
            <w:tcW w:w="462" w:type="dxa"/>
            <w:shd w:val="clear" w:color="auto" w:fill="auto"/>
            <w:vAlign w:val="center"/>
          </w:tcPr>
          <w:p w14:paraId="63F40F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w:t>
            </w:r>
          </w:p>
        </w:tc>
        <w:tc>
          <w:tcPr>
            <w:tcW w:w="605" w:type="dxa"/>
            <w:shd w:val="clear" w:color="auto" w:fill="auto"/>
            <w:vAlign w:val="center"/>
          </w:tcPr>
          <w:p w14:paraId="250C75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69F4CC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1489" w:type="dxa"/>
            <w:shd w:val="clear" w:color="auto" w:fill="auto"/>
            <w:vAlign w:val="center"/>
          </w:tcPr>
          <w:p w14:paraId="6F512A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r>
      <w:tr w14:paraId="3C38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C32DB7E">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139</w:t>
            </w:r>
          </w:p>
        </w:tc>
        <w:tc>
          <w:tcPr>
            <w:tcW w:w="1072" w:type="dxa"/>
            <w:shd w:val="clear" w:color="auto" w:fill="auto"/>
            <w:vAlign w:val="center"/>
          </w:tcPr>
          <w:p w14:paraId="461B713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充磁器</w:t>
            </w:r>
          </w:p>
        </w:tc>
        <w:tc>
          <w:tcPr>
            <w:tcW w:w="4897" w:type="dxa"/>
            <w:shd w:val="clear" w:color="auto" w:fill="auto"/>
            <w:vAlign w:val="center"/>
          </w:tcPr>
          <w:p w14:paraId="25D2984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有充磁时间自动控制功能，外壳为非铁磁性材料，线圈轴向长度不小于80mm,能充两极间距大于28mm、磁极截面积小于42mmX24mm的U形磁铁以及截面积小于42mmX24mm的条形磁铁，电源与线圈骨架以及外壳金属件之间抗电强度3000V</w:t>
            </w:r>
          </w:p>
        </w:tc>
        <w:tc>
          <w:tcPr>
            <w:tcW w:w="462" w:type="dxa"/>
            <w:shd w:val="clear" w:color="auto" w:fill="auto"/>
            <w:vAlign w:val="center"/>
          </w:tcPr>
          <w:p w14:paraId="1B27D0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617984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0DEB475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218</w:t>
            </w:r>
          </w:p>
        </w:tc>
        <w:tc>
          <w:tcPr>
            <w:tcW w:w="1489" w:type="dxa"/>
            <w:shd w:val="clear" w:color="auto" w:fill="auto"/>
            <w:vAlign w:val="center"/>
          </w:tcPr>
          <w:p w14:paraId="161B9B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218</w:t>
            </w:r>
          </w:p>
        </w:tc>
      </w:tr>
      <w:tr w14:paraId="7E3A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0661EF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140</w:t>
            </w:r>
          </w:p>
        </w:tc>
        <w:tc>
          <w:tcPr>
            <w:tcW w:w="1072" w:type="dxa"/>
            <w:shd w:val="clear" w:color="auto" w:fill="auto"/>
            <w:vAlign w:val="center"/>
          </w:tcPr>
          <w:p w14:paraId="18BFCCE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灵敏电流计</w:t>
            </w:r>
          </w:p>
        </w:tc>
        <w:tc>
          <w:tcPr>
            <w:tcW w:w="4897" w:type="dxa"/>
            <w:shd w:val="clear" w:color="auto" w:fill="auto"/>
            <w:vAlign w:val="center"/>
          </w:tcPr>
          <w:p w14:paraId="11241FC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测量精度：2.5级，测量范围：-300μA</w:t>
            </w:r>
            <w:r>
              <w:rPr>
                <w:rStyle w:val="40"/>
                <w:lang w:bidi="ar"/>
              </w:rPr>
              <w:t>〜</w:t>
            </w:r>
            <w:r>
              <w:rPr>
                <w:rStyle w:val="41"/>
                <w:rFonts w:hint="default"/>
                <w:lang w:bidi="ar"/>
              </w:rPr>
              <w:t>OμA～300μA,表头内阻:G</w:t>
            </w:r>
            <w:r>
              <w:rPr>
                <w:rStyle w:val="44"/>
                <w:rFonts w:hint="default"/>
                <w:lang w:bidi="ar"/>
              </w:rPr>
              <w:t>0</w:t>
            </w:r>
            <w:r>
              <w:rPr>
                <w:rStyle w:val="41"/>
                <w:rFonts w:hint="default"/>
                <w:lang w:bidi="ar"/>
              </w:rPr>
              <w:t>档80Ω</w:t>
            </w:r>
            <w:r>
              <w:rPr>
                <w:rStyle w:val="40"/>
                <w:lang w:bidi="ar"/>
              </w:rPr>
              <w:t>〜</w:t>
            </w:r>
            <w:r>
              <w:rPr>
                <w:rStyle w:val="41"/>
                <w:rFonts w:hint="default"/>
                <w:lang w:bidi="ar"/>
              </w:rPr>
              <w:t>125Ω，G</w:t>
            </w:r>
            <w:r>
              <w:rPr>
                <w:rStyle w:val="44"/>
                <w:rFonts w:hint="default"/>
                <w:lang w:bidi="ar"/>
              </w:rPr>
              <w:t>1</w:t>
            </w:r>
            <w:r>
              <w:rPr>
                <w:rStyle w:val="41"/>
                <w:rFonts w:hint="default"/>
                <w:lang w:bidi="ar"/>
              </w:rPr>
              <w:t>档2400Ω</w:t>
            </w:r>
            <w:r>
              <w:rPr>
                <w:rStyle w:val="40"/>
                <w:lang w:bidi="ar"/>
              </w:rPr>
              <w:t>〜</w:t>
            </w:r>
            <w:r>
              <w:rPr>
                <w:rStyle w:val="41"/>
                <w:rFonts w:hint="default"/>
                <w:lang w:bidi="ar"/>
              </w:rPr>
              <w:t>3000Ω</w:t>
            </w:r>
          </w:p>
        </w:tc>
        <w:tc>
          <w:tcPr>
            <w:tcW w:w="462" w:type="dxa"/>
            <w:shd w:val="clear" w:color="auto" w:fill="auto"/>
            <w:vAlign w:val="center"/>
          </w:tcPr>
          <w:p w14:paraId="31E3935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02987B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2EC4B4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1489" w:type="dxa"/>
            <w:shd w:val="clear" w:color="auto" w:fill="auto"/>
            <w:vAlign w:val="center"/>
          </w:tcPr>
          <w:p w14:paraId="4B4DAEE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570</w:t>
            </w:r>
          </w:p>
        </w:tc>
      </w:tr>
      <w:tr w14:paraId="4D11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E359F64">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141</w:t>
            </w:r>
          </w:p>
        </w:tc>
        <w:tc>
          <w:tcPr>
            <w:tcW w:w="1072" w:type="dxa"/>
            <w:shd w:val="clear" w:color="auto" w:fill="auto"/>
            <w:vAlign w:val="center"/>
          </w:tcPr>
          <w:p w14:paraId="5A3081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原副线圈</w:t>
            </w:r>
          </w:p>
        </w:tc>
        <w:tc>
          <w:tcPr>
            <w:tcW w:w="4897" w:type="dxa"/>
            <w:shd w:val="clear" w:color="auto" w:fill="auto"/>
            <w:vAlign w:val="center"/>
          </w:tcPr>
          <w:p w14:paraId="11F000A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原线圈：0.56mm QZ型漆包线310匝</w:t>
            </w:r>
            <w:r>
              <w:rPr>
                <w:rStyle w:val="40"/>
                <w:lang w:bidi="ar"/>
              </w:rPr>
              <w:t>〜</w:t>
            </w:r>
            <w:r>
              <w:rPr>
                <w:rStyle w:val="41"/>
                <w:rFonts w:hint="default"/>
                <w:lang w:bidi="ar"/>
              </w:rPr>
              <w:t>330匝，线圈架内径11mm,绕线宽度57mm。副线圈0.25 mm QZ型漆包线670匝</w:t>
            </w:r>
            <w:r>
              <w:rPr>
                <w:rStyle w:val="40"/>
                <w:lang w:bidi="ar"/>
              </w:rPr>
              <w:t>〜</w:t>
            </w:r>
            <w:r>
              <w:rPr>
                <w:rStyle w:val="41"/>
                <w:rFonts w:hint="default"/>
                <w:lang w:bidi="ar"/>
              </w:rPr>
              <w:t>680匝，线圈架内径24mm,绕线宽度52mm。性能要求：各线圈都应带绕向标识</w:t>
            </w:r>
          </w:p>
        </w:tc>
        <w:tc>
          <w:tcPr>
            <w:tcW w:w="462" w:type="dxa"/>
            <w:shd w:val="clear" w:color="auto" w:fill="auto"/>
            <w:vAlign w:val="center"/>
          </w:tcPr>
          <w:p w14:paraId="3F5580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4E3912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7E7B2CA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1489" w:type="dxa"/>
            <w:shd w:val="clear" w:color="auto" w:fill="auto"/>
            <w:vAlign w:val="center"/>
          </w:tcPr>
          <w:p w14:paraId="566DCB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525</w:t>
            </w:r>
          </w:p>
        </w:tc>
      </w:tr>
      <w:tr w14:paraId="4D79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C9C02A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142</w:t>
            </w:r>
          </w:p>
        </w:tc>
        <w:tc>
          <w:tcPr>
            <w:tcW w:w="1072" w:type="dxa"/>
            <w:shd w:val="clear" w:color="auto" w:fill="auto"/>
            <w:vAlign w:val="center"/>
          </w:tcPr>
          <w:p w14:paraId="481F23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法拉第电磁感应定律演示仪</w:t>
            </w:r>
          </w:p>
        </w:tc>
        <w:tc>
          <w:tcPr>
            <w:tcW w:w="4897" w:type="dxa"/>
            <w:shd w:val="clear" w:color="auto" w:fill="auto"/>
            <w:vAlign w:val="center"/>
          </w:tcPr>
          <w:p w14:paraId="6D9B12B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由长玻璃管、强磁铁3块、不同匝数的线圈等组成</w:t>
            </w:r>
          </w:p>
        </w:tc>
        <w:tc>
          <w:tcPr>
            <w:tcW w:w="462" w:type="dxa"/>
            <w:shd w:val="clear" w:color="auto" w:fill="auto"/>
            <w:vAlign w:val="center"/>
          </w:tcPr>
          <w:p w14:paraId="712B23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1EF5E2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9FDD09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w:t>
            </w:r>
          </w:p>
        </w:tc>
        <w:tc>
          <w:tcPr>
            <w:tcW w:w="1489" w:type="dxa"/>
            <w:shd w:val="clear" w:color="auto" w:fill="auto"/>
            <w:vAlign w:val="center"/>
          </w:tcPr>
          <w:p w14:paraId="7936FC4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w:t>
            </w:r>
          </w:p>
        </w:tc>
      </w:tr>
      <w:tr w14:paraId="0DFD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8DD8D4E">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143</w:t>
            </w:r>
          </w:p>
        </w:tc>
        <w:tc>
          <w:tcPr>
            <w:tcW w:w="1072" w:type="dxa"/>
            <w:shd w:val="clear" w:color="auto" w:fill="auto"/>
            <w:vAlign w:val="center"/>
          </w:tcPr>
          <w:p w14:paraId="2682B5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高频信号发生器</w:t>
            </w:r>
          </w:p>
        </w:tc>
        <w:tc>
          <w:tcPr>
            <w:tcW w:w="4897" w:type="dxa"/>
            <w:shd w:val="clear" w:color="auto" w:fill="auto"/>
            <w:vAlign w:val="center"/>
          </w:tcPr>
          <w:p w14:paraId="7F6CDF3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0.4MHz</w:t>
            </w:r>
            <w:r>
              <w:rPr>
                <w:rStyle w:val="40"/>
                <w:lang w:bidi="ar"/>
              </w:rPr>
              <w:t>〜</w:t>
            </w:r>
            <w:r>
              <w:rPr>
                <w:rStyle w:val="41"/>
                <w:rFonts w:hint="default"/>
                <w:lang w:bidi="ar"/>
              </w:rPr>
              <w:t>130MHz分段连续可调，误差±5%</w:t>
            </w:r>
          </w:p>
        </w:tc>
        <w:tc>
          <w:tcPr>
            <w:tcW w:w="462" w:type="dxa"/>
            <w:shd w:val="clear" w:color="auto" w:fill="auto"/>
            <w:vAlign w:val="center"/>
          </w:tcPr>
          <w:p w14:paraId="0EBBAAA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508E9D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0A452F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545</w:t>
            </w:r>
          </w:p>
        </w:tc>
        <w:tc>
          <w:tcPr>
            <w:tcW w:w="1489" w:type="dxa"/>
            <w:shd w:val="clear" w:color="auto" w:fill="auto"/>
            <w:vAlign w:val="center"/>
          </w:tcPr>
          <w:p w14:paraId="1B2FA5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545</w:t>
            </w:r>
          </w:p>
        </w:tc>
      </w:tr>
      <w:tr w14:paraId="62FF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1337137">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144</w:t>
            </w:r>
          </w:p>
        </w:tc>
        <w:tc>
          <w:tcPr>
            <w:tcW w:w="1072" w:type="dxa"/>
            <w:shd w:val="clear" w:color="auto" w:fill="auto"/>
            <w:vAlign w:val="center"/>
          </w:tcPr>
          <w:p w14:paraId="0D8B255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手摇交直流发电机</w:t>
            </w:r>
          </w:p>
        </w:tc>
        <w:tc>
          <w:tcPr>
            <w:tcW w:w="4897" w:type="dxa"/>
            <w:shd w:val="clear" w:color="auto" w:fill="auto"/>
            <w:vAlign w:val="center"/>
          </w:tcPr>
          <w:p w14:paraId="2E247D0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包括定子、转子、整流器、集流环、电刷、灯座（带灯泡）、手摇驱动机构和底板等部分。定子应由永磁体和极靴组成，转子应由转轴、两极电枢铁芯、电枢线圈以及整流器和集流环等组成。整流器在任何位置不应将两电刷短路，电刷与整流器和集流环应使用弹性接触，转动灵活。转子转速为1600r/min空载时，输出端交流和直流电压均应不小于8V。接16Ω电阻负载时，输出端交流和直流电压均应不小于5V。不带皮带轮用作电动机使用时启动电压应不大于4V, 电流应不大于0.4A</w:t>
            </w:r>
          </w:p>
        </w:tc>
        <w:tc>
          <w:tcPr>
            <w:tcW w:w="462" w:type="dxa"/>
            <w:shd w:val="clear" w:color="auto" w:fill="auto"/>
            <w:vAlign w:val="center"/>
          </w:tcPr>
          <w:p w14:paraId="48DE64F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16D5352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0C63BF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208</w:t>
            </w:r>
          </w:p>
        </w:tc>
        <w:tc>
          <w:tcPr>
            <w:tcW w:w="1489" w:type="dxa"/>
            <w:shd w:val="clear" w:color="auto" w:fill="auto"/>
            <w:vAlign w:val="center"/>
          </w:tcPr>
          <w:p w14:paraId="69BF17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208</w:t>
            </w:r>
          </w:p>
        </w:tc>
      </w:tr>
      <w:tr w14:paraId="1321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F24BB17">
            <w:pPr>
              <w:keepNext w:val="0"/>
              <w:keepLines w:val="0"/>
              <w:widowControl/>
              <w:suppressLineNumbers w:val="0"/>
              <w:jc w:val="right"/>
              <w:textAlignment w:val="center"/>
              <w:rPr>
                <w:rFonts w:hint="default" w:ascii="宋体" w:hAnsi="宋体" w:cs="宋体"/>
                <w:color w:val="000000"/>
                <w:kern w:val="0"/>
                <w:sz w:val="22"/>
                <w:szCs w:val="22"/>
                <w:lang w:val="en-US" w:bidi="ar"/>
              </w:rPr>
            </w:pPr>
            <w:r>
              <w:rPr>
                <w:rFonts w:hint="eastAsia" w:ascii="宋体" w:hAnsi="宋体" w:cs="宋体"/>
                <w:i w:val="0"/>
                <w:iCs w:val="0"/>
                <w:color w:val="000000"/>
                <w:kern w:val="0"/>
                <w:sz w:val="24"/>
                <w:szCs w:val="24"/>
                <w:u w:val="none"/>
                <w:lang w:val="en-US" w:eastAsia="zh-CN" w:bidi="ar"/>
              </w:rPr>
              <w:t>145</w:t>
            </w:r>
          </w:p>
        </w:tc>
        <w:tc>
          <w:tcPr>
            <w:tcW w:w="1072" w:type="dxa"/>
            <w:shd w:val="clear" w:color="auto" w:fill="auto"/>
            <w:vAlign w:val="center"/>
          </w:tcPr>
          <w:p w14:paraId="3F2A65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电磁振荡演示仪</w:t>
            </w:r>
          </w:p>
        </w:tc>
        <w:tc>
          <w:tcPr>
            <w:tcW w:w="4897" w:type="dxa"/>
            <w:shd w:val="clear" w:color="auto" w:fill="auto"/>
            <w:vAlign w:val="center"/>
          </w:tcPr>
          <w:p w14:paraId="587496B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由具有铁芯的电感线圈、电容器、集成电路等组成，包括等幅振荡演示电路和减幅振荡演示电路，仪器面板上印有原理图</w:t>
            </w:r>
          </w:p>
        </w:tc>
        <w:tc>
          <w:tcPr>
            <w:tcW w:w="462" w:type="dxa"/>
            <w:shd w:val="clear" w:color="auto" w:fill="auto"/>
            <w:vAlign w:val="center"/>
          </w:tcPr>
          <w:p w14:paraId="0BC5E9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42A568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EAEA8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401</w:t>
            </w:r>
          </w:p>
        </w:tc>
        <w:tc>
          <w:tcPr>
            <w:tcW w:w="1489" w:type="dxa"/>
            <w:shd w:val="clear" w:color="auto" w:fill="auto"/>
            <w:vAlign w:val="center"/>
          </w:tcPr>
          <w:p w14:paraId="6D7741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401</w:t>
            </w:r>
          </w:p>
        </w:tc>
      </w:tr>
      <w:tr w14:paraId="5B74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90F8EFC">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146</w:t>
            </w:r>
          </w:p>
        </w:tc>
        <w:tc>
          <w:tcPr>
            <w:tcW w:w="1072" w:type="dxa"/>
            <w:shd w:val="clear" w:color="auto" w:fill="auto"/>
            <w:vAlign w:val="center"/>
          </w:tcPr>
          <w:p w14:paraId="34ED117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赫兹实验演示器</w:t>
            </w:r>
          </w:p>
        </w:tc>
        <w:tc>
          <w:tcPr>
            <w:tcW w:w="4897" w:type="dxa"/>
            <w:shd w:val="clear" w:color="auto" w:fill="auto"/>
            <w:vAlign w:val="center"/>
          </w:tcPr>
          <w:p w14:paraId="05C3093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带电球、发射天线杆、接收天线杆、接收金属杆、感应圈连接金属杆、固定螺丝、氖泡架、底座等组成。接收端天线与发射端天线平行相距400mm,在环境照度为240lx±50lx的室内接通高压电源，接收端氖灯应能看到发光；接收端与发射端相距减小到200mm时氖灯亮度应不低于6cd/m</w:t>
            </w:r>
            <w:r>
              <w:rPr>
                <w:rStyle w:val="42"/>
                <w:rFonts w:hint="default"/>
                <w:lang w:bidi="ar"/>
              </w:rPr>
              <w:t>2</w:t>
            </w:r>
            <w:r>
              <w:rPr>
                <w:rStyle w:val="41"/>
                <w:rFonts w:hint="default"/>
                <w:lang w:bidi="ar"/>
              </w:rPr>
              <w:t>；接收端天线与发射端天线垂直，距离在200mm以内（不接触），接收端窗灯应不亮</w:t>
            </w:r>
          </w:p>
        </w:tc>
        <w:tc>
          <w:tcPr>
            <w:tcW w:w="462" w:type="dxa"/>
            <w:shd w:val="clear" w:color="auto" w:fill="auto"/>
            <w:vAlign w:val="center"/>
          </w:tcPr>
          <w:p w14:paraId="26459C2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5783A8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70EAFD5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380</w:t>
            </w:r>
          </w:p>
        </w:tc>
        <w:tc>
          <w:tcPr>
            <w:tcW w:w="1489" w:type="dxa"/>
            <w:shd w:val="clear" w:color="auto" w:fill="auto"/>
            <w:vAlign w:val="center"/>
          </w:tcPr>
          <w:p w14:paraId="0206D7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380</w:t>
            </w:r>
          </w:p>
        </w:tc>
      </w:tr>
      <w:tr w14:paraId="2FD8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E06D33D">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147</w:t>
            </w:r>
          </w:p>
        </w:tc>
        <w:tc>
          <w:tcPr>
            <w:tcW w:w="1072" w:type="dxa"/>
            <w:shd w:val="clear" w:color="auto" w:fill="auto"/>
            <w:vAlign w:val="center"/>
          </w:tcPr>
          <w:p w14:paraId="06E27C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感应圈</w:t>
            </w:r>
          </w:p>
        </w:tc>
        <w:tc>
          <w:tcPr>
            <w:tcW w:w="4897" w:type="dxa"/>
            <w:shd w:val="clear" w:color="auto" w:fill="auto"/>
            <w:vAlign w:val="center"/>
          </w:tcPr>
          <w:p w14:paraId="39C2292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应带有高压输出插座和高压连接导线，可有放电电极。输出电压调节范围应为9kV</w:t>
            </w:r>
            <w:r>
              <w:rPr>
                <w:rStyle w:val="40"/>
                <w:lang w:bidi="ar"/>
              </w:rPr>
              <w:t>〜</w:t>
            </w:r>
            <w:r>
              <w:rPr>
                <w:rStyle w:val="41"/>
                <w:rFonts w:hint="default"/>
                <w:lang w:bidi="ar"/>
              </w:rPr>
              <w:t>300kV（单边脉冲峰值），正反向（或反正向）电压峰值之比应不小于1.5。输出电流最大应达到4mA（平均值）。不设放电电极，外部没有火花放电时感应圈不应损坏。设放电电极时，放电电极应定位，在可能调节到的最大放电距离时感应圈应不损坏。在最高输出电压，放电间隙5mm时感应圈连续放电15min,温升应不超过15℃。在最高输出电压，放电间隙5mm时感应圈连续放电15min,温升应不超过15°C。感应圈高压绕组与电源输入端的抗电强度应不低于3000V,高压绕组与保护接地线之间的抗电强度应不低于3000V。应设防护罩，面板显著位置应 有“当心触电”的安全警示标志</w:t>
            </w:r>
          </w:p>
        </w:tc>
        <w:tc>
          <w:tcPr>
            <w:tcW w:w="462" w:type="dxa"/>
            <w:shd w:val="clear" w:color="auto" w:fill="auto"/>
            <w:vAlign w:val="center"/>
          </w:tcPr>
          <w:p w14:paraId="68B1AB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030BB6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7355839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439</w:t>
            </w:r>
          </w:p>
        </w:tc>
        <w:tc>
          <w:tcPr>
            <w:tcW w:w="1489" w:type="dxa"/>
            <w:shd w:val="clear" w:color="auto" w:fill="auto"/>
            <w:vAlign w:val="center"/>
          </w:tcPr>
          <w:p w14:paraId="32A645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439</w:t>
            </w:r>
          </w:p>
        </w:tc>
      </w:tr>
      <w:tr w14:paraId="1C88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0527DF9">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148</w:t>
            </w:r>
          </w:p>
        </w:tc>
        <w:tc>
          <w:tcPr>
            <w:tcW w:w="1072" w:type="dxa"/>
            <w:shd w:val="clear" w:color="auto" w:fill="auto"/>
            <w:vAlign w:val="center"/>
          </w:tcPr>
          <w:p w14:paraId="0ABEA8AD">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阴极射线管</w:t>
            </w:r>
          </w:p>
        </w:tc>
        <w:tc>
          <w:tcPr>
            <w:tcW w:w="4897" w:type="dxa"/>
            <w:shd w:val="clear" w:color="auto" w:fill="auto"/>
            <w:vAlign w:val="center"/>
          </w:tcPr>
          <w:p w14:paraId="6C5110B3">
            <w:pPr>
              <w:keepNext w:val="0"/>
              <w:keepLines w:val="0"/>
              <w:widowControl/>
              <w:suppressLineNumbers w:val="0"/>
              <w:jc w:val="left"/>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机械效应管，卧式、立式。滚轮叶片上应涂有不同颜色的荧光粉。工作时亮度应不低于50cd/m</w:t>
            </w:r>
            <w:r>
              <w:rPr>
                <w:rFonts w:hint="eastAsia" w:ascii="宋体" w:hAnsi="宋体" w:eastAsia="宋体" w:cs="宋体"/>
                <w:i w:val="0"/>
                <w:iCs w:val="0"/>
                <w:color w:val="000000"/>
                <w:kern w:val="0"/>
                <w:sz w:val="22"/>
                <w:szCs w:val="22"/>
                <w:u w:val="none"/>
                <w:vertAlign w:val="superscript"/>
                <w:lang w:val="en-US" w:eastAsia="zh-CN" w:bidi="ar"/>
              </w:rPr>
              <w:t>2</w:t>
            </w:r>
          </w:p>
        </w:tc>
        <w:tc>
          <w:tcPr>
            <w:tcW w:w="462" w:type="dxa"/>
            <w:shd w:val="clear" w:color="auto" w:fill="auto"/>
            <w:vAlign w:val="center"/>
          </w:tcPr>
          <w:p w14:paraId="4671854E">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支</w:t>
            </w:r>
          </w:p>
        </w:tc>
        <w:tc>
          <w:tcPr>
            <w:tcW w:w="605" w:type="dxa"/>
            <w:shd w:val="clear" w:color="auto" w:fill="auto"/>
            <w:vAlign w:val="center"/>
          </w:tcPr>
          <w:p w14:paraId="49FA2ECE">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w:t>
            </w:r>
          </w:p>
        </w:tc>
        <w:tc>
          <w:tcPr>
            <w:tcW w:w="1048" w:type="dxa"/>
            <w:shd w:val="clear" w:color="auto" w:fill="auto"/>
            <w:vAlign w:val="center"/>
          </w:tcPr>
          <w:p w14:paraId="747D0DAD">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341</w:t>
            </w:r>
          </w:p>
        </w:tc>
        <w:tc>
          <w:tcPr>
            <w:tcW w:w="1489" w:type="dxa"/>
            <w:shd w:val="clear" w:color="auto" w:fill="auto"/>
            <w:vAlign w:val="center"/>
          </w:tcPr>
          <w:p w14:paraId="2F3C73A1">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341</w:t>
            </w:r>
          </w:p>
        </w:tc>
      </w:tr>
      <w:tr w14:paraId="4C28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16FFF8B">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149</w:t>
            </w:r>
          </w:p>
        </w:tc>
        <w:tc>
          <w:tcPr>
            <w:tcW w:w="1072" w:type="dxa"/>
            <w:shd w:val="clear" w:color="auto" w:fill="auto"/>
            <w:vAlign w:val="center"/>
          </w:tcPr>
          <w:p w14:paraId="71696091">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阴极射线管</w:t>
            </w:r>
          </w:p>
        </w:tc>
        <w:tc>
          <w:tcPr>
            <w:tcW w:w="4897" w:type="dxa"/>
            <w:shd w:val="clear" w:color="auto" w:fill="auto"/>
            <w:vAlign w:val="center"/>
          </w:tcPr>
          <w:p w14:paraId="536420F8">
            <w:pPr>
              <w:keepNext w:val="0"/>
              <w:keepLines w:val="0"/>
              <w:widowControl/>
              <w:suppressLineNumbers w:val="0"/>
              <w:jc w:val="left"/>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静电偏转管，在偏转板上加250V直流电压时，电子束轨迹末端偏转应不小于12mm</w:t>
            </w:r>
          </w:p>
        </w:tc>
        <w:tc>
          <w:tcPr>
            <w:tcW w:w="462" w:type="dxa"/>
            <w:shd w:val="clear" w:color="auto" w:fill="auto"/>
            <w:vAlign w:val="center"/>
          </w:tcPr>
          <w:p w14:paraId="5DE7BA09">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支</w:t>
            </w:r>
          </w:p>
        </w:tc>
        <w:tc>
          <w:tcPr>
            <w:tcW w:w="605" w:type="dxa"/>
            <w:shd w:val="clear" w:color="auto" w:fill="auto"/>
            <w:vAlign w:val="center"/>
          </w:tcPr>
          <w:p w14:paraId="67D2ADA3">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w:t>
            </w:r>
          </w:p>
        </w:tc>
        <w:tc>
          <w:tcPr>
            <w:tcW w:w="1048" w:type="dxa"/>
            <w:shd w:val="clear" w:color="auto" w:fill="auto"/>
            <w:vAlign w:val="center"/>
          </w:tcPr>
          <w:p w14:paraId="0461CE98">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341</w:t>
            </w:r>
          </w:p>
        </w:tc>
        <w:tc>
          <w:tcPr>
            <w:tcW w:w="1489" w:type="dxa"/>
            <w:shd w:val="clear" w:color="auto" w:fill="auto"/>
            <w:vAlign w:val="center"/>
          </w:tcPr>
          <w:p w14:paraId="7393DF93">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341</w:t>
            </w:r>
          </w:p>
        </w:tc>
      </w:tr>
      <w:tr w14:paraId="6C36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F4E66B5">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150</w:t>
            </w:r>
          </w:p>
        </w:tc>
        <w:tc>
          <w:tcPr>
            <w:tcW w:w="1072" w:type="dxa"/>
            <w:shd w:val="clear" w:color="auto" w:fill="auto"/>
            <w:vAlign w:val="center"/>
          </w:tcPr>
          <w:p w14:paraId="6ECCDF3E">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光源</w:t>
            </w:r>
          </w:p>
        </w:tc>
        <w:tc>
          <w:tcPr>
            <w:tcW w:w="4897" w:type="dxa"/>
            <w:shd w:val="clear" w:color="auto" w:fill="auto"/>
            <w:vAlign w:val="center"/>
          </w:tcPr>
          <w:p w14:paraId="0DCB8AA4">
            <w:pPr>
              <w:keepNext w:val="0"/>
              <w:keepLines w:val="0"/>
              <w:widowControl/>
              <w:suppressLineNumbers w:val="0"/>
              <w:jc w:val="left"/>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距光源500mm处照度800lx</w:t>
            </w:r>
            <w:r>
              <w:rPr>
                <w:rFonts w:ascii="微软雅黑" w:hAnsi="微软雅黑" w:eastAsia="微软雅黑" w:cs="微软雅黑"/>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900lx；发光亮度可调</w:t>
            </w:r>
          </w:p>
        </w:tc>
        <w:tc>
          <w:tcPr>
            <w:tcW w:w="462" w:type="dxa"/>
            <w:shd w:val="clear" w:color="auto" w:fill="auto"/>
            <w:vAlign w:val="center"/>
          </w:tcPr>
          <w:p w14:paraId="19ED07BB">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台</w:t>
            </w:r>
          </w:p>
        </w:tc>
        <w:tc>
          <w:tcPr>
            <w:tcW w:w="605" w:type="dxa"/>
            <w:shd w:val="clear" w:color="auto" w:fill="auto"/>
            <w:vAlign w:val="center"/>
          </w:tcPr>
          <w:p w14:paraId="12039800">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w:t>
            </w:r>
          </w:p>
        </w:tc>
        <w:tc>
          <w:tcPr>
            <w:tcW w:w="1048" w:type="dxa"/>
            <w:shd w:val="clear" w:color="auto" w:fill="auto"/>
            <w:vAlign w:val="center"/>
          </w:tcPr>
          <w:p w14:paraId="06EF39A9">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24</w:t>
            </w:r>
          </w:p>
        </w:tc>
        <w:tc>
          <w:tcPr>
            <w:tcW w:w="1489" w:type="dxa"/>
            <w:shd w:val="clear" w:color="auto" w:fill="auto"/>
            <w:vAlign w:val="center"/>
          </w:tcPr>
          <w:p w14:paraId="54F456FC">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24</w:t>
            </w:r>
          </w:p>
        </w:tc>
      </w:tr>
      <w:tr w14:paraId="435B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2A23B2F">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51</w:t>
            </w:r>
          </w:p>
        </w:tc>
        <w:tc>
          <w:tcPr>
            <w:tcW w:w="1072" w:type="dxa"/>
            <w:shd w:val="clear" w:color="auto" w:fill="auto"/>
            <w:vAlign w:val="center"/>
          </w:tcPr>
          <w:p w14:paraId="4BA729BE">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仪器柜</w:t>
            </w:r>
          </w:p>
        </w:tc>
        <w:tc>
          <w:tcPr>
            <w:tcW w:w="4897" w:type="dxa"/>
            <w:shd w:val="clear" w:color="auto" w:fill="auto"/>
            <w:vAlign w:val="center"/>
          </w:tcPr>
          <w:p w14:paraId="043AD31C">
            <w:pPr>
              <w:keepNext w:val="0"/>
              <w:keepLines w:val="0"/>
              <w:widowControl/>
              <w:suppressLineNumbers w:val="0"/>
              <w:jc w:val="left"/>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1．规格：≥1000*500*1850mm；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2．用料：不小于0.8mm厚优质钢板，经酸洗磷化处理，采用聚酯粉末涂料静电喷涂，内侧涂层厚度不低于0.1mm，颜色灰白，表面涂层不脱落。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3．结构：共分六层(可调)；上下搁板各为三层；对开玻璃门，玻璃厚度≥3mm。</w:t>
            </w:r>
          </w:p>
        </w:tc>
        <w:tc>
          <w:tcPr>
            <w:tcW w:w="462" w:type="dxa"/>
            <w:shd w:val="clear" w:color="auto" w:fill="auto"/>
            <w:vAlign w:val="center"/>
          </w:tcPr>
          <w:p w14:paraId="30C0F5FB">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个</w:t>
            </w:r>
          </w:p>
        </w:tc>
        <w:tc>
          <w:tcPr>
            <w:tcW w:w="605" w:type="dxa"/>
            <w:shd w:val="clear" w:color="auto" w:fill="auto"/>
            <w:vAlign w:val="center"/>
          </w:tcPr>
          <w:p w14:paraId="1AC45F6D">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10</w:t>
            </w:r>
          </w:p>
        </w:tc>
        <w:tc>
          <w:tcPr>
            <w:tcW w:w="1048" w:type="dxa"/>
            <w:shd w:val="clear" w:color="auto" w:fill="auto"/>
            <w:vAlign w:val="center"/>
          </w:tcPr>
          <w:p w14:paraId="4964DCBC">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1000</w:t>
            </w:r>
          </w:p>
        </w:tc>
        <w:tc>
          <w:tcPr>
            <w:tcW w:w="1489" w:type="dxa"/>
            <w:shd w:val="clear" w:color="auto" w:fill="auto"/>
            <w:vAlign w:val="center"/>
          </w:tcPr>
          <w:p w14:paraId="5C9DA039">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10000</w:t>
            </w:r>
          </w:p>
        </w:tc>
      </w:tr>
      <w:tr w14:paraId="5EA5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622" w:type="dxa"/>
            <w:gridSpan w:val="3"/>
            <w:shd w:val="clear" w:color="auto" w:fill="auto"/>
            <w:vAlign w:val="center"/>
          </w:tcPr>
          <w:p w14:paraId="12860B9D">
            <w:pPr>
              <w:widowControl/>
              <w:jc w:val="left"/>
              <w:textAlignment w:val="center"/>
              <w:rPr>
                <w:rFonts w:ascii="宋体" w:hAnsi="宋体" w:cs="宋体"/>
                <w:kern w:val="0"/>
                <w:sz w:val="22"/>
              </w:rPr>
            </w:pPr>
            <w:r>
              <w:rPr>
                <w:rFonts w:hint="eastAsia" w:ascii="宋体" w:hAnsi="宋体" w:cs="宋体"/>
                <w:b/>
                <w:bCs/>
                <w:kern w:val="0"/>
                <w:sz w:val="22"/>
              </w:rPr>
              <w:t>二、物理普通实验室（学科器材）(2间)，以下为单间配置。</w:t>
            </w:r>
          </w:p>
        </w:tc>
        <w:tc>
          <w:tcPr>
            <w:tcW w:w="462" w:type="dxa"/>
            <w:shd w:val="clear" w:color="auto" w:fill="auto"/>
            <w:vAlign w:val="center"/>
          </w:tcPr>
          <w:p w14:paraId="3B784E0B">
            <w:pPr>
              <w:widowControl/>
              <w:jc w:val="center"/>
              <w:textAlignment w:val="center"/>
              <w:rPr>
                <w:rFonts w:ascii="宋体" w:hAnsi="宋体" w:cs="宋体"/>
                <w:kern w:val="0"/>
                <w:sz w:val="22"/>
              </w:rPr>
            </w:pPr>
          </w:p>
        </w:tc>
        <w:tc>
          <w:tcPr>
            <w:tcW w:w="605" w:type="dxa"/>
            <w:shd w:val="clear" w:color="auto" w:fill="auto"/>
            <w:vAlign w:val="center"/>
          </w:tcPr>
          <w:p w14:paraId="1156C4D4">
            <w:pPr>
              <w:widowControl/>
              <w:jc w:val="center"/>
              <w:textAlignment w:val="center"/>
              <w:rPr>
                <w:rFonts w:ascii="宋体" w:hAnsi="宋体" w:cs="宋体"/>
                <w:kern w:val="0"/>
                <w:sz w:val="22"/>
              </w:rPr>
            </w:pPr>
          </w:p>
        </w:tc>
        <w:tc>
          <w:tcPr>
            <w:tcW w:w="1048" w:type="dxa"/>
            <w:shd w:val="clear" w:color="auto" w:fill="auto"/>
            <w:vAlign w:val="center"/>
          </w:tcPr>
          <w:p w14:paraId="48C9C1C5">
            <w:pPr>
              <w:widowControl/>
              <w:jc w:val="center"/>
              <w:textAlignment w:val="center"/>
              <w:rPr>
                <w:rFonts w:ascii="宋体" w:hAnsi="宋体" w:cs="宋体"/>
                <w:kern w:val="0"/>
                <w:sz w:val="22"/>
              </w:rPr>
            </w:pPr>
          </w:p>
        </w:tc>
        <w:tc>
          <w:tcPr>
            <w:tcW w:w="1489" w:type="dxa"/>
            <w:shd w:val="clear" w:color="auto" w:fill="auto"/>
            <w:vAlign w:val="center"/>
          </w:tcPr>
          <w:p w14:paraId="7F1B8AB7">
            <w:pPr>
              <w:widowControl/>
              <w:jc w:val="center"/>
              <w:textAlignment w:val="center"/>
              <w:rPr>
                <w:rFonts w:ascii="宋体" w:hAnsi="宋体" w:cs="宋体"/>
                <w:kern w:val="0"/>
                <w:sz w:val="22"/>
              </w:rPr>
            </w:pPr>
          </w:p>
        </w:tc>
      </w:tr>
      <w:tr w14:paraId="6AED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D6303B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w:t>
            </w:r>
          </w:p>
        </w:tc>
        <w:tc>
          <w:tcPr>
            <w:tcW w:w="1072" w:type="dxa"/>
            <w:shd w:val="clear" w:color="auto" w:fill="auto"/>
            <w:vAlign w:val="center"/>
          </w:tcPr>
          <w:p w14:paraId="2A92A0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计算机</w:t>
            </w:r>
          </w:p>
        </w:tc>
        <w:tc>
          <w:tcPr>
            <w:tcW w:w="4897" w:type="dxa"/>
            <w:shd w:val="clear" w:color="auto" w:fill="auto"/>
            <w:vAlign w:val="center"/>
          </w:tcPr>
          <w:p w14:paraId="5619D0F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台式机。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一、硬件配置（不得低于以下配置参数，可高于）：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▲1.CPU:第12代英特尔酷睿6核I5-12500同类或以上处理器，最高睿频：4.2GHz，12M三级缓存；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▲2.主板：英特尔600系列芯片组同类或以上主板，带BIOS自动控制的可变速CPU风扇，配备智能散热系统包括由BIOS管理的智能风扇通过对机箱内部的温度感应来调节风扇速度，有效的降低噪音的同时高效散热功能；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3.扩展插槽： 1个PCIe x1，1个PCIe x16，1个PCI；</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▲4.内存：16G DDR4 2933，2个DIMM插槽，最高支持128G内存,支持双通道内存；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5.端口和接口：前置1个麦克风/耳机组合插孔，5个USB 3.1 Gen 1；后置1个HDMI， 1个音频输入，1个音频输出，1个麦克风输入，1个RJ-45，1个VGA，2个USB 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▲6.硬盘：本次配置原厂1TB SSD M.2 PL固态硬盘，支持混合双硬盘；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▲7.显卡：Intel UHD Graphics 750高性能同类或以上集成显卡， HDMI+VGA支持双屏屏幕1080P分辨率输出；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8.网络接口：集成千兆网卡10/100/1000M以太网卡；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9.电源：采用要求电源额定300W高效白金级高效率热插拔电源模块，支持睿能技术，噪音优化；兼容市场主流电源.完美适配；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10.键盘/鼠标：原厂同品牌标准键盘和鼠标；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▲11.机箱：前置电源开关, 内置2W扬声器/0.6mm厚精钢防辐射机箱，不大于17L机箱（宽度小于等于18CM）；适配电脑桌尺寸；显示器23.8”英寸宽屏LED IPS背光液晶显示器，最高分辨率≥1920*1080；通过蓝光危害试验，最大可降低70%蓝光危害辐照度值。</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▲二、软件要求：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1.操作系统：出厂预装Windows10正版操作系统。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原厂网络同传管理功能：支持同一硬盘上支持同时安装24个操作系统；在同一硬盘上同时支持40个分区（包括启动分区和数据分区）；支持可由任意一台主机发起网络拷贝、增量拷贝和临时部署；网络传输速度标值：千兆网卡：1GB-7GB/Min；支持断点续传功能：支持多种情况的断点续传功能；支持网络故障定位：支持网络故障定位，便于排查；支持在局域网内分组管理；支持硬盘容量差异网络拷贝；支持6秒内的物理掉线(断路)可自动恢复；支持网络传输数据加密；网络克隆维护：在局域网络内一次可传输250台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三、配置正版管理终端系统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 系统支持全中文界面，B/S架构，管理员只需通过浏览器登录控制中心，即可对系统进p行管理；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 客户端支持WindowsXP、Windows 7、Windows 8、Windows 10、Windows2003、Windows2008、Windows2012等32位/64位微软操作系统，同时应支持Centos、Redhat、Ubuntu等Linux操作系统以及中标麒麟、银河麒麟等国产操作系统；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▲3.客户端安装后占用小于30MB存储资源，病毒库小于3MB，日常内存占用小于10MB，有效节省PC或Server资源；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4.支持本地上传客户端升级包或https/ftp远端同步方式更新客户端，可根据不同网络环境提供在线获取和隔离网获取相应工具；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▲5.支持单个或多个客户端不同管理中心的平滑迁移，迁移过程自动完成，无需手动添加客户端；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6.控制中心支持全网、分组、标签等方式指定某些客户端定制特殊策略，特殊策略包括文件实时监控、恶意行为监控、下载保护、系统加固、软件安装拦截、浏览器保护、黑客入侵拦截、恶意网站拦截等；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7.支持网络准入功能，支持标准802.1x协议，通过与支持该协议的交换机联动，实现有线局域网网络准入；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▲8.支持敏感数据防泄漏，支持敏感信息检查，针对终端存储的word、pdf、Excel、文本文件等进行全盘关键字检查，对含有制定关键字的文档进行禁止发送、禁止打印、禁止拷贝等管控；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▲9.要求对流行病毒的检测能力必须超过98%的检出率，超过98%的清除率，小于0.1%的误报率；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 支持对webshell后门进行扫描检测 , webshell后门库数量大于90000条；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▲11.支持非法外联监控，实时检测内部网络用户通过调制解调器、ADSL、双网卡等任意连接设备非法外联互联网行为，支持报警、断开网络、自动重启等管控措施；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12.支持终端防火墙功能，支持包括但不限于通过协议（TCP、UDP、ICMP、IGMP、GGP、PUP、IDP、ND、ESP、AH、RDP、GRE、SKIP、RAW），端口号，IP地址、进出口方向等控制规则对终端进行防护，从网络层保护终端安全；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 须有正版序列号，支持电话查询真伪；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 投标时提供所竞标产品的节能产品认证证书扫描件（加盖供应商公章）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四、服务及保修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原厂五年有限保修（鼠标键盘1年），365天全年无休。具备微信、QQ等即时通讯群组服务能力，提供自助查询、驱动自动下载、在线技术支持、维修单进度查询等自助售后功能，中标后须提供产品生产厂家官网截图证明（包含官网链接、服务平台微信二维码、功能模块简单介绍、微信服务平台关注流程指引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2.所投产品为商用节能认证产品、环境标志产品产品。供货时提供3年7x24售后支持服务证明，提供原厂基础安装服务。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3.供货时提供防雷击检测报告及证书扫描件证明。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4.为了证明产品可靠性，供货时提供国家认可的第三方检测机构出具的认证产品相关证书。</w:t>
            </w:r>
          </w:p>
        </w:tc>
        <w:tc>
          <w:tcPr>
            <w:tcW w:w="462" w:type="dxa"/>
            <w:shd w:val="clear" w:color="auto" w:fill="auto"/>
            <w:noWrap/>
            <w:vAlign w:val="center"/>
          </w:tcPr>
          <w:p w14:paraId="3772BC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47BAE34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7ADC1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c>
          <w:tcPr>
            <w:tcW w:w="1489" w:type="dxa"/>
            <w:shd w:val="clear" w:color="auto" w:fill="auto"/>
            <w:noWrap/>
            <w:vAlign w:val="center"/>
          </w:tcPr>
          <w:p w14:paraId="0FD7F5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r>
      <w:tr w14:paraId="3538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36C577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w:t>
            </w:r>
          </w:p>
        </w:tc>
        <w:tc>
          <w:tcPr>
            <w:tcW w:w="1072" w:type="dxa"/>
            <w:shd w:val="clear" w:color="auto" w:fill="auto"/>
            <w:vAlign w:val="center"/>
          </w:tcPr>
          <w:p w14:paraId="0E643E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工作服</w:t>
            </w:r>
          </w:p>
        </w:tc>
        <w:tc>
          <w:tcPr>
            <w:tcW w:w="4897" w:type="dxa"/>
            <w:shd w:val="clear" w:color="auto" w:fill="auto"/>
            <w:vAlign w:val="center"/>
          </w:tcPr>
          <w:p w14:paraId="36BFBA2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棉，纯白色，由布料制成，防酸碱。长度不小于90cm</w:t>
            </w:r>
          </w:p>
        </w:tc>
        <w:tc>
          <w:tcPr>
            <w:tcW w:w="462" w:type="dxa"/>
            <w:shd w:val="clear" w:color="auto" w:fill="auto"/>
            <w:noWrap/>
            <w:vAlign w:val="center"/>
          </w:tcPr>
          <w:p w14:paraId="74544B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noWrap/>
            <w:vAlign w:val="center"/>
          </w:tcPr>
          <w:p w14:paraId="60EE7E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388076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w:t>
            </w:r>
          </w:p>
        </w:tc>
        <w:tc>
          <w:tcPr>
            <w:tcW w:w="1489" w:type="dxa"/>
            <w:shd w:val="clear" w:color="auto" w:fill="auto"/>
            <w:noWrap/>
            <w:vAlign w:val="center"/>
          </w:tcPr>
          <w:p w14:paraId="33573F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3300</w:t>
            </w:r>
          </w:p>
        </w:tc>
      </w:tr>
      <w:tr w14:paraId="04E9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530692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w:t>
            </w:r>
          </w:p>
        </w:tc>
        <w:tc>
          <w:tcPr>
            <w:tcW w:w="1072" w:type="dxa"/>
            <w:shd w:val="clear" w:color="auto" w:fill="auto"/>
            <w:vAlign w:val="center"/>
          </w:tcPr>
          <w:p w14:paraId="6D3DFB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机械危害防护手套</w:t>
            </w:r>
          </w:p>
        </w:tc>
        <w:tc>
          <w:tcPr>
            <w:tcW w:w="4897" w:type="dxa"/>
            <w:shd w:val="clear" w:color="auto" w:fill="auto"/>
            <w:vAlign w:val="center"/>
          </w:tcPr>
          <w:p w14:paraId="7DEAB41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3级</w:t>
            </w:r>
          </w:p>
        </w:tc>
        <w:tc>
          <w:tcPr>
            <w:tcW w:w="462" w:type="dxa"/>
            <w:shd w:val="clear" w:color="auto" w:fill="auto"/>
            <w:noWrap/>
            <w:vAlign w:val="center"/>
          </w:tcPr>
          <w:p w14:paraId="300AB7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双</w:t>
            </w:r>
          </w:p>
        </w:tc>
        <w:tc>
          <w:tcPr>
            <w:tcW w:w="605" w:type="dxa"/>
            <w:shd w:val="clear" w:color="auto" w:fill="auto"/>
            <w:noWrap/>
            <w:vAlign w:val="center"/>
          </w:tcPr>
          <w:p w14:paraId="26376C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375410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2F0C46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r>
      <w:tr w14:paraId="3CEF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B94FCE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w:t>
            </w:r>
          </w:p>
        </w:tc>
        <w:tc>
          <w:tcPr>
            <w:tcW w:w="1072" w:type="dxa"/>
            <w:shd w:val="clear" w:color="auto" w:fill="auto"/>
            <w:vAlign w:val="center"/>
          </w:tcPr>
          <w:p w14:paraId="3DB71F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绝缘手套</w:t>
            </w:r>
          </w:p>
        </w:tc>
        <w:tc>
          <w:tcPr>
            <w:tcW w:w="4897" w:type="dxa"/>
            <w:shd w:val="clear" w:color="000000" w:fill="FFFFFF"/>
            <w:vAlign w:val="center"/>
          </w:tcPr>
          <w:p w14:paraId="354DEAA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全手掌绝缘</w:t>
            </w:r>
          </w:p>
        </w:tc>
        <w:tc>
          <w:tcPr>
            <w:tcW w:w="462" w:type="dxa"/>
            <w:shd w:val="clear" w:color="auto" w:fill="auto"/>
            <w:noWrap/>
            <w:vAlign w:val="center"/>
          </w:tcPr>
          <w:p w14:paraId="092FD7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双</w:t>
            </w:r>
          </w:p>
        </w:tc>
        <w:tc>
          <w:tcPr>
            <w:tcW w:w="605" w:type="dxa"/>
            <w:shd w:val="clear" w:color="auto" w:fill="auto"/>
            <w:noWrap/>
            <w:vAlign w:val="center"/>
          </w:tcPr>
          <w:p w14:paraId="0B5F5A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41CE9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4434E9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780</w:t>
            </w:r>
          </w:p>
        </w:tc>
      </w:tr>
      <w:tr w14:paraId="236F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B12A87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w:t>
            </w:r>
          </w:p>
        </w:tc>
        <w:tc>
          <w:tcPr>
            <w:tcW w:w="1072" w:type="dxa"/>
            <w:shd w:val="clear" w:color="auto" w:fill="auto"/>
            <w:vAlign w:val="center"/>
          </w:tcPr>
          <w:p w14:paraId="25D66F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套袖</w:t>
            </w:r>
          </w:p>
        </w:tc>
        <w:tc>
          <w:tcPr>
            <w:tcW w:w="4897" w:type="dxa"/>
            <w:shd w:val="clear" w:color="auto" w:fill="auto"/>
            <w:vAlign w:val="center"/>
          </w:tcPr>
          <w:p w14:paraId="2E84E0A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棉</w:t>
            </w:r>
          </w:p>
        </w:tc>
        <w:tc>
          <w:tcPr>
            <w:tcW w:w="462" w:type="dxa"/>
            <w:shd w:val="clear" w:color="auto" w:fill="auto"/>
            <w:noWrap/>
            <w:vAlign w:val="center"/>
          </w:tcPr>
          <w:p w14:paraId="3AAC5C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16D82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12F18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c>
          <w:tcPr>
            <w:tcW w:w="1489" w:type="dxa"/>
            <w:shd w:val="clear" w:color="auto" w:fill="auto"/>
            <w:noWrap/>
            <w:vAlign w:val="center"/>
          </w:tcPr>
          <w:p w14:paraId="66C15F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1140</w:t>
            </w:r>
          </w:p>
        </w:tc>
      </w:tr>
      <w:tr w14:paraId="3C9E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07F41B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w:t>
            </w:r>
          </w:p>
        </w:tc>
        <w:tc>
          <w:tcPr>
            <w:tcW w:w="1072" w:type="dxa"/>
            <w:shd w:val="clear" w:color="auto" w:fill="auto"/>
            <w:vAlign w:val="center"/>
          </w:tcPr>
          <w:p w14:paraId="2D0848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激光防护镜</w:t>
            </w:r>
          </w:p>
        </w:tc>
        <w:tc>
          <w:tcPr>
            <w:tcW w:w="4897" w:type="dxa"/>
            <w:shd w:val="clear" w:color="auto" w:fill="auto"/>
            <w:vAlign w:val="center"/>
          </w:tcPr>
          <w:p w14:paraId="31C19E6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激光类实验用，需与激光波长匹配</w:t>
            </w:r>
          </w:p>
        </w:tc>
        <w:tc>
          <w:tcPr>
            <w:tcW w:w="462" w:type="dxa"/>
            <w:shd w:val="clear" w:color="auto" w:fill="auto"/>
            <w:noWrap/>
            <w:vAlign w:val="center"/>
          </w:tcPr>
          <w:p w14:paraId="6BE7904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D97D4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34B53C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73</w:t>
            </w:r>
          </w:p>
        </w:tc>
        <w:tc>
          <w:tcPr>
            <w:tcW w:w="1489" w:type="dxa"/>
            <w:shd w:val="clear" w:color="auto" w:fill="auto"/>
            <w:noWrap/>
            <w:vAlign w:val="center"/>
          </w:tcPr>
          <w:p w14:paraId="27D8A0D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4380</w:t>
            </w:r>
          </w:p>
        </w:tc>
      </w:tr>
      <w:tr w14:paraId="589D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E8CEB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w:t>
            </w:r>
          </w:p>
        </w:tc>
        <w:tc>
          <w:tcPr>
            <w:tcW w:w="1072" w:type="dxa"/>
            <w:shd w:val="clear" w:color="auto" w:fill="auto"/>
            <w:vAlign w:val="center"/>
          </w:tcPr>
          <w:p w14:paraId="564EA1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护目镜</w:t>
            </w:r>
          </w:p>
        </w:tc>
        <w:tc>
          <w:tcPr>
            <w:tcW w:w="4897" w:type="dxa"/>
            <w:shd w:val="clear" w:color="auto" w:fill="auto"/>
            <w:vAlign w:val="center"/>
          </w:tcPr>
          <w:p w14:paraId="218E5BD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防机械冲击，防强光，上部衰减10倍～20倍，下部透射比≥75％</w:t>
            </w:r>
          </w:p>
        </w:tc>
        <w:tc>
          <w:tcPr>
            <w:tcW w:w="462" w:type="dxa"/>
            <w:shd w:val="clear" w:color="auto" w:fill="auto"/>
            <w:noWrap/>
            <w:vAlign w:val="center"/>
          </w:tcPr>
          <w:p w14:paraId="6D6522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BF46C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4AEA07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0F3E00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3389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7384AC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w:t>
            </w:r>
          </w:p>
        </w:tc>
        <w:tc>
          <w:tcPr>
            <w:tcW w:w="1072" w:type="dxa"/>
            <w:shd w:val="clear" w:color="auto" w:fill="auto"/>
            <w:vAlign w:val="center"/>
          </w:tcPr>
          <w:p w14:paraId="059A82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灭火毯</w:t>
            </w:r>
          </w:p>
        </w:tc>
        <w:tc>
          <w:tcPr>
            <w:tcW w:w="4897" w:type="dxa"/>
            <w:shd w:val="clear" w:color="auto" w:fill="auto"/>
            <w:vAlign w:val="center"/>
          </w:tcPr>
          <w:p w14:paraId="1394D9E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玻璃纤维材质，1200mm×1800mm</w:t>
            </w:r>
          </w:p>
        </w:tc>
        <w:tc>
          <w:tcPr>
            <w:tcW w:w="462" w:type="dxa"/>
            <w:shd w:val="clear" w:color="auto" w:fill="auto"/>
            <w:noWrap/>
            <w:vAlign w:val="center"/>
          </w:tcPr>
          <w:p w14:paraId="50785A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条</w:t>
            </w:r>
          </w:p>
        </w:tc>
        <w:tc>
          <w:tcPr>
            <w:tcW w:w="605" w:type="dxa"/>
            <w:shd w:val="clear" w:color="auto" w:fill="auto"/>
            <w:noWrap/>
            <w:vAlign w:val="center"/>
          </w:tcPr>
          <w:p w14:paraId="343C28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2DAFAD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98</w:t>
            </w:r>
          </w:p>
        </w:tc>
        <w:tc>
          <w:tcPr>
            <w:tcW w:w="1489" w:type="dxa"/>
            <w:shd w:val="clear" w:color="auto" w:fill="auto"/>
            <w:noWrap/>
            <w:vAlign w:val="center"/>
          </w:tcPr>
          <w:p w14:paraId="25D691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98</w:t>
            </w:r>
          </w:p>
        </w:tc>
      </w:tr>
      <w:tr w14:paraId="02D1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D42303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w:t>
            </w:r>
          </w:p>
        </w:tc>
        <w:tc>
          <w:tcPr>
            <w:tcW w:w="1072" w:type="dxa"/>
            <w:shd w:val="clear" w:color="auto" w:fill="auto"/>
            <w:vAlign w:val="center"/>
          </w:tcPr>
          <w:p w14:paraId="2F403C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仪器车</w:t>
            </w:r>
          </w:p>
        </w:tc>
        <w:tc>
          <w:tcPr>
            <w:tcW w:w="4897" w:type="dxa"/>
            <w:shd w:val="clear" w:color="auto" w:fill="auto"/>
            <w:vAlign w:val="center"/>
          </w:tcPr>
          <w:p w14:paraId="4E52F77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600mm×400mm×1000mm,橡胶包车轮,车轮Ø75mm,厚25mm；2轮带刹车，车轮固定，车架扭动量（上部）≤20mm；钢材制作，载重≥60kg</w:t>
            </w:r>
          </w:p>
        </w:tc>
        <w:tc>
          <w:tcPr>
            <w:tcW w:w="462" w:type="dxa"/>
            <w:shd w:val="clear" w:color="auto" w:fill="auto"/>
            <w:noWrap/>
            <w:vAlign w:val="center"/>
          </w:tcPr>
          <w:p w14:paraId="5FEBDF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辆</w:t>
            </w:r>
          </w:p>
        </w:tc>
        <w:tc>
          <w:tcPr>
            <w:tcW w:w="605" w:type="dxa"/>
            <w:shd w:val="clear" w:color="auto" w:fill="auto"/>
            <w:noWrap/>
            <w:vAlign w:val="center"/>
          </w:tcPr>
          <w:p w14:paraId="76D9D6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DF7D3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576</w:t>
            </w:r>
          </w:p>
        </w:tc>
        <w:tc>
          <w:tcPr>
            <w:tcW w:w="1489" w:type="dxa"/>
            <w:shd w:val="clear" w:color="auto" w:fill="auto"/>
            <w:noWrap/>
            <w:vAlign w:val="center"/>
          </w:tcPr>
          <w:p w14:paraId="478635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576</w:t>
            </w:r>
          </w:p>
        </w:tc>
      </w:tr>
      <w:tr w14:paraId="1C6E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2E9640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w:t>
            </w:r>
          </w:p>
        </w:tc>
        <w:tc>
          <w:tcPr>
            <w:tcW w:w="1072" w:type="dxa"/>
            <w:shd w:val="clear" w:color="auto" w:fill="auto"/>
            <w:vAlign w:val="center"/>
          </w:tcPr>
          <w:p w14:paraId="3EAE45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小托盘</w:t>
            </w:r>
          </w:p>
        </w:tc>
        <w:tc>
          <w:tcPr>
            <w:tcW w:w="4897" w:type="dxa"/>
            <w:shd w:val="clear" w:color="auto" w:fill="auto"/>
            <w:vAlign w:val="center"/>
          </w:tcPr>
          <w:p w14:paraId="3EBC304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250mmX350mmX60mm</w:t>
            </w:r>
          </w:p>
        </w:tc>
        <w:tc>
          <w:tcPr>
            <w:tcW w:w="462" w:type="dxa"/>
            <w:shd w:val="clear" w:color="auto" w:fill="auto"/>
            <w:noWrap/>
            <w:vAlign w:val="center"/>
          </w:tcPr>
          <w:p w14:paraId="549484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0BAA6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738B77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488474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154</w:t>
            </w:r>
          </w:p>
        </w:tc>
      </w:tr>
      <w:tr w14:paraId="39DB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16F4C8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w:t>
            </w:r>
          </w:p>
        </w:tc>
        <w:tc>
          <w:tcPr>
            <w:tcW w:w="1072" w:type="dxa"/>
            <w:shd w:val="clear" w:color="auto" w:fill="auto"/>
            <w:vAlign w:val="center"/>
          </w:tcPr>
          <w:p w14:paraId="35D758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大托盘</w:t>
            </w:r>
          </w:p>
        </w:tc>
        <w:tc>
          <w:tcPr>
            <w:tcW w:w="4897" w:type="dxa"/>
            <w:shd w:val="clear" w:color="auto" w:fill="auto"/>
            <w:vAlign w:val="center"/>
          </w:tcPr>
          <w:p w14:paraId="217AF79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350mmX470mmX80mm</w:t>
            </w:r>
          </w:p>
        </w:tc>
        <w:tc>
          <w:tcPr>
            <w:tcW w:w="462" w:type="dxa"/>
            <w:shd w:val="clear" w:color="auto" w:fill="auto"/>
            <w:noWrap/>
            <w:vAlign w:val="center"/>
          </w:tcPr>
          <w:p w14:paraId="0579AC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7E271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353AFA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c>
          <w:tcPr>
            <w:tcW w:w="1489" w:type="dxa"/>
            <w:shd w:val="clear" w:color="auto" w:fill="auto"/>
            <w:noWrap/>
            <w:vAlign w:val="center"/>
          </w:tcPr>
          <w:p w14:paraId="3295DA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176</w:t>
            </w:r>
          </w:p>
        </w:tc>
      </w:tr>
      <w:tr w14:paraId="2B07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D546A3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w:t>
            </w:r>
          </w:p>
        </w:tc>
        <w:tc>
          <w:tcPr>
            <w:tcW w:w="1072" w:type="dxa"/>
            <w:shd w:val="clear" w:color="auto" w:fill="auto"/>
            <w:vAlign w:val="center"/>
          </w:tcPr>
          <w:p w14:paraId="6A7BDB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提盒</w:t>
            </w:r>
          </w:p>
        </w:tc>
        <w:tc>
          <w:tcPr>
            <w:tcW w:w="4897" w:type="dxa"/>
            <w:shd w:val="clear" w:color="auto" w:fill="auto"/>
            <w:vAlign w:val="center"/>
          </w:tcPr>
          <w:p w14:paraId="2CB02CE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承重大于3000g</w:t>
            </w:r>
          </w:p>
        </w:tc>
        <w:tc>
          <w:tcPr>
            <w:tcW w:w="462" w:type="dxa"/>
            <w:shd w:val="clear" w:color="auto" w:fill="auto"/>
            <w:noWrap/>
            <w:vAlign w:val="center"/>
          </w:tcPr>
          <w:p w14:paraId="7DB730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7C59F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738664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68</w:t>
            </w:r>
          </w:p>
        </w:tc>
        <w:tc>
          <w:tcPr>
            <w:tcW w:w="1489" w:type="dxa"/>
            <w:shd w:val="clear" w:color="auto" w:fill="auto"/>
            <w:noWrap/>
            <w:vAlign w:val="center"/>
          </w:tcPr>
          <w:p w14:paraId="05D3D7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748</w:t>
            </w:r>
          </w:p>
        </w:tc>
      </w:tr>
      <w:tr w14:paraId="273F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66F49F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w:t>
            </w:r>
          </w:p>
        </w:tc>
        <w:tc>
          <w:tcPr>
            <w:tcW w:w="1072" w:type="dxa"/>
            <w:shd w:val="clear" w:color="auto" w:fill="auto"/>
            <w:vAlign w:val="center"/>
          </w:tcPr>
          <w:p w14:paraId="0675D4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一字螺 丝刀</w:t>
            </w:r>
          </w:p>
        </w:tc>
        <w:tc>
          <w:tcPr>
            <w:tcW w:w="4897" w:type="dxa"/>
            <w:shd w:val="clear" w:color="auto" w:fill="auto"/>
            <w:vAlign w:val="center"/>
          </w:tcPr>
          <w:p w14:paraId="715348E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Ø6mm,长150 mm；Ø3mm,长75 mm；工作部带磁性，硬度不低于HRC48；旋杆采用铬钒钢，长度不小于100mm,应经镀铬防锈处理，手柄采用高强度PP+高强性TPR注塑成型</w:t>
            </w:r>
          </w:p>
        </w:tc>
        <w:tc>
          <w:tcPr>
            <w:tcW w:w="462" w:type="dxa"/>
            <w:shd w:val="clear" w:color="auto" w:fill="auto"/>
            <w:noWrap/>
            <w:vAlign w:val="center"/>
          </w:tcPr>
          <w:p w14:paraId="2320F9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43228B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F4F1A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38B588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w:t>
            </w:r>
          </w:p>
        </w:tc>
      </w:tr>
      <w:tr w14:paraId="4FFA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751D65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w:t>
            </w:r>
          </w:p>
        </w:tc>
        <w:tc>
          <w:tcPr>
            <w:tcW w:w="1072" w:type="dxa"/>
            <w:shd w:val="clear" w:color="auto" w:fill="auto"/>
            <w:vAlign w:val="center"/>
          </w:tcPr>
          <w:p w14:paraId="59983F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十字螺 丝刀</w:t>
            </w:r>
          </w:p>
        </w:tc>
        <w:tc>
          <w:tcPr>
            <w:tcW w:w="4897" w:type="dxa"/>
            <w:shd w:val="clear" w:color="auto" w:fill="auto"/>
            <w:vAlign w:val="center"/>
          </w:tcPr>
          <w:p w14:paraId="40B82DE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Ø6mm,长150 mm；Ø3mm,长75 mm；工作部带磁性，硬度不低于HRC48；旋杆采用铬钒钢，长度不小于100mm,应经镀铬防锈处理，手柄采用高强度PP+高强性TPR注塑成型</w:t>
            </w:r>
          </w:p>
        </w:tc>
        <w:tc>
          <w:tcPr>
            <w:tcW w:w="462" w:type="dxa"/>
            <w:shd w:val="clear" w:color="auto" w:fill="auto"/>
            <w:noWrap/>
            <w:vAlign w:val="center"/>
          </w:tcPr>
          <w:p w14:paraId="74C55E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52D818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47345F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3F3ADB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w:t>
            </w:r>
          </w:p>
        </w:tc>
      </w:tr>
      <w:tr w14:paraId="3866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2E01E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w:t>
            </w:r>
          </w:p>
        </w:tc>
        <w:tc>
          <w:tcPr>
            <w:tcW w:w="1072" w:type="dxa"/>
            <w:shd w:val="clear" w:color="auto" w:fill="auto"/>
            <w:vAlign w:val="center"/>
          </w:tcPr>
          <w:p w14:paraId="100CB7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剥线钳</w:t>
            </w:r>
          </w:p>
        </w:tc>
        <w:tc>
          <w:tcPr>
            <w:tcW w:w="4897" w:type="dxa"/>
            <w:shd w:val="clear" w:color="auto" w:fill="auto"/>
            <w:vAlign w:val="center"/>
          </w:tcPr>
          <w:p w14:paraId="52F9600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用于剥离线芯直径为0.5mm</w:t>
            </w:r>
            <w:r>
              <w:rPr>
                <w:rStyle w:val="45"/>
                <w:lang w:bidi="ar"/>
              </w:rPr>
              <w:t>〜</w:t>
            </w:r>
            <w:r>
              <w:rPr>
                <w:rFonts w:hint="eastAsia" w:ascii="宋体" w:hAnsi="宋体" w:cs="宋体"/>
                <w:color w:val="000000"/>
                <w:kern w:val="0"/>
                <w:sz w:val="22"/>
                <w:szCs w:val="22"/>
                <w:lang w:bidi="ar"/>
              </w:rPr>
              <w:t>2.5mm的导线；刃口闭合状态间隙应不大于0.3mm,刃口错位应不大于0.2mm；剥线刃口硬度不应低于40HRC；剪切刃口硬度应为50HRC</w:t>
            </w:r>
            <w:r>
              <w:rPr>
                <w:rStyle w:val="45"/>
                <w:lang w:bidi="ar"/>
              </w:rPr>
              <w:t>〜</w:t>
            </w:r>
            <w:r>
              <w:rPr>
                <w:rFonts w:hint="eastAsia" w:ascii="宋体" w:hAnsi="宋体" w:cs="宋体"/>
                <w:color w:val="000000"/>
                <w:kern w:val="0"/>
                <w:sz w:val="22"/>
                <w:szCs w:val="22"/>
                <w:lang w:bidi="ar"/>
              </w:rPr>
              <w:t>59HRC</w:t>
            </w:r>
          </w:p>
        </w:tc>
        <w:tc>
          <w:tcPr>
            <w:tcW w:w="462" w:type="dxa"/>
            <w:shd w:val="clear" w:color="auto" w:fill="auto"/>
            <w:noWrap/>
            <w:vAlign w:val="center"/>
          </w:tcPr>
          <w:p w14:paraId="43E5F7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685BDA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6CDD5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4192D0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408B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6388E2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w:t>
            </w:r>
          </w:p>
        </w:tc>
        <w:tc>
          <w:tcPr>
            <w:tcW w:w="1072" w:type="dxa"/>
            <w:shd w:val="clear" w:color="auto" w:fill="auto"/>
            <w:vAlign w:val="center"/>
          </w:tcPr>
          <w:p w14:paraId="02B2ED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钢丝钳</w:t>
            </w:r>
          </w:p>
        </w:tc>
        <w:tc>
          <w:tcPr>
            <w:tcW w:w="4897" w:type="dxa"/>
            <w:shd w:val="clear" w:color="auto" w:fill="auto"/>
            <w:vAlign w:val="center"/>
          </w:tcPr>
          <w:p w14:paraId="254C28D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160mm,抗弯强度1120N,扭力矩15N•m,15</w:t>
            </w:r>
            <w:r>
              <w:rPr>
                <w:rStyle w:val="46"/>
                <w:rFonts w:hint="default"/>
                <w:lang w:bidi="ar"/>
              </w:rPr>
              <w:t>。</w:t>
            </w:r>
            <w:r>
              <w:rPr>
                <w:rFonts w:hint="eastAsia" w:ascii="宋体" w:hAnsi="宋体" w:cs="宋体"/>
                <w:color w:val="000000"/>
                <w:kern w:val="0"/>
                <w:sz w:val="22"/>
                <w:szCs w:val="22"/>
                <w:lang w:bidi="ar"/>
              </w:rPr>
              <w:t>；剪切性能Ø1.6mm钢丝，580N；夹持面硬度不低于44HRC；PVC环保手柄，在不大于18N的力作用下撑开角度不小于22</w:t>
            </w:r>
            <w:r>
              <w:rPr>
                <w:rStyle w:val="46"/>
                <w:rFonts w:hint="default"/>
                <w:lang w:bidi="ar"/>
              </w:rPr>
              <w:t>。</w:t>
            </w:r>
          </w:p>
        </w:tc>
        <w:tc>
          <w:tcPr>
            <w:tcW w:w="462" w:type="dxa"/>
            <w:shd w:val="clear" w:color="auto" w:fill="auto"/>
            <w:noWrap/>
            <w:vAlign w:val="center"/>
          </w:tcPr>
          <w:p w14:paraId="75C7DF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0FC40A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ECDED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c>
          <w:tcPr>
            <w:tcW w:w="1489" w:type="dxa"/>
            <w:shd w:val="clear" w:color="auto" w:fill="auto"/>
            <w:noWrap/>
            <w:vAlign w:val="center"/>
          </w:tcPr>
          <w:p w14:paraId="6D1B04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r>
      <w:tr w14:paraId="247A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30801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w:t>
            </w:r>
          </w:p>
        </w:tc>
        <w:tc>
          <w:tcPr>
            <w:tcW w:w="1072" w:type="dxa"/>
            <w:shd w:val="clear" w:color="auto" w:fill="auto"/>
            <w:vAlign w:val="center"/>
          </w:tcPr>
          <w:p w14:paraId="2AAE86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尖嘴钳</w:t>
            </w:r>
          </w:p>
        </w:tc>
        <w:tc>
          <w:tcPr>
            <w:tcW w:w="4897" w:type="dxa"/>
            <w:shd w:val="clear" w:color="auto" w:fill="auto"/>
            <w:vAlign w:val="center"/>
          </w:tcPr>
          <w:p w14:paraId="046E03F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160mm,抗弯强度710N,剪切性能Ø1.6mm钢丝，570N；在不大于18N的力作用下撑开角度不小于22</w:t>
            </w:r>
            <w:r>
              <w:rPr>
                <w:rStyle w:val="46"/>
                <w:rFonts w:hint="default"/>
                <w:lang w:bidi="ar"/>
              </w:rPr>
              <w:t>。</w:t>
            </w:r>
            <w:r>
              <w:rPr>
                <w:rFonts w:hint="eastAsia" w:ascii="宋体" w:hAnsi="宋体" w:cs="宋体"/>
                <w:color w:val="000000"/>
                <w:kern w:val="0"/>
                <w:sz w:val="22"/>
                <w:szCs w:val="22"/>
                <w:lang w:bidi="ar"/>
              </w:rPr>
              <w:t>，硬度不低于44HRC，PVC环保手柄</w:t>
            </w:r>
          </w:p>
        </w:tc>
        <w:tc>
          <w:tcPr>
            <w:tcW w:w="462" w:type="dxa"/>
            <w:shd w:val="clear" w:color="auto" w:fill="auto"/>
            <w:noWrap/>
            <w:vAlign w:val="center"/>
          </w:tcPr>
          <w:p w14:paraId="0B9B85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68653C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EC393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0006EB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r>
      <w:tr w14:paraId="01272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67D5F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w:t>
            </w:r>
          </w:p>
        </w:tc>
        <w:tc>
          <w:tcPr>
            <w:tcW w:w="1072" w:type="dxa"/>
            <w:shd w:val="clear" w:color="auto" w:fill="auto"/>
            <w:vAlign w:val="center"/>
          </w:tcPr>
          <w:p w14:paraId="648783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斜口钳</w:t>
            </w:r>
          </w:p>
        </w:tc>
        <w:tc>
          <w:tcPr>
            <w:tcW w:w="4897" w:type="dxa"/>
            <w:shd w:val="clear" w:color="auto" w:fill="auto"/>
            <w:vAlign w:val="center"/>
          </w:tcPr>
          <w:p w14:paraId="3DC5DBE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125mm,双刃刀</w:t>
            </w:r>
          </w:p>
        </w:tc>
        <w:tc>
          <w:tcPr>
            <w:tcW w:w="462" w:type="dxa"/>
            <w:shd w:val="clear" w:color="auto" w:fill="auto"/>
            <w:noWrap/>
            <w:vAlign w:val="center"/>
          </w:tcPr>
          <w:p w14:paraId="6A91E1B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798E12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A56BF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4CF229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3EEF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64FFCB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w:t>
            </w:r>
          </w:p>
        </w:tc>
        <w:tc>
          <w:tcPr>
            <w:tcW w:w="1072" w:type="dxa"/>
            <w:shd w:val="clear" w:color="auto" w:fill="auto"/>
            <w:vAlign w:val="center"/>
          </w:tcPr>
          <w:p w14:paraId="559ED5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砂纸</w:t>
            </w:r>
          </w:p>
        </w:tc>
        <w:tc>
          <w:tcPr>
            <w:tcW w:w="4897" w:type="dxa"/>
            <w:shd w:val="clear" w:color="auto" w:fill="auto"/>
            <w:vAlign w:val="center"/>
          </w:tcPr>
          <w:p w14:paraId="4961CC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A4300目</w:t>
            </w:r>
          </w:p>
        </w:tc>
        <w:tc>
          <w:tcPr>
            <w:tcW w:w="462" w:type="dxa"/>
            <w:shd w:val="clear" w:color="auto" w:fill="auto"/>
            <w:noWrap/>
            <w:vAlign w:val="center"/>
          </w:tcPr>
          <w:p w14:paraId="47E153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张</w:t>
            </w:r>
          </w:p>
        </w:tc>
        <w:tc>
          <w:tcPr>
            <w:tcW w:w="605" w:type="dxa"/>
            <w:shd w:val="clear" w:color="auto" w:fill="auto"/>
            <w:noWrap/>
            <w:vAlign w:val="center"/>
          </w:tcPr>
          <w:p w14:paraId="2A4A47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7EB811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767D45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7D21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68991F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w:t>
            </w:r>
          </w:p>
        </w:tc>
        <w:tc>
          <w:tcPr>
            <w:tcW w:w="1072" w:type="dxa"/>
            <w:shd w:val="clear" w:color="auto" w:fill="auto"/>
            <w:vAlign w:val="center"/>
          </w:tcPr>
          <w:p w14:paraId="36B2A9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民用剪刀</w:t>
            </w:r>
          </w:p>
        </w:tc>
        <w:tc>
          <w:tcPr>
            <w:tcW w:w="4897" w:type="dxa"/>
            <w:shd w:val="clear" w:color="auto" w:fill="auto"/>
            <w:vAlign w:val="center"/>
          </w:tcPr>
          <w:p w14:paraId="7F22054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长170mm,用于剪布</w:t>
            </w:r>
          </w:p>
        </w:tc>
        <w:tc>
          <w:tcPr>
            <w:tcW w:w="462" w:type="dxa"/>
            <w:shd w:val="clear" w:color="auto" w:fill="auto"/>
            <w:noWrap/>
            <w:vAlign w:val="center"/>
          </w:tcPr>
          <w:p w14:paraId="5730C6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054139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23E24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150BB4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r>
      <w:tr w14:paraId="48CF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2D85DC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w:t>
            </w:r>
          </w:p>
        </w:tc>
        <w:tc>
          <w:tcPr>
            <w:tcW w:w="1072" w:type="dxa"/>
            <w:shd w:val="clear" w:color="auto" w:fill="auto"/>
            <w:vAlign w:val="center"/>
          </w:tcPr>
          <w:p w14:paraId="1192FD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电烙铁 套装</w:t>
            </w:r>
          </w:p>
        </w:tc>
        <w:tc>
          <w:tcPr>
            <w:tcW w:w="4897" w:type="dxa"/>
            <w:shd w:val="clear" w:color="auto" w:fill="auto"/>
            <w:vAlign w:val="center"/>
          </w:tcPr>
          <w:p w14:paraId="4F1F7F2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20W,内热式，橡胶线，含烙铁架</w:t>
            </w:r>
          </w:p>
        </w:tc>
        <w:tc>
          <w:tcPr>
            <w:tcW w:w="462" w:type="dxa"/>
            <w:shd w:val="clear" w:color="auto" w:fill="auto"/>
            <w:noWrap/>
            <w:vAlign w:val="center"/>
          </w:tcPr>
          <w:p w14:paraId="065D17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C4D871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5451E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37</w:t>
            </w:r>
          </w:p>
        </w:tc>
        <w:tc>
          <w:tcPr>
            <w:tcW w:w="1489" w:type="dxa"/>
            <w:shd w:val="clear" w:color="auto" w:fill="auto"/>
            <w:noWrap/>
            <w:vAlign w:val="center"/>
          </w:tcPr>
          <w:p w14:paraId="47B012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37</w:t>
            </w:r>
          </w:p>
        </w:tc>
      </w:tr>
      <w:tr w14:paraId="46EA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C95AE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w:t>
            </w:r>
          </w:p>
        </w:tc>
        <w:tc>
          <w:tcPr>
            <w:tcW w:w="1072" w:type="dxa"/>
            <w:shd w:val="clear" w:color="auto" w:fill="auto"/>
            <w:vAlign w:val="center"/>
          </w:tcPr>
          <w:p w14:paraId="7AB26E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打孔器</w:t>
            </w:r>
          </w:p>
        </w:tc>
        <w:tc>
          <w:tcPr>
            <w:tcW w:w="4897" w:type="dxa"/>
            <w:shd w:val="clear" w:color="auto" w:fill="auto"/>
            <w:vAlign w:val="center"/>
          </w:tcPr>
          <w:p w14:paraId="2A34996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齿口式，不锈钢材质，每组4支，外径分别为5.0mm、6.5mm、8mm、9.5mm； 附通棒</w:t>
            </w:r>
          </w:p>
        </w:tc>
        <w:tc>
          <w:tcPr>
            <w:tcW w:w="462" w:type="dxa"/>
            <w:shd w:val="clear" w:color="auto" w:fill="auto"/>
            <w:noWrap/>
            <w:vAlign w:val="center"/>
          </w:tcPr>
          <w:p w14:paraId="3EEEC7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695A49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7CA5C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3959D9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r>
      <w:tr w14:paraId="6EDB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B2B795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w:t>
            </w:r>
          </w:p>
        </w:tc>
        <w:tc>
          <w:tcPr>
            <w:tcW w:w="1072" w:type="dxa"/>
            <w:shd w:val="clear" w:color="auto" w:fill="auto"/>
            <w:vAlign w:val="center"/>
          </w:tcPr>
          <w:p w14:paraId="6DDA3C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打孔器 夹板</w:t>
            </w:r>
          </w:p>
        </w:tc>
        <w:tc>
          <w:tcPr>
            <w:tcW w:w="4897" w:type="dxa"/>
            <w:shd w:val="clear" w:color="auto" w:fill="auto"/>
            <w:vAlign w:val="center"/>
          </w:tcPr>
          <w:p w14:paraId="68592BD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锥形孔</w:t>
            </w:r>
          </w:p>
        </w:tc>
        <w:tc>
          <w:tcPr>
            <w:tcW w:w="462" w:type="dxa"/>
            <w:shd w:val="clear" w:color="auto" w:fill="auto"/>
            <w:noWrap/>
            <w:vAlign w:val="center"/>
          </w:tcPr>
          <w:p w14:paraId="3FF31F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D0F80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6C0B1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noWrap/>
            <w:vAlign w:val="center"/>
          </w:tcPr>
          <w:p w14:paraId="2952F7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r>
      <w:tr w14:paraId="10D3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5B7E07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24</w:t>
            </w:r>
          </w:p>
        </w:tc>
        <w:tc>
          <w:tcPr>
            <w:tcW w:w="1072" w:type="dxa"/>
            <w:shd w:val="clear" w:color="auto" w:fill="auto"/>
            <w:vAlign w:val="center"/>
          </w:tcPr>
          <w:p w14:paraId="7A2A14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锥子</w:t>
            </w:r>
          </w:p>
        </w:tc>
        <w:tc>
          <w:tcPr>
            <w:tcW w:w="4897" w:type="dxa"/>
            <w:shd w:val="clear" w:color="auto" w:fill="auto"/>
            <w:vAlign w:val="center"/>
          </w:tcPr>
          <w:p w14:paraId="3B61A7A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锥头长77mm,锥杆直径渐变</w:t>
            </w:r>
          </w:p>
        </w:tc>
        <w:tc>
          <w:tcPr>
            <w:tcW w:w="462" w:type="dxa"/>
            <w:shd w:val="clear" w:color="auto" w:fill="auto"/>
            <w:noWrap/>
            <w:vAlign w:val="center"/>
          </w:tcPr>
          <w:p w14:paraId="2C6A79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BCEB0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35B6C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554C9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6EE8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8BF9A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25</w:t>
            </w:r>
          </w:p>
        </w:tc>
        <w:tc>
          <w:tcPr>
            <w:tcW w:w="1072" w:type="dxa"/>
            <w:shd w:val="clear" w:color="auto" w:fill="auto"/>
            <w:vAlign w:val="center"/>
          </w:tcPr>
          <w:p w14:paraId="5FF4A7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水平尺</w:t>
            </w:r>
          </w:p>
        </w:tc>
        <w:tc>
          <w:tcPr>
            <w:tcW w:w="4897" w:type="dxa"/>
            <w:shd w:val="clear" w:color="auto" w:fill="auto"/>
            <w:vAlign w:val="center"/>
          </w:tcPr>
          <w:p w14:paraId="47D719A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三水泡型，水平面工作长度160 mm</w:t>
            </w:r>
            <w:r>
              <w:rPr>
                <w:rStyle w:val="45"/>
                <w:lang w:bidi="ar"/>
              </w:rPr>
              <w:t>〜</w:t>
            </w:r>
            <w:r>
              <w:rPr>
                <w:rFonts w:hint="eastAsia" w:ascii="宋体" w:hAnsi="宋体" w:cs="宋体"/>
                <w:color w:val="000000"/>
                <w:kern w:val="0"/>
                <w:sz w:val="22"/>
                <w:szCs w:val="22"/>
                <w:lang w:bidi="ar"/>
              </w:rPr>
              <w:t>250mm</w:t>
            </w:r>
          </w:p>
        </w:tc>
        <w:tc>
          <w:tcPr>
            <w:tcW w:w="462" w:type="dxa"/>
            <w:shd w:val="clear" w:color="auto" w:fill="auto"/>
            <w:noWrap/>
            <w:vAlign w:val="center"/>
          </w:tcPr>
          <w:p w14:paraId="2200DB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15ED41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9E852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70B1C5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36B6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9838B6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26</w:t>
            </w:r>
          </w:p>
        </w:tc>
        <w:tc>
          <w:tcPr>
            <w:tcW w:w="1072" w:type="dxa"/>
            <w:shd w:val="clear" w:color="auto" w:fill="auto"/>
            <w:vAlign w:val="center"/>
          </w:tcPr>
          <w:p w14:paraId="26875B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低压测电器（测电笔）</w:t>
            </w:r>
          </w:p>
        </w:tc>
        <w:tc>
          <w:tcPr>
            <w:tcW w:w="4897" w:type="dxa"/>
            <w:shd w:val="clear" w:color="auto" w:fill="auto"/>
            <w:vAlign w:val="center"/>
          </w:tcPr>
          <w:p w14:paraId="31D818E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笔式，氖泡式，测电极长度不少于10mm,100V-500V,辉光应稳定不闪烁</w:t>
            </w:r>
          </w:p>
        </w:tc>
        <w:tc>
          <w:tcPr>
            <w:tcW w:w="462" w:type="dxa"/>
            <w:shd w:val="clear" w:color="auto" w:fill="auto"/>
            <w:noWrap/>
            <w:vAlign w:val="center"/>
          </w:tcPr>
          <w:p w14:paraId="4A4091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2A080F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23F2C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1C9261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r>
      <w:tr w14:paraId="28B9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C35E02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27</w:t>
            </w:r>
          </w:p>
        </w:tc>
        <w:tc>
          <w:tcPr>
            <w:tcW w:w="1072" w:type="dxa"/>
            <w:shd w:val="clear" w:color="auto" w:fill="auto"/>
            <w:vAlign w:val="center"/>
          </w:tcPr>
          <w:p w14:paraId="09E59A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三脚架</w:t>
            </w:r>
          </w:p>
        </w:tc>
        <w:tc>
          <w:tcPr>
            <w:tcW w:w="4897" w:type="dxa"/>
            <w:shd w:val="clear" w:color="auto" w:fill="auto"/>
            <w:vAlign w:val="center"/>
          </w:tcPr>
          <w:p w14:paraId="486BBC8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铁制，环内径75mm,高150mm</w:t>
            </w:r>
          </w:p>
        </w:tc>
        <w:tc>
          <w:tcPr>
            <w:tcW w:w="462" w:type="dxa"/>
            <w:shd w:val="clear" w:color="auto" w:fill="auto"/>
            <w:noWrap/>
            <w:vAlign w:val="center"/>
          </w:tcPr>
          <w:p w14:paraId="682BA3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D1997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9D551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579FCE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r>
      <w:tr w14:paraId="71F3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B3FC33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28</w:t>
            </w:r>
          </w:p>
        </w:tc>
        <w:tc>
          <w:tcPr>
            <w:tcW w:w="1072" w:type="dxa"/>
            <w:shd w:val="clear" w:color="auto" w:fill="auto"/>
            <w:vAlign w:val="center"/>
          </w:tcPr>
          <w:p w14:paraId="083067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物理支架</w:t>
            </w:r>
          </w:p>
        </w:tc>
        <w:tc>
          <w:tcPr>
            <w:tcW w:w="4897" w:type="dxa"/>
            <w:shd w:val="clear" w:color="auto" w:fill="auto"/>
            <w:vAlign w:val="center"/>
          </w:tcPr>
          <w:p w14:paraId="43F10A2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立杆φ12mmX500mm、φ12mmX700mm各1根；A形座2个，质量分别不小于1.5kg和3.0kg；平行夹2个、垂直夹2个、烧瓶夹1个、万向夹1个、台边夹1个、大铁环1个、圆托盘1个、绝缘杆1根、吊杆1个、吊钩4个</w:t>
            </w:r>
          </w:p>
        </w:tc>
        <w:tc>
          <w:tcPr>
            <w:tcW w:w="462" w:type="dxa"/>
            <w:shd w:val="clear" w:color="auto" w:fill="auto"/>
            <w:noWrap/>
            <w:vAlign w:val="center"/>
          </w:tcPr>
          <w:p w14:paraId="112001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3F096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FCA34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191</w:t>
            </w:r>
          </w:p>
        </w:tc>
        <w:tc>
          <w:tcPr>
            <w:tcW w:w="1489" w:type="dxa"/>
            <w:shd w:val="clear" w:color="auto" w:fill="auto"/>
            <w:noWrap/>
            <w:vAlign w:val="center"/>
          </w:tcPr>
          <w:p w14:paraId="5B5BF5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191</w:t>
            </w:r>
          </w:p>
        </w:tc>
      </w:tr>
      <w:tr w14:paraId="10EE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AC246E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29</w:t>
            </w:r>
          </w:p>
        </w:tc>
        <w:tc>
          <w:tcPr>
            <w:tcW w:w="1072" w:type="dxa"/>
            <w:shd w:val="clear" w:color="auto" w:fill="auto"/>
            <w:vAlign w:val="center"/>
          </w:tcPr>
          <w:p w14:paraId="7A2682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方座支架</w:t>
            </w:r>
          </w:p>
        </w:tc>
        <w:tc>
          <w:tcPr>
            <w:tcW w:w="4897" w:type="dxa"/>
            <w:shd w:val="clear" w:color="auto" w:fill="auto"/>
            <w:vAlign w:val="center"/>
          </w:tcPr>
          <w:p w14:paraId="3271001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由方形座、立杆、烧瓶夹、大小铁环、垂直夹（2只）、平行夹、吊杆等组成；立杆长600mm,方形座长210mm,宽135mm,烧瓶夹夹口内壁有耐热不低于120°C的缓压层</w:t>
            </w:r>
          </w:p>
        </w:tc>
        <w:tc>
          <w:tcPr>
            <w:tcW w:w="462" w:type="dxa"/>
            <w:shd w:val="clear" w:color="auto" w:fill="auto"/>
            <w:noWrap/>
            <w:vAlign w:val="center"/>
          </w:tcPr>
          <w:p w14:paraId="341E58B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B3F1C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0F2EC24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80</w:t>
            </w:r>
          </w:p>
        </w:tc>
        <w:tc>
          <w:tcPr>
            <w:tcW w:w="1489" w:type="dxa"/>
            <w:shd w:val="clear" w:color="auto" w:fill="auto"/>
            <w:noWrap/>
            <w:vAlign w:val="center"/>
          </w:tcPr>
          <w:p w14:paraId="0FDF9F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1200</w:t>
            </w:r>
          </w:p>
        </w:tc>
      </w:tr>
      <w:tr w14:paraId="33B1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414E7F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30</w:t>
            </w:r>
          </w:p>
        </w:tc>
        <w:tc>
          <w:tcPr>
            <w:tcW w:w="1072" w:type="dxa"/>
            <w:shd w:val="clear" w:color="auto" w:fill="auto"/>
            <w:vAlign w:val="center"/>
          </w:tcPr>
          <w:p w14:paraId="211442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多功能实验支架</w:t>
            </w:r>
          </w:p>
        </w:tc>
        <w:tc>
          <w:tcPr>
            <w:tcW w:w="4897" w:type="dxa"/>
            <w:shd w:val="clear" w:color="auto" w:fill="auto"/>
            <w:vAlign w:val="center"/>
          </w:tcPr>
          <w:p w14:paraId="214FC7E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组合座架1个，最小组合支承面积应不小于560mmX10 mm；滑块式垂直夹5个、烧瓶夹1个、万向夹1个、大铁环1个、方托盘1个、绝缘环2个、吊钩4个</w:t>
            </w:r>
          </w:p>
        </w:tc>
        <w:tc>
          <w:tcPr>
            <w:tcW w:w="462" w:type="dxa"/>
            <w:shd w:val="clear" w:color="auto" w:fill="auto"/>
            <w:noWrap/>
            <w:vAlign w:val="center"/>
          </w:tcPr>
          <w:p w14:paraId="0CB50B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87EE0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68917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133</w:t>
            </w:r>
          </w:p>
        </w:tc>
        <w:tc>
          <w:tcPr>
            <w:tcW w:w="1489" w:type="dxa"/>
            <w:shd w:val="clear" w:color="auto" w:fill="auto"/>
            <w:noWrap/>
            <w:vAlign w:val="center"/>
          </w:tcPr>
          <w:p w14:paraId="6451DD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133</w:t>
            </w:r>
          </w:p>
        </w:tc>
      </w:tr>
      <w:tr w14:paraId="7815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443B80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31</w:t>
            </w:r>
          </w:p>
        </w:tc>
        <w:tc>
          <w:tcPr>
            <w:tcW w:w="1072" w:type="dxa"/>
            <w:shd w:val="clear" w:color="auto" w:fill="auto"/>
            <w:vAlign w:val="center"/>
          </w:tcPr>
          <w:p w14:paraId="74F842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升降台</w:t>
            </w:r>
          </w:p>
        </w:tc>
        <w:tc>
          <w:tcPr>
            <w:tcW w:w="4897" w:type="dxa"/>
            <w:shd w:val="clear" w:color="auto" w:fill="auto"/>
            <w:vAlign w:val="center"/>
          </w:tcPr>
          <w:p w14:paraId="7323E2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产品由上面板、下面板、旋转轴、手轮等组成。2、升降范围不小于150mm，载重量不小于10kg。3、工作台面：上面板150mm×150mm，下底板180mm×180mm。4、上下面板均采用厚不小于1mm的冷轧板冲压成型，成型厚度约8mm，表面烤黑漆。其它金属表面均电镀处理。</w:t>
            </w:r>
          </w:p>
        </w:tc>
        <w:tc>
          <w:tcPr>
            <w:tcW w:w="462" w:type="dxa"/>
            <w:shd w:val="clear" w:color="auto" w:fill="auto"/>
            <w:noWrap/>
            <w:vAlign w:val="center"/>
          </w:tcPr>
          <w:p w14:paraId="42C3DC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6EF7C9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300C0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125</w:t>
            </w:r>
          </w:p>
        </w:tc>
        <w:tc>
          <w:tcPr>
            <w:tcW w:w="1489" w:type="dxa"/>
            <w:shd w:val="clear" w:color="auto" w:fill="auto"/>
            <w:noWrap/>
            <w:vAlign w:val="center"/>
          </w:tcPr>
          <w:p w14:paraId="3EDB24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125</w:t>
            </w:r>
          </w:p>
        </w:tc>
      </w:tr>
      <w:tr w14:paraId="6DF2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A539AC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32</w:t>
            </w:r>
          </w:p>
        </w:tc>
        <w:tc>
          <w:tcPr>
            <w:tcW w:w="1072" w:type="dxa"/>
            <w:shd w:val="clear" w:color="auto" w:fill="auto"/>
            <w:vAlign w:val="center"/>
          </w:tcPr>
          <w:p w14:paraId="746652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电火花计时器</w:t>
            </w:r>
          </w:p>
        </w:tc>
        <w:tc>
          <w:tcPr>
            <w:tcW w:w="4897" w:type="dxa"/>
            <w:shd w:val="clear" w:color="auto" w:fill="auto"/>
            <w:vAlign w:val="center"/>
          </w:tcPr>
          <w:p w14:paraId="147458F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交流电压：220V,单频率：0.020s,火花距离≥10mm,平均电流≤O.5mA,附固定夹</w:t>
            </w:r>
          </w:p>
        </w:tc>
        <w:tc>
          <w:tcPr>
            <w:tcW w:w="462" w:type="dxa"/>
            <w:shd w:val="clear" w:color="auto" w:fill="auto"/>
            <w:noWrap/>
            <w:vAlign w:val="center"/>
          </w:tcPr>
          <w:p w14:paraId="4E84E4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B3CF3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C64F2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84</w:t>
            </w:r>
          </w:p>
        </w:tc>
        <w:tc>
          <w:tcPr>
            <w:tcW w:w="1489" w:type="dxa"/>
            <w:shd w:val="clear" w:color="auto" w:fill="auto"/>
            <w:noWrap/>
            <w:vAlign w:val="center"/>
          </w:tcPr>
          <w:p w14:paraId="57B24A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1260</w:t>
            </w:r>
          </w:p>
        </w:tc>
      </w:tr>
      <w:tr w14:paraId="44DA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DE0DC3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33</w:t>
            </w:r>
          </w:p>
        </w:tc>
        <w:tc>
          <w:tcPr>
            <w:tcW w:w="1072" w:type="dxa"/>
            <w:shd w:val="clear" w:color="auto" w:fill="auto"/>
            <w:vAlign w:val="center"/>
          </w:tcPr>
          <w:p w14:paraId="366E12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演示轨道小车</w:t>
            </w:r>
          </w:p>
        </w:tc>
        <w:tc>
          <w:tcPr>
            <w:tcW w:w="4897" w:type="dxa"/>
            <w:shd w:val="clear" w:color="auto" w:fill="auto"/>
            <w:vAlign w:val="center"/>
          </w:tcPr>
          <w:p w14:paraId="37C70DE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铝合金轨道、2辆小车及配件组成，应有调节轨道倾斜度的装置，轨道始端应有固定及释放小车的装置，终端有捕捉小车的装置。轨道的有效运动长度≥900mm,轨道轨面的直线度误差不大于有效长度的0.03%；可进行打点计时法测量加速度、滑动摩擦与滚动摩擦、物质的惯性、弹性碰撞、非弹性碰撞等实验；测量加速度相对误差≤8%</w:t>
            </w:r>
          </w:p>
        </w:tc>
        <w:tc>
          <w:tcPr>
            <w:tcW w:w="462" w:type="dxa"/>
            <w:shd w:val="clear" w:color="auto" w:fill="auto"/>
            <w:noWrap/>
            <w:vAlign w:val="center"/>
          </w:tcPr>
          <w:p w14:paraId="6A6D83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66264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7C8F4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261</w:t>
            </w:r>
          </w:p>
        </w:tc>
        <w:tc>
          <w:tcPr>
            <w:tcW w:w="1489" w:type="dxa"/>
            <w:shd w:val="clear" w:color="auto" w:fill="auto"/>
            <w:noWrap/>
            <w:vAlign w:val="center"/>
          </w:tcPr>
          <w:p w14:paraId="434B8F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261</w:t>
            </w:r>
          </w:p>
        </w:tc>
      </w:tr>
      <w:tr w14:paraId="1403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C4FE20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34</w:t>
            </w:r>
          </w:p>
        </w:tc>
        <w:tc>
          <w:tcPr>
            <w:tcW w:w="1072" w:type="dxa"/>
            <w:shd w:val="clear" w:color="auto" w:fill="auto"/>
            <w:vAlign w:val="center"/>
          </w:tcPr>
          <w:p w14:paraId="6F9F56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轨道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小车</w:t>
            </w:r>
          </w:p>
        </w:tc>
        <w:tc>
          <w:tcPr>
            <w:tcW w:w="4897" w:type="dxa"/>
            <w:shd w:val="clear" w:color="auto" w:fill="auto"/>
            <w:vAlign w:val="center"/>
          </w:tcPr>
          <w:p w14:paraId="4EB9CD3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车拖纸带打点式；由轨道、1辆小车及配件组成，应配有打点纸带，应有调节轨道倾斜度的装置，轨道始端应有固定及释放小车的装置、固定计时器的平台，终端有捕捉小车的装置；轨道的有效运动长度≥600mm,轨道轨面的直线度误差不大于有效长度的0.03%；安装计时器后，记录纸带应能平行轨道运动；在倾斜度1:50的轨道上小车应能从静止开始运动</w:t>
            </w:r>
          </w:p>
        </w:tc>
        <w:tc>
          <w:tcPr>
            <w:tcW w:w="462" w:type="dxa"/>
            <w:shd w:val="clear" w:color="auto" w:fill="auto"/>
            <w:noWrap/>
            <w:vAlign w:val="center"/>
          </w:tcPr>
          <w:p w14:paraId="4901D0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65B065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B34BC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136</w:t>
            </w:r>
          </w:p>
        </w:tc>
        <w:tc>
          <w:tcPr>
            <w:tcW w:w="1489" w:type="dxa"/>
            <w:shd w:val="clear" w:color="auto" w:fill="auto"/>
            <w:noWrap/>
            <w:vAlign w:val="center"/>
          </w:tcPr>
          <w:p w14:paraId="7120D7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2040</w:t>
            </w:r>
          </w:p>
        </w:tc>
      </w:tr>
      <w:tr w14:paraId="5ED9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79C236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35</w:t>
            </w:r>
          </w:p>
        </w:tc>
        <w:tc>
          <w:tcPr>
            <w:tcW w:w="1072" w:type="dxa"/>
            <w:shd w:val="clear" w:color="auto" w:fill="auto"/>
            <w:vAlign w:val="center"/>
          </w:tcPr>
          <w:p w14:paraId="3C0620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坐标纸</w:t>
            </w:r>
          </w:p>
        </w:tc>
        <w:tc>
          <w:tcPr>
            <w:tcW w:w="4897" w:type="dxa"/>
            <w:shd w:val="clear" w:color="auto" w:fill="auto"/>
            <w:vAlign w:val="center"/>
          </w:tcPr>
          <w:p w14:paraId="521D57D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1cn大格，1mm小格</w:t>
            </w:r>
          </w:p>
        </w:tc>
        <w:tc>
          <w:tcPr>
            <w:tcW w:w="462" w:type="dxa"/>
            <w:shd w:val="clear" w:color="auto" w:fill="auto"/>
            <w:noWrap/>
            <w:vAlign w:val="center"/>
          </w:tcPr>
          <w:p w14:paraId="4ABF86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0A373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098F76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noWrap/>
            <w:vAlign w:val="center"/>
          </w:tcPr>
          <w:p w14:paraId="5FC335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1260</w:t>
            </w:r>
          </w:p>
        </w:tc>
      </w:tr>
      <w:tr w14:paraId="6EB9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EF9C1A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36</w:t>
            </w:r>
          </w:p>
        </w:tc>
        <w:tc>
          <w:tcPr>
            <w:tcW w:w="1072" w:type="dxa"/>
            <w:shd w:val="clear" w:color="auto" w:fill="auto"/>
            <w:vAlign w:val="center"/>
          </w:tcPr>
          <w:p w14:paraId="2E877D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有机直尺</w:t>
            </w:r>
          </w:p>
        </w:tc>
        <w:tc>
          <w:tcPr>
            <w:tcW w:w="4897" w:type="dxa"/>
            <w:shd w:val="clear" w:color="auto" w:fill="auto"/>
            <w:vAlign w:val="center"/>
          </w:tcPr>
          <w:p w14:paraId="1EDD396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标称长度1000mm,分度值1mm</w:t>
            </w:r>
          </w:p>
        </w:tc>
        <w:tc>
          <w:tcPr>
            <w:tcW w:w="462" w:type="dxa"/>
            <w:shd w:val="clear" w:color="auto" w:fill="auto"/>
            <w:noWrap/>
            <w:vAlign w:val="center"/>
          </w:tcPr>
          <w:p w14:paraId="27EFD1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3645E8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302F7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31</w:t>
            </w:r>
          </w:p>
        </w:tc>
        <w:tc>
          <w:tcPr>
            <w:tcW w:w="1489" w:type="dxa"/>
            <w:shd w:val="clear" w:color="auto" w:fill="auto"/>
            <w:noWrap/>
            <w:vAlign w:val="center"/>
          </w:tcPr>
          <w:p w14:paraId="13EFB9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465</w:t>
            </w:r>
          </w:p>
        </w:tc>
      </w:tr>
      <w:tr w14:paraId="56C3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1A4C8F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37</w:t>
            </w:r>
          </w:p>
        </w:tc>
        <w:tc>
          <w:tcPr>
            <w:tcW w:w="1072" w:type="dxa"/>
            <w:shd w:val="clear" w:color="auto" w:fill="auto"/>
            <w:vAlign w:val="center"/>
          </w:tcPr>
          <w:p w14:paraId="39BE60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金属直尺（钢直尺）</w:t>
            </w:r>
          </w:p>
        </w:tc>
        <w:tc>
          <w:tcPr>
            <w:tcW w:w="4897" w:type="dxa"/>
            <w:shd w:val="clear" w:color="auto" w:fill="auto"/>
            <w:vAlign w:val="center"/>
          </w:tcPr>
          <w:p w14:paraId="578B039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300mm，分度值为1mm；材料为1Cr18Ni9、1Cr13或其他类似性能材料，硬度应不低于342HV；刻度面平面度误差应≤0.25mm,允许误差应±0.15mm；需有计量器具制造许可证标志</w:t>
            </w:r>
          </w:p>
        </w:tc>
        <w:tc>
          <w:tcPr>
            <w:tcW w:w="462" w:type="dxa"/>
            <w:shd w:val="clear" w:color="auto" w:fill="auto"/>
            <w:noWrap/>
            <w:vAlign w:val="center"/>
          </w:tcPr>
          <w:p w14:paraId="0B15E0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615323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D7D80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62BBB9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105</w:t>
            </w:r>
          </w:p>
        </w:tc>
      </w:tr>
      <w:tr w14:paraId="2E15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489805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38</w:t>
            </w:r>
          </w:p>
        </w:tc>
        <w:tc>
          <w:tcPr>
            <w:tcW w:w="1072" w:type="dxa"/>
            <w:shd w:val="clear" w:color="auto" w:fill="auto"/>
            <w:vAlign w:val="center"/>
          </w:tcPr>
          <w:p w14:paraId="1A0E85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钢卷尺</w:t>
            </w:r>
          </w:p>
        </w:tc>
        <w:tc>
          <w:tcPr>
            <w:tcW w:w="4897" w:type="dxa"/>
            <w:shd w:val="clear" w:color="auto" w:fill="auto"/>
            <w:vAlign w:val="center"/>
          </w:tcPr>
          <w:p w14:paraId="3A15AA1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0mm</w:t>
            </w:r>
            <w:r>
              <w:rPr>
                <w:rStyle w:val="45"/>
                <w:lang w:bidi="ar"/>
              </w:rPr>
              <w:t>〜</w:t>
            </w:r>
            <w:r>
              <w:rPr>
                <w:rFonts w:hint="eastAsia" w:ascii="宋体" w:hAnsi="宋体" w:cs="宋体"/>
                <w:color w:val="000000"/>
                <w:kern w:val="0"/>
                <w:sz w:val="22"/>
                <w:szCs w:val="22"/>
                <w:lang w:bidi="ar"/>
              </w:rPr>
              <w:t>5000mm,分度值1mm。B型（自卷制动式），尺带宽不小于12mm,厚不低于0.15mm。尺带拉伸、收卷轻便灵活, 无卡阻现象</w:t>
            </w:r>
          </w:p>
        </w:tc>
        <w:tc>
          <w:tcPr>
            <w:tcW w:w="462" w:type="dxa"/>
            <w:shd w:val="clear" w:color="auto" w:fill="auto"/>
            <w:noWrap/>
            <w:vAlign w:val="center"/>
          </w:tcPr>
          <w:p w14:paraId="6C2BE8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6B8A6C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3879C5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3298E1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3A14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951F6C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39</w:t>
            </w:r>
          </w:p>
        </w:tc>
        <w:tc>
          <w:tcPr>
            <w:tcW w:w="1072" w:type="dxa"/>
            <w:shd w:val="clear" w:color="auto" w:fill="auto"/>
            <w:vAlign w:val="center"/>
          </w:tcPr>
          <w:p w14:paraId="7874CC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游标卡尺</w:t>
            </w:r>
          </w:p>
        </w:tc>
        <w:tc>
          <w:tcPr>
            <w:tcW w:w="4897" w:type="dxa"/>
            <w:shd w:val="clear" w:color="auto" w:fill="auto"/>
            <w:vAlign w:val="center"/>
          </w:tcPr>
          <w:p w14:paraId="33D4D67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测量范围0mm</w:t>
            </w:r>
            <w:r>
              <w:rPr>
                <w:rStyle w:val="45"/>
                <w:lang w:bidi="ar"/>
              </w:rPr>
              <w:t>〜</w:t>
            </w:r>
            <w:r>
              <w:rPr>
                <w:rFonts w:hint="eastAsia" w:ascii="宋体" w:hAnsi="宋体" w:cs="宋体"/>
                <w:color w:val="000000"/>
                <w:kern w:val="0"/>
                <w:sz w:val="22"/>
                <w:szCs w:val="22"/>
                <w:lang w:bidi="ar"/>
              </w:rPr>
              <w:t>150mm,分度值0.02mm, 尺框微动装置沿尺身移动平稳、无卡滞和松动现象，用制动螺钉能准确、可靠的固定在尺身上，带深度尺</w:t>
            </w:r>
          </w:p>
        </w:tc>
        <w:tc>
          <w:tcPr>
            <w:tcW w:w="462" w:type="dxa"/>
            <w:shd w:val="clear" w:color="auto" w:fill="auto"/>
            <w:noWrap/>
            <w:vAlign w:val="center"/>
          </w:tcPr>
          <w:p w14:paraId="07342F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781407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3674B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58</w:t>
            </w:r>
          </w:p>
        </w:tc>
        <w:tc>
          <w:tcPr>
            <w:tcW w:w="1489" w:type="dxa"/>
            <w:shd w:val="clear" w:color="auto" w:fill="auto"/>
            <w:noWrap/>
            <w:vAlign w:val="center"/>
          </w:tcPr>
          <w:p w14:paraId="1CCE86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870</w:t>
            </w:r>
          </w:p>
        </w:tc>
      </w:tr>
      <w:tr w14:paraId="14B7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3F2414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40</w:t>
            </w:r>
          </w:p>
        </w:tc>
        <w:tc>
          <w:tcPr>
            <w:tcW w:w="1072" w:type="dxa"/>
            <w:shd w:val="clear" w:color="auto" w:fill="auto"/>
            <w:vAlign w:val="center"/>
          </w:tcPr>
          <w:p w14:paraId="3FBF20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演示外径千分尺（演示螺旋测微器）</w:t>
            </w:r>
          </w:p>
        </w:tc>
        <w:tc>
          <w:tcPr>
            <w:tcW w:w="4897" w:type="dxa"/>
            <w:shd w:val="clear" w:color="auto" w:fill="auto"/>
            <w:vAlign w:val="center"/>
          </w:tcPr>
          <w:p w14:paraId="2250A04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木质或铝合金材质，刻度清晰，刻度放大比例1:20,锁紧装置能有效锁紧测微装置</w:t>
            </w:r>
          </w:p>
        </w:tc>
        <w:tc>
          <w:tcPr>
            <w:tcW w:w="462" w:type="dxa"/>
            <w:shd w:val="clear" w:color="auto" w:fill="auto"/>
            <w:noWrap/>
            <w:vAlign w:val="center"/>
          </w:tcPr>
          <w:p w14:paraId="0A22BD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1CA10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6FF2B1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204</w:t>
            </w:r>
          </w:p>
        </w:tc>
        <w:tc>
          <w:tcPr>
            <w:tcW w:w="1489" w:type="dxa"/>
            <w:shd w:val="clear" w:color="auto" w:fill="auto"/>
            <w:noWrap/>
            <w:vAlign w:val="center"/>
          </w:tcPr>
          <w:p w14:paraId="4C813AB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408</w:t>
            </w:r>
          </w:p>
        </w:tc>
      </w:tr>
      <w:tr w14:paraId="1802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73B6B4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41</w:t>
            </w:r>
          </w:p>
        </w:tc>
        <w:tc>
          <w:tcPr>
            <w:tcW w:w="1072" w:type="dxa"/>
            <w:shd w:val="clear" w:color="auto" w:fill="auto"/>
            <w:vAlign w:val="center"/>
          </w:tcPr>
          <w:p w14:paraId="1D8F28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外径千分尺（螺旋测微器）</w:t>
            </w:r>
          </w:p>
        </w:tc>
        <w:tc>
          <w:tcPr>
            <w:tcW w:w="4897" w:type="dxa"/>
            <w:shd w:val="clear" w:color="auto" w:fill="auto"/>
            <w:vAlign w:val="center"/>
          </w:tcPr>
          <w:p w14:paraId="18169E4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测量范围0mm</w:t>
            </w:r>
            <w:r>
              <w:rPr>
                <w:rStyle w:val="45"/>
                <w:lang w:bidi="ar"/>
              </w:rPr>
              <w:t>〜</w:t>
            </w:r>
            <w:r>
              <w:rPr>
                <w:rFonts w:hint="eastAsia" w:ascii="宋体" w:hAnsi="宋体" w:cs="宋体"/>
                <w:color w:val="000000"/>
                <w:kern w:val="0"/>
                <w:sz w:val="22"/>
                <w:szCs w:val="22"/>
                <w:lang w:bidi="ar"/>
              </w:rPr>
              <w:t>25mm,分度值0.01mm。 螺杆和螺母全量程范围内充分啮合，配合良好，无明显卡滞和轴向窜动，螺杆与轴套配合良好无明显径向摆动，锁紧装置能有效锁紧测微装置</w:t>
            </w:r>
          </w:p>
        </w:tc>
        <w:tc>
          <w:tcPr>
            <w:tcW w:w="462" w:type="dxa"/>
            <w:shd w:val="clear" w:color="auto" w:fill="auto"/>
            <w:noWrap/>
            <w:vAlign w:val="center"/>
          </w:tcPr>
          <w:p w14:paraId="36C2D1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6AFD2E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0DDC42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w:t>
            </w:r>
          </w:p>
        </w:tc>
        <w:tc>
          <w:tcPr>
            <w:tcW w:w="1489" w:type="dxa"/>
            <w:shd w:val="clear" w:color="auto" w:fill="auto"/>
            <w:noWrap/>
            <w:vAlign w:val="center"/>
          </w:tcPr>
          <w:p w14:paraId="55FE4D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990</w:t>
            </w:r>
          </w:p>
        </w:tc>
      </w:tr>
      <w:tr w14:paraId="4CE1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91065F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42</w:t>
            </w:r>
          </w:p>
        </w:tc>
        <w:tc>
          <w:tcPr>
            <w:tcW w:w="1072" w:type="dxa"/>
            <w:shd w:val="clear" w:color="auto" w:fill="auto"/>
            <w:vAlign w:val="center"/>
          </w:tcPr>
          <w:p w14:paraId="45240E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金属钩码</w:t>
            </w:r>
          </w:p>
        </w:tc>
        <w:tc>
          <w:tcPr>
            <w:tcW w:w="4897" w:type="dxa"/>
            <w:shd w:val="clear" w:color="auto" w:fill="auto"/>
            <w:vAlign w:val="center"/>
          </w:tcPr>
          <w:p w14:paraId="1359453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50g±0.5g,每盒10个，可叠放；材料采用纯度99. 6%、粒度不小于80#的铁基粉或其它钢材，钩码表面应有防腐镀层；硬度不小于HB70；上下勾的连线应通过钩码主体的轴线</w:t>
            </w:r>
          </w:p>
        </w:tc>
        <w:tc>
          <w:tcPr>
            <w:tcW w:w="462" w:type="dxa"/>
            <w:shd w:val="clear" w:color="auto" w:fill="auto"/>
            <w:noWrap/>
            <w:vAlign w:val="center"/>
          </w:tcPr>
          <w:p w14:paraId="62C107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2259EAB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6E8F0D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c>
          <w:tcPr>
            <w:tcW w:w="1489" w:type="dxa"/>
            <w:shd w:val="clear" w:color="auto" w:fill="auto"/>
            <w:noWrap/>
            <w:vAlign w:val="center"/>
          </w:tcPr>
          <w:p w14:paraId="010F8E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330</w:t>
            </w:r>
          </w:p>
        </w:tc>
      </w:tr>
      <w:tr w14:paraId="779D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D8B1B5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43</w:t>
            </w:r>
          </w:p>
        </w:tc>
        <w:tc>
          <w:tcPr>
            <w:tcW w:w="1072" w:type="dxa"/>
            <w:shd w:val="clear" w:color="auto" w:fill="auto"/>
            <w:vAlign w:val="center"/>
          </w:tcPr>
          <w:p w14:paraId="2CA596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金属槽码</w:t>
            </w:r>
          </w:p>
        </w:tc>
        <w:tc>
          <w:tcPr>
            <w:tcW w:w="4897" w:type="dxa"/>
            <w:shd w:val="clear" w:color="auto" w:fill="auto"/>
            <w:vAlign w:val="center"/>
          </w:tcPr>
          <w:p w14:paraId="6783E7C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2gX4，5gX4，10gX4，20gX4，50gX4，100gX2，200gX1，5gX1金属槽码盘和10gX1金属槽码盘</w:t>
            </w:r>
          </w:p>
        </w:tc>
        <w:tc>
          <w:tcPr>
            <w:tcW w:w="462" w:type="dxa"/>
            <w:shd w:val="clear" w:color="auto" w:fill="auto"/>
            <w:noWrap/>
            <w:vAlign w:val="center"/>
          </w:tcPr>
          <w:p w14:paraId="4A60AF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7A4880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A7434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68</w:t>
            </w:r>
          </w:p>
        </w:tc>
        <w:tc>
          <w:tcPr>
            <w:tcW w:w="1489" w:type="dxa"/>
            <w:shd w:val="clear" w:color="auto" w:fill="auto"/>
            <w:noWrap/>
            <w:vAlign w:val="center"/>
          </w:tcPr>
          <w:p w14:paraId="671DA7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1020</w:t>
            </w:r>
          </w:p>
        </w:tc>
      </w:tr>
      <w:tr w14:paraId="6BD8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6B921E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44</w:t>
            </w:r>
          </w:p>
        </w:tc>
        <w:tc>
          <w:tcPr>
            <w:tcW w:w="1072" w:type="dxa"/>
            <w:shd w:val="clear" w:color="auto" w:fill="auto"/>
            <w:vAlign w:val="center"/>
          </w:tcPr>
          <w:p w14:paraId="3756ED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频闪光源</w:t>
            </w:r>
          </w:p>
        </w:tc>
        <w:tc>
          <w:tcPr>
            <w:tcW w:w="4897" w:type="dxa"/>
            <w:shd w:val="clear" w:color="auto" w:fill="auto"/>
            <w:vAlign w:val="center"/>
          </w:tcPr>
          <w:p w14:paraId="1CDDF80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闪烁频率0.5 Hz～50Hz可调，数字读数显示，光触发</w:t>
            </w:r>
          </w:p>
        </w:tc>
        <w:tc>
          <w:tcPr>
            <w:tcW w:w="462" w:type="dxa"/>
            <w:shd w:val="clear" w:color="auto" w:fill="auto"/>
            <w:noWrap/>
            <w:vAlign w:val="center"/>
          </w:tcPr>
          <w:p w14:paraId="0A8047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631E3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2FA77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715</w:t>
            </w:r>
          </w:p>
        </w:tc>
        <w:tc>
          <w:tcPr>
            <w:tcW w:w="1489" w:type="dxa"/>
            <w:shd w:val="clear" w:color="auto" w:fill="auto"/>
            <w:noWrap/>
            <w:vAlign w:val="center"/>
          </w:tcPr>
          <w:p w14:paraId="0DC223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715</w:t>
            </w:r>
          </w:p>
        </w:tc>
      </w:tr>
      <w:tr w14:paraId="76BB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D49995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45</w:t>
            </w:r>
          </w:p>
        </w:tc>
        <w:tc>
          <w:tcPr>
            <w:tcW w:w="1072" w:type="dxa"/>
            <w:shd w:val="clear" w:color="auto" w:fill="auto"/>
            <w:vAlign w:val="center"/>
          </w:tcPr>
          <w:p w14:paraId="3B8BD0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运动频闪观测仪</w:t>
            </w:r>
          </w:p>
        </w:tc>
        <w:tc>
          <w:tcPr>
            <w:tcW w:w="4897" w:type="dxa"/>
            <w:shd w:val="clear" w:color="auto" w:fill="auto"/>
            <w:vAlign w:val="center"/>
          </w:tcPr>
          <w:p w14:paraId="7DC3215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频闪光源25Hz、50Hz,可实时观测运动物体图像</w:t>
            </w:r>
          </w:p>
        </w:tc>
        <w:tc>
          <w:tcPr>
            <w:tcW w:w="462" w:type="dxa"/>
            <w:shd w:val="clear" w:color="auto" w:fill="auto"/>
            <w:noWrap/>
            <w:vAlign w:val="center"/>
          </w:tcPr>
          <w:p w14:paraId="41E3F5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615208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32AB9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857</w:t>
            </w:r>
          </w:p>
        </w:tc>
        <w:tc>
          <w:tcPr>
            <w:tcW w:w="1489" w:type="dxa"/>
            <w:shd w:val="clear" w:color="auto" w:fill="auto"/>
            <w:noWrap/>
            <w:vAlign w:val="center"/>
          </w:tcPr>
          <w:p w14:paraId="39225F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857</w:t>
            </w:r>
          </w:p>
        </w:tc>
      </w:tr>
      <w:tr w14:paraId="5C26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38FE43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46</w:t>
            </w:r>
          </w:p>
        </w:tc>
        <w:tc>
          <w:tcPr>
            <w:tcW w:w="1072" w:type="dxa"/>
            <w:shd w:val="clear" w:color="auto" w:fill="auto"/>
            <w:vAlign w:val="center"/>
          </w:tcPr>
          <w:p w14:paraId="623294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直角坐标书写板</w:t>
            </w:r>
          </w:p>
        </w:tc>
        <w:tc>
          <w:tcPr>
            <w:tcW w:w="4897" w:type="dxa"/>
            <w:shd w:val="clear" w:color="auto" w:fill="auto"/>
            <w:vAlign w:val="center"/>
          </w:tcPr>
          <w:p w14:paraId="497BBF7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做背景板用，印有方格。尺寸800mmX600 mm,分格50mmX50mm</w:t>
            </w:r>
          </w:p>
        </w:tc>
        <w:tc>
          <w:tcPr>
            <w:tcW w:w="462" w:type="dxa"/>
            <w:shd w:val="clear" w:color="auto" w:fill="auto"/>
            <w:noWrap/>
            <w:vAlign w:val="center"/>
          </w:tcPr>
          <w:p w14:paraId="2B6E46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0813A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8B511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80</w:t>
            </w:r>
          </w:p>
        </w:tc>
        <w:tc>
          <w:tcPr>
            <w:tcW w:w="1489" w:type="dxa"/>
            <w:shd w:val="clear" w:color="auto" w:fill="auto"/>
            <w:noWrap/>
            <w:vAlign w:val="center"/>
          </w:tcPr>
          <w:p w14:paraId="157247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80</w:t>
            </w:r>
          </w:p>
        </w:tc>
      </w:tr>
      <w:tr w14:paraId="216F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E9D112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47</w:t>
            </w:r>
          </w:p>
        </w:tc>
        <w:tc>
          <w:tcPr>
            <w:tcW w:w="1072" w:type="dxa"/>
            <w:shd w:val="clear" w:color="auto" w:fill="auto"/>
            <w:vAlign w:val="center"/>
          </w:tcPr>
          <w:p w14:paraId="4AA766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直联泵（真空泵）</w:t>
            </w:r>
          </w:p>
        </w:tc>
        <w:tc>
          <w:tcPr>
            <w:tcW w:w="4897" w:type="dxa"/>
            <w:shd w:val="clear" w:color="auto" w:fill="auto"/>
            <w:vAlign w:val="center"/>
          </w:tcPr>
          <w:p w14:paraId="132070D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ZXZ-1型，单相，有防回油功能</w:t>
            </w:r>
          </w:p>
        </w:tc>
        <w:tc>
          <w:tcPr>
            <w:tcW w:w="462" w:type="dxa"/>
            <w:shd w:val="clear" w:color="auto" w:fill="auto"/>
            <w:noWrap/>
            <w:vAlign w:val="center"/>
          </w:tcPr>
          <w:p w14:paraId="5E95A6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2E2DA1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795C1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655</w:t>
            </w:r>
          </w:p>
        </w:tc>
        <w:tc>
          <w:tcPr>
            <w:tcW w:w="1489" w:type="dxa"/>
            <w:shd w:val="clear" w:color="auto" w:fill="auto"/>
            <w:noWrap/>
            <w:vAlign w:val="center"/>
          </w:tcPr>
          <w:p w14:paraId="372BAB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655</w:t>
            </w:r>
          </w:p>
        </w:tc>
      </w:tr>
      <w:tr w14:paraId="5C9C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C4F9DE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48</w:t>
            </w:r>
          </w:p>
        </w:tc>
        <w:tc>
          <w:tcPr>
            <w:tcW w:w="1072" w:type="dxa"/>
            <w:shd w:val="clear" w:color="auto" w:fill="auto"/>
            <w:vAlign w:val="center"/>
          </w:tcPr>
          <w:p w14:paraId="2569E0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两用气筒</w:t>
            </w:r>
          </w:p>
        </w:tc>
        <w:tc>
          <w:tcPr>
            <w:tcW w:w="4897" w:type="dxa"/>
            <w:shd w:val="clear" w:color="auto" w:fill="auto"/>
            <w:vAlign w:val="center"/>
          </w:tcPr>
          <w:p w14:paraId="69E83E1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活塞胶垫，气嘴外径8mm±0.1mm,长 度15mm，台阶口；抽气压强达到6.7kPa时，放置30s,漏气引起的压强变化应不大于2.6 kPa；充气压强达到290kPa 时，放置30s,漏气引起的压强变化应不大于9.8kPa</w:t>
            </w:r>
          </w:p>
        </w:tc>
        <w:tc>
          <w:tcPr>
            <w:tcW w:w="462" w:type="dxa"/>
            <w:shd w:val="clear" w:color="auto" w:fill="auto"/>
            <w:noWrap/>
            <w:vAlign w:val="center"/>
          </w:tcPr>
          <w:p w14:paraId="0DA2FA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07C93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63CB0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w:t>
            </w:r>
          </w:p>
        </w:tc>
        <w:tc>
          <w:tcPr>
            <w:tcW w:w="1489" w:type="dxa"/>
            <w:shd w:val="clear" w:color="auto" w:fill="auto"/>
            <w:noWrap/>
            <w:vAlign w:val="center"/>
          </w:tcPr>
          <w:p w14:paraId="615A34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w:t>
            </w:r>
          </w:p>
        </w:tc>
      </w:tr>
      <w:tr w14:paraId="1360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7F2EC9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49</w:t>
            </w:r>
          </w:p>
        </w:tc>
        <w:tc>
          <w:tcPr>
            <w:tcW w:w="1072" w:type="dxa"/>
            <w:shd w:val="clear" w:color="auto" w:fill="auto"/>
            <w:vAlign w:val="center"/>
          </w:tcPr>
          <w:p w14:paraId="6D6B02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打气筒</w:t>
            </w:r>
          </w:p>
        </w:tc>
        <w:tc>
          <w:tcPr>
            <w:tcW w:w="4897" w:type="dxa"/>
            <w:shd w:val="clear" w:color="auto" w:fill="auto"/>
            <w:vAlign w:val="center"/>
          </w:tcPr>
          <w:p w14:paraId="3D58F5D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气嘴外径8mm±0.1mm,长度15mm,台阶口，工作气压不小于0.295MPa</w:t>
            </w:r>
          </w:p>
        </w:tc>
        <w:tc>
          <w:tcPr>
            <w:tcW w:w="462" w:type="dxa"/>
            <w:shd w:val="clear" w:color="auto" w:fill="auto"/>
            <w:noWrap/>
            <w:vAlign w:val="center"/>
          </w:tcPr>
          <w:p w14:paraId="18DBAC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E7350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8E43C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c>
          <w:tcPr>
            <w:tcW w:w="1489" w:type="dxa"/>
            <w:shd w:val="clear" w:color="auto" w:fill="auto"/>
            <w:noWrap/>
            <w:vAlign w:val="center"/>
          </w:tcPr>
          <w:p w14:paraId="16F014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r>
      <w:tr w14:paraId="0F4E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F09AF0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50</w:t>
            </w:r>
          </w:p>
        </w:tc>
        <w:tc>
          <w:tcPr>
            <w:tcW w:w="1072" w:type="dxa"/>
            <w:shd w:val="clear" w:color="auto" w:fill="auto"/>
            <w:vAlign w:val="center"/>
          </w:tcPr>
          <w:p w14:paraId="618CAE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毛钱管 （牛顿管）</w:t>
            </w:r>
          </w:p>
        </w:tc>
        <w:tc>
          <w:tcPr>
            <w:tcW w:w="4897" w:type="dxa"/>
            <w:shd w:val="clear" w:color="auto" w:fill="auto"/>
            <w:vAlign w:val="center"/>
          </w:tcPr>
          <w:p w14:paraId="6D125A8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配真空泵；金属片和羽毛片有明显的颜色区分；抽气使管内压强降至一0.095MPa,停止抽气，静置1min,管内压强应保持一0.095MPa不变；金属片和羽毛片同时到达时间相差不超过0.02s</w:t>
            </w:r>
          </w:p>
        </w:tc>
        <w:tc>
          <w:tcPr>
            <w:tcW w:w="462" w:type="dxa"/>
            <w:shd w:val="clear" w:color="auto" w:fill="auto"/>
            <w:noWrap/>
            <w:vAlign w:val="center"/>
          </w:tcPr>
          <w:p w14:paraId="7427C3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47304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B7B75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173</w:t>
            </w:r>
          </w:p>
        </w:tc>
        <w:tc>
          <w:tcPr>
            <w:tcW w:w="1489" w:type="dxa"/>
            <w:shd w:val="clear" w:color="auto" w:fill="auto"/>
            <w:noWrap/>
            <w:vAlign w:val="center"/>
          </w:tcPr>
          <w:p w14:paraId="0A6993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173</w:t>
            </w:r>
          </w:p>
        </w:tc>
      </w:tr>
      <w:tr w14:paraId="5B83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2C6083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51</w:t>
            </w:r>
          </w:p>
        </w:tc>
        <w:tc>
          <w:tcPr>
            <w:tcW w:w="1072" w:type="dxa"/>
            <w:shd w:val="clear" w:color="auto" w:fill="auto"/>
            <w:vAlign w:val="center"/>
          </w:tcPr>
          <w:p w14:paraId="4235A3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自由落体实验仪</w:t>
            </w:r>
          </w:p>
        </w:tc>
        <w:tc>
          <w:tcPr>
            <w:tcW w:w="4897" w:type="dxa"/>
            <w:shd w:val="clear" w:color="auto" w:fill="auto"/>
            <w:vAlign w:val="center"/>
          </w:tcPr>
          <w:p w14:paraId="1EDA0BC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包括主杆、支架座、电磁铁，光电门， 钢球、钢球俘获装置、标尺及方向调节座等</w:t>
            </w:r>
          </w:p>
        </w:tc>
        <w:tc>
          <w:tcPr>
            <w:tcW w:w="462" w:type="dxa"/>
            <w:shd w:val="clear" w:color="auto" w:fill="auto"/>
            <w:noWrap/>
            <w:vAlign w:val="center"/>
          </w:tcPr>
          <w:p w14:paraId="2E0281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11C91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00E8E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346</w:t>
            </w:r>
          </w:p>
        </w:tc>
        <w:tc>
          <w:tcPr>
            <w:tcW w:w="1489" w:type="dxa"/>
            <w:shd w:val="clear" w:color="auto" w:fill="auto"/>
            <w:noWrap/>
            <w:vAlign w:val="center"/>
          </w:tcPr>
          <w:p w14:paraId="396B11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346</w:t>
            </w:r>
          </w:p>
        </w:tc>
      </w:tr>
      <w:tr w14:paraId="1BA4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E1E7A0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52</w:t>
            </w:r>
          </w:p>
        </w:tc>
        <w:tc>
          <w:tcPr>
            <w:tcW w:w="1072" w:type="dxa"/>
            <w:shd w:val="clear" w:color="auto" w:fill="auto"/>
            <w:vAlign w:val="center"/>
          </w:tcPr>
          <w:p w14:paraId="223D87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螺旋弹簧组</w:t>
            </w:r>
          </w:p>
        </w:tc>
        <w:tc>
          <w:tcPr>
            <w:tcW w:w="4897" w:type="dxa"/>
            <w:shd w:val="clear" w:color="auto" w:fill="auto"/>
            <w:vAlign w:val="center"/>
          </w:tcPr>
          <w:p w14:paraId="2D8E167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由拉力极限分别为4.9N、2.94N、1.96N、0.98N和0.49N的5种弹簧构成；各弹簧带长50mm挂钩（有指针），两端应为圆拉环，附标度板</w:t>
            </w:r>
          </w:p>
        </w:tc>
        <w:tc>
          <w:tcPr>
            <w:tcW w:w="462" w:type="dxa"/>
            <w:shd w:val="clear" w:color="auto" w:fill="auto"/>
            <w:noWrap/>
            <w:vAlign w:val="center"/>
          </w:tcPr>
          <w:p w14:paraId="3F017A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组</w:t>
            </w:r>
          </w:p>
        </w:tc>
        <w:tc>
          <w:tcPr>
            <w:tcW w:w="605" w:type="dxa"/>
            <w:shd w:val="clear" w:color="auto" w:fill="auto"/>
            <w:noWrap/>
            <w:vAlign w:val="center"/>
          </w:tcPr>
          <w:p w14:paraId="36BD9A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22EFAC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489" w:type="dxa"/>
            <w:shd w:val="clear" w:color="auto" w:fill="auto"/>
            <w:noWrap/>
            <w:vAlign w:val="center"/>
          </w:tcPr>
          <w:p w14:paraId="5FBAC85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200C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6F3F6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53</w:t>
            </w:r>
          </w:p>
        </w:tc>
        <w:tc>
          <w:tcPr>
            <w:tcW w:w="1072" w:type="dxa"/>
            <w:shd w:val="clear" w:color="auto" w:fill="auto"/>
            <w:vAlign w:val="center"/>
          </w:tcPr>
          <w:p w14:paraId="00E076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摩擦力演示器</w:t>
            </w:r>
          </w:p>
        </w:tc>
        <w:tc>
          <w:tcPr>
            <w:tcW w:w="4897" w:type="dxa"/>
            <w:shd w:val="clear" w:color="auto" w:fill="auto"/>
            <w:vAlign w:val="center"/>
          </w:tcPr>
          <w:p w14:paraId="3E1E124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由摩擦板、摩擦块、摩擦材料、匀速电机、定滑轮、测力计、测力计支架、细绳、钩码等组成。提供3种不同摩擦系统的摩擦面。摩擦板不小于800mmX100mmX10mm,平面度误差不大于0.6mm, 质地坚硬，表面均匀。摩擦块尺寸不小于11OmmX50mmX35mm,两摩擦面平面度误差应不大于0.1mm,侧面有挂钩。 电机拉动速度0cm/s～5cm/s,可调节。匀速运动速度误差±5%</w:t>
            </w:r>
          </w:p>
        </w:tc>
        <w:tc>
          <w:tcPr>
            <w:tcW w:w="462" w:type="dxa"/>
            <w:shd w:val="clear" w:color="auto" w:fill="auto"/>
            <w:noWrap/>
            <w:vAlign w:val="center"/>
          </w:tcPr>
          <w:p w14:paraId="22AF8B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439A7F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917E8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467</w:t>
            </w:r>
          </w:p>
        </w:tc>
        <w:tc>
          <w:tcPr>
            <w:tcW w:w="1489" w:type="dxa"/>
            <w:shd w:val="clear" w:color="auto" w:fill="auto"/>
            <w:noWrap/>
            <w:vAlign w:val="center"/>
          </w:tcPr>
          <w:p w14:paraId="4545C1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467</w:t>
            </w:r>
          </w:p>
        </w:tc>
      </w:tr>
      <w:tr w14:paraId="58BD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097E5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54</w:t>
            </w:r>
          </w:p>
        </w:tc>
        <w:tc>
          <w:tcPr>
            <w:tcW w:w="1072" w:type="dxa"/>
            <w:shd w:val="clear" w:color="auto" w:fill="auto"/>
            <w:vAlign w:val="center"/>
          </w:tcPr>
          <w:p w14:paraId="6E4072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力的合成与分解演示器</w:t>
            </w:r>
          </w:p>
        </w:tc>
        <w:tc>
          <w:tcPr>
            <w:tcW w:w="4897" w:type="dxa"/>
            <w:shd w:val="clear" w:color="auto" w:fill="auto"/>
            <w:vAlign w:val="center"/>
          </w:tcPr>
          <w:p w14:paraId="39878A1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仪器由分度标盘、汇力环、测力计、调节器、滑轮、滑轮夹、主杆、底座组成。仪器的结构符合力系构成的实际条件，在一个分度的直角座标盘上，借助于挂线将三个力汇集在一个园环上，构成共点力的平衡力系，以此来演示力的合成与分解。1.分度座标盘应采用塑料注塑成型，表面光滑平整、无变形，直径不小于270mm；2.主杆为金属制品，直径12mm,长不小于400mm,一端有M10的外丝，表面镀铬处理。</w:t>
            </w:r>
          </w:p>
        </w:tc>
        <w:tc>
          <w:tcPr>
            <w:tcW w:w="462" w:type="dxa"/>
            <w:shd w:val="clear" w:color="auto" w:fill="auto"/>
            <w:noWrap/>
            <w:vAlign w:val="center"/>
          </w:tcPr>
          <w:p w14:paraId="1FCA0A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2512B7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A0E4F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151</w:t>
            </w:r>
          </w:p>
        </w:tc>
        <w:tc>
          <w:tcPr>
            <w:tcW w:w="1489" w:type="dxa"/>
            <w:shd w:val="clear" w:color="auto" w:fill="auto"/>
            <w:noWrap/>
            <w:vAlign w:val="center"/>
          </w:tcPr>
          <w:p w14:paraId="7208DA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151</w:t>
            </w:r>
          </w:p>
        </w:tc>
      </w:tr>
      <w:tr w14:paraId="2BB0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36A71A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55</w:t>
            </w:r>
          </w:p>
        </w:tc>
        <w:tc>
          <w:tcPr>
            <w:tcW w:w="1072" w:type="dxa"/>
            <w:shd w:val="clear" w:color="auto" w:fill="auto"/>
            <w:vAlign w:val="center"/>
          </w:tcPr>
          <w:p w14:paraId="55968E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演示定滑轮</w:t>
            </w:r>
          </w:p>
        </w:tc>
        <w:tc>
          <w:tcPr>
            <w:tcW w:w="4897" w:type="dxa"/>
            <w:shd w:val="clear" w:color="auto" w:fill="auto"/>
            <w:vAlign w:val="center"/>
          </w:tcPr>
          <w:p w14:paraId="0BD72AA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有磁性，配合磁吸黑板使用，滑轮转盘尺寸不小于50mm</w:t>
            </w:r>
          </w:p>
        </w:tc>
        <w:tc>
          <w:tcPr>
            <w:tcW w:w="462" w:type="dxa"/>
            <w:shd w:val="clear" w:color="auto" w:fill="auto"/>
            <w:noWrap/>
            <w:vAlign w:val="center"/>
          </w:tcPr>
          <w:p w14:paraId="588D32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块</w:t>
            </w:r>
          </w:p>
        </w:tc>
        <w:tc>
          <w:tcPr>
            <w:tcW w:w="605" w:type="dxa"/>
            <w:shd w:val="clear" w:color="auto" w:fill="auto"/>
            <w:noWrap/>
            <w:vAlign w:val="center"/>
          </w:tcPr>
          <w:p w14:paraId="3BE570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6C252F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c>
          <w:tcPr>
            <w:tcW w:w="1489" w:type="dxa"/>
            <w:shd w:val="clear" w:color="auto" w:fill="auto"/>
            <w:noWrap/>
            <w:vAlign w:val="center"/>
          </w:tcPr>
          <w:p w14:paraId="699C49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116</w:t>
            </w:r>
          </w:p>
        </w:tc>
      </w:tr>
      <w:tr w14:paraId="4E62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AD6442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56</w:t>
            </w:r>
          </w:p>
        </w:tc>
        <w:tc>
          <w:tcPr>
            <w:tcW w:w="1072" w:type="dxa"/>
            <w:shd w:val="clear" w:color="auto" w:fill="auto"/>
            <w:vAlign w:val="center"/>
          </w:tcPr>
          <w:p w14:paraId="4900E2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条形盒测力计</w:t>
            </w:r>
          </w:p>
        </w:tc>
        <w:tc>
          <w:tcPr>
            <w:tcW w:w="4897" w:type="dxa"/>
            <w:shd w:val="clear" w:color="auto" w:fill="auto"/>
            <w:vAlign w:val="center"/>
          </w:tcPr>
          <w:p w14:paraId="41F5CFC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测量范围0N</w:t>
            </w:r>
            <w:r>
              <w:rPr>
                <w:rStyle w:val="45"/>
                <w:lang w:bidi="ar"/>
              </w:rPr>
              <w:t>〜</w:t>
            </w:r>
            <w:r>
              <w:rPr>
                <w:rFonts w:hint="eastAsia" w:ascii="宋体" w:hAnsi="宋体" w:cs="宋体"/>
                <w:color w:val="000000"/>
                <w:kern w:val="0"/>
                <w:sz w:val="22"/>
                <w:szCs w:val="22"/>
                <w:lang w:bidi="ar"/>
              </w:rPr>
              <w:t>1N,分度值0.01N；示值误差≤1/2分度，升降示差≤1/2分度，重复性偏差≤1/4分度</w:t>
            </w:r>
          </w:p>
        </w:tc>
        <w:tc>
          <w:tcPr>
            <w:tcW w:w="462" w:type="dxa"/>
            <w:shd w:val="clear" w:color="auto" w:fill="auto"/>
            <w:noWrap/>
            <w:vAlign w:val="center"/>
          </w:tcPr>
          <w:p w14:paraId="0E2FF2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07D05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373C69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23AD67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6883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2E2AAC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57</w:t>
            </w:r>
          </w:p>
        </w:tc>
        <w:tc>
          <w:tcPr>
            <w:tcW w:w="1072" w:type="dxa"/>
            <w:shd w:val="clear" w:color="auto" w:fill="auto"/>
            <w:vAlign w:val="center"/>
          </w:tcPr>
          <w:p w14:paraId="6CBD8B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条形盒测力计</w:t>
            </w:r>
          </w:p>
        </w:tc>
        <w:tc>
          <w:tcPr>
            <w:tcW w:w="4897" w:type="dxa"/>
            <w:shd w:val="clear" w:color="auto" w:fill="auto"/>
            <w:vAlign w:val="center"/>
          </w:tcPr>
          <w:p w14:paraId="3E8E27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测量范围0N</w:t>
            </w:r>
            <w:r>
              <w:rPr>
                <w:rStyle w:val="45"/>
                <w:lang w:bidi="ar"/>
              </w:rPr>
              <w:t>〜</w:t>
            </w:r>
            <w:r>
              <w:rPr>
                <w:rFonts w:hint="eastAsia" w:ascii="宋体" w:hAnsi="宋体" w:cs="宋体"/>
                <w:color w:val="000000"/>
                <w:kern w:val="0"/>
                <w:sz w:val="22"/>
                <w:szCs w:val="22"/>
                <w:lang w:bidi="ar"/>
              </w:rPr>
              <w:t>2.5N,分度值0.05N；示值误差≤1/4分度，升降示差≤1/2分度，重复性偏差≤1/4分度</w:t>
            </w:r>
          </w:p>
        </w:tc>
        <w:tc>
          <w:tcPr>
            <w:tcW w:w="462" w:type="dxa"/>
            <w:shd w:val="clear" w:color="auto" w:fill="auto"/>
            <w:noWrap/>
            <w:vAlign w:val="center"/>
          </w:tcPr>
          <w:p w14:paraId="6E9CCE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0B8AB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17A6CE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754EBB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670F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79B9FA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58</w:t>
            </w:r>
          </w:p>
        </w:tc>
        <w:tc>
          <w:tcPr>
            <w:tcW w:w="1072" w:type="dxa"/>
            <w:shd w:val="clear" w:color="auto" w:fill="auto"/>
            <w:vAlign w:val="center"/>
          </w:tcPr>
          <w:p w14:paraId="184966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条形盒测力计</w:t>
            </w:r>
          </w:p>
        </w:tc>
        <w:tc>
          <w:tcPr>
            <w:tcW w:w="4897" w:type="dxa"/>
            <w:shd w:val="clear" w:color="auto" w:fill="auto"/>
            <w:vAlign w:val="center"/>
          </w:tcPr>
          <w:p w14:paraId="5301127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测量范围0N</w:t>
            </w:r>
            <w:r>
              <w:rPr>
                <w:rStyle w:val="45"/>
                <w:lang w:bidi="ar"/>
              </w:rPr>
              <w:t>〜</w:t>
            </w:r>
            <w:r>
              <w:rPr>
                <w:rFonts w:hint="eastAsia" w:ascii="宋体" w:hAnsi="宋体" w:cs="宋体"/>
                <w:color w:val="000000"/>
                <w:kern w:val="0"/>
                <w:sz w:val="22"/>
                <w:szCs w:val="22"/>
                <w:lang w:bidi="ar"/>
              </w:rPr>
              <w:t>5N,分度值0.1N；示值误差≤1/4分度，升降示差≤1/2分度， 重复性偏差≤1/4分度</w:t>
            </w:r>
          </w:p>
        </w:tc>
        <w:tc>
          <w:tcPr>
            <w:tcW w:w="462" w:type="dxa"/>
            <w:shd w:val="clear" w:color="auto" w:fill="auto"/>
            <w:noWrap/>
            <w:vAlign w:val="center"/>
          </w:tcPr>
          <w:p w14:paraId="6B2F14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8395E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1BDE039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2F3D8B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6166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36859A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59</w:t>
            </w:r>
          </w:p>
        </w:tc>
        <w:tc>
          <w:tcPr>
            <w:tcW w:w="1072" w:type="dxa"/>
            <w:shd w:val="clear" w:color="auto" w:fill="auto"/>
            <w:vAlign w:val="center"/>
          </w:tcPr>
          <w:p w14:paraId="654417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条形盒测力计</w:t>
            </w:r>
          </w:p>
        </w:tc>
        <w:tc>
          <w:tcPr>
            <w:tcW w:w="4897" w:type="dxa"/>
            <w:shd w:val="clear" w:color="auto" w:fill="auto"/>
            <w:vAlign w:val="center"/>
          </w:tcPr>
          <w:p w14:paraId="0036826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测量范围0N</w:t>
            </w:r>
            <w:r>
              <w:rPr>
                <w:rStyle w:val="45"/>
                <w:lang w:bidi="ar"/>
              </w:rPr>
              <w:t>〜</w:t>
            </w:r>
            <w:r>
              <w:rPr>
                <w:rFonts w:hint="eastAsia" w:ascii="宋体" w:hAnsi="宋体" w:cs="宋体"/>
                <w:color w:val="000000"/>
                <w:kern w:val="0"/>
                <w:sz w:val="22"/>
                <w:szCs w:val="22"/>
                <w:lang w:bidi="ar"/>
              </w:rPr>
              <w:t>10N,分度值0.2N；示值误差≤1/4分度，升降示差≤1/2分度，重复性偏差≤1/4分度</w:t>
            </w:r>
          </w:p>
        </w:tc>
        <w:tc>
          <w:tcPr>
            <w:tcW w:w="462" w:type="dxa"/>
            <w:shd w:val="clear" w:color="auto" w:fill="auto"/>
            <w:noWrap/>
            <w:vAlign w:val="center"/>
          </w:tcPr>
          <w:p w14:paraId="46359A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16EA4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5CB5CA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4522C1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10A6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66B973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60</w:t>
            </w:r>
          </w:p>
        </w:tc>
        <w:tc>
          <w:tcPr>
            <w:tcW w:w="1072" w:type="dxa"/>
            <w:shd w:val="clear" w:color="auto" w:fill="auto"/>
            <w:vAlign w:val="center"/>
          </w:tcPr>
          <w:p w14:paraId="5895301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量角器（圆等分器）</w:t>
            </w:r>
          </w:p>
        </w:tc>
        <w:tc>
          <w:tcPr>
            <w:tcW w:w="4897" w:type="dxa"/>
            <w:shd w:val="clear" w:color="auto" w:fill="auto"/>
            <w:vAlign w:val="center"/>
          </w:tcPr>
          <w:p w14:paraId="6E638A2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最小分度值应为1°,分度线应为0°</w:t>
            </w:r>
            <w:r>
              <w:rPr>
                <w:rStyle w:val="45"/>
                <w:lang w:bidi="ar"/>
              </w:rPr>
              <w:t>〜</w:t>
            </w:r>
            <w:r>
              <w:rPr>
                <w:rFonts w:hint="eastAsia" w:ascii="宋体" w:hAnsi="宋体" w:cs="宋体"/>
                <w:color w:val="000000"/>
                <w:kern w:val="0"/>
                <w:sz w:val="22"/>
                <w:szCs w:val="22"/>
                <w:lang w:bidi="ar"/>
              </w:rPr>
              <w:t>180°和180°</w:t>
            </w:r>
            <w:r>
              <w:rPr>
                <w:rStyle w:val="45"/>
                <w:lang w:bidi="ar"/>
              </w:rPr>
              <w:t>〜</w:t>
            </w:r>
            <w:r>
              <w:rPr>
                <w:rFonts w:hint="eastAsia" w:ascii="宋体" w:hAnsi="宋体" w:cs="宋体"/>
                <w:color w:val="000000"/>
                <w:kern w:val="0"/>
                <w:sz w:val="22"/>
                <w:szCs w:val="22"/>
                <w:lang w:bidi="ar"/>
              </w:rPr>
              <w:t>0°双向标度，双向角度标度中间有划线槽。半圆直径应为500mm</w:t>
            </w:r>
            <w:r>
              <w:rPr>
                <w:rStyle w:val="45"/>
                <w:lang w:bidi="ar"/>
              </w:rPr>
              <w:t>〜</w:t>
            </w:r>
            <w:r>
              <w:rPr>
                <w:rFonts w:hint="eastAsia" w:ascii="宋体" w:hAnsi="宋体" w:cs="宋体"/>
                <w:color w:val="000000"/>
                <w:kern w:val="0"/>
                <w:sz w:val="22"/>
                <w:szCs w:val="22"/>
                <w:lang w:bidi="ar"/>
              </w:rPr>
              <w:t>510mm,尺面厚不小于6mm</w:t>
            </w:r>
          </w:p>
        </w:tc>
        <w:tc>
          <w:tcPr>
            <w:tcW w:w="462" w:type="dxa"/>
            <w:shd w:val="clear" w:color="auto" w:fill="auto"/>
            <w:noWrap/>
            <w:vAlign w:val="center"/>
          </w:tcPr>
          <w:p w14:paraId="7BB898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3B84F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00D415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635A0C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540</w:t>
            </w:r>
          </w:p>
        </w:tc>
      </w:tr>
      <w:tr w14:paraId="237D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0610EA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61</w:t>
            </w:r>
          </w:p>
        </w:tc>
        <w:tc>
          <w:tcPr>
            <w:tcW w:w="1072" w:type="dxa"/>
            <w:shd w:val="clear" w:color="auto" w:fill="auto"/>
            <w:vAlign w:val="center"/>
          </w:tcPr>
          <w:p w14:paraId="567C27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三角板</w:t>
            </w:r>
          </w:p>
        </w:tc>
        <w:tc>
          <w:tcPr>
            <w:tcW w:w="4897" w:type="dxa"/>
            <w:shd w:val="clear" w:color="auto" w:fill="auto"/>
            <w:vAlign w:val="center"/>
          </w:tcPr>
          <w:p w14:paraId="741015E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等腰直角，中间带量角器，斜边不小于300mm</w:t>
            </w:r>
          </w:p>
        </w:tc>
        <w:tc>
          <w:tcPr>
            <w:tcW w:w="462" w:type="dxa"/>
            <w:shd w:val="clear" w:color="auto" w:fill="auto"/>
            <w:noWrap/>
            <w:vAlign w:val="center"/>
          </w:tcPr>
          <w:p w14:paraId="28241E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CC12B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9ACBD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c>
          <w:tcPr>
            <w:tcW w:w="1489" w:type="dxa"/>
            <w:shd w:val="clear" w:color="auto" w:fill="auto"/>
            <w:noWrap/>
            <w:vAlign w:val="center"/>
          </w:tcPr>
          <w:p w14:paraId="22FB73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660</w:t>
            </w:r>
          </w:p>
        </w:tc>
      </w:tr>
      <w:tr w14:paraId="296C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F8CBBA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62</w:t>
            </w:r>
          </w:p>
        </w:tc>
        <w:tc>
          <w:tcPr>
            <w:tcW w:w="1072" w:type="dxa"/>
            <w:shd w:val="clear" w:color="auto" w:fill="auto"/>
            <w:vAlign w:val="center"/>
          </w:tcPr>
          <w:p w14:paraId="4506D0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圆规</w:t>
            </w:r>
          </w:p>
        </w:tc>
        <w:tc>
          <w:tcPr>
            <w:tcW w:w="4897" w:type="dxa"/>
            <w:shd w:val="clear" w:color="auto" w:fill="auto"/>
            <w:vAlign w:val="center"/>
          </w:tcPr>
          <w:p w14:paraId="316958C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教学用</w:t>
            </w:r>
          </w:p>
        </w:tc>
        <w:tc>
          <w:tcPr>
            <w:tcW w:w="462" w:type="dxa"/>
            <w:shd w:val="clear" w:color="auto" w:fill="auto"/>
            <w:noWrap/>
            <w:vAlign w:val="center"/>
          </w:tcPr>
          <w:p w14:paraId="317F5E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E5FD5E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3D9E14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749594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3625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6C6E2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63</w:t>
            </w:r>
          </w:p>
        </w:tc>
        <w:tc>
          <w:tcPr>
            <w:tcW w:w="1072" w:type="dxa"/>
            <w:shd w:val="clear" w:color="auto" w:fill="auto"/>
            <w:vAlign w:val="center"/>
          </w:tcPr>
          <w:p w14:paraId="6ACA40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伽利略理想斜面演示器</w:t>
            </w:r>
          </w:p>
        </w:tc>
        <w:tc>
          <w:tcPr>
            <w:tcW w:w="4897" w:type="dxa"/>
            <w:shd w:val="clear" w:color="auto" w:fill="auto"/>
            <w:vAlign w:val="center"/>
          </w:tcPr>
          <w:p w14:paraId="6C1A78F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长度≥1200mm, 一端高度可连续升降，连接曲面光滑</w:t>
            </w:r>
          </w:p>
        </w:tc>
        <w:tc>
          <w:tcPr>
            <w:tcW w:w="462" w:type="dxa"/>
            <w:shd w:val="clear" w:color="auto" w:fill="auto"/>
            <w:noWrap/>
            <w:vAlign w:val="center"/>
          </w:tcPr>
          <w:p w14:paraId="4EA0B5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6604B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73FBF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453</w:t>
            </w:r>
          </w:p>
        </w:tc>
        <w:tc>
          <w:tcPr>
            <w:tcW w:w="1489" w:type="dxa"/>
            <w:shd w:val="clear" w:color="auto" w:fill="auto"/>
            <w:noWrap/>
            <w:vAlign w:val="center"/>
          </w:tcPr>
          <w:p w14:paraId="23A2C3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453</w:t>
            </w:r>
          </w:p>
        </w:tc>
      </w:tr>
      <w:tr w14:paraId="2B69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CDFD70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64</w:t>
            </w:r>
          </w:p>
        </w:tc>
        <w:tc>
          <w:tcPr>
            <w:tcW w:w="1072" w:type="dxa"/>
            <w:shd w:val="clear" w:color="auto" w:fill="auto"/>
            <w:vAlign w:val="center"/>
          </w:tcPr>
          <w:p w14:paraId="124979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牛顿第二定律演示仪</w:t>
            </w:r>
          </w:p>
        </w:tc>
        <w:tc>
          <w:tcPr>
            <w:tcW w:w="4897" w:type="dxa"/>
            <w:shd w:val="clear" w:color="auto" w:fill="auto"/>
            <w:vAlign w:val="center"/>
          </w:tcPr>
          <w:p w14:paraId="27D7EE3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含铝合金底座、支架、1.2m平行双轨平行铝合金轨道、轨道滑块、轨道堵头、轨道小车、显示屏直读的专用加速度计、配套钩码（注塑成型挂钩，挂钩的受力点与轴心一致，精度1%）、配重等。轨道配有电磁释放装置，可同时释放2个轨道小车</w:t>
            </w:r>
          </w:p>
        </w:tc>
        <w:tc>
          <w:tcPr>
            <w:tcW w:w="462" w:type="dxa"/>
            <w:shd w:val="clear" w:color="auto" w:fill="auto"/>
            <w:noWrap/>
            <w:vAlign w:val="center"/>
          </w:tcPr>
          <w:p w14:paraId="21D986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118E8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3A67E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343</w:t>
            </w:r>
          </w:p>
        </w:tc>
        <w:tc>
          <w:tcPr>
            <w:tcW w:w="1489" w:type="dxa"/>
            <w:shd w:val="clear" w:color="auto" w:fill="auto"/>
            <w:noWrap/>
            <w:vAlign w:val="center"/>
          </w:tcPr>
          <w:p w14:paraId="454CB9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343</w:t>
            </w:r>
          </w:p>
        </w:tc>
      </w:tr>
      <w:tr w14:paraId="6E75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9E061B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65</w:t>
            </w:r>
          </w:p>
        </w:tc>
        <w:tc>
          <w:tcPr>
            <w:tcW w:w="1072" w:type="dxa"/>
            <w:shd w:val="clear" w:color="auto" w:fill="auto"/>
            <w:vAlign w:val="center"/>
          </w:tcPr>
          <w:p w14:paraId="0011A3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架盘天平（托盘天平）</w:t>
            </w:r>
          </w:p>
        </w:tc>
        <w:tc>
          <w:tcPr>
            <w:tcW w:w="4897" w:type="dxa"/>
            <w:shd w:val="clear" w:color="auto" w:fill="auto"/>
            <w:vAlign w:val="center"/>
          </w:tcPr>
          <w:p w14:paraId="3FC45A7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测量范围0g～100g,分度值0.1g</w:t>
            </w:r>
          </w:p>
        </w:tc>
        <w:tc>
          <w:tcPr>
            <w:tcW w:w="462" w:type="dxa"/>
            <w:shd w:val="clear" w:color="auto" w:fill="auto"/>
            <w:noWrap/>
            <w:vAlign w:val="center"/>
          </w:tcPr>
          <w:p w14:paraId="6ACF4C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2DC691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w:t>
            </w:r>
          </w:p>
        </w:tc>
        <w:tc>
          <w:tcPr>
            <w:tcW w:w="1048" w:type="dxa"/>
            <w:shd w:val="clear" w:color="auto" w:fill="auto"/>
            <w:noWrap/>
            <w:vAlign w:val="center"/>
          </w:tcPr>
          <w:p w14:paraId="35CDF1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77</w:t>
            </w:r>
          </w:p>
        </w:tc>
        <w:tc>
          <w:tcPr>
            <w:tcW w:w="1489" w:type="dxa"/>
            <w:shd w:val="clear" w:color="auto" w:fill="auto"/>
            <w:noWrap/>
            <w:vAlign w:val="center"/>
          </w:tcPr>
          <w:p w14:paraId="38C812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1925</w:t>
            </w:r>
          </w:p>
        </w:tc>
      </w:tr>
      <w:tr w14:paraId="10C4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D0F2A3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66</w:t>
            </w:r>
          </w:p>
        </w:tc>
        <w:tc>
          <w:tcPr>
            <w:tcW w:w="1072" w:type="dxa"/>
            <w:shd w:val="clear" w:color="auto" w:fill="auto"/>
            <w:vAlign w:val="center"/>
          </w:tcPr>
          <w:p w14:paraId="09D2A1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电子天平</w:t>
            </w:r>
          </w:p>
        </w:tc>
        <w:tc>
          <w:tcPr>
            <w:tcW w:w="4897" w:type="dxa"/>
            <w:shd w:val="clear" w:color="auto" w:fill="auto"/>
            <w:vAlign w:val="center"/>
          </w:tcPr>
          <w:p w14:paraId="7095DC9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1、测量范围0g</w:t>
            </w:r>
            <w:r>
              <w:rPr>
                <w:rStyle w:val="45"/>
                <w:lang w:bidi="ar"/>
              </w:rPr>
              <w:t>〜</w:t>
            </w:r>
            <w:r>
              <w:rPr>
                <w:rFonts w:hint="eastAsia" w:ascii="宋体" w:hAnsi="宋体" w:cs="宋体"/>
                <w:color w:val="000000"/>
                <w:kern w:val="0"/>
                <w:sz w:val="22"/>
                <w:szCs w:val="22"/>
                <w:lang w:bidi="ar"/>
              </w:rPr>
              <w:t>100g；2、分辨力0.001 g，3、采用高精度应变式称量传感器。4、自动外置砝码校准，标配砝码操作简便。5、可拆卸式方形透明防风罩。6、数码显示。7、具有超载保护及去皮，计数等功能。8、产品应符合JJG1036-2008《电子天平》。</w:t>
            </w:r>
          </w:p>
        </w:tc>
        <w:tc>
          <w:tcPr>
            <w:tcW w:w="462" w:type="dxa"/>
            <w:shd w:val="clear" w:color="auto" w:fill="auto"/>
            <w:noWrap/>
            <w:vAlign w:val="center"/>
          </w:tcPr>
          <w:p w14:paraId="403C39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616E9A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B34CE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566</w:t>
            </w:r>
          </w:p>
        </w:tc>
        <w:tc>
          <w:tcPr>
            <w:tcW w:w="1489" w:type="dxa"/>
            <w:shd w:val="clear" w:color="auto" w:fill="auto"/>
            <w:noWrap/>
            <w:vAlign w:val="center"/>
          </w:tcPr>
          <w:p w14:paraId="63ECDC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566</w:t>
            </w:r>
          </w:p>
        </w:tc>
      </w:tr>
      <w:tr w14:paraId="765E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43F15B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67</w:t>
            </w:r>
          </w:p>
        </w:tc>
        <w:tc>
          <w:tcPr>
            <w:tcW w:w="1072" w:type="dxa"/>
            <w:shd w:val="clear" w:color="auto" w:fill="auto"/>
            <w:vAlign w:val="center"/>
          </w:tcPr>
          <w:p w14:paraId="13317E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电子天平</w:t>
            </w:r>
          </w:p>
        </w:tc>
        <w:tc>
          <w:tcPr>
            <w:tcW w:w="4897" w:type="dxa"/>
            <w:shd w:val="clear" w:color="auto" w:fill="auto"/>
            <w:vAlign w:val="center"/>
          </w:tcPr>
          <w:p w14:paraId="6CDB40F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1、测量范围0g</w:t>
            </w:r>
            <w:r>
              <w:rPr>
                <w:rStyle w:val="45"/>
                <w:lang w:bidi="ar"/>
              </w:rPr>
              <w:t>〜</w:t>
            </w:r>
            <w:r>
              <w:rPr>
                <w:rFonts w:hint="eastAsia" w:ascii="宋体" w:hAnsi="宋体" w:cs="宋体"/>
                <w:color w:val="000000"/>
                <w:kern w:val="0"/>
                <w:sz w:val="22"/>
                <w:szCs w:val="22"/>
                <w:lang w:bidi="ar"/>
              </w:rPr>
              <w:t>1000g；2、分辨力0.1 g，3、采用高精度应变式称量传感器。4、自动外置砝码校准，标配砝码操作简便。5、可拆卸式方形透明防风罩。6、数码显示。7、具有超载保护及去皮，计数等功能。8、产品应符合JJG1036-2008《电子天平》。</w:t>
            </w:r>
          </w:p>
        </w:tc>
        <w:tc>
          <w:tcPr>
            <w:tcW w:w="462" w:type="dxa"/>
            <w:shd w:val="clear" w:color="auto" w:fill="auto"/>
            <w:noWrap/>
            <w:vAlign w:val="center"/>
          </w:tcPr>
          <w:p w14:paraId="325815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8314A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5FB1A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302</w:t>
            </w:r>
          </w:p>
        </w:tc>
        <w:tc>
          <w:tcPr>
            <w:tcW w:w="1489" w:type="dxa"/>
            <w:shd w:val="clear" w:color="auto" w:fill="auto"/>
            <w:noWrap/>
            <w:vAlign w:val="center"/>
          </w:tcPr>
          <w:p w14:paraId="5D3932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302</w:t>
            </w:r>
          </w:p>
        </w:tc>
      </w:tr>
      <w:tr w14:paraId="4DC8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52F2C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68</w:t>
            </w:r>
          </w:p>
        </w:tc>
        <w:tc>
          <w:tcPr>
            <w:tcW w:w="1072" w:type="dxa"/>
            <w:shd w:val="clear" w:color="auto" w:fill="auto"/>
            <w:vAlign w:val="center"/>
          </w:tcPr>
          <w:p w14:paraId="59395D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电子台秤</w:t>
            </w:r>
          </w:p>
        </w:tc>
        <w:tc>
          <w:tcPr>
            <w:tcW w:w="4897" w:type="dxa"/>
            <w:shd w:val="clear" w:color="auto" w:fill="auto"/>
            <w:vAlign w:val="center"/>
          </w:tcPr>
          <w:p w14:paraId="08C84F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测量范围0g</w:t>
            </w:r>
            <w:r>
              <w:rPr>
                <w:rStyle w:val="45"/>
                <w:lang w:bidi="ar"/>
              </w:rPr>
              <w:t>〜</w:t>
            </w:r>
            <w:r>
              <w:rPr>
                <w:rFonts w:hint="eastAsia" w:ascii="宋体" w:hAnsi="宋体" w:cs="宋体"/>
                <w:color w:val="000000"/>
                <w:kern w:val="0"/>
                <w:sz w:val="22"/>
                <w:szCs w:val="22"/>
                <w:lang w:bidi="ar"/>
              </w:rPr>
              <w:t>5kg,分辨力0.1g</w:t>
            </w:r>
          </w:p>
        </w:tc>
        <w:tc>
          <w:tcPr>
            <w:tcW w:w="462" w:type="dxa"/>
            <w:shd w:val="clear" w:color="auto" w:fill="auto"/>
            <w:noWrap/>
            <w:vAlign w:val="center"/>
          </w:tcPr>
          <w:p w14:paraId="07A8A0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6B22B6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DAE0E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479</w:t>
            </w:r>
          </w:p>
        </w:tc>
        <w:tc>
          <w:tcPr>
            <w:tcW w:w="1489" w:type="dxa"/>
            <w:shd w:val="clear" w:color="auto" w:fill="auto"/>
            <w:noWrap/>
            <w:vAlign w:val="center"/>
          </w:tcPr>
          <w:p w14:paraId="0977A3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479</w:t>
            </w:r>
          </w:p>
        </w:tc>
      </w:tr>
      <w:tr w14:paraId="3B86B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82F876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69</w:t>
            </w:r>
          </w:p>
        </w:tc>
        <w:tc>
          <w:tcPr>
            <w:tcW w:w="1072" w:type="dxa"/>
            <w:shd w:val="clear" w:color="auto" w:fill="auto"/>
            <w:vAlign w:val="center"/>
          </w:tcPr>
          <w:p w14:paraId="7269B9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重锤</w:t>
            </w:r>
          </w:p>
        </w:tc>
        <w:tc>
          <w:tcPr>
            <w:tcW w:w="4897" w:type="dxa"/>
            <w:shd w:val="clear" w:color="auto" w:fill="auto"/>
            <w:vAlign w:val="center"/>
          </w:tcPr>
          <w:p w14:paraId="5D0AE43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300g、600g</w:t>
            </w:r>
          </w:p>
        </w:tc>
        <w:tc>
          <w:tcPr>
            <w:tcW w:w="462" w:type="dxa"/>
            <w:shd w:val="clear" w:color="auto" w:fill="auto"/>
            <w:noWrap/>
            <w:vAlign w:val="center"/>
          </w:tcPr>
          <w:p w14:paraId="05E0EE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211B9E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BAA2C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w:t>
            </w:r>
          </w:p>
        </w:tc>
        <w:tc>
          <w:tcPr>
            <w:tcW w:w="1489" w:type="dxa"/>
            <w:shd w:val="clear" w:color="auto" w:fill="auto"/>
            <w:noWrap/>
            <w:vAlign w:val="center"/>
          </w:tcPr>
          <w:p w14:paraId="0A8C18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w:t>
            </w:r>
          </w:p>
        </w:tc>
      </w:tr>
      <w:tr w14:paraId="5C48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ADC8D3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70</w:t>
            </w:r>
          </w:p>
        </w:tc>
        <w:tc>
          <w:tcPr>
            <w:tcW w:w="1072" w:type="dxa"/>
            <w:shd w:val="clear" w:color="auto" w:fill="auto"/>
            <w:vAlign w:val="center"/>
          </w:tcPr>
          <w:p w14:paraId="3A2224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超重失重演示器</w:t>
            </w:r>
          </w:p>
        </w:tc>
        <w:tc>
          <w:tcPr>
            <w:tcW w:w="4897" w:type="dxa"/>
            <w:shd w:val="clear" w:color="auto" w:fill="auto"/>
            <w:vAlign w:val="center"/>
          </w:tcPr>
          <w:p w14:paraId="4AE9260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记忆式</w:t>
            </w:r>
          </w:p>
        </w:tc>
        <w:tc>
          <w:tcPr>
            <w:tcW w:w="462" w:type="dxa"/>
            <w:shd w:val="clear" w:color="auto" w:fill="auto"/>
            <w:noWrap/>
            <w:vAlign w:val="center"/>
          </w:tcPr>
          <w:p w14:paraId="6D63D4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29CAA8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EAE1B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398</w:t>
            </w:r>
          </w:p>
        </w:tc>
        <w:tc>
          <w:tcPr>
            <w:tcW w:w="1489" w:type="dxa"/>
            <w:shd w:val="clear" w:color="auto" w:fill="auto"/>
            <w:noWrap/>
            <w:vAlign w:val="center"/>
          </w:tcPr>
          <w:p w14:paraId="585552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398</w:t>
            </w:r>
          </w:p>
        </w:tc>
      </w:tr>
      <w:tr w14:paraId="3E9E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8B06DD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71</w:t>
            </w:r>
          </w:p>
        </w:tc>
        <w:tc>
          <w:tcPr>
            <w:tcW w:w="1072" w:type="dxa"/>
            <w:shd w:val="clear" w:color="auto" w:fill="auto"/>
            <w:vAlign w:val="center"/>
          </w:tcPr>
          <w:p w14:paraId="0372F76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体重秤</w:t>
            </w:r>
          </w:p>
        </w:tc>
        <w:tc>
          <w:tcPr>
            <w:tcW w:w="4897" w:type="dxa"/>
            <w:shd w:val="clear" w:color="auto" w:fill="auto"/>
            <w:vAlign w:val="center"/>
          </w:tcPr>
          <w:p w14:paraId="6C88D3A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指针式，测量范围0kg</w:t>
            </w:r>
            <w:r>
              <w:rPr>
                <w:rStyle w:val="45"/>
                <w:lang w:bidi="ar"/>
              </w:rPr>
              <w:t>〜</w:t>
            </w:r>
            <w:r>
              <w:rPr>
                <w:rFonts w:hint="eastAsia" w:ascii="宋体" w:hAnsi="宋体" w:cs="宋体"/>
                <w:color w:val="000000"/>
                <w:kern w:val="0"/>
                <w:sz w:val="22"/>
                <w:szCs w:val="22"/>
                <w:lang w:bidi="ar"/>
              </w:rPr>
              <w:t>160kg,分度值0.5kg</w:t>
            </w:r>
          </w:p>
        </w:tc>
        <w:tc>
          <w:tcPr>
            <w:tcW w:w="462" w:type="dxa"/>
            <w:shd w:val="clear" w:color="auto" w:fill="auto"/>
            <w:noWrap/>
            <w:vAlign w:val="center"/>
          </w:tcPr>
          <w:p w14:paraId="582D57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5E7D31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3D638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473</w:t>
            </w:r>
          </w:p>
        </w:tc>
        <w:tc>
          <w:tcPr>
            <w:tcW w:w="1489" w:type="dxa"/>
            <w:shd w:val="clear" w:color="auto" w:fill="auto"/>
            <w:noWrap/>
            <w:vAlign w:val="center"/>
          </w:tcPr>
          <w:p w14:paraId="4C42ED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473</w:t>
            </w:r>
          </w:p>
        </w:tc>
      </w:tr>
      <w:tr w14:paraId="03ED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92EB63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72</w:t>
            </w:r>
          </w:p>
        </w:tc>
        <w:tc>
          <w:tcPr>
            <w:tcW w:w="1072" w:type="dxa"/>
            <w:shd w:val="clear" w:color="auto" w:fill="auto"/>
            <w:vAlign w:val="center"/>
          </w:tcPr>
          <w:p w14:paraId="701053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滚摆</w:t>
            </w:r>
          </w:p>
        </w:tc>
        <w:tc>
          <w:tcPr>
            <w:tcW w:w="4897" w:type="dxa"/>
            <w:shd w:val="clear" w:color="auto" w:fill="auto"/>
            <w:vAlign w:val="center"/>
          </w:tcPr>
          <w:p w14:paraId="3D58F1E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包括摆体（摆轮和摆轴）、悬线和支架等。摆轮采用金属材质，直径125mm； 摆轴采用钢材制作，直径8mm，长160mm；支架高460mm,横梁长300mm；摆体质 量为0.6kg</w:t>
            </w:r>
            <w:r>
              <w:rPr>
                <w:rStyle w:val="45"/>
                <w:lang w:bidi="ar"/>
              </w:rPr>
              <w:t>〜</w:t>
            </w:r>
            <w:r>
              <w:rPr>
                <w:rFonts w:hint="eastAsia" w:ascii="宋体" w:hAnsi="宋体" w:cs="宋体"/>
                <w:color w:val="000000"/>
                <w:kern w:val="0"/>
                <w:sz w:val="22"/>
                <w:szCs w:val="22"/>
                <w:lang w:bidi="ar"/>
              </w:rPr>
              <w:t>0.8kg。摆体前10次的回升累计递减量应≤65mm</w:t>
            </w:r>
          </w:p>
        </w:tc>
        <w:tc>
          <w:tcPr>
            <w:tcW w:w="462" w:type="dxa"/>
            <w:shd w:val="clear" w:color="auto" w:fill="auto"/>
            <w:noWrap/>
            <w:vAlign w:val="center"/>
          </w:tcPr>
          <w:p w14:paraId="18456D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A8123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73FF2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83</w:t>
            </w:r>
          </w:p>
        </w:tc>
        <w:tc>
          <w:tcPr>
            <w:tcW w:w="1489" w:type="dxa"/>
            <w:shd w:val="clear" w:color="auto" w:fill="auto"/>
            <w:noWrap/>
            <w:vAlign w:val="center"/>
          </w:tcPr>
          <w:p w14:paraId="3B493E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83</w:t>
            </w:r>
          </w:p>
        </w:tc>
      </w:tr>
      <w:tr w14:paraId="1440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40ADF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73</w:t>
            </w:r>
          </w:p>
        </w:tc>
        <w:tc>
          <w:tcPr>
            <w:tcW w:w="1072" w:type="dxa"/>
            <w:shd w:val="clear" w:color="auto" w:fill="auto"/>
            <w:vAlign w:val="center"/>
          </w:tcPr>
          <w:p w14:paraId="5C5FF6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气垫导轨</w:t>
            </w:r>
          </w:p>
        </w:tc>
        <w:tc>
          <w:tcPr>
            <w:tcW w:w="4897" w:type="dxa"/>
            <w:shd w:val="clear" w:color="auto" w:fill="auto"/>
            <w:vAlign w:val="center"/>
          </w:tcPr>
          <w:p w14:paraId="688C67F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导轨长1200mm</w:t>
            </w:r>
            <w:r>
              <w:rPr>
                <w:rStyle w:val="45"/>
                <w:lang w:bidi="ar"/>
              </w:rPr>
              <w:t>〜</w:t>
            </w:r>
            <w:r>
              <w:rPr>
                <w:rFonts w:hint="eastAsia" w:ascii="宋体" w:hAnsi="宋体" w:cs="宋体"/>
                <w:color w:val="000000"/>
                <w:kern w:val="0"/>
                <w:sz w:val="22"/>
                <w:szCs w:val="22"/>
                <w:lang w:bidi="ar"/>
              </w:rPr>
              <w:t>2000mm,配气源，含滑行器、配备块、挡光片、挡光条、弹性碰撞器、非弹性碰撞器、滑轮、垫脚、定高垫块、砝码盘、弹簧振子、光电门架等附件</w:t>
            </w:r>
          </w:p>
        </w:tc>
        <w:tc>
          <w:tcPr>
            <w:tcW w:w="462" w:type="dxa"/>
            <w:shd w:val="clear" w:color="auto" w:fill="auto"/>
            <w:noWrap/>
            <w:vAlign w:val="center"/>
          </w:tcPr>
          <w:p w14:paraId="6D7D90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0511DF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19A7C1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506</w:t>
            </w:r>
          </w:p>
        </w:tc>
        <w:tc>
          <w:tcPr>
            <w:tcW w:w="1489" w:type="dxa"/>
            <w:shd w:val="clear" w:color="auto" w:fill="auto"/>
            <w:noWrap/>
            <w:vAlign w:val="center"/>
          </w:tcPr>
          <w:p w14:paraId="53A8F8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7590</w:t>
            </w:r>
          </w:p>
        </w:tc>
      </w:tr>
      <w:tr w14:paraId="153D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559D72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74</w:t>
            </w:r>
          </w:p>
        </w:tc>
        <w:tc>
          <w:tcPr>
            <w:tcW w:w="1072" w:type="dxa"/>
            <w:shd w:val="clear" w:color="auto" w:fill="auto"/>
            <w:vAlign w:val="center"/>
          </w:tcPr>
          <w:p w14:paraId="629F00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小型气源</w:t>
            </w:r>
          </w:p>
        </w:tc>
        <w:tc>
          <w:tcPr>
            <w:tcW w:w="4897" w:type="dxa"/>
            <w:shd w:val="clear" w:color="auto" w:fill="auto"/>
            <w:vAlign w:val="center"/>
          </w:tcPr>
          <w:p w14:paraId="08F277B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气压不小于5kPa,静音气源，噪音不大于55dB,应有配合弹簧振子和气垫导轨使用的接口或过渡接口</w:t>
            </w:r>
          </w:p>
        </w:tc>
        <w:tc>
          <w:tcPr>
            <w:tcW w:w="462" w:type="dxa"/>
            <w:shd w:val="clear" w:color="auto" w:fill="auto"/>
            <w:noWrap/>
            <w:vAlign w:val="center"/>
          </w:tcPr>
          <w:p w14:paraId="58E63F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41664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A12D2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388</w:t>
            </w:r>
          </w:p>
        </w:tc>
        <w:tc>
          <w:tcPr>
            <w:tcW w:w="1489" w:type="dxa"/>
            <w:shd w:val="clear" w:color="auto" w:fill="auto"/>
            <w:noWrap/>
            <w:vAlign w:val="center"/>
          </w:tcPr>
          <w:p w14:paraId="7F164A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5820</w:t>
            </w:r>
          </w:p>
        </w:tc>
      </w:tr>
      <w:tr w14:paraId="77F5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1839A1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75</w:t>
            </w:r>
          </w:p>
        </w:tc>
        <w:tc>
          <w:tcPr>
            <w:tcW w:w="1072" w:type="dxa"/>
            <w:shd w:val="clear" w:color="auto" w:fill="auto"/>
            <w:vAlign w:val="center"/>
          </w:tcPr>
          <w:p w14:paraId="10BC11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数字计时器</w:t>
            </w:r>
          </w:p>
        </w:tc>
        <w:tc>
          <w:tcPr>
            <w:tcW w:w="4897" w:type="dxa"/>
            <w:shd w:val="clear" w:color="auto" w:fill="auto"/>
            <w:vAlign w:val="center"/>
          </w:tcPr>
          <w:p w14:paraId="19EF498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四位及以上，数据存储。可通过液晶屏选择控制菜单，可设定多种计时模式，包括通过时间、挡光时间、速度、周期、平均周期、平均频率、计数、单摆周期、平均单摆周期、平均单摆频率、周期数等，能显示10个挡光间隔时间、10周振动、n次振动时间总和、加速度计时3个时间、自由落体时间不少于2个、2路光电门分别计2个挡光时间（对碰、追碰），对应间隔时间的平均速度、加速度、碰撞计时四个平均速度；电磁铁可调释放延时补偿。具有2路光电门接口、2路独立计时触发按钮，有电磁铁接口，统一通用接口，1个电磁释放按钮，能够存储不少于20组数据。可用于匀加速运动、自由落体、圆周运动、牛顿第二定律、摆、碰撞、声速测量等实验。时间测量精度：0.01ms；可计时范围：0.02ms～100h„配备无线传输模块，可与显示屏配套使用</w:t>
            </w:r>
          </w:p>
        </w:tc>
        <w:tc>
          <w:tcPr>
            <w:tcW w:w="462" w:type="dxa"/>
            <w:shd w:val="clear" w:color="auto" w:fill="auto"/>
            <w:noWrap/>
            <w:vAlign w:val="center"/>
          </w:tcPr>
          <w:p w14:paraId="0BE482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58610D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1E5A19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221</w:t>
            </w:r>
          </w:p>
        </w:tc>
        <w:tc>
          <w:tcPr>
            <w:tcW w:w="1489" w:type="dxa"/>
            <w:shd w:val="clear" w:color="auto" w:fill="auto"/>
            <w:noWrap/>
            <w:vAlign w:val="center"/>
          </w:tcPr>
          <w:p w14:paraId="01A37C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3315</w:t>
            </w:r>
          </w:p>
        </w:tc>
      </w:tr>
      <w:tr w14:paraId="6748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FB89E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76</w:t>
            </w:r>
          </w:p>
        </w:tc>
        <w:tc>
          <w:tcPr>
            <w:tcW w:w="1072" w:type="dxa"/>
            <w:shd w:val="clear" w:color="auto" w:fill="auto"/>
            <w:vAlign w:val="center"/>
          </w:tcPr>
          <w:p w14:paraId="33E5C9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机械能守恒演示器</w:t>
            </w:r>
          </w:p>
        </w:tc>
        <w:tc>
          <w:tcPr>
            <w:tcW w:w="4897" w:type="dxa"/>
            <w:shd w:val="clear" w:color="auto" w:fill="auto"/>
            <w:vAlign w:val="center"/>
          </w:tcPr>
          <w:p w14:paraId="1181F64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由底座、刻度板（含释放与收纳装置）挡片、立柱、摆锤等组成，通过摆锤的运动获得不同高度的实验数据</w:t>
            </w:r>
          </w:p>
        </w:tc>
        <w:tc>
          <w:tcPr>
            <w:tcW w:w="462" w:type="dxa"/>
            <w:shd w:val="clear" w:color="auto" w:fill="auto"/>
            <w:noWrap/>
            <w:vAlign w:val="center"/>
          </w:tcPr>
          <w:p w14:paraId="41D1CA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285A04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0751D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463</w:t>
            </w:r>
          </w:p>
        </w:tc>
        <w:tc>
          <w:tcPr>
            <w:tcW w:w="1489" w:type="dxa"/>
            <w:shd w:val="clear" w:color="auto" w:fill="auto"/>
            <w:noWrap/>
            <w:vAlign w:val="center"/>
          </w:tcPr>
          <w:p w14:paraId="480447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463</w:t>
            </w:r>
          </w:p>
        </w:tc>
      </w:tr>
      <w:tr w14:paraId="72A6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9C4312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77</w:t>
            </w:r>
          </w:p>
        </w:tc>
        <w:tc>
          <w:tcPr>
            <w:tcW w:w="1072" w:type="dxa"/>
            <w:shd w:val="clear" w:color="auto" w:fill="auto"/>
            <w:vAlign w:val="center"/>
          </w:tcPr>
          <w:p w14:paraId="269D78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曲线运动速度方向实验器</w:t>
            </w:r>
          </w:p>
        </w:tc>
        <w:tc>
          <w:tcPr>
            <w:tcW w:w="4897" w:type="dxa"/>
            <w:shd w:val="clear" w:color="auto" w:fill="auto"/>
            <w:vAlign w:val="center"/>
          </w:tcPr>
          <w:p w14:paraId="0217871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由可拼接的铝合金“S”形轨道、钢球、钢球释放装置等组成。小钢球能够在轨道内自由滚动。小钢球表面粘上印泥后， 能够以一定的初速度从同一入口滚入轨道，滚出轨道时的速度方向（沿轨道该点切线）即为此时瞬时速度的方向，在加、减轨道时，小球滚出的速度方向不同。钢球在滚出轨道时会在白纸上留下一条运动的痕迹，记录钢球在离开轨道时的速度方向</w:t>
            </w:r>
          </w:p>
        </w:tc>
        <w:tc>
          <w:tcPr>
            <w:tcW w:w="462" w:type="dxa"/>
            <w:shd w:val="clear" w:color="auto" w:fill="auto"/>
            <w:noWrap/>
            <w:vAlign w:val="center"/>
          </w:tcPr>
          <w:p w14:paraId="5BA5B6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7F6A3F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2A0CA9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440</w:t>
            </w:r>
          </w:p>
        </w:tc>
        <w:tc>
          <w:tcPr>
            <w:tcW w:w="1489" w:type="dxa"/>
            <w:shd w:val="clear" w:color="auto" w:fill="auto"/>
            <w:noWrap/>
            <w:vAlign w:val="center"/>
          </w:tcPr>
          <w:p w14:paraId="42DEA6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4840</w:t>
            </w:r>
          </w:p>
        </w:tc>
      </w:tr>
      <w:tr w14:paraId="4856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F65A25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78</w:t>
            </w:r>
          </w:p>
        </w:tc>
        <w:tc>
          <w:tcPr>
            <w:tcW w:w="1072" w:type="dxa"/>
            <w:shd w:val="clear" w:color="auto" w:fill="auto"/>
            <w:vAlign w:val="center"/>
          </w:tcPr>
          <w:p w14:paraId="791248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曲线运动条件实验器</w:t>
            </w:r>
          </w:p>
        </w:tc>
        <w:tc>
          <w:tcPr>
            <w:tcW w:w="4897" w:type="dxa"/>
            <w:shd w:val="clear" w:color="auto" w:fill="auto"/>
            <w:vAlign w:val="center"/>
          </w:tcPr>
          <w:p w14:paraId="4D7A5FD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倾角可调的轨道（斜面倾角30°左右，轨道长200mm）、小钢球、磁铁、小球释放装置等组成。小钢球能够在轨道内自由滚动。将轨道放在水平面上并调好倾角后，能够保证小球从轨道顶端释放后，在水平面内做同一直线运动。用磁铁在水平面内对运动的小球施加力，使小球运动方向改变</w:t>
            </w:r>
          </w:p>
        </w:tc>
        <w:tc>
          <w:tcPr>
            <w:tcW w:w="462" w:type="dxa"/>
            <w:shd w:val="clear" w:color="auto" w:fill="auto"/>
            <w:noWrap/>
            <w:vAlign w:val="center"/>
          </w:tcPr>
          <w:p w14:paraId="6ABCDE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6AA461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3F36AC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514</w:t>
            </w:r>
          </w:p>
        </w:tc>
        <w:tc>
          <w:tcPr>
            <w:tcW w:w="1489" w:type="dxa"/>
            <w:shd w:val="clear" w:color="auto" w:fill="auto"/>
            <w:noWrap/>
            <w:vAlign w:val="center"/>
          </w:tcPr>
          <w:p w14:paraId="2F82CF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5654</w:t>
            </w:r>
          </w:p>
        </w:tc>
      </w:tr>
      <w:tr w14:paraId="553D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81AF3F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79</w:t>
            </w:r>
          </w:p>
        </w:tc>
        <w:tc>
          <w:tcPr>
            <w:tcW w:w="1072" w:type="dxa"/>
            <w:shd w:val="clear" w:color="auto" w:fill="auto"/>
            <w:vAlign w:val="center"/>
          </w:tcPr>
          <w:p w14:paraId="4D0D5A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运动合成分解演示器</w:t>
            </w:r>
          </w:p>
        </w:tc>
        <w:tc>
          <w:tcPr>
            <w:tcW w:w="4897" w:type="dxa"/>
            <w:shd w:val="clear" w:color="auto" w:fill="auto"/>
            <w:vAlign w:val="center"/>
          </w:tcPr>
          <w:p w14:paraId="1458236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两个分运动互成任何角，可做匀速-匀速、匀速-匀加速运动合成</w:t>
            </w:r>
          </w:p>
        </w:tc>
        <w:tc>
          <w:tcPr>
            <w:tcW w:w="462" w:type="dxa"/>
            <w:shd w:val="clear" w:color="auto" w:fill="auto"/>
            <w:noWrap/>
            <w:vAlign w:val="center"/>
          </w:tcPr>
          <w:p w14:paraId="1451E4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24AF5F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76FACD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467</w:t>
            </w:r>
          </w:p>
        </w:tc>
        <w:tc>
          <w:tcPr>
            <w:tcW w:w="1489" w:type="dxa"/>
            <w:shd w:val="clear" w:color="auto" w:fill="auto"/>
            <w:noWrap/>
            <w:vAlign w:val="center"/>
          </w:tcPr>
          <w:p w14:paraId="0E9A6C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5137</w:t>
            </w:r>
          </w:p>
        </w:tc>
      </w:tr>
      <w:tr w14:paraId="5E3C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752E27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80</w:t>
            </w:r>
          </w:p>
        </w:tc>
        <w:tc>
          <w:tcPr>
            <w:tcW w:w="1072" w:type="dxa"/>
            <w:shd w:val="clear" w:color="auto" w:fill="auto"/>
            <w:vAlign w:val="center"/>
          </w:tcPr>
          <w:p w14:paraId="01C5B9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二维空间一时间描迹仪</w:t>
            </w:r>
          </w:p>
        </w:tc>
        <w:tc>
          <w:tcPr>
            <w:tcW w:w="4897" w:type="dxa"/>
            <w:shd w:val="clear" w:color="auto" w:fill="auto"/>
            <w:vAlign w:val="center"/>
          </w:tcPr>
          <w:p w14:paraId="195A1EA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平抛、斜抛、验证向心力、单摆运动图像。高压脉冲频率：20Hz、50Hz、100Hz。电源输入一外壳：I类1500V, II类 3000V；高压部分与外壳：15kV</w:t>
            </w:r>
          </w:p>
        </w:tc>
        <w:tc>
          <w:tcPr>
            <w:tcW w:w="462" w:type="dxa"/>
            <w:shd w:val="clear" w:color="auto" w:fill="auto"/>
            <w:noWrap/>
            <w:vAlign w:val="center"/>
          </w:tcPr>
          <w:p w14:paraId="315736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79E20F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0894F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714</w:t>
            </w:r>
          </w:p>
        </w:tc>
        <w:tc>
          <w:tcPr>
            <w:tcW w:w="1489" w:type="dxa"/>
            <w:shd w:val="clear" w:color="auto" w:fill="auto"/>
            <w:noWrap/>
            <w:vAlign w:val="center"/>
          </w:tcPr>
          <w:p w14:paraId="5EB198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714</w:t>
            </w:r>
          </w:p>
        </w:tc>
      </w:tr>
      <w:tr w14:paraId="7D27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CEA612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81</w:t>
            </w:r>
          </w:p>
        </w:tc>
        <w:tc>
          <w:tcPr>
            <w:tcW w:w="1072" w:type="dxa"/>
            <w:shd w:val="clear" w:color="auto" w:fill="auto"/>
            <w:vAlign w:val="center"/>
          </w:tcPr>
          <w:p w14:paraId="269E98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平抛竖落仪</w:t>
            </w:r>
          </w:p>
        </w:tc>
        <w:tc>
          <w:tcPr>
            <w:tcW w:w="4897" w:type="dxa"/>
            <w:shd w:val="clear" w:color="auto" w:fill="auto"/>
            <w:vAlign w:val="center"/>
          </w:tcPr>
          <w:p w14:paraId="2D588C5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重锤击打式，两球应同时落地</w:t>
            </w:r>
          </w:p>
        </w:tc>
        <w:tc>
          <w:tcPr>
            <w:tcW w:w="462" w:type="dxa"/>
            <w:shd w:val="clear" w:color="auto" w:fill="auto"/>
            <w:noWrap/>
            <w:vAlign w:val="center"/>
          </w:tcPr>
          <w:p w14:paraId="390CFB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4220621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F6097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w:t>
            </w:r>
          </w:p>
        </w:tc>
        <w:tc>
          <w:tcPr>
            <w:tcW w:w="1489" w:type="dxa"/>
            <w:shd w:val="clear" w:color="auto" w:fill="auto"/>
            <w:noWrap/>
            <w:vAlign w:val="center"/>
          </w:tcPr>
          <w:p w14:paraId="679FEB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w:t>
            </w:r>
          </w:p>
        </w:tc>
      </w:tr>
      <w:tr w14:paraId="0FEB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D670A5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82</w:t>
            </w:r>
          </w:p>
        </w:tc>
        <w:tc>
          <w:tcPr>
            <w:tcW w:w="1072" w:type="dxa"/>
            <w:shd w:val="clear" w:color="auto" w:fill="auto"/>
            <w:vAlign w:val="center"/>
          </w:tcPr>
          <w:p w14:paraId="7503D6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平抛和碰撞实验器</w:t>
            </w:r>
          </w:p>
        </w:tc>
        <w:tc>
          <w:tcPr>
            <w:tcW w:w="4897" w:type="dxa"/>
            <w:shd w:val="clear" w:color="auto" w:fill="auto"/>
            <w:vAlign w:val="center"/>
          </w:tcPr>
          <w:p w14:paraId="2F50E5C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包含钢制演示板、钢球释放机构、钢球、铝合金钢球轨道、水平挡板、支球柱、重锤等。小球从斜轨轨道末端飞出后做平抛运动，落到挡板上，挤压复写纸，留下痕迹，挡板上下位置可调，实验误差≤5%</w:t>
            </w:r>
          </w:p>
        </w:tc>
        <w:tc>
          <w:tcPr>
            <w:tcW w:w="462" w:type="dxa"/>
            <w:shd w:val="clear" w:color="auto" w:fill="auto"/>
            <w:noWrap/>
            <w:vAlign w:val="center"/>
          </w:tcPr>
          <w:p w14:paraId="4D8AC44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5F9997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225EF8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121</w:t>
            </w:r>
          </w:p>
        </w:tc>
        <w:tc>
          <w:tcPr>
            <w:tcW w:w="1489" w:type="dxa"/>
            <w:shd w:val="clear" w:color="auto" w:fill="auto"/>
            <w:noWrap/>
            <w:vAlign w:val="center"/>
          </w:tcPr>
          <w:p w14:paraId="306AE5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1815</w:t>
            </w:r>
          </w:p>
        </w:tc>
      </w:tr>
      <w:tr w14:paraId="3283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42D182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83</w:t>
            </w:r>
          </w:p>
        </w:tc>
        <w:tc>
          <w:tcPr>
            <w:tcW w:w="1072" w:type="dxa"/>
            <w:shd w:val="clear" w:color="auto" w:fill="auto"/>
            <w:vAlign w:val="center"/>
          </w:tcPr>
          <w:p w14:paraId="6103FD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向心力实验器</w:t>
            </w:r>
          </w:p>
        </w:tc>
        <w:tc>
          <w:tcPr>
            <w:tcW w:w="4897" w:type="dxa"/>
            <w:shd w:val="clear" w:color="auto" w:fill="auto"/>
            <w:vAlign w:val="center"/>
          </w:tcPr>
          <w:p w14:paraId="71271B6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质量、半径和角速度均可调，向心力综合实验相对误差平均值不大于5%</w:t>
            </w:r>
          </w:p>
        </w:tc>
        <w:tc>
          <w:tcPr>
            <w:tcW w:w="462" w:type="dxa"/>
            <w:shd w:val="clear" w:color="auto" w:fill="auto"/>
            <w:noWrap/>
            <w:vAlign w:val="center"/>
          </w:tcPr>
          <w:p w14:paraId="045324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04ADD8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1C5808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129</w:t>
            </w:r>
          </w:p>
        </w:tc>
        <w:tc>
          <w:tcPr>
            <w:tcW w:w="1489" w:type="dxa"/>
            <w:shd w:val="clear" w:color="auto" w:fill="auto"/>
            <w:noWrap/>
            <w:vAlign w:val="center"/>
          </w:tcPr>
          <w:p w14:paraId="785010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1935</w:t>
            </w:r>
          </w:p>
        </w:tc>
      </w:tr>
      <w:tr w14:paraId="007B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B19962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84</w:t>
            </w:r>
          </w:p>
        </w:tc>
        <w:tc>
          <w:tcPr>
            <w:tcW w:w="1072" w:type="dxa"/>
            <w:shd w:val="clear" w:color="auto" w:fill="auto"/>
            <w:vAlign w:val="center"/>
          </w:tcPr>
          <w:p w14:paraId="6FA162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玻棒（附丝绸）</w:t>
            </w:r>
          </w:p>
        </w:tc>
        <w:tc>
          <w:tcPr>
            <w:tcW w:w="4897" w:type="dxa"/>
            <w:shd w:val="clear" w:color="auto" w:fill="auto"/>
            <w:vAlign w:val="center"/>
          </w:tcPr>
          <w:p w14:paraId="1D5D105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或有机玻棒（附丝绸），丝绸面积≥350mmX350mm。在规定工作条件下，用丝绸裹住玻棒（或有机玻棒），做一次快速拉出，棒上所带的电荷用D—YDQ—Z—100型指针验电器检验张角≥30°（≥50°）</w:t>
            </w:r>
          </w:p>
        </w:tc>
        <w:tc>
          <w:tcPr>
            <w:tcW w:w="462" w:type="dxa"/>
            <w:shd w:val="clear" w:color="auto" w:fill="auto"/>
            <w:noWrap/>
            <w:vAlign w:val="center"/>
          </w:tcPr>
          <w:p w14:paraId="164999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对</w:t>
            </w:r>
          </w:p>
        </w:tc>
        <w:tc>
          <w:tcPr>
            <w:tcW w:w="605" w:type="dxa"/>
            <w:shd w:val="clear" w:color="auto" w:fill="auto"/>
            <w:noWrap/>
            <w:vAlign w:val="center"/>
          </w:tcPr>
          <w:p w14:paraId="209D20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6F61F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6B1ADC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195</w:t>
            </w:r>
          </w:p>
        </w:tc>
      </w:tr>
      <w:tr w14:paraId="5570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7DD340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85</w:t>
            </w:r>
          </w:p>
        </w:tc>
        <w:tc>
          <w:tcPr>
            <w:tcW w:w="1072" w:type="dxa"/>
            <w:shd w:val="clear" w:color="auto" w:fill="auto"/>
            <w:vAlign w:val="center"/>
          </w:tcPr>
          <w:p w14:paraId="6C2169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胶棒（附毛皮）</w:t>
            </w:r>
          </w:p>
        </w:tc>
        <w:tc>
          <w:tcPr>
            <w:tcW w:w="4897" w:type="dxa"/>
            <w:shd w:val="clear" w:color="auto" w:fill="auto"/>
            <w:vAlign w:val="center"/>
          </w:tcPr>
          <w:p w14:paraId="58C7F6C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或聚碳酸酯棒（附毛皮），毛皮面积≥150mmX150mm。在规定工作条件下，用毛皮裹胶棒（或聚碳酸脂棒），做一次快速拉出，棒上所带的电荷用D—YDQ—Z-100型指针验电器检验张角≥30°（≥45°）</w:t>
            </w:r>
          </w:p>
        </w:tc>
        <w:tc>
          <w:tcPr>
            <w:tcW w:w="462" w:type="dxa"/>
            <w:shd w:val="clear" w:color="auto" w:fill="auto"/>
            <w:noWrap/>
            <w:vAlign w:val="center"/>
          </w:tcPr>
          <w:p w14:paraId="0A52BA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对</w:t>
            </w:r>
          </w:p>
        </w:tc>
        <w:tc>
          <w:tcPr>
            <w:tcW w:w="605" w:type="dxa"/>
            <w:shd w:val="clear" w:color="auto" w:fill="auto"/>
            <w:noWrap/>
            <w:vAlign w:val="center"/>
          </w:tcPr>
          <w:p w14:paraId="22BA96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6B1ED8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c>
          <w:tcPr>
            <w:tcW w:w="1489" w:type="dxa"/>
            <w:shd w:val="clear" w:color="auto" w:fill="auto"/>
            <w:noWrap/>
            <w:vAlign w:val="center"/>
          </w:tcPr>
          <w:p w14:paraId="195E65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0A0F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22A2E6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86</w:t>
            </w:r>
          </w:p>
        </w:tc>
        <w:tc>
          <w:tcPr>
            <w:tcW w:w="1072" w:type="dxa"/>
            <w:shd w:val="clear" w:color="auto" w:fill="auto"/>
            <w:vAlign w:val="center"/>
          </w:tcPr>
          <w:p w14:paraId="074300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指针验电器</w:t>
            </w:r>
          </w:p>
        </w:tc>
        <w:tc>
          <w:tcPr>
            <w:tcW w:w="4897" w:type="dxa"/>
            <w:shd w:val="clear" w:color="auto" w:fill="auto"/>
            <w:vAlign w:val="center"/>
          </w:tcPr>
          <w:p w14:paraId="307B165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D-YDQ-Z-100型指针验电器，由外壳、圆球、法拉第圆筒、导电杆、绝缘子、指针、指针架、接地线柱构成。外壳应由不能带静电的材料制成，外壳上观察面应采用透明材料（透光率≥90%）,指 针用非磁性材料，长度≥100mm,带法拉第圆筒。性能要求：相对湿度≤65%的环境，圆球加9kV直流高压，指针张开角度在45°</w:t>
            </w:r>
            <w:r>
              <w:rPr>
                <w:rStyle w:val="45"/>
                <w:lang w:bidi="ar"/>
              </w:rPr>
              <w:t>〜</w:t>
            </w:r>
            <w:r>
              <w:rPr>
                <w:rFonts w:hint="eastAsia" w:ascii="宋体" w:hAnsi="宋体" w:cs="宋体"/>
                <w:color w:val="000000"/>
                <w:kern w:val="0"/>
                <w:sz w:val="22"/>
                <w:szCs w:val="22"/>
                <w:lang w:bidi="ar"/>
              </w:rPr>
              <w:t>50°，移去高压后，指针保持30°以上的时间≥20min</w:t>
            </w:r>
          </w:p>
        </w:tc>
        <w:tc>
          <w:tcPr>
            <w:tcW w:w="462" w:type="dxa"/>
            <w:shd w:val="clear" w:color="auto" w:fill="auto"/>
            <w:noWrap/>
            <w:vAlign w:val="center"/>
          </w:tcPr>
          <w:p w14:paraId="7D1423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对</w:t>
            </w:r>
          </w:p>
        </w:tc>
        <w:tc>
          <w:tcPr>
            <w:tcW w:w="605" w:type="dxa"/>
            <w:shd w:val="clear" w:color="auto" w:fill="auto"/>
            <w:noWrap/>
            <w:vAlign w:val="center"/>
          </w:tcPr>
          <w:p w14:paraId="08AB6B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34966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173</w:t>
            </w:r>
          </w:p>
        </w:tc>
        <w:tc>
          <w:tcPr>
            <w:tcW w:w="1489" w:type="dxa"/>
            <w:shd w:val="clear" w:color="auto" w:fill="auto"/>
            <w:noWrap/>
            <w:vAlign w:val="center"/>
          </w:tcPr>
          <w:p w14:paraId="21E931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2595</w:t>
            </w:r>
          </w:p>
        </w:tc>
      </w:tr>
      <w:tr w14:paraId="7BBA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FE744D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87</w:t>
            </w:r>
          </w:p>
        </w:tc>
        <w:tc>
          <w:tcPr>
            <w:tcW w:w="1072" w:type="dxa"/>
            <w:shd w:val="clear" w:color="auto" w:fill="auto"/>
            <w:vAlign w:val="center"/>
          </w:tcPr>
          <w:p w14:paraId="0648D4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移电球（验电 球）</w:t>
            </w:r>
          </w:p>
        </w:tc>
        <w:tc>
          <w:tcPr>
            <w:tcW w:w="4897" w:type="dxa"/>
            <w:shd w:val="clear" w:color="auto" w:fill="auto"/>
            <w:vAlign w:val="center"/>
          </w:tcPr>
          <w:p w14:paraId="32FB0E4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带有绝缘棒的金属小球</w:t>
            </w:r>
          </w:p>
        </w:tc>
        <w:tc>
          <w:tcPr>
            <w:tcW w:w="462" w:type="dxa"/>
            <w:shd w:val="clear" w:color="auto" w:fill="auto"/>
            <w:noWrap/>
            <w:vAlign w:val="center"/>
          </w:tcPr>
          <w:p w14:paraId="645F65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ABF0F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EC070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47AE10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7AEA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D8115C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88</w:t>
            </w:r>
          </w:p>
        </w:tc>
        <w:tc>
          <w:tcPr>
            <w:tcW w:w="1072" w:type="dxa"/>
            <w:shd w:val="clear" w:color="auto" w:fill="auto"/>
            <w:vAlign w:val="center"/>
          </w:tcPr>
          <w:p w14:paraId="4C2E33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验电器连接杆</w:t>
            </w:r>
          </w:p>
        </w:tc>
        <w:tc>
          <w:tcPr>
            <w:tcW w:w="4897" w:type="dxa"/>
            <w:shd w:val="clear" w:color="auto" w:fill="auto"/>
            <w:vAlign w:val="center"/>
          </w:tcPr>
          <w:p w14:paraId="237ED53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含导电杆、绝缘手柄等，导电杆直径不小于2mm,长度不小于250mm,绝缘柄直径不小于10mm,长度不小于150mm</w:t>
            </w:r>
          </w:p>
        </w:tc>
        <w:tc>
          <w:tcPr>
            <w:tcW w:w="462" w:type="dxa"/>
            <w:shd w:val="clear" w:color="auto" w:fill="auto"/>
            <w:noWrap/>
            <w:vAlign w:val="center"/>
          </w:tcPr>
          <w:p w14:paraId="53C68E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34BFC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534C07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23C941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r>
      <w:tr w14:paraId="28B2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3413EF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89</w:t>
            </w:r>
          </w:p>
        </w:tc>
        <w:tc>
          <w:tcPr>
            <w:tcW w:w="1072" w:type="dxa"/>
            <w:shd w:val="clear" w:color="auto" w:fill="auto"/>
            <w:vAlign w:val="center"/>
          </w:tcPr>
          <w:p w14:paraId="79191D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感应起电机</w:t>
            </w:r>
          </w:p>
        </w:tc>
        <w:tc>
          <w:tcPr>
            <w:tcW w:w="4897" w:type="dxa"/>
            <w:shd w:val="clear" w:color="auto" w:fill="auto"/>
            <w:vAlign w:val="center"/>
          </w:tcPr>
          <w:p w14:paraId="538B22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起电盘、底座、莱顿瓶、集电杆、放电杆、电刷、电刷杆、皮带轮、连接片组成。起电盘上导电膜应采用铝箔和纸箔交替分布，电刷应采用束状磷铜线，导电膜与起电盘的90°剥离强度应≥8N,使用硅橡胶带。性能要求：在温度为20°C、相对湿度为65%±5%的环境中，摇柄转速120r/min,火花放电距离应≥55mm,在温度为5°C</w:t>
            </w:r>
            <w:r>
              <w:rPr>
                <w:rStyle w:val="45"/>
                <w:lang w:bidi="ar"/>
              </w:rPr>
              <w:t>〜</w:t>
            </w:r>
            <w:r>
              <w:rPr>
                <w:rFonts w:hint="eastAsia" w:ascii="宋体" w:hAnsi="宋体" w:cs="宋体"/>
                <w:color w:val="000000"/>
                <w:kern w:val="0"/>
                <w:sz w:val="22"/>
                <w:szCs w:val="22"/>
                <w:lang w:bidi="ar"/>
              </w:rPr>
              <w:t>30°C范围，相对湿度为85%±5%的条件下，仪器应正常工作，火花放电距离应≥30mm</w:t>
            </w:r>
          </w:p>
        </w:tc>
        <w:tc>
          <w:tcPr>
            <w:tcW w:w="462" w:type="dxa"/>
            <w:shd w:val="clear" w:color="auto" w:fill="auto"/>
            <w:noWrap/>
            <w:vAlign w:val="center"/>
          </w:tcPr>
          <w:p w14:paraId="1BC171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673C57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1024B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204</w:t>
            </w:r>
          </w:p>
        </w:tc>
        <w:tc>
          <w:tcPr>
            <w:tcW w:w="1489" w:type="dxa"/>
            <w:shd w:val="clear" w:color="auto" w:fill="auto"/>
            <w:noWrap/>
            <w:vAlign w:val="center"/>
          </w:tcPr>
          <w:p w14:paraId="202439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204</w:t>
            </w:r>
          </w:p>
        </w:tc>
      </w:tr>
      <w:tr w14:paraId="6309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377A58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90</w:t>
            </w:r>
          </w:p>
        </w:tc>
        <w:tc>
          <w:tcPr>
            <w:tcW w:w="1072" w:type="dxa"/>
            <w:shd w:val="clear" w:color="auto" w:fill="auto"/>
            <w:vAlign w:val="center"/>
          </w:tcPr>
          <w:p w14:paraId="501690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枕形导体</w:t>
            </w:r>
          </w:p>
        </w:tc>
        <w:tc>
          <w:tcPr>
            <w:tcW w:w="4897" w:type="dxa"/>
            <w:shd w:val="clear" w:color="auto" w:fill="auto"/>
            <w:vAlign w:val="center"/>
          </w:tcPr>
          <w:p w14:paraId="0CA1126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一对相同的半枕形导体、绝缘支杆和底座等组成。半枕形导体下方应有一个导电挂钩，导电挂钩不应有尖端。圆筒导体的直径应不小于55mm,长度应不小于100mm半枕形导体应宜用304号以上不锈钢制成，封闭端应为半球面。性能要求：使各静电导体与D-YDQ-Z-100型指针验电器连接，用9kV高压使导体带电，10min内指针验电器的指针张角应≥30°</w:t>
            </w:r>
          </w:p>
        </w:tc>
        <w:tc>
          <w:tcPr>
            <w:tcW w:w="462" w:type="dxa"/>
            <w:shd w:val="clear" w:color="auto" w:fill="auto"/>
            <w:noWrap/>
            <w:vAlign w:val="center"/>
          </w:tcPr>
          <w:p w14:paraId="1A4AA3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对</w:t>
            </w:r>
          </w:p>
        </w:tc>
        <w:tc>
          <w:tcPr>
            <w:tcW w:w="605" w:type="dxa"/>
            <w:shd w:val="clear" w:color="auto" w:fill="auto"/>
            <w:noWrap/>
            <w:vAlign w:val="center"/>
          </w:tcPr>
          <w:p w14:paraId="3C7208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DC8AE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104</w:t>
            </w:r>
          </w:p>
        </w:tc>
        <w:tc>
          <w:tcPr>
            <w:tcW w:w="1489" w:type="dxa"/>
            <w:shd w:val="clear" w:color="auto" w:fill="auto"/>
            <w:noWrap/>
            <w:vAlign w:val="center"/>
          </w:tcPr>
          <w:p w14:paraId="16E826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104</w:t>
            </w:r>
          </w:p>
        </w:tc>
      </w:tr>
      <w:tr w14:paraId="10ACF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909D2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91</w:t>
            </w:r>
          </w:p>
        </w:tc>
        <w:tc>
          <w:tcPr>
            <w:tcW w:w="1072" w:type="dxa"/>
            <w:shd w:val="clear" w:color="auto" w:fill="auto"/>
            <w:vAlign w:val="center"/>
          </w:tcPr>
          <w:p w14:paraId="00EA81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球形导体</w:t>
            </w:r>
          </w:p>
        </w:tc>
        <w:tc>
          <w:tcPr>
            <w:tcW w:w="4897" w:type="dxa"/>
            <w:shd w:val="clear" w:color="auto" w:fill="auto"/>
            <w:vAlign w:val="center"/>
          </w:tcPr>
          <w:p w14:paraId="3F7976B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圆球形导体或开口的圆球形导体、绝缘支杆和底座构成。导体宜用不锈钢（304号以上）制成，球体直径应不小于90mm。性能要求：使静电导体与D-YDQ-Z-100型指针验电器连接，用9kV高压使导体带电，10min内指针验电器的指针张角应≥30°</w:t>
            </w:r>
          </w:p>
        </w:tc>
        <w:tc>
          <w:tcPr>
            <w:tcW w:w="462" w:type="dxa"/>
            <w:shd w:val="clear" w:color="auto" w:fill="auto"/>
            <w:noWrap/>
            <w:vAlign w:val="center"/>
          </w:tcPr>
          <w:p w14:paraId="31CB14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56E5EA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D6D70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w:t>
            </w:r>
          </w:p>
        </w:tc>
        <w:tc>
          <w:tcPr>
            <w:tcW w:w="1489" w:type="dxa"/>
            <w:shd w:val="clear" w:color="auto" w:fill="auto"/>
            <w:noWrap/>
            <w:vAlign w:val="center"/>
          </w:tcPr>
          <w:p w14:paraId="7A8D10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w:t>
            </w:r>
          </w:p>
        </w:tc>
      </w:tr>
      <w:tr w14:paraId="17D9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7D3212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92</w:t>
            </w:r>
          </w:p>
        </w:tc>
        <w:tc>
          <w:tcPr>
            <w:tcW w:w="1072" w:type="dxa"/>
            <w:shd w:val="clear" w:color="auto" w:fill="auto"/>
            <w:vAlign w:val="center"/>
          </w:tcPr>
          <w:p w14:paraId="59AAAE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验电幡</w:t>
            </w:r>
          </w:p>
        </w:tc>
        <w:tc>
          <w:tcPr>
            <w:tcW w:w="4897" w:type="dxa"/>
            <w:shd w:val="clear" w:color="auto" w:fill="auto"/>
            <w:vAlign w:val="center"/>
          </w:tcPr>
          <w:p w14:paraId="04078B4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一面长方形的铜丝网，用三根绝缘支柱支起，绝缘支柱由三部分组成。为增加仪器的稳定，使用铁底座，绝缘部分用有机玻璃制成，支杆部分与铜丝网固定， 在铜丝网的两面悬挂红色丝线。使用完毕后，可将其从绝缘支柱中抽出</w:t>
            </w:r>
          </w:p>
        </w:tc>
        <w:tc>
          <w:tcPr>
            <w:tcW w:w="462" w:type="dxa"/>
            <w:shd w:val="clear" w:color="auto" w:fill="auto"/>
            <w:noWrap/>
            <w:vAlign w:val="center"/>
          </w:tcPr>
          <w:p w14:paraId="30780B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84CB1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14D51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62</w:t>
            </w:r>
          </w:p>
        </w:tc>
        <w:tc>
          <w:tcPr>
            <w:tcW w:w="1489" w:type="dxa"/>
            <w:shd w:val="clear" w:color="auto" w:fill="auto"/>
            <w:noWrap/>
            <w:vAlign w:val="center"/>
          </w:tcPr>
          <w:p w14:paraId="0E3B66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62</w:t>
            </w:r>
          </w:p>
        </w:tc>
      </w:tr>
      <w:tr w14:paraId="20AB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ECC13D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93</w:t>
            </w:r>
          </w:p>
        </w:tc>
        <w:tc>
          <w:tcPr>
            <w:tcW w:w="1072" w:type="dxa"/>
            <w:shd w:val="clear" w:color="auto" w:fill="auto"/>
            <w:vAlign w:val="center"/>
          </w:tcPr>
          <w:p w14:paraId="16217D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干燥箱</w:t>
            </w:r>
          </w:p>
        </w:tc>
        <w:tc>
          <w:tcPr>
            <w:tcW w:w="4897" w:type="dxa"/>
            <w:shd w:val="clear" w:color="auto" w:fill="auto"/>
            <w:vAlign w:val="center"/>
          </w:tcPr>
          <w:p w14:paraId="1DDE326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500mmX700mmX700mm,箱体透明，具有抽湿和照明功能，用于潮湿地区静电实验</w:t>
            </w:r>
          </w:p>
        </w:tc>
        <w:tc>
          <w:tcPr>
            <w:tcW w:w="462" w:type="dxa"/>
            <w:shd w:val="clear" w:color="auto" w:fill="auto"/>
            <w:noWrap/>
            <w:vAlign w:val="center"/>
          </w:tcPr>
          <w:p w14:paraId="704009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63C4A2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9A194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6500</w:t>
            </w:r>
          </w:p>
        </w:tc>
        <w:tc>
          <w:tcPr>
            <w:tcW w:w="1489" w:type="dxa"/>
            <w:shd w:val="clear" w:color="auto" w:fill="auto"/>
            <w:noWrap/>
            <w:vAlign w:val="center"/>
          </w:tcPr>
          <w:p w14:paraId="16D266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6500</w:t>
            </w:r>
          </w:p>
        </w:tc>
      </w:tr>
      <w:tr w14:paraId="3C43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D3CBE9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94</w:t>
            </w:r>
          </w:p>
        </w:tc>
        <w:tc>
          <w:tcPr>
            <w:tcW w:w="1072" w:type="dxa"/>
            <w:shd w:val="clear" w:color="auto" w:fill="auto"/>
            <w:vAlign w:val="center"/>
          </w:tcPr>
          <w:p w14:paraId="4E68B3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库仑定律演示器</w:t>
            </w:r>
          </w:p>
        </w:tc>
        <w:tc>
          <w:tcPr>
            <w:tcW w:w="4897" w:type="dxa"/>
            <w:shd w:val="clear" w:color="auto" w:fill="auto"/>
            <w:vAlign w:val="center"/>
          </w:tcPr>
          <w:p w14:paraId="21B526F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精确到千分位的电子天平，三个带有绝缘底座的相同的金属小球，带刻度（最小刻度1mm）的支架，一个金属小球通过绝缘杆连接在支架上，并可自由升降和固定。将以上仪器封装于矩形有机玻璃罩内，有开口可进行相应调节，另附红外干燥器</w:t>
            </w:r>
          </w:p>
        </w:tc>
        <w:tc>
          <w:tcPr>
            <w:tcW w:w="462" w:type="dxa"/>
            <w:shd w:val="clear" w:color="auto" w:fill="auto"/>
            <w:noWrap/>
            <w:vAlign w:val="center"/>
          </w:tcPr>
          <w:p w14:paraId="3DA580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14302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2B203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993</w:t>
            </w:r>
          </w:p>
        </w:tc>
        <w:tc>
          <w:tcPr>
            <w:tcW w:w="1489" w:type="dxa"/>
            <w:shd w:val="clear" w:color="auto" w:fill="auto"/>
            <w:noWrap/>
            <w:vAlign w:val="center"/>
          </w:tcPr>
          <w:p w14:paraId="124355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993</w:t>
            </w:r>
          </w:p>
        </w:tc>
      </w:tr>
      <w:tr w14:paraId="1647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B30A2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95</w:t>
            </w:r>
          </w:p>
        </w:tc>
        <w:tc>
          <w:tcPr>
            <w:tcW w:w="1072" w:type="dxa"/>
            <w:shd w:val="clear" w:color="auto" w:fill="auto"/>
            <w:vAlign w:val="center"/>
          </w:tcPr>
          <w:p w14:paraId="569A60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验电羽</w:t>
            </w:r>
          </w:p>
        </w:tc>
        <w:tc>
          <w:tcPr>
            <w:tcW w:w="4897" w:type="dxa"/>
            <w:shd w:val="clear" w:color="auto" w:fill="auto"/>
            <w:vAlign w:val="center"/>
          </w:tcPr>
          <w:p w14:paraId="7B79B2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由绝缘支架、金属片、细尼龙绳、螺钉等组成。绝缘支架上装有两片金属片， 两金属片间夹有若干长条形细尼龙绳</w:t>
            </w:r>
          </w:p>
        </w:tc>
        <w:tc>
          <w:tcPr>
            <w:tcW w:w="462" w:type="dxa"/>
            <w:shd w:val="clear" w:color="auto" w:fill="auto"/>
            <w:noWrap/>
            <w:vAlign w:val="center"/>
          </w:tcPr>
          <w:p w14:paraId="06CBDE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对</w:t>
            </w:r>
          </w:p>
        </w:tc>
        <w:tc>
          <w:tcPr>
            <w:tcW w:w="605" w:type="dxa"/>
            <w:shd w:val="clear" w:color="auto" w:fill="auto"/>
            <w:noWrap/>
            <w:vAlign w:val="center"/>
          </w:tcPr>
          <w:p w14:paraId="562296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7FC73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c>
          <w:tcPr>
            <w:tcW w:w="1489" w:type="dxa"/>
            <w:shd w:val="clear" w:color="auto" w:fill="auto"/>
            <w:noWrap/>
            <w:vAlign w:val="center"/>
          </w:tcPr>
          <w:p w14:paraId="7AF7FA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r>
      <w:tr w14:paraId="78C2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C36F7A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96</w:t>
            </w:r>
          </w:p>
        </w:tc>
        <w:tc>
          <w:tcPr>
            <w:tcW w:w="1072" w:type="dxa"/>
            <w:shd w:val="clear" w:color="auto" w:fill="auto"/>
            <w:vAlign w:val="center"/>
          </w:tcPr>
          <w:p w14:paraId="73C6E0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电场线演示器</w:t>
            </w:r>
          </w:p>
        </w:tc>
        <w:tc>
          <w:tcPr>
            <w:tcW w:w="4897" w:type="dxa"/>
            <w:shd w:val="clear" w:color="auto" w:fill="auto"/>
            <w:vAlign w:val="center"/>
          </w:tcPr>
          <w:p w14:paraId="2FA77E4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由单点电极演示板、双点电极演示板（同种电极和异种电极）、平行板电极演示板、环形电极演示板、尖形导体演示板组成</w:t>
            </w:r>
          </w:p>
        </w:tc>
        <w:tc>
          <w:tcPr>
            <w:tcW w:w="462" w:type="dxa"/>
            <w:shd w:val="clear" w:color="auto" w:fill="auto"/>
            <w:noWrap/>
            <w:vAlign w:val="center"/>
          </w:tcPr>
          <w:p w14:paraId="47A56E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090AB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910A8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w:t>
            </w:r>
          </w:p>
        </w:tc>
        <w:tc>
          <w:tcPr>
            <w:tcW w:w="1489" w:type="dxa"/>
            <w:shd w:val="clear" w:color="auto" w:fill="auto"/>
            <w:noWrap/>
            <w:vAlign w:val="center"/>
          </w:tcPr>
          <w:p w14:paraId="4F2926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w:t>
            </w:r>
          </w:p>
        </w:tc>
      </w:tr>
      <w:tr w14:paraId="40DB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60C56A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97</w:t>
            </w:r>
          </w:p>
        </w:tc>
        <w:tc>
          <w:tcPr>
            <w:tcW w:w="1072" w:type="dxa"/>
            <w:shd w:val="clear" w:color="auto" w:fill="auto"/>
            <w:vAlign w:val="center"/>
          </w:tcPr>
          <w:p w14:paraId="32662B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平行板电容器演示器</w:t>
            </w:r>
          </w:p>
        </w:tc>
        <w:tc>
          <w:tcPr>
            <w:tcW w:w="4897" w:type="dxa"/>
            <w:shd w:val="clear" w:color="auto" w:fill="auto"/>
            <w:vAlign w:val="center"/>
          </w:tcPr>
          <w:p w14:paraId="1499E2E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由两片带有有机玻璃支架的金属板构成，两金属板均有弯脚，可用螺丝固定在立柱上，且面积、材质完全相同。另配与金属板面积相同的绝缘板一件，配合感应起电机和指针验电器等仪器使用</w:t>
            </w:r>
          </w:p>
        </w:tc>
        <w:tc>
          <w:tcPr>
            <w:tcW w:w="462" w:type="dxa"/>
            <w:shd w:val="clear" w:color="auto" w:fill="auto"/>
            <w:noWrap/>
            <w:vAlign w:val="center"/>
          </w:tcPr>
          <w:p w14:paraId="6EA19A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48B67B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BB30C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125</w:t>
            </w:r>
          </w:p>
        </w:tc>
        <w:tc>
          <w:tcPr>
            <w:tcW w:w="1489" w:type="dxa"/>
            <w:shd w:val="clear" w:color="auto" w:fill="auto"/>
            <w:noWrap/>
            <w:vAlign w:val="center"/>
          </w:tcPr>
          <w:p w14:paraId="3EFE67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125</w:t>
            </w:r>
          </w:p>
        </w:tc>
      </w:tr>
      <w:tr w14:paraId="61A5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B596C2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98</w:t>
            </w:r>
          </w:p>
        </w:tc>
        <w:tc>
          <w:tcPr>
            <w:tcW w:w="1072" w:type="dxa"/>
            <w:shd w:val="clear" w:color="auto" w:fill="auto"/>
            <w:vAlign w:val="center"/>
          </w:tcPr>
          <w:p w14:paraId="409766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常用电容器示教板</w:t>
            </w:r>
          </w:p>
        </w:tc>
        <w:tc>
          <w:tcPr>
            <w:tcW w:w="4897" w:type="dxa"/>
            <w:shd w:val="clear" w:color="auto" w:fill="auto"/>
            <w:vAlign w:val="center"/>
          </w:tcPr>
          <w:p w14:paraId="0B4F43E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电解电容器、云母电容器、陶瓷电容器、独石电容器、薄膜电容器、贴片电容器、微调电容器、可变电容器等。性能要求：电容器要标明相应参数</w:t>
            </w:r>
          </w:p>
        </w:tc>
        <w:tc>
          <w:tcPr>
            <w:tcW w:w="462" w:type="dxa"/>
            <w:shd w:val="clear" w:color="auto" w:fill="auto"/>
            <w:noWrap/>
            <w:vAlign w:val="center"/>
          </w:tcPr>
          <w:p w14:paraId="7AEDAE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B4078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35B93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110</w:t>
            </w:r>
          </w:p>
        </w:tc>
        <w:tc>
          <w:tcPr>
            <w:tcW w:w="1489" w:type="dxa"/>
            <w:shd w:val="clear" w:color="auto" w:fill="auto"/>
            <w:noWrap/>
            <w:vAlign w:val="center"/>
          </w:tcPr>
          <w:p w14:paraId="2B2912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110</w:t>
            </w:r>
          </w:p>
        </w:tc>
      </w:tr>
      <w:tr w14:paraId="67C5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379319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99</w:t>
            </w:r>
          </w:p>
        </w:tc>
        <w:tc>
          <w:tcPr>
            <w:tcW w:w="1072" w:type="dxa"/>
            <w:shd w:val="clear" w:color="auto" w:fill="auto"/>
            <w:vAlign w:val="center"/>
          </w:tcPr>
          <w:p w14:paraId="4B7125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电容器实验板</w:t>
            </w:r>
          </w:p>
        </w:tc>
        <w:tc>
          <w:tcPr>
            <w:tcW w:w="4897" w:type="dxa"/>
            <w:shd w:val="clear" w:color="auto" w:fill="auto"/>
            <w:vAlign w:val="center"/>
          </w:tcPr>
          <w:p w14:paraId="4EC34A0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包含不少于5种规格不同电解电容器，排列均匀，焊接在实验板上，能有效实现电容器充放电等实验</w:t>
            </w:r>
          </w:p>
        </w:tc>
        <w:tc>
          <w:tcPr>
            <w:tcW w:w="462" w:type="dxa"/>
            <w:shd w:val="clear" w:color="auto" w:fill="auto"/>
            <w:noWrap/>
            <w:vAlign w:val="center"/>
          </w:tcPr>
          <w:p w14:paraId="34FB45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块</w:t>
            </w:r>
          </w:p>
        </w:tc>
        <w:tc>
          <w:tcPr>
            <w:tcW w:w="605" w:type="dxa"/>
            <w:shd w:val="clear" w:color="auto" w:fill="auto"/>
            <w:noWrap/>
            <w:vAlign w:val="center"/>
          </w:tcPr>
          <w:p w14:paraId="26A84B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215506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166</w:t>
            </w:r>
          </w:p>
        </w:tc>
        <w:tc>
          <w:tcPr>
            <w:tcW w:w="1489" w:type="dxa"/>
            <w:shd w:val="clear" w:color="auto" w:fill="auto"/>
            <w:noWrap/>
            <w:vAlign w:val="center"/>
          </w:tcPr>
          <w:p w14:paraId="55EFB3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4980</w:t>
            </w:r>
          </w:p>
        </w:tc>
      </w:tr>
      <w:tr w14:paraId="64EB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CC41D1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100</w:t>
            </w:r>
          </w:p>
        </w:tc>
        <w:tc>
          <w:tcPr>
            <w:tcW w:w="1072" w:type="dxa"/>
            <w:shd w:val="clear" w:color="auto" w:fill="auto"/>
            <w:vAlign w:val="center"/>
          </w:tcPr>
          <w:p w14:paraId="2A9CAC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常用电阻器示教板</w:t>
            </w:r>
          </w:p>
        </w:tc>
        <w:tc>
          <w:tcPr>
            <w:tcW w:w="4897" w:type="dxa"/>
            <w:shd w:val="clear" w:color="auto" w:fill="auto"/>
            <w:vAlign w:val="center"/>
          </w:tcPr>
          <w:p w14:paraId="578477B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定值电阻（碳膜电阻、金属膜电阻、绕线电阻、水泥电阻、贴片式电阻等）、可变电阻（电位器、小型滑动变阻器）、特殊电阻（热敏电阻、光敏电阻、压敏电阻）等</w:t>
            </w:r>
          </w:p>
        </w:tc>
        <w:tc>
          <w:tcPr>
            <w:tcW w:w="462" w:type="dxa"/>
            <w:shd w:val="clear" w:color="auto" w:fill="auto"/>
            <w:noWrap/>
            <w:vAlign w:val="center"/>
          </w:tcPr>
          <w:p w14:paraId="0FF12F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2A6C6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31874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110</w:t>
            </w:r>
          </w:p>
        </w:tc>
        <w:tc>
          <w:tcPr>
            <w:tcW w:w="1489" w:type="dxa"/>
            <w:shd w:val="clear" w:color="auto" w:fill="auto"/>
            <w:noWrap/>
            <w:vAlign w:val="center"/>
          </w:tcPr>
          <w:p w14:paraId="1C32D3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110</w:t>
            </w:r>
          </w:p>
        </w:tc>
      </w:tr>
      <w:tr w14:paraId="1266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C09EEA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101</w:t>
            </w:r>
          </w:p>
        </w:tc>
        <w:tc>
          <w:tcPr>
            <w:tcW w:w="1072" w:type="dxa"/>
            <w:shd w:val="clear" w:color="auto" w:fill="auto"/>
            <w:vAlign w:val="center"/>
          </w:tcPr>
          <w:p w14:paraId="14151F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电阻实验板</w:t>
            </w:r>
          </w:p>
        </w:tc>
        <w:tc>
          <w:tcPr>
            <w:tcW w:w="4897" w:type="dxa"/>
            <w:shd w:val="clear" w:color="auto" w:fill="auto"/>
            <w:vAlign w:val="center"/>
          </w:tcPr>
          <w:p w14:paraId="096C699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由不少于6种不同规格的定值电阻（1Ω</w:t>
            </w:r>
            <w:r>
              <w:rPr>
                <w:rStyle w:val="45"/>
                <w:lang w:bidi="ar"/>
              </w:rPr>
              <w:t>〜</w:t>
            </w:r>
            <w:r>
              <w:rPr>
                <w:rFonts w:hint="eastAsia" w:ascii="宋体" w:hAnsi="宋体" w:cs="宋体"/>
                <w:color w:val="000000"/>
                <w:kern w:val="0"/>
                <w:sz w:val="22"/>
                <w:szCs w:val="22"/>
                <w:lang w:bidi="ar"/>
              </w:rPr>
              <w:t>100kΩ）组成，排列均匀，焊接在实验板上，应注明标称值及系列</w:t>
            </w:r>
          </w:p>
        </w:tc>
        <w:tc>
          <w:tcPr>
            <w:tcW w:w="462" w:type="dxa"/>
            <w:shd w:val="clear" w:color="auto" w:fill="auto"/>
            <w:noWrap/>
            <w:vAlign w:val="center"/>
          </w:tcPr>
          <w:p w14:paraId="1F1AAA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块</w:t>
            </w:r>
          </w:p>
        </w:tc>
        <w:tc>
          <w:tcPr>
            <w:tcW w:w="605" w:type="dxa"/>
            <w:shd w:val="clear" w:color="auto" w:fill="auto"/>
            <w:noWrap/>
            <w:vAlign w:val="center"/>
          </w:tcPr>
          <w:p w14:paraId="5D1E27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68E66A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85</w:t>
            </w:r>
          </w:p>
        </w:tc>
        <w:tc>
          <w:tcPr>
            <w:tcW w:w="1489" w:type="dxa"/>
            <w:shd w:val="clear" w:color="auto" w:fill="auto"/>
            <w:noWrap/>
            <w:vAlign w:val="center"/>
          </w:tcPr>
          <w:p w14:paraId="6A9933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1275</w:t>
            </w:r>
          </w:p>
        </w:tc>
      </w:tr>
      <w:tr w14:paraId="0DC2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78FF05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102</w:t>
            </w:r>
          </w:p>
        </w:tc>
        <w:tc>
          <w:tcPr>
            <w:tcW w:w="1072" w:type="dxa"/>
            <w:shd w:val="clear" w:color="auto" w:fill="auto"/>
            <w:vAlign w:val="center"/>
          </w:tcPr>
          <w:p w14:paraId="3804C8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单刀开关</w:t>
            </w:r>
          </w:p>
        </w:tc>
        <w:tc>
          <w:tcPr>
            <w:tcW w:w="4897" w:type="dxa"/>
            <w:shd w:val="clear" w:color="auto" w:fill="auto"/>
            <w:vAlign w:val="center"/>
          </w:tcPr>
          <w:p w14:paraId="2A80162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最高工作电压36V,额定工作电流6A。 开关闸刀、接线柱、垫片均为铜质。闸刀宽度≥7mm,闸刀厚度≥0.7mm。接线柱直径为4mm,有效行程≥4mm。通额定电流，导电部分允许温升≤35℃, 操作手柄允许温升≤25℃。开关的绝缘强度应能承受1200V在额定直流电流工作条件下，接线两端直流电压降≤100mV</w:t>
            </w:r>
          </w:p>
        </w:tc>
        <w:tc>
          <w:tcPr>
            <w:tcW w:w="462" w:type="dxa"/>
            <w:shd w:val="clear" w:color="auto" w:fill="auto"/>
            <w:noWrap/>
            <w:vAlign w:val="center"/>
          </w:tcPr>
          <w:p w14:paraId="0EDEAB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F6C55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A283A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04640F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3464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6F7364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103</w:t>
            </w:r>
          </w:p>
        </w:tc>
        <w:tc>
          <w:tcPr>
            <w:tcW w:w="1072" w:type="dxa"/>
            <w:shd w:val="clear" w:color="auto" w:fill="auto"/>
            <w:vAlign w:val="center"/>
          </w:tcPr>
          <w:p w14:paraId="34EA4F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单刀双 掷开关</w:t>
            </w:r>
          </w:p>
        </w:tc>
        <w:tc>
          <w:tcPr>
            <w:tcW w:w="4897" w:type="dxa"/>
            <w:shd w:val="clear" w:color="auto" w:fill="auto"/>
            <w:vAlign w:val="center"/>
          </w:tcPr>
          <w:p w14:paraId="1BF80E0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最高工作电压36V,额定工作电流6A。 开关闸刀、接线柱、垫片均为铜质。闸刀宽度≥7mm,闸刀厚度≥0.7mm。接线柱直径为4mm,有效行程≥4mm。通额定电流，导电部分允许温升≤35℃, 操作手柄允许温升≤25℃。开关的绝缘强度应能承受1200V在额定直流电流工作条件下，接线两端直流电压降≤100mV</w:t>
            </w:r>
          </w:p>
        </w:tc>
        <w:tc>
          <w:tcPr>
            <w:tcW w:w="462" w:type="dxa"/>
            <w:shd w:val="clear" w:color="auto" w:fill="auto"/>
            <w:noWrap/>
            <w:vAlign w:val="center"/>
          </w:tcPr>
          <w:p w14:paraId="163F15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D2522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649937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64EB5D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34D2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90ADE7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104</w:t>
            </w:r>
          </w:p>
        </w:tc>
        <w:tc>
          <w:tcPr>
            <w:tcW w:w="1072" w:type="dxa"/>
            <w:shd w:val="clear" w:color="auto" w:fill="auto"/>
            <w:vAlign w:val="center"/>
          </w:tcPr>
          <w:p w14:paraId="510601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电池盒</w:t>
            </w:r>
          </w:p>
        </w:tc>
        <w:tc>
          <w:tcPr>
            <w:tcW w:w="4897" w:type="dxa"/>
            <w:shd w:val="clear" w:color="auto" w:fill="auto"/>
            <w:vAlign w:val="center"/>
          </w:tcPr>
          <w:p w14:paraId="6E70BBC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R20（1#）电池用，有接线柱，负极可用弹簧或弹性磷铜片，有串联接插口，电池装反时不能接通</w:t>
            </w:r>
          </w:p>
        </w:tc>
        <w:tc>
          <w:tcPr>
            <w:tcW w:w="462" w:type="dxa"/>
            <w:shd w:val="clear" w:color="auto" w:fill="auto"/>
            <w:noWrap/>
            <w:vAlign w:val="center"/>
          </w:tcPr>
          <w:p w14:paraId="75DFFE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组</w:t>
            </w:r>
          </w:p>
        </w:tc>
        <w:tc>
          <w:tcPr>
            <w:tcW w:w="605" w:type="dxa"/>
            <w:shd w:val="clear" w:color="auto" w:fill="auto"/>
            <w:noWrap/>
            <w:vAlign w:val="center"/>
          </w:tcPr>
          <w:p w14:paraId="2D3487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533AD5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c>
          <w:tcPr>
            <w:tcW w:w="1489" w:type="dxa"/>
            <w:shd w:val="clear" w:color="auto" w:fill="auto"/>
            <w:noWrap/>
            <w:vAlign w:val="center"/>
          </w:tcPr>
          <w:p w14:paraId="130B55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255</w:t>
            </w:r>
          </w:p>
        </w:tc>
      </w:tr>
      <w:tr w14:paraId="3A3B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A63789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105</w:t>
            </w:r>
          </w:p>
        </w:tc>
        <w:tc>
          <w:tcPr>
            <w:tcW w:w="1072" w:type="dxa"/>
            <w:shd w:val="clear" w:color="auto" w:fill="auto"/>
            <w:vAlign w:val="center"/>
          </w:tcPr>
          <w:p w14:paraId="551626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干电池</w:t>
            </w:r>
          </w:p>
        </w:tc>
        <w:tc>
          <w:tcPr>
            <w:tcW w:w="4897" w:type="dxa"/>
            <w:shd w:val="clear" w:color="auto" w:fill="auto"/>
            <w:vAlign w:val="center"/>
          </w:tcPr>
          <w:p w14:paraId="4DBDA70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R20,无汞</w:t>
            </w:r>
          </w:p>
        </w:tc>
        <w:tc>
          <w:tcPr>
            <w:tcW w:w="462" w:type="dxa"/>
            <w:shd w:val="clear" w:color="auto" w:fill="auto"/>
            <w:noWrap/>
            <w:vAlign w:val="center"/>
          </w:tcPr>
          <w:p w14:paraId="7FBE3C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01BE7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09848D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3D3520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4564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3B1FA8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106</w:t>
            </w:r>
          </w:p>
        </w:tc>
        <w:tc>
          <w:tcPr>
            <w:tcW w:w="1072" w:type="dxa"/>
            <w:shd w:val="clear" w:color="auto" w:fill="auto"/>
            <w:vAlign w:val="center"/>
          </w:tcPr>
          <w:p w14:paraId="7DE4D2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高中学生电源</w:t>
            </w:r>
          </w:p>
        </w:tc>
        <w:tc>
          <w:tcPr>
            <w:tcW w:w="4897" w:type="dxa"/>
            <w:shd w:val="clear" w:color="auto" w:fill="auto"/>
            <w:vAlign w:val="center"/>
          </w:tcPr>
          <w:p w14:paraId="4E6C60F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直流稳压输出：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1.标称电压：1.5至16V单双选择十六档可调；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2.输出电压：额定2A；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3.电压稳定性：各档输出不大于2%U标+0.1V；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4.负载稳定性：各档输出不大于2%U标+0.1V。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交流输出：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1.标称电压：2－16V每2V一档，八档可调；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2.输出电流：额定3A；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3.空载电压：各档输出不大于1.5U标+0.3V；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4.满载电压：输出电流为额定值，各档输出不0.95U标－0.3V。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过载保护：输出电流在额定电流的1.05－1.5倍间能自动关断输出，并能启动不大于额定电流的白炽灯。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5.机壳为全塑料制，外形尺寸：250mm×200mm×115mm。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6.电源系统符合JY/T0374-2004《教学实验室设备 电源系统》标准。</w:t>
            </w:r>
          </w:p>
        </w:tc>
        <w:tc>
          <w:tcPr>
            <w:tcW w:w="462" w:type="dxa"/>
            <w:shd w:val="clear" w:color="auto" w:fill="auto"/>
            <w:noWrap/>
            <w:vAlign w:val="center"/>
          </w:tcPr>
          <w:p w14:paraId="2ED02C3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033CD6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5001BA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226</w:t>
            </w:r>
          </w:p>
        </w:tc>
        <w:tc>
          <w:tcPr>
            <w:tcW w:w="1489" w:type="dxa"/>
            <w:shd w:val="clear" w:color="auto" w:fill="auto"/>
            <w:noWrap/>
            <w:vAlign w:val="center"/>
          </w:tcPr>
          <w:p w14:paraId="6D6136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3390</w:t>
            </w:r>
          </w:p>
        </w:tc>
      </w:tr>
      <w:tr w14:paraId="7F41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8E1F1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107</w:t>
            </w:r>
          </w:p>
        </w:tc>
        <w:tc>
          <w:tcPr>
            <w:tcW w:w="1072" w:type="dxa"/>
            <w:shd w:val="clear" w:color="auto" w:fill="auto"/>
            <w:vAlign w:val="center"/>
          </w:tcPr>
          <w:p w14:paraId="324CBC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高中教学电源</w:t>
            </w:r>
          </w:p>
        </w:tc>
        <w:tc>
          <w:tcPr>
            <w:tcW w:w="4897" w:type="dxa"/>
            <w:shd w:val="clear" w:color="auto" w:fill="auto"/>
            <w:vAlign w:val="center"/>
          </w:tcPr>
          <w:p w14:paraId="44D65B9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1.交流输出：2V～24V，每2V一档，4A。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2.直流稳压输出：1.5V～25V，连续可调，3A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3.3位数码管显示。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4.直流大电流输出：40A、8s自动关断。</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5.外壳为全金属制成，表面现象烤漆处理，外形尺寸：268mm×205mm×115mm。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6.电源系统符合JY/T0374-2004《教学实验室设备 电源系统》标准。</w:t>
            </w:r>
          </w:p>
        </w:tc>
        <w:tc>
          <w:tcPr>
            <w:tcW w:w="462" w:type="dxa"/>
            <w:shd w:val="clear" w:color="auto" w:fill="auto"/>
            <w:noWrap/>
            <w:vAlign w:val="center"/>
          </w:tcPr>
          <w:p w14:paraId="6E84A4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199F5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A7317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510</w:t>
            </w:r>
          </w:p>
        </w:tc>
        <w:tc>
          <w:tcPr>
            <w:tcW w:w="1489" w:type="dxa"/>
            <w:shd w:val="clear" w:color="auto" w:fill="auto"/>
            <w:noWrap/>
            <w:vAlign w:val="center"/>
          </w:tcPr>
          <w:p w14:paraId="6C4A73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7650</w:t>
            </w:r>
          </w:p>
        </w:tc>
      </w:tr>
      <w:tr w14:paraId="312D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2BF230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108</w:t>
            </w:r>
          </w:p>
        </w:tc>
        <w:tc>
          <w:tcPr>
            <w:tcW w:w="1072" w:type="dxa"/>
            <w:shd w:val="clear" w:color="auto" w:fill="auto"/>
            <w:vAlign w:val="center"/>
          </w:tcPr>
          <w:p w14:paraId="49AEF8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演示电表</w:t>
            </w:r>
          </w:p>
        </w:tc>
        <w:tc>
          <w:tcPr>
            <w:tcW w:w="4897" w:type="dxa"/>
            <w:shd w:val="clear" w:color="auto" w:fill="auto"/>
            <w:vAlign w:val="center"/>
          </w:tcPr>
          <w:p w14:paraId="5881A6C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2.5级，直流电流：200μA, 0.5A、2.5A,直流电压：2.5V、10V,检流：-500uA～500μA,电压灵敏度：5kΩ/V</w:t>
            </w:r>
          </w:p>
        </w:tc>
        <w:tc>
          <w:tcPr>
            <w:tcW w:w="462" w:type="dxa"/>
            <w:shd w:val="clear" w:color="auto" w:fill="auto"/>
            <w:noWrap/>
            <w:vAlign w:val="center"/>
          </w:tcPr>
          <w:p w14:paraId="00E879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7184A0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080B65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242</w:t>
            </w:r>
          </w:p>
        </w:tc>
        <w:tc>
          <w:tcPr>
            <w:tcW w:w="1489" w:type="dxa"/>
            <w:shd w:val="clear" w:color="auto" w:fill="auto"/>
            <w:noWrap/>
            <w:vAlign w:val="center"/>
          </w:tcPr>
          <w:p w14:paraId="3851B2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968</w:t>
            </w:r>
          </w:p>
        </w:tc>
      </w:tr>
      <w:tr w14:paraId="466F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FD562A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109</w:t>
            </w:r>
          </w:p>
        </w:tc>
        <w:tc>
          <w:tcPr>
            <w:tcW w:w="1072" w:type="dxa"/>
            <w:shd w:val="clear" w:color="auto" w:fill="auto"/>
            <w:vAlign w:val="center"/>
          </w:tcPr>
          <w:p w14:paraId="28372B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直流电压表</w:t>
            </w:r>
          </w:p>
        </w:tc>
        <w:tc>
          <w:tcPr>
            <w:tcW w:w="4897" w:type="dxa"/>
            <w:shd w:val="clear" w:color="auto" w:fill="auto"/>
            <w:vAlign w:val="center"/>
          </w:tcPr>
          <w:p w14:paraId="67838DD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3V、15V双量程，2.5级，基本误差、 升降变差、平衡误差不超过量程上限的2.5%</w:t>
            </w:r>
          </w:p>
        </w:tc>
        <w:tc>
          <w:tcPr>
            <w:tcW w:w="462" w:type="dxa"/>
            <w:shd w:val="clear" w:color="auto" w:fill="auto"/>
            <w:noWrap/>
            <w:vAlign w:val="center"/>
          </w:tcPr>
          <w:p w14:paraId="3CE47B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24503E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57938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w:t>
            </w:r>
          </w:p>
        </w:tc>
        <w:tc>
          <w:tcPr>
            <w:tcW w:w="1489" w:type="dxa"/>
            <w:shd w:val="clear" w:color="auto" w:fill="auto"/>
            <w:noWrap/>
            <w:vAlign w:val="center"/>
          </w:tcPr>
          <w:p w14:paraId="06715F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600</w:t>
            </w:r>
          </w:p>
        </w:tc>
      </w:tr>
      <w:tr w14:paraId="3D50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6A8CDA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110</w:t>
            </w:r>
          </w:p>
        </w:tc>
        <w:tc>
          <w:tcPr>
            <w:tcW w:w="1072" w:type="dxa"/>
            <w:shd w:val="clear" w:color="auto" w:fill="auto"/>
            <w:vAlign w:val="center"/>
          </w:tcPr>
          <w:p w14:paraId="04E70D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直流电流表</w:t>
            </w:r>
          </w:p>
        </w:tc>
        <w:tc>
          <w:tcPr>
            <w:tcW w:w="4897" w:type="dxa"/>
            <w:shd w:val="clear" w:color="auto" w:fill="auto"/>
            <w:vAlign w:val="center"/>
          </w:tcPr>
          <w:p w14:paraId="2EF48BA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产品由测量机构、外壳等组成。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1.指示面板与水平面成45度夹角。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2.测量范围：（-0.2A~0~0.6A）（-1~0~3A）。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3.仪表准确度等级：2.5级。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4.对外界磁场的防御等级为Ⅲ级。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5.规格：130mm×95mm×90mm。</w:t>
            </w:r>
          </w:p>
        </w:tc>
        <w:tc>
          <w:tcPr>
            <w:tcW w:w="462" w:type="dxa"/>
            <w:shd w:val="clear" w:color="auto" w:fill="auto"/>
            <w:noWrap/>
            <w:vAlign w:val="center"/>
          </w:tcPr>
          <w:p w14:paraId="769E1D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2AE421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0CE8EE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w:t>
            </w:r>
          </w:p>
        </w:tc>
        <w:tc>
          <w:tcPr>
            <w:tcW w:w="1489" w:type="dxa"/>
            <w:shd w:val="clear" w:color="auto" w:fill="auto"/>
            <w:noWrap/>
            <w:vAlign w:val="center"/>
          </w:tcPr>
          <w:p w14:paraId="5F0426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600</w:t>
            </w:r>
          </w:p>
        </w:tc>
      </w:tr>
      <w:tr w14:paraId="7073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4A66DC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111</w:t>
            </w:r>
          </w:p>
        </w:tc>
        <w:tc>
          <w:tcPr>
            <w:tcW w:w="1072" w:type="dxa"/>
            <w:shd w:val="clear" w:color="auto" w:fill="auto"/>
            <w:vAlign w:val="center"/>
          </w:tcPr>
          <w:p w14:paraId="0FCF0B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直流电流表</w:t>
            </w:r>
          </w:p>
        </w:tc>
        <w:tc>
          <w:tcPr>
            <w:tcW w:w="4897" w:type="dxa"/>
            <w:shd w:val="clear" w:color="auto" w:fill="auto"/>
            <w:vAlign w:val="center"/>
          </w:tcPr>
          <w:p w14:paraId="14FAA49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产品由测量机构、外壳等组成。1.指示面板与水平面成45度夹角。2.测量范围：（-0.2A~0~0.6A）（-1~0~3A）。3.仪表准确度等级：2.5级。4.对外界磁场的防御等级为Ⅲ级。5.规格：130mm×95mm×90mm。</w:t>
            </w:r>
          </w:p>
        </w:tc>
        <w:tc>
          <w:tcPr>
            <w:tcW w:w="462" w:type="dxa"/>
            <w:shd w:val="clear" w:color="auto" w:fill="auto"/>
            <w:noWrap/>
            <w:vAlign w:val="center"/>
          </w:tcPr>
          <w:p w14:paraId="6E883D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7B9ABE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7A7F26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c>
          <w:tcPr>
            <w:tcW w:w="1489" w:type="dxa"/>
            <w:shd w:val="clear" w:color="auto" w:fill="auto"/>
            <w:noWrap/>
            <w:vAlign w:val="center"/>
          </w:tcPr>
          <w:p w14:paraId="7AF6FD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630</w:t>
            </w:r>
          </w:p>
        </w:tc>
      </w:tr>
      <w:tr w14:paraId="2F27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89F4D6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112</w:t>
            </w:r>
          </w:p>
        </w:tc>
        <w:tc>
          <w:tcPr>
            <w:tcW w:w="1072" w:type="dxa"/>
            <w:shd w:val="clear" w:color="auto" w:fill="auto"/>
            <w:vAlign w:val="center"/>
          </w:tcPr>
          <w:p w14:paraId="026981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多用电表</w:t>
            </w:r>
          </w:p>
        </w:tc>
        <w:tc>
          <w:tcPr>
            <w:tcW w:w="4897" w:type="dxa"/>
            <w:shd w:val="clear" w:color="auto" w:fill="auto"/>
            <w:vAlign w:val="center"/>
          </w:tcPr>
          <w:p w14:paraId="2499C28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1.MF-47型，内磁表头。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2.测量范围：直流电流：0～5～50～500mA,10A；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3.直流电压：0～0.25～0.5～10～50～250～500～1000V，交流电压：0～10～50～250～500～1000V；直流电阻：X1～X10K；温度测试：-10～150℃，电容：0.01～100000μf；电感：20～1000H；音频电平：-10～+22db。表笔1套。</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4.外型规格：165×113×52mm。重量：0.6kg。</w:t>
            </w:r>
          </w:p>
        </w:tc>
        <w:tc>
          <w:tcPr>
            <w:tcW w:w="462" w:type="dxa"/>
            <w:shd w:val="clear" w:color="auto" w:fill="auto"/>
            <w:noWrap/>
            <w:vAlign w:val="center"/>
          </w:tcPr>
          <w:p w14:paraId="39C768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1FD99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68E478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110</w:t>
            </w:r>
          </w:p>
        </w:tc>
        <w:tc>
          <w:tcPr>
            <w:tcW w:w="1489" w:type="dxa"/>
            <w:shd w:val="clear" w:color="auto" w:fill="auto"/>
            <w:noWrap/>
            <w:vAlign w:val="center"/>
          </w:tcPr>
          <w:p w14:paraId="1FE855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1650</w:t>
            </w:r>
          </w:p>
        </w:tc>
      </w:tr>
      <w:tr w14:paraId="530F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5955C3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113</w:t>
            </w:r>
          </w:p>
        </w:tc>
        <w:tc>
          <w:tcPr>
            <w:tcW w:w="1072" w:type="dxa"/>
            <w:shd w:val="clear" w:color="auto" w:fill="auto"/>
            <w:vAlign w:val="center"/>
          </w:tcPr>
          <w:p w14:paraId="6DFEF9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电阻定律实验器</w:t>
            </w:r>
          </w:p>
        </w:tc>
        <w:tc>
          <w:tcPr>
            <w:tcW w:w="4897" w:type="dxa"/>
            <w:shd w:val="clear" w:color="auto" w:fill="auto"/>
            <w:vAlign w:val="center"/>
          </w:tcPr>
          <w:p w14:paraId="69B96F9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由底板、2种金属导线（康铜、镍铬）、接线柱、连接片、支撑架等组成；康铜导线2根（长均为500mm,直径分别为0.5mm、0.3mm）；镍铬线2根（长分别为500mm、300mm,直径均为0.3mm）</w:t>
            </w:r>
          </w:p>
        </w:tc>
        <w:tc>
          <w:tcPr>
            <w:tcW w:w="462" w:type="dxa"/>
            <w:shd w:val="clear" w:color="auto" w:fill="auto"/>
            <w:noWrap/>
            <w:vAlign w:val="center"/>
          </w:tcPr>
          <w:p w14:paraId="09F9EE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5441B8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784EA9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w:t>
            </w:r>
          </w:p>
        </w:tc>
        <w:tc>
          <w:tcPr>
            <w:tcW w:w="1489" w:type="dxa"/>
            <w:shd w:val="clear" w:color="auto" w:fill="auto"/>
            <w:noWrap/>
            <w:vAlign w:val="center"/>
          </w:tcPr>
          <w:p w14:paraId="7CBF54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495</w:t>
            </w:r>
          </w:p>
        </w:tc>
      </w:tr>
      <w:tr w14:paraId="1EFE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5068B3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114</w:t>
            </w:r>
          </w:p>
        </w:tc>
        <w:tc>
          <w:tcPr>
            <w:tcW w:w="1072" w:type="dxa"/>
            <w:shd w:val="clear" w:color="auto" w:fill="auto"/>
            <w:vAlign w:val="center"/>
          </w:tcPr>
          <w:p w14:paraId="371826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接线夹导线</w:t>
            </w:r>
          </w:p>
        </w:tc>
        <w:tc>
          <w:tcPr>
            <w:tcW w:w="4897" w:type="dxa"/>
            <w:shd w:val="clear" w:color="auto" w:fill="auto"/>
            <w:vAlign w:val="center"/>
          </w:tcPr>
          <w:p w14:paraId="3482704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纯铜接线夹；纯铜导线，长度分别为200mm、300mm、400mm,芯线截面积不小于0.5mm</w:t>
            </w:r>
            <w:r>
              <w:rPr>
                <w:rStyle w:val="46"/>
                <w:rFonts w:hint="default"/>
                <w:lang w:bidi="ar"/>
              </w:rPr>
              <w:t>2</w:t>
            </w:r>
            <w:r>
              <w:rPr>
                <w:rFonts w:hint="eastAsia" w:ascii="宋体" w:hAnsi="宋体" w:cs="宋体"/>
                <w:color w:val="000000"/>
                <w:kern w:val="0"/>
                <w:sz w:val="22"/>
                <w:szCs w:val="22"/>
                <w:lang w:bidi="ar"/>
              </w:rPr>
              <w:t>；宜用不同线色</w:t>
            </w:r>
          </w:p>
        </w:tc>
        <w:tc>
          <w:tcPr>
            <w:tcW w:w="462" w:type="dxa"/>
            <w:shd w:val="clear" w:color="auto" w:fill="auto"/>
            <w:noWrap/>
            <w:vAlign w:val="center"/>
          </w:tcPr>
          <w:p w14:paraId="0B1B1E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根</w:t>
            </w:r>
          </w:p>
        </w:tc>
        <w:tc>
          <w:tcPr>
            <w:tcW w:w="605" w:type="dxa"/>
            <w:shd w:val="clear" w:color="auto" w:fill="auto"/>
            <w:noWrap/>
            <w:vAlign w:val="center"/>
          </w:tcPr>
          <w:p w14:paraId="2A6932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20AFFD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1AA74B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69E8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FACE66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115</w:t>
            </w:r>
          </w:p>
        </w:tc>
        <w:tc>
          <w:tcPr>
            <w:tcW w:w="1072" w:type="dxa"/>
            <w:shd w:val="clear" w:color="auto" w:fill="auto"/>
            <w:vAlign w:val="center"/>
          </w:tcPr>
          <w:p w14:paraId="170ECD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接线叉导线</w:t>
            </w:r>
          </w:p>
        </w:tc>
        <w:tc>
          <w:tcPr>
            <w:tcW w:w="4897" w:type="dxa"/>
            <w:shd w:val="clear" w:color="auto" w:fill="auto"/>
            <w:vAlign w:val="center"/>
          </w:tcPr>
          <w:p w14:paraId="2DE83BA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纯铜接线叉，接线叉开口5.9mm；纯铜导线，长度分别为200mm、300mm、400mm,芯线截面积不小于0.5mm</w:t>
            </w:r>
            <w:r>
              <w:rPr>
                <w:rStyle w:val="46"/>
                <w:rFonts w:hint="default"/>
                <w:lang w:bidi="ar"/>
              </w:rPr>
              <w:t>2</w:t>
            </w:r>
            <w:r>
              <w:rPr>
                <w:rFonts w:hint="eastAsia" w:ascii="宋体" w:hAnsi="宋体" w:cs="宋体"/>
                <w:color w:val="000000"/>
                <w:kern w:val="0"/>
                <w:sz w:val="22"/>
                <w:szCs w:val="22"/>
                <w:lang w:bidi="ar"/>
              </w:rPr>
              <w:t>；宜用不同线色</w:t>
            </w:r>
          </w:p>
        </w:tc>
        <w:tc>
          <w:tcPr>
            <w:tcW w:w="462" w:type="dxa"/>
            <w:shd w:val="clear" w:color="auto" w:fill="auto"/>
            <w:noWrap/>
            <w:vAlign w:val="center"/>
          </w:tcPr>
          <w:p w14:paraId="41444B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根</w:t>
            </w:r>
          </w:p>
        </w:tc>
        <w:tc>
          <w:tcPr>
            <w:tcW w:w="605" w:type="dxa"/>
            <w:shd w:val="clear" w:color="auto" w:fill="auto"/>
            <w:noWrap/>
            <w:vAlign w:val="center"/>
          </w:tcPr>
          <w:p w14:paraId="741A20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2954E1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8492A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5696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8E6BF8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116</w:t>
            </w:r>
          </w:p>
        </w:tc>
        <w:tc>
          <w:tcPr>
            <w:tcW w:w="1072" w:type="dxa"/>
            <w:shd w:val="clear" w:color="auto" w:fill="auto"/>
            <w:vAlign w:val="center"/>
          </w:tcPr>
          <w:p w14:paraId="674DB4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组合接头导线</w:t>
            </w:r>
          </w:p>
        </w:tc>
        <w:tc>
          <w:tcPr>
            <w:tcW w:w="4897" w:type="dxa"/>
            <w:shd w:val="clear" w:color="auto" w:fill="auto"/>
            <w:vAlign w:val="center"/>
          </w:tcPr>
          <w:p w14:paraId="2B1F9B6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一头为纯铜接线叉，一头为接线夹，接线叉开口5.9mm；纯铜导线，长度分别为200mm、300mm、400mm,芯线截面积不小于0.5mm</w:t>
            </w:r>
            <w:r>
              <w:rPr>
                <w:rStyle w:val="46"/>
                <w:rFonts w:hint="default"/>
                <w:lang w:bidi="ar"/>
              </w:rPr>
              <w:t>2</w:t>
            </w:r>
            <w:r>
              <w:rPr>
                <w:rFonts w:hint="eastAsia" w:ascii="宋体" w:hAnsi="宋体" w:cs="宋体"/>
                <w:color w:val="000000"/>
                <w:kern w:val="0"/>
                <w:sz w:val="22"/>
                <w:szCs w:val="22"/>
                <w:lang w:bidi="ar"/>
              </w:rPr>
              <w:t>；宜用不同线色</w:t>
            </w:r>
          </w:p>
        </w:tc>
        <w:tc>
          <w:tcPr>
            <w:tcW w:w="462" w:type="dxa"/>
            <w:shd w:val="clear" w:color="auto" w:fill="auto"/>
            <w:noWrap/>
            <w:vAlign w:val="center"/>
          </w:tcPr>
          <w:p w14:paraId="7699D5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根</w:t>
            </w:r>
          </w:p>
        </w:tc>
        <w:tc>
          <w:tcPr>
            <w:tcW w:w="605" w:type="dxa"/>
            <w:shd w:val="clear" w:color="auto" w:fill="auto"/>
            <w:noWrap/>
            <w:vAlign w:val="center"/>
          </w:tcPr>
          <w:p w14:paraId="06B0A3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41723E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6DF7B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2A21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847CA4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117</w:t>
            </w:r>
          </w:p>
        </w:tc>
        <w:tc>
          <w:tcPr>
            <w:tcW w:w="1072" w:type="dxa"/>
            <w:shd w:val="clear" w:color="auto" w:fill="auto"/>
            <w:vAlign w:val="center"/>
          </w:tcPr>
          <w:p w14:paraId="75291D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电阻箱</w:t>
            </w:r>
          </w:p>
        </w:tc>
        <w:tc>
          <w:tcPr>
            <w:tcW w:w="4897" w:type="dxa"/>
            <w:shd w:val="clear" w:color="auto" w:fill="auto"/>
            <w:vAlign w:val="center"/>
          </w:tcPr>
          <w:p w14:paraId="4551378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六位，99999.9 Ω, 1级</w:t>
            </w:r>
          </w:p>
        </w:tc>
        <w:tc>
          <w:tcPr>
            <w:tcW w:w="462" w:type="dxa"/>
            <w:shd w:val="clear" w:color="auto" w:fill="auto"/>
            <w:noWrap/>
            <w:vAlign w:val="center"/>
          </w:tcPr>
          <w:p w14:paraId="57CB99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8D22E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725C27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193</w:t>
            </w:r>
          </w:p>
        </w:tc>
        <w:tc>
          <w:tcPr>
            <w:tcW w:w="1489" w:type="dxa"/>
            <w:shd w:val="clear" w:color="auto" w:fill="auto"/>
            <w:noWrap/>
            <w:vAlign w:val="center"/>
          </w:tcPr>
          <w:p w14:paraId="5471BB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2895</w:t>
            </w:r>
          </w:p>
        </w:tc>
      </w:tr>
      <w:tr w14:paraId="69725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839F69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118</w:t>
            </w:r>
          </w:p>
        </w:tc>
        <w:tc>
          <w:tcPr>
            <w:tcW w:w="1072" w:type="dxa"/>
            <w:shd w:val="clear" w:color="auto" w:fill="auto"/>
            <w:vAlign w:val="center"/>
          </w:tcPr>
          <w:p w14:paraId="12B695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滑动变 阻器</w:t>
            </w:r>
          </w:p>
        </w:tc>
        <w:tc>
          <w:tcPr>
            <w:tcW w:w="4897" w:type="dxa"/>
            <w:shd w:val="clear" w:color="auto" w:fill="auto"/>
            <w:vAlign w:val="center"/>
          </w:tcPr>
          <w:p w14:paraId="018CF0B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10Ω,2A。滑杆宜采用正多边形截面（正六边形、正四边形、正三角形）；滑片不应滑出端夹以外；全部电阻线以额定电流连续工作30min,温升不应超过300K</w:t>
            </w:r>
          </w:p>
        </w:tc>
        <w:tc>
          <w:tcPr>
            <w:tcW w:w="462" w:type="dxa"/>
            <w:shd w:val="clear" w:color="auto" w:fill="auto"/>
            <w:noWrap/>
            <w:vAlign w:val="center"/>
          </w:tcPr>
          <w:p w14:paraId="16FAA3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85865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2403C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489" w:type="dxa"/>
            <w:shd w:val="clear" w:color="auto" w:fill="auto"/>
            <w:noWrap/>
            <w:vAlign w:val="center"/>
          </w:tcPr>
          <w:p w14:paraId="55639C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r>
      <w:tr w14:paraId="4F9D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229659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119</w:t>
            </w:r>
          </w:p>
        </w:tc>
        <w:tc>
          <w:tcPr>
            <w:tcW w:w="1072" w:type="dxa"/>
            <w:shd w:val="clear" w:color="auto" w:fill="auto"/>
            <w:vAlign w:val="center"/>
          </w:tcPr>
          <w:p w14:paraId="692A71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滑动变 阻器</w:t>
            </w:r>
          </w:p>
        </w:tc>
        <w:tc>
          <w:tcPr>
            <w:tcW w:w="4897" w:type="dxa"/>
            <w:shd w:val="clear" w:color="auto" w:fill="auto"/>
            <w:vAlign w:val="center"/>
          </w:tcPr>
          <w:p w14:paraId="1C50FEB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20Ω,2A。滑杆宜采用正多边形截面（正六边形、正四边形、正三角形）；滑片不应滑出端夹以外；全部电阻线以额定电流连续工作30min,温升不应超过300K</w:t>
            </w:r>
          </w:p>
        </w:tc>
        <w:tc>
          <w:tcPr>
            <w:tcW w:w="462" w:type="dxa"/>
            <w:shd w:val="clear" w:color="auto" w:fill="auto"/>
            <w:noWrap/>
            <w:vAlign w:val="center"/>
          </w:tcPr>
          <w:p w14:paraId="6A4863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6179E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31D01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489" w:type="dxa"/>
            <w:shd w:val="clear" w:color="auto" w:fill="auto"/>
            <w:noWrap/>
            <w:vAlign w:val="center"/>
          </w:tcPr>
          <w:p w14:paraId="0ABEAA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r>
      <w:tr w14:paraId="63DE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55A09D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120</w:t>
            </w:r>
          </w:p>
        </w:tc>
        <w:tc>
          <w:tcPr>
            <w:tcW w:w="1072" w:type="dxa"/>
            <w:shd w:val="clear" w:color="auto" w:fill="auto"/>
            <w:vAlign w:val="center"/>
          </w:tcPr>
          <w:p w14:paraId="4A3984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滑动变 阻器</w:t>
            </w:r>
          </w:p>
        </w:tc>
        <w:tc>
          <w:tcPr>
            <w:tcW w:w="4897" w:type="dxa"/>
            <w:shd w:val="clear" w:color="auto" w:fill="auto"/>
            <w:vAlign w:val="center"/>
          </w:tcPr>
          <w:p w14:paraId="1B9B4B2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50Ω,1.5A。滑杆宜采用正多边形截面（正六边形、正四边形、正三角形）；滑片不应滑出端夹以外；全部电阻线以额定电流连续工作30min,温升不应超过300K</w:t>
            </w:r>
          </w:p>
        </w:tc>
        <w:tc>
          <w:tcPr>
            <w:tcW w:w="462" w:type="dxa"/>
            <w:shd w:val="clear" w:color="auto" w:fill="auto"/>
            <w:noWrap/>
            <w:vAlign w:val="center"/>
          </w:tcPr>
          <w:p w14:paraId="2F9FF2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636AE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AC7FD1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489" w:type="dxa"/>
            <w:shd w:val="clear" w:color="auto" w:fill="auto"/>
            <w:noWrap/>
            <w:vAlign w:val="center"/>
          </w:tcPr>
          <w:p w14:paraId="0545DA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r>
      <w:tr w14:paraId="1573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CCA1FD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121</w:t>
            </w:r>
          </w:p>
        </w:tc>
        <w:tc>
          <w:tcPr>
            <w:tcW w:w="1072" w:type="dxa"/>
            <w:shd w:val="clear" w:color="auto" w:fill="auto"/>
            <w:vAlign w:val="center"/>
          </w:tcPr>
          <w:p w14:paraId="2133C5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菱形小磁针</w:t>
            </w:r>
          </w:p>
        </w:tc>
        <w:tc>
          <w:tcPr>
            <w:tcW w:w="4897" w:type="dxa"/>
            <w:shd w:val="clear" w:color="auto" w:fill="auto"/>
            <w:vAlign w:val="center"/>
          </w:tcPr>
          <w:p w14:paraId="5A1C91F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16支，磁针28mmX8mm,座</w:t>
            </w:r>
            <w:r>
              <w:rPr>
                <w:rFonts w:ascii="等线" w:hAnsi="等线" w:eastAsia="等线" w:cs="等线"/>
                <w:color w:val="000000"/>
                <w:kern w:val="0"/>
                <w:sz w:val="22"/>
                <w:szCs w:val="22"/>
                <w:lang w:bidi="ar"/>
              </w:rPr>
              <w:t>Ø</w:t>
            </w:r>
            <w:r>
              <w:rPr>
                <w:rFonts w:hint="eastAsia" w:ascii="宋体" w:hAnsi="宋体" w:cs="宋体"/>
                <w:color w:val="000000"/>
                <w:kern w:val="0"/>
                <w:sz w:val="22"/>
                <w:szCs w:val="22"/>
                <w:lang w:bidi="ar"/>
              </w:rPr>
              <w:t>25mmX25mm,磁针体中间铆接铜轴承套，内嵌玻璃轴承，平均磁感应强度≥5mT</w:t>
            </w:r>
          </w:p>
        </w:tc>
        <w:tc>
          <w:tcPr>
            <w:tcW w:w="462" w:type="dxa"/>
            <w:shd w:val="clear" w:color="auto" w:fill="auto"/>
            <w:noWrap/>
            <w:vAlign w:val="center"/>
          </w:tcPr>
          <w:p w14:paraId="15189A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BF2D8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c>
          <w:tcPr>
            <w:tcW w:w="1048" w:type="dxa"/>
            <w:shd w:val="clear" w:color="auto" w:fill="auto"/>
            <w:noWrap/>
            <w:vAlign w:val="center"/>
          </w:tcPr>
          <w:p w14:paraId="5E7811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c>
          <w:tcPr>
            <w:tcW w:w="1489" w:type="dxa"/>
            <w:shd w:val="clear" w:color="auto" w:fill="auto"/>
            <w:noWrap/>
            <w:vAlign w:val="center"/>
          </w:tcPr>
          <w:p w14:paraId="3F575C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320</w:t>
            </w:r>
          </w:p>
        </w:tc>
      </w:tr>
      <w:tr w14:paraId="7843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9F5A70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122</w:t>
            </w:r>
          </w:p>
        </w:tc>
        <w:tc>
          <w:tcPr>
            <w:tcW w:w="1072" w:type="dxa"/>
            <w:shd w:val="clear" w:color="auto" w:fill="auto"/>
            <w:vAlign w:val="center"/>
          </w:tcPr>
          <w:p w14:paraId="601691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翼形磁针</w:t>
            </w:r>
          </w:p>
        </w:tc>
        <w:tc>
          <w:tcPr>
            <w:tcW w:w="4897" w:type="dxa"/>
            <w:shd w:val="clear" w:color="auto" w:fill="auto"/>
            <w:vAlign w:val="center"/>
          </w:tcPr>
          <w:p w14:paraId="5CE0D3D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2支，针体140mmX8mm,座Ø71mmX112mm。磁针体中间铆接铜轴承套，内嵌玻璃轴承，平均磁感应强度≥9mT</w:t>
            </w:r>
          </w:p>
        </w:tc>
        <w:tc>
          <w:tcPr>
            <w:tcW w:w="462" w:type="dxa"/>
            <w:shd w:val="clear" w:color="auto" w:fill="auto"/>
            <w:noWrap/>
            <w:vAlign w:val="center"/>
          </w:tcPr>
          <w:p w14:paraId="382C18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对</w:t>
            </w:r>
          </w:p>
        </w:tc>
        <w:tc>
          <w:tcPr>
            <w:tcW w:w="605" w:type="dxa"/>
            <w:shd w:val="clear" w:color="auto" w:fill="auto"/>
            <w:noWrap/>
            <w:vAlign w:val="center"/>
          </w:tcPr>
          <w:p w14:paraId="0EBF68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00C77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593F9B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r>
      <w:tr w14:paraId="1CC6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70C2A6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123</w:t>
            </w:r>
          </w:p>
        </w:tc>
        <w:tc>
          <w:tcPr>
            <w:tcW w:w="1072" w:type="dxa"/>
            <w:shd w:val="clear" w:color="auto" w:fill="auto"/>
            <w:vAlign w:val="center"/>
          </w:tcPr>
          <w:p w14:paraId="08C2BD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条形磁铁</w:t>
            </w:r>
          </w:p>
        </w:tc>
        <w:tc>
          <w:tcPr>
            <w:tcW w:w="4897" w:type="dxa"/>
            <w:shd w:val="clear" w:color="auto" w:fill="auto"/>
            <w:vAlign w:val="center"/>
          </w:tcPr>
          <w:p w14:paraId="31ECD7C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D-CG-LT-180,表面磁感应强度≥0.07T</w:t>
            </w:r>
          </w:p>
        </w:tc>
        <w:tc>
          <w:tcPr>
            <w:tcW w:w="462" w:type="dxa"/>
            <w:shd w:val="clear" w:color="auto" w:fill="auto"/>
            <w:noWrap/>
            <w:vAlign w:val="center"/>
          </w:tcPr>
          <w:p w14:paraId="661EC5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对</w:t>
            </w:r>
          </w:p>
        </w:tc>
        <w:tc>
          <w:tcPr>
            <w:tcW w:w="605" w:type="dxa"/>
            <w:shd w:val="clear" w:color="auto" w:fill="auto"/>
            <w:noWrap/>
            <w:vAlign w:val="center"/>
          </w:tcPr>
          <w:p w14:paraId="459C37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4FA62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489" w:type="dxa"/>
            <w:shd w:val="clear" w:color="auto" w:fill="auto"/>
            <w:noWrap/>
            <w:vAlign w:val="center"/>
          </w:tcPr>
          <w:p w14:paraId="649AAC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1AE1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6CF18F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124</w:t>
            </w:r>
          </w:p>
        </w:tc>
        <w:tc>
          <w:tcPr>
            <w:tcW w:w="1072" w:type="dxa"/>
            <w:shd w:val="clear" w:color="auto" w:fill="auto"/>
            <w:vAlign w:val="center"/>
          </w:tcPr>
          <w:p w14:paraId="01FE18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蹄形磁铁</w:t>
            </w:r>
          </w:p>
        </w:tc>
        <w:tc>
          <w:tcPr>
            <w:tcW w:w="4897" w:type="dxa"/>
            <w:shd w:val="clear" w:color="auto" w:fill="auto"/>
            <w:vAlign w:val="center"/>
          </w:tcPr>
          <w:p w14:paraId="0BEF328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一体成型，D-CG-LU-100,表面磁感应强度≥0.055T</w:t>
            </w:r>
          </w:p>
        </w:tc>
        <w:tc>
          <w:tcPr>
            <w:tcW w:w="462" w:type="dxa"/>
            <w:shd w:val="clear" w:color="auto" w:fill="auto"/>
            <w:noWrap/>
            <w:vAlign w:val="center"/>
          </w:tcPr>
          <w:p w14:paraId="727133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对</w:t>
            </w:r>
          </w:p>
        </w:tc>
        <w:tc>
          <w:tcPr>
            <w:tcW w:w="605" w:type="dxa"/>
            <w:shd w:val="clear" w:color="auto" w:fill="auto"/>
            <w:noWrap/>
            <w:vAlign w:val="center"/>
          </w:tcPr>
          <w:p w14:paraId="7BE179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4011A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c>
          <w:tcPr>
            <w:tcW w:w="1489" w:type="dxa"/>
            <w:shd w:val="clear" w:color="auto" w:fill="auto"/>
            <w:noWrap/>
            <w:vAlign w:val="center"/>
          </w:tcPr>
          <w:p w14:paraId="095B9E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r>
      <w:tr w14:paraId="7601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555882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125</w:t>
            </w:r>
          </w:p>
        </w:tc>
        <w:tc>
          <w:tcPr>
            <w:tcW w:w="1072" w:type="dxa"/>
            <w:shd w:val="clear" w:color="auto" w:fill="auto"/>
            <w:vAlign w:val="center"/>
          </w:tcPr>
          <w:p w14:paraId="7D5588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充磁器</w:t>
            </w:r>
          </w:p>
        </w:tc>
        <w:tc>
          <w:tcPr>
            <w:tcW w:w="4897" w:type="dxa"/>
            <w:shd w:val="clear" w:color="auto" w:fill="auto"/>
            <w:vAlign w:val="center"/>
          </w:tcPr>
          <w:p w14:paraId="5552326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有充磁时间自动控制功能，外壳为非铁磁性材料，线圈轴向长度不小于80mm,能充两极间距大于28mm、磁极截面积小于42mmX24mm的U形磁铁以及截面积小于42mmX24mm的条形磁铁，电源与线圈骨架以及外壳金属件之间抗电强度3000V</w:t>
            </w:r>
          </w:p>
        </w:tc>
        <w:tc>
          <w:tcPr>
            <w:tcW w:w="462" w:type="dxa"/>
            <w:shd w:val="clear" w:color="auto" w:fill="auto"/>
            <w:noWrap/>
            <w:vAlign w:val="center"/>
          </w:tcPr>
          <w:p w14:paraId="4D6513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9B967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8BF9B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218</w:t>
            </w:r>
          </w:p>
        </w:tc>
        <w:tc>
          <w:tcPr>
            <w:tcW w:w="1489" w:type="dxa"/>
            <w:shd w:val="clear" w:color="auto" w:fill="auto"/>
            <w:noWrap/>
            <w:vAlign w:val="center"/>
          </w:tcPr>
          <w:p w14:paraId="09B4BE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218</w:t>
            </w:r>
          </w:p>
        </w:tc>
      </w:tr>
      <w:tr w14:paraId="5FF7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94B788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126</w:t>
            </w:r>
          </w:p>
        </w:tc>
        <w:tc>
          <w:tcPr>
            <w:tcW w:w="1072" w:type="dxa"/>
            <w:shd w:val="clear" w:color="auto" w:fill="auto"/>
            <w:vAlign w:val="center"/>
          </w:tcPr>
          <w:p w14:paraId="1F5B35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灵敏电流计</w:t>
            </w:r>
          </w:p>
        </w:tc>
        <w:tc>
          <w:tcPr>
            <w:tcW w:w="4897" w:type="dxa"/>
            <w:shd w:val="clear" w:color="auto" w:fill="auto"/>
            <w:vAlign w:val="center"/>
          </w:tcPr>
          <w:p w14:paraId="090CFAB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测量精度：2.5级，测量范围：-300μA</w:t>
            </w:r>
            <w:r>
              <w:rPr>
                <w:rStyle w:val="45"/>
                <w:lang w:bidi="ar"/>
              </w:rPr>
              <w:t>〜</w:t>
            </w:r>
            <w:r>
              <w:rPr>
                <w:rFonts w:hint="eastAsia" w:ascii="宋体" w:hAnsi="宋体" w:cs="宋体"/>
                <w:color w:val="000000"/>
                <w:kern w:val="0"/>
                <w:sz w:val="22"/>
                <w:szCs w:val="22"/>
                <w:lang w:bidi="ar"/>
              </w:rPr>
              <w:t>OμA～300μA,表头内阻:G</w:t>
            </w:r>
            <w:r>
              <w:rPr>
                <w:rFonts w:hint="eastAsia" w:ascii="宋体" w:hAnsi="宋体" w:cs="宋体"/>
                <w:color w:val="000000"/>
                <w:kern w:val="0"/>
                <w:sz w:val="22"/>
                <w:szCs w:val="22"/>
                <w:vertAlign w:val="subscript"/>
                <w:lang w:bidi="ar"/>
              </w:rPr>
              <w:t>0</w:t>
            </w:r>
            <w:r>
              <w:rPr>
                <w:rFonts w:hint="eastAsia" w:ascii="宋体" w:hAnsi="宋体" w:cs="宋体"/>
                <w:color w:val="000000"/>
                <w:kern w:val="0"/>
                <w:sz w:val="22"/>
                <w:szCs w:val="22"/>
                <w:lang w:bidi="ar"/>
              </w:rPr>
              <w:t>档80Ω</w:t>
            </w:r>
            <w:r>
              <w:rPr>
                <w:rStyle w:val="45"/>
                <w:lang w:bidi="ar"/>
              </w:rPr>
              <w:t>〜</w:t>
            </w:r>
            <w:r>
              <w:rPr>
                <w:rFonts w:hint="eastAsia" w:ascii="宋体" w:hAnsi="宋体" w:cs="宋体"/>
                <w:color w:val="000000"/>
                <w:kern w:val="0"/>
                <w:sz w:val="22"/>
                <w:szCs w:val="22"/>
                <w:lang w:bidi="ar"/>
              </w:rPr>
              <w:t>125Ω，G</w:t>
            </w:r>
            <w:r>
              <w:rPr>
                <w:rFonts w:hint="eastAsia" w:ascii="宋体" w:hAnsi="宋体" w:cs="宋体"/>
                <w:color w:val="000000"/>
                <w:kern w:val="0"/>
                <w:sz w:val="22"/>
                <w:szCs w:val="22"/>
                <w:vertAlign w:val="subscript"/>
                <w:lang w:bidi="ar"/>
              </w:rPr>
              <w:t>1</w:t>
            </w:r>
            <w:r>
              <w:rPr>
                <w:rFonts w:hint="eastAsia" w:ascii="宋体" w:hAnsi="宋体" w:cs="宋体"/>
                <w:color w:val="000000"/>
                <w:kern w:val="0"/>
                <w:sz w:val="22"/>
                <w:szCs w:val="22"/>
                <w:lang w:bidi="ar"/>
              </w:rPr>
              <w:t>档2400Ω</w:t>
            </w:r>
            <w:r>
              <w:rPr>
                <w:rStyle w:val="45"/>
                <w:lang w:bidi="ar"/>
              </w:rPr>
              <w:t>〜</w:t>
            </w:r>
            <w:r>
              <w:rPr>
                <w:rFonts w:hint="eastAsia" w:ascii="宋体" w:hAnsi="宋体" w:cs="宋体"/>
                <w:color w:val="000000"/>
                <w:kern w:val="0"/>
                <w:sz w:val="22"/>
                <w:szCs w:val="22"/>
                <w:lang w:bidi="ar"/>
              </w:rPr>
              <w:t>3000Ω</w:t>
            </w:r>
          </w:p>
        </w:tc>
        <w:tc>
          <w:tcPr>
            <w:tcW w:w="462" w:type="dxa"/>
            <w:shd w:val="clear" w:color="auto" w:fill="auto"/>
            <w:noWrap/>
            <w:vAlign w:val="center"/>
          </w:tcPr>
          <w:p w14:paraId="51FA53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0B58E7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6CB952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w:t>
            </w:r>
          </w:p>
        </w:tc>
        <w:tc>
          <w:tcPr>
            <w:tcW w:w="1489" w:type="dxa"/>
            <w:shd w:val="clear" w:color="auto" w:fill="auto"/>
            <w:noWrap/>
            <w:vAlign w:val="center"/>
          </w:tcPr>
          <w:p w14:paraId="1CAACF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570</w:t>
            </w:r>
          </w:p>
        </w:tc>
      </w:tr>
      <w:tr w14:paraId="06A0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7DC14B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127</w:t>
            </w:r>
          </w:p>
        </w:tc>
        <w:tc>
          <w:tcPr>
            <w:tcW w:w="1072" w:type="dxa"/>
            <w:shd w:val="clear" w:color="auto" w:fill="auto"/>
            <w:vAlign w:val="center"/>
          </w:tcPr>
          <w:p w14:paraId="1113C5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原副线圈</w:t>
            </w:r>
          </w:p>
        </w:tc>
        <w:tc>
          <w:tcPr>
            <w:tcW w:w="4897" w:type="dxa"/>
            <w:shd w:val="clear" w:color="auto" w:fill="auto"/>
            <w:vAlign w:val="center"/>
          </w:tcPr>
          <w:p w14:paraId="3E9896C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原线圈：0.56mm QZ型漆包线310匝</w:t>
            </w:r>
            <w:r>
              <w:rPr>
                <w:rStyle w:val="45"/>
                <w:lang w:bidi="ar"/>
              </w:rPr>
              <w:t>〜</w:t>
            </w:r>
            <w:r>
              <w:rPr>
                <w:rFonts w:hint="eastAsia" w:ascii="宋体" w:hAnsi="宋体" w:cs="宋体"/>
                <w:color w:val="000000"/>
                <w:kern w:val="0"/>
                <w:sz w:val="22"/>
                <w:szCs w:val="22"/>
                <w:lang w:bidi="ar"/>
              </w:rPr>
              <w:t>330匝，线圈架内径11mm,绕线宽度57mm。副线圈0.25 mm QZ型漆包线670匝</w:t>
            </w:r>
            <w:r>
              <w:rPr>
                <w:rStyle w:val="45"/>
                <w:lang w:bidi="ar"/>
              </w:rPr>
              <w:t>〜</w:t>
            </w:r>
            <w:r>
              <w:rPr>
                <w:rFonts w:hint="eastAsia" w:ascii="宋体" w:hAnsi="宋体" w:cs="宋体"/>
                <w:color w:val="000000"/>
                <w:kern w:val="0"/>
                <w:sz w:val="22"/>
                <w:szCs w:val="22"/>
                <w:lang w:bidi="ar"/>
              </w:rPr>
              <w:t>680匝，线圈架内径24mm,绕线宽度52mm。性能要求：各线圈都应带绕向标识</w:t>
            </w:r>
          </w:p>
        </w:tc>
        <w:tc>
          <w:tcPr>
            <w:tcW w:w="462" w:type="dxa"/>
            <w:shd w:val="clear" w:color="auto" w:fill="auto"/>
            <w:noWrap/>
            <w:vAlign w:val="center"/>
          </w:tcPr>
          <w:p w14:paraId="7EDD1E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3E5C0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200B34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35</w:t>
            </w:r>
          </w:p>
        </w:tc>
        <w:tc>
          <w:tcPr>
            <w:tcW w:w="1489" w:type="dxa"/>
            <w:shd w:val="clear" w:color="auto" w:fill="auto"/>
            <w:noWrap/>
            <w:vAlign w:val="center"/>
          </w:tcPr>
          <w:p w14:paraId="68F47E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525</w:t>
            </w:r>
          </w:p>
        </w:tc>
      </w:tr>
      <w:tr w14:paraId="4D96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870C97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128</w:t>
            </w:r>
          </w:p>
        </w:tc>
        <w:tc>
          <w:tcPr>
            <w:tcW w:w="1072" w:type="dxa"/>
            <w:shd w:val="clear" w:color="auto" w:fill="auto"/>
            <w:vAlign w:val="center"/>
          </w:tcPr>
          <w:p w14:paraId="49EE5C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法拉第电磁感应定律演示仪</w:t>
            </w:r>
          </w:p>
        </w:tc>
        <w:tc>
          <w:tcPr>
            <w:tcW w:w="4897" w:type="dxa"/>
            <w:shd w:val="clear" w:color="auto" w:fill="auto"/>
            <w:vAlign w:val="center"/>
          </w:tcPr>
          <w:p w14:paraId="5854460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由长玻璃管、强磁铁3块、不同匝数的线圈等组成</w:t>
            </w:r>
          </w:p>
        </w:tc>
        <w:tc>
          <w:tcPr>
            <w:tcW w:w="462" w:type="dxa"/>
            <w:shd w:val="clear" w:color="auto" w:fill="auto"/>
            <w:noWrap/>
            <w:vAlign w:val="center"/>
          </w:tcPr>
          <w:p w14:paraId="340E6B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2844D6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3F767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371</w:t>
            </w:r>
          </w:p>
        </w:tc>
        <w:tc>
          <w:tcPr>
            <w:tcW w:w="1489" w:type="dxa"/>
            <w:shd w:val="clear" w:color="auto" w:fill="auto"/>
            <w:noWrap/>
            <w:vAlign w:val="center"/>
          </w:tcPr>
          <w:p w14:paraId="75475B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371</w:t>
            </w:r>
          </w:p>
        </w:tc>
      </w:tr>
      <w:tr w14:paraId="1AC2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56F082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129</w:t>
            </w:r>
          </w:p>
        </w:tc>
        <w:tc>
          <w:tcPr>
            <w:tcW w:w="1072" w:type="dxa"/>
            <w:shd w:val="clear" w:color="auto" w:fill="auto"/>
            <w:vAlign w:val="center"/>
          </w:tcPr>
          <w:p w14:paraId="2F9839B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高频信号发生器</w:t>
            </w:r>
          </w:p>
        </w:tc>
        <w:tc>
          <w:tcPr>
            <w:tcW w:w="4897" w:type="dxa"/>
            <w:shd w:val="clear" w:color="auto" w:fill="auto"/>
            <w:vAlign w:val="center"/>
          </w:tcPr>
          <w:p w14:paraId="7DEB569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0.4MHz</w:t>
            </w:r>
            <w:r>
              <w:rPr>
                <w:rStyle w:val="45"/>
                <w:lang w:bidi="ar"/>
              </w:rPr>
              <w:t>〜</w:t>
            </w:r>
            <w:r>
              <w:rPr>
                <w:rFonts w:hint="eastAsia" w:ascii="宋体" w:hAnsi="宋体" w:cs="宋体"/>
                <w:color w:val="000000"/>
                <w:kern w:val="0"/>
                <w:sz w:val="22"/>
                <w:szCs w:val="22"/>
                <w:lang w:bidi="ar"/>
              </w:rPr>
              <w:t>130MHz分段连续可调，误差±5%</w:t>
            </w:r>
          </w:p>
        </w:tc>
        <w:tc>
          <w:tcPr>
            <w:tcW w:w="462" w:type="dxa"/>
            <w:shd w:val="clear" w:color="auto" w:fill="auto"/>
            <w:noWrap/>
            <w:vAlign w:val="center"/>
          </w:tcPr>
          <w:p w14:paraId="48656C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61139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DC7CB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545</w:t>
            </w:r>
          </w:p>
        </w:tc>
        <w:tc>
          <w:tcPr>
            <w:tcW w:w="1489" w:type="dxa"/>
            <w:shd w:val="clear" w:color="auto" w:fill="auto"/>
            <w:noWrap/>
            <w:vAlign w:val="center"/>
          </w:tcPr>
          <w:p w14:paraId="44CA2A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545</w:t>
            </w:r>
          </w:p>
        </w:tc>
      </w:tr>
      <w:tr w14:paraId="3098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2D9432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130</w:t>
            </w:r>
          </w:p>
        </w:tc>
        <w:tc>
          <w:tcPr>
            <w:tcW w:w="1072" w:type="dxa"/>
            <w:shd w:val="clear" w:color="auto" w:fill="auto"/>
            <w:vAlign w:val="center"/>
          </w:tcPr>
          <w:p w14:paraId="23F275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手摇交直流发电机</w:t>
            </w:r>
          </w:p>
        </w:tc>
        <w:tc>
          <w:tcPr>
            <w:tcW w:w="4897" w:type="dxa"/>
            <w:shd w:val="clear" w:color="auto" w:fill="auto"/>
            <w:vAlign w:val="center"/>
          </w:tcPr>
          <w:p w14:paraId="27A1077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定子、转子、整流器、集流环、电刷、灯座（带灯泡）、手摇驱动机构和底板等部分。定子应由永磁体和极靴组成，转子应由转轴、两极电枢铁芯、电枢线圈以及整流器和集流环等组成。整流器在任何位置不应将两电刷短路，电刷与整流器和集流环应使用弹性接触，转动灵活。转子转速为1600r/min空载时，输出端交流和直流电压均应不小于8V。接16Ω电阻负载时，输出端交流和直流电压均应不小于5V。不带皮带轮用作电动机使用时启动电压应不大于4V, 电流应不大于0.4A</w:t>
            </w:r>
          </w:p>
        </w:tc>
        <w:tc>
          <w:tcPr>
            <w:tcW w:w="462" w:type="dxa"/>
            <w:shd w:val="clear" w:color="auto" w:fill="auto"/>
            <w:noWrap/>
            <w:vAlign w:val="center"/>
          </w:tcPr>
          <w:p w14:paraId="67A91C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DBA2F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AB3DA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208</w:t>
            </w:r>
          </w:p>
        </w:tc>
        <w:tc>
          <w:tcPr>
            <w:tcW w:w="1489" w:type="dxa"/>
            <w:shd w:val="clear" w:color="auto" w:fill="auto"/>
            <w:noWrap/>
            <w:vAlign w:val="center"/>
          </w:tcPr>
          <w:p w14:paraId="70D182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208</w:t>
            </w:r>
          </w:p>
        </w:tc>
      </w:tr>
      <w:tr w14:paraId="69B1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88B01F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131</w:t>
            </w:r>
          </w:p>
        </w:tc>
        <w:tc>
          <w:tcPr>
            <w:tcW w:w="1072" w:type="dxa"/>
            <w:shd w:val="clear" w:color="auto" w:fill="auto"/>
            <w:vAlign w:val="center"/>
          </w:tcPr>
          <w:p w14:paraId="67D826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电磁振荡演示仪</w:t>
            </w:r>
          </w:p>
        </w:tc>
        <w:tc>
          <w:tcPr>
            <w:tcW w:w="4897" w:type="dxa"/>
            <w:shd w:val="clear" w:color="auto" w:fill="auto"/>
            <w:vAlign w:val="center"/>
          </w:tcPr>
          <w:p w14:paraId="6A504D3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由具有铁芯的电感线圈、电容器、集成电路等组成，包括等幅振荡演示电路和减幅振荡演示电路，仪器面板上印有原理图</w:t>
            </w:r>
          </w:p>
        </w:tc>
        <w:tc>
          <w:tcPr>
            <w:tcW w:w="462" w:type="dxa"/>
            <w:shd w:val="clear" w:color="auto" w:fill="auto"/>
            <w:noWrap/>
            <w:vAlign w:val="center"/>
          </w:tcPr>
          <w:p w14:paraId="25AEB0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9C89F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096C1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401</w:t>
            </w:r>
          </w:p>
        </w:tc>
        <w:tc>
          <w:tcPr>
            <w:tcW w:w="1489" w:type="dxa"/>
            <w:shd w:val="clear" w:color="auto" w:fill="auto"/>
            <w:noWrap/>
            <w:vAlign w:val="center"/>
          </w:tcPr>
          <w:p w14:paraId="128DEC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401</w:t>
            </w:r>
          </w:p>
        </w:tc>
      </w:tr>
      <w:tr w14:paraId="03B36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A9C7A1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132</w:t>
            </w:r>
          </w:p>
        </w:tc>
        <w:tc>
          <w:tcPr>
            <w:tcW w:w="1072" w:type="dxa"/>
            <w:shd w:val="clear" w:color="auto" w:fill="auto"/>
            <w:vAlign w:val="center"/>
          </w:tcPr>
          <w:p w14:paraId="400447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赫兹实验演示器</w:t>
            </w:r>
          </w:p>
        </w:tc>
        <w:tc>
          <w:tcPr>
            <w:tcW w:w="4897" w:type="dxa"/>
            <w:shd w:val="clear" w:color="auto" w:fill="auto"/>
            <w:vAlign w:val="center"/>
          </w:tcPr>
          <w:p w14:paraId="7F2C6BF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带电球、发射天线杆、接收天线杆、接收金属杆、感应圈连接金属杆、固定螺丝、氖泡架、底座等组成。接收端天线与发射端天线平行相距400mm,在环境照度为240lx±50lx的室内接通高压电源，接收端氖灯应能看到发光；接收端与发射端相距减小到200mm时氖灯亮度应不低于6cd/m</w:t>
            </w:r>
            <w:r>
              <w:rPr>
                <w:rFonts w:hint="eastAsia" w:ascii="宋体" w:hAnsi="宋体" w:cs="宋体"/>
                <w:color w:val="000000"/>
                <w:kern w:val="0"/>
                <w:sz w:val="22"/>
                <w:szCs w:val="22"/>
                <w:vertAlign w:val="superscript"/>
                <w:lang w:bidi="ar"/>
              </w:rPr>
              <w:t>2</w:t>
            </w:r>
            <w:r>
              <w:rPr>
                <w:rFonts w:hint="eastAsia" w:ascii="宋体" w:hAnsi="宋体" w:cs="宋体"/>
                <w:color w:val="000000"/>
                <w:kern w:val="0"/>
                <w:sz w:val="22"/>
                <w:szCs w:val="22"/>
                <w:lang w:bidi="ar"/>
              </w:rPr>
              <w:t>；接收端天线与发射端天线垂直，距离在200mm以内（不接触），接收端窗灯应不亮</w:t>
            </w:r>
          </w:p>
        </w:tc>
        <w:tc>
          <w:tcPr>
            <w:tcW w:w="462" w:type="dxa"/>
            <w:shd w:val="clear" w:color="auto" w:fill="auto"/>
            <w:noWrap/>
            <w:vAlign w:val="center"/>
          </w:tcPr>
          <w:p w14:paraId="663771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7F9A7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F8ED8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380</w:t>
            </w:r>
          </w:p>
        </w:tc>
        <w:tc>
          <w:tcPr>
            <w:tcW w:w="1489" w:type="dxa"/>
            <w:shd w:val="clear" w:color="auto" w:fill="auto"/>
            <w:noWrap/>
            <w:vAlign w:val="center"/>
          </w:tcPr>
          <w:p w14:paraId="6605B3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380</w:t>
            </w:r>
          </w:p>
        </w:tc>
      </w:tr>
      <w:tr w14:paraId="040A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4982D9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133</w:t>
            </w:r>
          </w:p>
        </w:tc>
        <w:tc>
          <w:tcPr>
            <w:tcW w:w="1072" w:type="dxa"/>
            <w:shd w:val="clear" w:color="auto" w:fill="auto"/>
            <w:vAlign w:val="center"/>
          </w:tcPr>
          <w:p w14:paraId="2D18E6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感应圈</w:t>
            </w:r>
          </w:p>
        </w:tc>
        <w:tc>
          <w:tcPr>
            <w:tcW w:w="4897" w:type="dxa"/>
            <w:shd w:val="clear" w:color="auto" w:fill="auto"/>
            <w:vAlign w:val="center"/>
          </w:tcPr>
          <w:p w14:paraId="2F629DE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应带有高压输出插座和高压连接导线，可有放电电极。输出电压调节范围应为9kV</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300kV（单边脉冲峰值），正反向（或反正向）电压峰值之比应不小于1.5。输出电流最大应达到4mA（平均值）。不设放电电极，外部没有火花放电时感应圈不应损坏。设放电电极时，放电电极应定位，在可能调节到的最大放电距离时感应圈应不损坏。在最高输出电压，放电间隙5mm时感应圈连续放电15min,温升应不超过15℃。在最高输出电压，放电间隙5mm时感应圈连续放电15min,温升应不超过15°C。感应圈高压绕组与电源输入端的抗电强度应不低于3000V,高压绕组与保护接地线之间的抗电强度应不低于3000V。应设防护罩，面板显著位置应 有“当心触电”的安全警示标志</w:t>
            </w:r>
          </w:p>
        </w:tc>
        <w:tc>
          <w:tcPr>
            <w:tcW w:w="462" w:type="dxa"/>
            <w:shd w:val="clear" w:color="auto" w:fill="auto"/>
            <w:noWrap/>
            <w:vAlign w:val="center"/>
          </w:tcPr>
          <w:p w14:paraId="754F81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0615BD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B1522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439</w:t>
            </w:r>
          </w:p>
        </w:tc>
        <w:tc>
          <w:tcPr>
            <w:tcW w:w="1489" w:type="dxa"/>
            <w:shd w:val="clear" w:color="auto" w:fill="auto"/>
            <w:noWrap/>
            <w:vAlign w:val="center"/>
          </w:tcPr>
          <w:p w14:paraId="44D6EB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439</w:t>
            </w:r>
          </w:p>
        </w:tc>
      </w:tr>
      <w:tr w14:paraId="63BF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53FF12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134</w:t>
            </w:r>
          </w:p>
        </w:tc>
        <w:tc>
          <w:tcPr>
            <w:tcW w:w="1072" w:type="dxa"/>
            <w:shd w:val="clear" w:color="auto" w:fill="auto"/>
            <w:vAlign w:val="center"/>
          </w:tcPr>
          <w:p w14:paraId="2112436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阴极射线管</w:t>
            </w:r>
          </w:p>
        </w:tc>
        <w:tc>
          <w:tcPr>
            <w:tcW w:w="4897" w:type="dxa"/>
            <w:shd w:val="clear" w:color="auto" w:fill="auto"/>
            <w:vAlign w:val="center"/>
          </w:tcPr>
          <w:p w14:paraId="54B073A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机械效应管，卧式、立式。滚轮叶片上应涂有不同颜色的荧光粉。工作时亮度应不低于50cd/m</w:t>
            </w:r>
            <w:r>
              <w:rPr>
                <w:rFonts w:hint="eastAsia" w:ascii="宋体" w:hAnsi="宋体" w:cs="宋体"/>
                <w:color w:val="000000"/>
                <w:kern w:val="0"/>
                <w:sz w:val="22"/>
                <w:szCs w:val="22"/>
                <w:vertAlign w:val="superscript"/>
                <w:lang w:bidi="ar"/>
              </w:rPr>
              <w:t>2</w:t>
            </w:r>
          </w:p>
        </w:tc>
        <w:tc>
          <w:tcPr>
            <w:tcW w:w="462" w:type="dxa"/>
            <w:shd w:val="clear" w:color="auto" w:fill="auto"/>
            <w:noWrap/>
            <w:vAlign w:val="center"/>
          </w:tcPr>
          <w:p w14:paraId="105282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868FD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EDB84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341</w:t>
            </w:r>
          </w:p>
        </w:tc>
        <w:tc>
          <w:tcPr>
            <w:tcW w:w="1489" w:type="dxa"/>
            <w:shd w:val="clear" w:color="auto" w:fill="auto"/>
            <w:noWrap/>
            <w:vAlign w:val="center"/>
          </w:tcPr>
          <w:p w14:paraId="466D22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341</w:t>
            </w:r>
          </w:p>
        </w:tc>
      </w:tr>
      <w:tr w14:paraId="705E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C57B2C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135</w:t>
            </w:r>
          </w:p>
        </w:tc>
        <w:tc>
          <w:tcPr>
            <w:tcW w:w="1072" w:type="dxa"/>
            <w:shd w:val="clear" w:color="auto" w:fill="auto"/>
            <w:vAlign w:val="center"/>
          </w:tcPr>
          <w:p w14:paraId="0B72C79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阴极射线管</w:t>
            </w:r>
          </w:p>
        </w:tc>
        <w:tc>
          <w:tcPr>
            <w:tcW w:w="4897" w:type="dxa"/>
            <w:shd w:val="clear" w:color="auto" w:fill="auto"/>
            <w:vAlign w:val="center"/>
          </w:tcPr>
          <w:p w14:paraId="4D5F243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静电偏转管，在偏转板上加250V直流电压时，电子束轨迹末端偏转应不小于12mm</w:t>
            </w:r>
          </w:p>
        </w:tc>
        <w:tc>
          <w:tcPr>
            <w:tcW w:w="462" w:type="dxa"/>
            <w:shd w:val="clear" w:color="auto" w:fill="auto"/>
            <w:noWrap/>
            <w:vAlign w:val="center"/>
          </w:tcPr>
          <w:p w14:paraId="55FD86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7A0BCD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1CE03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341</w:t>
            </w:r>
          </w:p>
        </w:tc>
        <w:tc>
          <w:tcPr>
            <w:tcW w:w="1489" w:type="dxa"/>
            <w:shd w:val="clear" w:color="auto" w:fill="auto"/>
            <w:noWrap/>
            <w:vAlign w:val="center"/>
          </w:tcPr>
          <w:p w14:paraId="475A5AE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341</w:t>
            </w:r>
          </w:p>
        </w:tc>
      </w:tr>
      <w:tr w14:paraId="3A49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EE0D3A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136</w:t>
            </w:r>
          </w:p>
        </w:tc>
        <w:tc>
          <w:tcPr>
            <w:tcW w:w="1072" w:type="dxa"/>
            <w:shd w:val="clear" w:color="auto" w:fill="auto"/>
            <w:vAlign w:val="center"/>
          </w:tcPr>
          <w:p w14:paraId="4224F9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光源</w:t>
            </w:r>
          </w:p>
        </w:tc>
        <w:tc>
          <w:tcPr>
            <w:tcW w:w="4897" w:type="dxa"/>
            <w:shd w:val="clear" w:color="auto" w:fill="auto"/>
            <w:vAlign w:val="center"/>
          </w:tcPr>
          <w:p w14:paraId="1F97925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距光源500mm处照度800lx</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900lx；发光亮度可调</w:t>
            </w:r>
          </w:p>
        </w:tc>
        <w:tc>
          <w:tcPr>
            <w:tcW w:w="462" w:type="dxa"/>
            <w:shd w:val="clear" w:color="auto" w:fill="auto"/>
            <w:noWrap/>
            <w:vAlign w:val="center"/>
          </w:tcPr>
          <w:p w14:paraId="14D6D4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0AC90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73E09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489" w:type="dxa"/>
            <w:shd w:val="clear" w:color="auto" w:fill="auto"/>
            <w:noWrap/>
            <w:vAlign w:val="center"/>
          </w:tcPr>
          <w:p w14:paraId="320D10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26F7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0654BB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137</w:t>
            </w:r>
          </w:p>
        </w:tc>
        <w:tc>
          <w:tcPr>
            <w:tcW w:w="1072" w:type="dxa"/>
            <w:shd w:val="clear" w:color="auto" w:fill="auto"/>
            <w:vAlign w:val="center"/>
          </w:tcPr>
          <w:p w14:paraId="6916F5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仪器柜</w:t>
            </w:r>
          </w:p>
        </w:tc>
        <w:tc>
          <w:tcPr>
            <w:tcW w:w="4897" w:type="dxa"/>
            <w:shd w:val="clear" w:color="auto" w:fill="auto"/>
            <w:vAlign w:val="center"/>
          </w:tcPr>
          <w:p w14:paraId="30C90B6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1．规格：≥1000*500*1850mm；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2．用料：不小于0.8mm厚优质钢板，经酸洗磷化处理，采用聚酯粉末涂料静电喷涂，内侧涂层厚度不低于0.1mm，颜色灰白，表面涂层不脱落。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3．结构：共分六层(可调)；上下搁板各为三层；对开玻璃门，玻璃厚度≥3mm。</w:t>
            </w:r>
          </w:p>
        </w:tc>
        <w:tc>
          <w:tcPr>
            <w:tcW w:w="462" w:type="dxa"/>
            <w:shd w:val="clear" w:color="auto" w:fill="auto"/>
            <w:noWrap/>
            <w:vAlign w:val="center"/>
          </w:tcPr>
          <w:p w14:paraId="2BC653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26BA4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w:t>
            </w:r>
          </w:p>
        </w:tc>
        <w:tc>
          <w:tcPr>
            <w:tcW w:w="1048" w:type="dxa"/>
            <w:shd w:val="clear" w:color="auto" w:fill="auto"/>
            <w:noWrap/>
            <w:vAlign w:val="center"/>
          </w:tcPr>
          <w:p w14:paraId="26A32E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1000</w:t>
            </w:r>
          </w:p>
        </w:tc>
        <w:tc>
          <w:tcPr>
            <w:tcW w:w="1489" w:type="dxa"/>
            <w:shd w:val="clear" w:color="auto" w:fill="auto"/>
            <w:noWrap/>
            <w:vAlign w:val="center"/>
          </w:tcPr>
          <w:p w14:paraId="5D3DCD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51000</w:t>
            </w:r>
          </w:p>
        </w:tc>
      </w:tr>
      <w:tr w14:paraId="62FB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226" w:type="dxa"/>
            <w:gridSpan w:val="7"/>
            <w:shd w:val="clear" w:color="auto" w:fill="auto"/>
            <w:vAlign w:val="center"/>
          </w:tcPr>
          <w:p w14:paraId="7958E953">
            <w:pPr>
              <w:widowControl/>
              <w:jc w:val="left"/>
              <w:textAlignment w:val="center"/>
              <w:rPr>
                <w:rFonts w:ascii="宋体" w:hAnsi="宋体" w:cs="宋体"/>
                <w:kern w:val="0"/>
                <w:sz w:val="22"/>
              </w:rPr>
            </w:pPr>
            <w:r>
              <w:rPr>
                <w:rFonts w:hint="eastAsia" w:ascii="宋体" w:hAnsi="宋体" w:cs="宋体"/>
                <w:b/>
                <w:bCs/>
                <w:kern w:val="0"/>
                <w:sz w:val="22"/>
              </w:rPr>
              <w:t>三、物理实验室（基础设施设备）(3间)，以下为单间配置。</w:t>
            </w:r>
          </w:p>
        </w:tc>
      </w:tr>
      <w:tr w14:paraId="25D2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782B9F80">
            <w:pPr>
              <w:widowControl/>
              <w:jc w:val="left"/>
              <w:rPr>
                <w:rFonts w:ascii="宋体" w:hAnsi="宋体" w:cs="宋体"/>
                <w:kern w:val="0"/>
                <w:sz w:val="22"/>
              </w:rPr>
            </w:pPr>
            <w:r>
              <w:rPr>
                <w:rFonts w:hint="eastAsia" w:ascii="宋体" w:hAnsi="宋体" w:cs="宋体"/>
                <w:kern w:val="0"/>
                <w:sz w:val="22"/>
              </w:rPr>
              <w:t>1</w:t>
            </w:r>
          </w:p>
        </w:tc>
        <w:tc>
          <w:tcPr>
            <w:tcW w:w="1072" w:type="dxa"/>
            <w:shd w:val="clear" w:color="auto" w:fill="auto"/>
            <w:vAlign w:val="center"/>
          </w:tcPr>
          <w:p w14:paraId="3C92E5A4">
            <w:pPr>
              <w:widowControl/>
              <w:jc w:val="left"/>
              <w:rPr>
                <w:rFonts w:ascii="宋体" w:hAnsi="宋体" w:cs="宋体"/>
                <w:kern w:val="0"/>
                <w:sz w:val="22"/>
              </w:rPr>
            </w:pPr>
            <w:r>
              <w:rPr>
                <w:rFonts w:hint="eastAsia" w:ascii="宋体" w:hAnsi="宋体" w:cs="宋体"/>
                <w:kern w:val="0"/>
                <w:sz w:val="22"/>
              </w:rPr>
              <w:t>教师演示台</w:t>
            </w:r>
          </w:p>
        </w:tc>
        <w:tc>
          <w:tcPr>
            <w:tcW w:w="4897" w:type="dxa"/>
            <w:shd w:val="clear" w:color="auto" w:fill="auto"/>
            <w:vAlign w:val="center"/>
          </w:tcPr>
          <w:p w14:paraId="6A808D08">
            <w:pPr>
              <w:widowControl/>
              <w:jc w:val="left"/>
              <w:rPr>
                <w:rFonts w:ascii="宋体" w:hAnsi="宋体" w:cs="宋体"/>
                <w:kern w:val="0"/>
                <w:sz w:val="22"/>
              </w:rPr>
            </w:pPr>
            <w:r>
              <w:rPr>
                <w:rFonts w:hint="eastAsia" w:ascii="宋体" w:hAnsi="宋体" w:cs="宋体"/>
                <w:kern w:val="0"/>
                <w:sz w:val="22"/>
              </w:rPr>
              <w:t xml:space="preserve">1.规格：长3000×宽700×高850mm（±5mm）； </w:t>
            </w:r>
            <w:r>
              <w:rPr>
                <w:rFonts w:hint="eastAsia" w:ascii="宋体" w:hAnsi="宋体" w:cs="宋体"/>
                <w:kern w:val="0"/>
                <w:sz w:val="22"/>
              </w:rPr>
              <w:br w:type="textWrapping"/>
            </w:r>
            <w:r>
              <w:rPr>
                <w:rFonts w:hint="eastAsia" w:ascii="宋体" w:hAnsi="宋体" w:cs="宋体"/>
                <w:kern w:val="0"/>
                <w:sz w:val="22"/>
              </w:rPr>
              <w:t>2.台面：一体化台面，采用19mm厚佰克板（防腐蚀、耐酸碱、防静电、防火、耐磨、耐烟酌、抗污染）加工而成；</w:t>
            </w:r>
            <w:r>
              <w:rPr>
                <w:rFonts w:hint="eastAsia" w:ascii="宋体" w:hAnsi="宋体" w:cs="宋体"/>
                <w:kern w:val="0"/>
                <w:sz w:val="22"/>
              </w:rPr>
              <w:br w:type="textWrapping"/>
            </w:r>
            <w:r>
              <w:rPr>
                <w:rFonts w:hint="eastAsia" w:ascii="宋体" w:hAnsi="宋体" w:cs="宋体"/>
                <w:kern w:val="0"/>
                <w:sz w:val="22"/>
              </w:rPr>
              <w:t>3.台身：采用18mm（±1mm）厚防潮三聚氰胺双面贴面板，其截面由PVC封边带利用机械高温热熔胶封边，粘力强，密封性好；</w:t>
            </w:r>
            <w:r>
              <w:rPr>
                <w:rFonts w:hint="eastAsia" w:ascii="宋体" w:hAnsi="宋体" w:cs="宋体"/>
                <w:kern w:val="0"/>
                <w:sz w:val="22"/>
              </w:rPr>
              <w:br w:type="textWrapping"/>
            </w:r>
            <w:r>
              <w:rPr>
                <w:rFonts w:hint="eastAsia" w:ascii="宋体" w:hAnsi="宋体" w:cs="宋体"/>
                <w:kern w:val="0"/>
                <w:sz w:val="22"/>
              </w:rPr>
              <w:t>4.结构：演示台为组合式设计，抽屉装有教师演示电源及学生供电控制装置；台内可放置电脑主机、DVD、功放、中央控制主机等，控制台中间设有键盘活动抽屉，台面可放置配套彩色显示器；控制台右侧设有可放置实物展示台的活动抽屉。设有信息网络接口；</w:t>
            </w:r>
            <w:r>
              <w:rPr>
                <w:rFonts w:hint="eastAsia" w:ascii="宋体" w:hAnsi="宋体" w:cs="宋体"/>
                <w:kern w:val="0"/>
                <w:sz w:val="22"/>
              </w:rPr>
              <w:br w:type="textWrapping"/>
            </w:r>
            <w:r>
              <w:rPr>
                <w:rFonts w:hint="eastAsia" w:ascii="宋体" w:hAnsi="宋体" w:cs="宋体"/>
                <w:kern w:val="0"/>
                <w:sz w:val="22"/>
              </w:rPr>
              <w:t>5.脚垫：采用ABS模具注塑脚垫，高度为2.5cm，可有效防止桌身受潮，延长设备的使用寿命。</w:t>
            </w:r>
          </w:p>
        </w:tc>
        <w:tc>
          <w:tcPr>
            <w:tcW w:w="462" w:type="dxa"/>
            <w:shd w:val="clear" w:color="auto" w:fill="auto"/>
            <w:noWrap/>
            <w:vAlign w:val="center"/>
          </w:tcPr>
          <w:p w14:paraId="60AF5E8B">
            <w:pPr>
              <w:widowControl/>
              <w:jc w:val="left"/>
              <w:rPr>
                <w:rFonts w:ascii="宋体" w:hAnsi="宋体" w:cs="宋体"/>
                <w:kern w:val="0"/>
                <w:sz w:val="22"/>
              </w:rPr>
            </w:pPr>
            <w:r>
              <w:rPr>
                <w:rFonts w:hint="eastAsia" w:ascii="宋体" w:hAnsi="宋体" w:cs="宋体"/>
                <w:kern w:val="0"/>
                <w:sz w:val="22"/>
              </w:rPr>
              <w:t>张</w:t>
            </w:r>
          </w:p>
        </w:tc>
        <w:tc>
          <w:tcPr>
            <w:tcW w:w="605" w:type="dxa"/>
            <w:shd w:val="clear" w:color="auto" w:fill="auto"/>
            <w:noWrap/>
            <w:vAlign w:val="center"/>
          </w:tcPr>
          <w:p w14:paraId="42CAF740">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7F7C3CA5">
            <w:pPr>
              <w:widowControl/>
              <w:jc w:val="left"/>
              <w:rPr>
                <w:rFonts w:ascii="宋体" w:hAnsi="宋体" w:cs="宋体"/>
                <w:kern w:val="0"/>
                <w:sz w:val="22"/>
              </w:rPr>
            </w:pPr>
            <w:r>
              <w:rPr>
                <w:rFonts w:hint="eastAsia" w:ascii="宋体" w:hAnsi="宋体" w:cs="宋体"/>
                <w:kern w:val="0"/>
                <w:sz w:val="22"/>
              </w:rPr>
              <w:t>4100</w:t>
            </w:r>
          </w:p>
        </w:tc>
        <w:tc>
          <w:tcPr>
            <w:tcW w:w="1489" w:type="dxa"/>
            <w:shd w:val="clear" w:color="auto" w:fill="auto"/>
            <w:noWrap/>
            <w:vAlign w:val="center"/>
          </w:tcPr>
          <w:p w14:paraId="5C2F8372">
            <w:pPr>
              <w:widowControl/>
              <w:jc w:val="left"/>
              <w:rPr>
                <w:rFonts w:ascii="宋体" w:hAnsi="宋体" w:cs="宋体"/>
                <w:kern w:val="0"/>
                <w:sz w:val="22"/>
              </w:rPr>
            </w:pPr>
            <w:r>
              <w:rPr>
                <w:rFonts w:hint="eastAsia" w:ascii="宋体" w:hAnsi="宋体" w:cs="宋体"/>
                <w:kern w:val="0"/>
                <w:sz w:val="22"/>
              </w:rPr>
              <w:t>4100</w:t>
            </w:r>
          </w:p>
        </w:tc>
      </w:tr>
      <w:tr w14:paraId="12C6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19E52CBC">
            <w:pPr>
              <w:widowControl/>
              <w:jc w:val="left"/>
              <w:rPr>
                <w:rFonts w:ascii="宋体" w:hAnsi="宋体" w:cs="宋体"/>
                <w:kern w:val="0"/>
                <w:sz w:val="22"/>
              </w:rPr>
            </w:pPr>
            <w:r>
              <w:rPr>
                <w:rFonts w:hint="eastAsia" w:ascii="宋体" w:hAnsi="宋体" w:cs="宋体"/>
                <w:kern w:val="0"/>
                <w:sz w:val="22"/>
              </w:rPr>
              <w:t>2</w:t>
            </w:r>
          </w:p>
        </w:tc>
        <w:tc>
          <w:tcPr>
            <w:tcW w:w="1072" w:type="dxa"/>
            <w:shd w:val="clear" w:color="auto" w:fill="auto"/>
            <w:vAlign w:val="center"/>
          </w:tcPr>
          <w:p w14:paraId="07F1E4EB">
            <w:pPr>
              <w:widowControl/>
              <w:jc w:val="left"/>
              <w:rPr>
                <w:rFonts w:ascii="宋体" w:hAnsi="宋体" w:cs="宋体"/>
                <w:kern w:val="0"/>
                <w:sz w:val="22"/>
              </w:rPr>
            </w:pPr>
            <w:r>
              <w:rPr>
                <w:rFonts w:hint="eastAsia" w:ascii="宋体" w:hAnsi="宋体" w:cs="宋体"/>
                <w:kern w:val="0"/>
                <w:sz w:val="22"/>
              </w:rPr>
              <w:t>物理探究学生台</w:t>
            </w:r>
          </w:p>
        </w:tc>
        <w:tc>
          <w:tcPr>
            <w:tcW w:w="4897" w:type="dxa"/>
            <w:shd w:val="clear" w:color="auto" w:fill="auto"/>
            <w:vAlign w:val="center"/>
          </w:tcPr>
          <w:p w14:paraId="65E7BCD2">
            <w:pPr>
              <w:widowControl/>
              <w:jc w:val="left"/>
              <w:rPr>
                <w:rFonts w:ascii="宋体" w:hAnsi="宋体" w:cs="宋体"/>
                <w:kern w:val="0"/>
                <w:sz w:val="22"/>
              </w:rPr>
            </w:pPr>
            <w:r>
              <w:rPr>
                <w:rFonts w:hint="eastAsia" w:ascii="宋体" w:hAnsi="宋体" w:cs="宋体"/>
                <w:kern w:val="0"/>
                <w:sz w:val="22"/>
              </w:rPr>
              <w:t xml:space="preserve">1.规格：长1900×宽1200×高780mm(偏差±5mm， 6人/张)； </w:t>
            </w:r>
            <w:r>
              <w:rPr>
                <w:rFonts w:hint="eastAsia" w:ascii="宋体" w:hAnsi="宋体" w:cs="宋体"/>
                <w:kern w:val="0"/>
                <w:sz w:val="22"/>
              </w:rPr>
              <w:br w:type="textWrapping"/>
            </w:r>
            <w:r>
              <w:rPr>
                <w:rFonts w:hint="eastAsia" w:ascii="宋体" w:hAnsi="宋体" w:cs="宋体"/>
                <w:kern w:val="0"/>
                <w:sz w:val="22"/>
              </w:rPr>
              <w:t>2.台面：一体化台面，采用19mm（±1mm）厚佰克板（防腐蚀、耐酸碱、防静电、防火、耐磨、耐烟酌、抗污染）加工而成；</w:t>
            </w:r>
            <w:r>
              <w:rPr>
                <w:rFonts w:hint="eastAsia" w:ascii="宋体" w:hAnsi="宋体" w:cs="宋体"/>
                <w:kern w:val="0"/>
                <w:sz w:val="22"/>
              </w:rPr>
              <w:br w:type="textWrapping"/>
            </w:r>
            <w:r>
              <w:rPr>
                <w:rFonts w:hint="eastAsia" w:ascii="宋体" w:hAnsi="宋体" w:cs="宋体"/>
                <w:kern w:val="0"/>
                <w:sz w:val="22"/>
              </w:rPr>
              <w:t>3.台身：采用耐腐蚀、防潮湿、防白蚁的进口塑料大型模具成型立柱（立柱规格：60×45mm（±1mm），厚度为3mm±0.3mm）内嵌厚度为1 mm型钢和横挡（横挡规格：31×23mm（±1mm），厚度为2.5mm）内嵌厚度为1 mm型钢及模具注塑一次成型连接件组成台架，结合18mm厚三聚氰胺双面贴面板，其截面由PVC封边带利用高温热熔胶封边，密封性好，经久耐用；</w:t>
            </w:r>
            <w:r>
              <w:rPr>
                <w:rFonts w:hint="eastAsia" w:ascii="宋体" w:hAnsi="宋体" w:cs="宋体"/>
                <w:kern w:val="0"/>
                <w:sz w:val="22"/>
              </w:rPr>
              <w:br w:type="textWrapping"/>
            </w:r>
            <w:r>
              <w:rPr>
                <w:rFonts w:hint="eastAsia" w:ascii="宋体" w:hAnsi="宋体" w:cs="宋体"/>
                <w:kern w:val="0"/>
                <w:sz w:val="22"/>
              </w:rPr>
              <w:t>4.结构：每台为六座，高级塑木结构。采用一体化台面，探究台为双面设计，台面中间设有学生电源盒及金属地埋插座，双面均设有存放传感器及数字采集器的抽屉及开门式储藏柜，均采用开门式设计，并可上锁，所有台共用同一把锁匙。台两侧设有实验分析专用区，且设有活动键盘抽屉及主机存放柜。设有信息网络接口（学生台的结构，尤其是抽屉和储藏柜要根据使用单位实际情况考虑，设计图纸由使用单位确认后方可实施）；</w:t>
            </w:r>
            <w:r>
              <w:rPr>
                <w:rFonts w:hint="eastAsia" w:ascii="宋体" w:hAnsi="宋体" w:cs="宋体"/>
                <w:kern w:val="0"/>
                <w:sz w:val="22"/>
              </w:rPr>
              <w:br w:type="textWrapping"/>
            </w:r>
            <w:r>
              <w:rPr>
                <w:rFonts w:hint="eastAsia" w:ascii="宋体" w:hAnsi="宋体" w:cs="宋体"/>
                <w:kern w:val="0"/>
                <w:sz w:val="22"/>
              </w:rPr>
              <w:t>5.脚垫：采用进口ABS耐蚀注塑专用垫，可隐蔽固定，有效防潮。</w:t>
            </w:r>
          </w:p>
        </w:tc>
        <w:tc>
          <w:tcPr>
            <w:tcW w:w="462" w:type="dxa"/>
            <w:shd w:val="clear" w:color="auto" w:fill="auto"/>
            <w:noWrap/>
            <w:vAlign w:val="center"/>
          </w:tcPr>
          <w:p w14:paraId="0643C000">
            <w:pPr>
              <w:widowControl/>
              <w:jc w:val="left"/>
              <w:rPr>
                <w:rFonts w:ascii="宋体" w:hAnsi="宋体" w:cs="宋体"/>
                <w:kern w:val="0"/>
                <w:sz w:val="22"/>
              </w:rPr>
            </w:pPr>
            <w:r>
              <w:rPr>
                <w:rFonts w:hint="eastAsia" w:ascii="宋体" w:hAnsi="宋体" w:cs="宋体"/>
                <w:kern w:val="0"/>
                <w:sz w:val="22"/>
              </w:rPr>
              <w:t>张</w:t>
            </w:r>
          </w:p>
        </w:tc>
        <w:tc>
          <w:tcPr>
            <w:tcW w:w="605" w:type="dxa"/>
            <w:shd w:val="clear" w:color="auto" w:fill="auto"/>
            <w:noWrap/>
            <w:vAlign w:val="center"/>
          </w:tcPr>
          <w:p w14:paraId="70296F34">
            <w:pPr>
              <w:widowControl/>
              <w:jc w:val="left"/>
              <w:rPr>
                <w:rFonts w:ascii="宋体" w:hAnsi="宋体" w:cs="宋体"/>
                <w:kern w:val="0"/>
                <w:sz w:val="22"/>
              </w:rPr>
            </w:pPr>
            <w:r>
              <w:rPr>
                <w:rFonts w:hint="eastAsia" w:ascii="宋体" w:hAnsi="宋体" w:cs="宋体"/>
                <w:kern w:val="0"/>
                <w:sz w:val="22"/>
              </w:rPr>
              <w:t>10</w:t>
            </w:r>
          </w:p>
        </w:tc>
        <w:tc>
          <w:tcPr>
            <w:tcW w:w="1048" w:type="dxa"/>
            <w:shd w:val="clear" w:color="auto" w:fill="auto"/>
            <w:noWrap/>
            <w:vAlign w:val="center"/>
          </w:tcPr>
          <w:p w14:paraId="009C085E">
            <w:pPr>
              <w:widowControl/>
              <w:jc w:val="left"/>
              <w:rPr>
                <w:rFonts w:ascii="宋体" w:hAnsi="宋体" w:cs="宋体"/>
                <w:kern w:val="0"/>
                <w:sz w:val="22"/>
              </w:rPr>
            </w:pPr>
            <w:r>
              <w:rPr>
                <w:rFonts w:hint="eastAsia" w:ascii="宋体" w:hAnsi="宋体" w:cs="宋体"/>
                <w:kern w:val="0"/>
                <w:sz w:val="22"/>
              </w:rPr>
              <w:t>3400</w:t>
            </w:r>
          </w:p>
        </w:tc>
        <w:tc>
          <w:tcPr>
            <w:tcW w:w="1489" w:type="dxa"/>
            <w:shd w:val="clear" w:color="auto" w:fill="auto"/>
            <w:noWrap/>
            <w:vAlign w:val="center"/>
          </w:tcPr>
          <w:p w14:paraId="7CF9B5F7">
            <w:pPr>
              <w:widowControl/>
              <w:jc w:val="left"/>
              <w:rPr>
                <w:rFonts w:ascii="宋体" w:hAnsi="宋体" w:cs="宋体"/>
                <w:kern w:val="0"/>
                <w:sz w:val="22"/>
              </w:rPr>
            </w:pPr>
            <w:r>
              <w:rPr>
                <w:rFonts w:hint="eastAsia" w:ascii="宋体" w:hAnsi="宋体" w:cs="宋体"/>
                <w:kern w:val="0"/>
                <w:sz w:val="22"/>
              </w:rPr>
              <w:t>34000</w:t>
            </w:r>
          </w:p>
        </w:tc>
      </w:tr>
      <w:tr w14:paraId="2E6B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70582CB2">
            <w:pPr>
              <w:widowControl/>
              <w:jc w:val="left"/>
              <w:rPr>
                <w:rFonts w:ascii="宋体" w:hAnsi="宋体" w:cs="宋体"/>
                <w:kern w:val="0"/>
                <w:sz w:val="22"/>
              </w:rPr>
            </w:pPr>
            <w:r>
              <w:rPr>
                <w:rFonts w:hint="eastAsia" w:ascii="宋体" w:hAnsi="宋体" w:cs="宋体"/>
                <w:kern w:val="0"/>
                <w:sz w:val="22"/>
              </w:rPr>
              <w:t>3</w:t>
            </w:r>
          </w:p>
        </w:tc>
        <w:tc>
          <w:tcPr>
            <w:tcW w:w="1072" w:type="dxa"/>
            <w:shd w:val="clear" w:color="auto" w:fill="auto"/>
            <w:vAlign w:val="center"/>
          </w:tcPr>
          <w:p w14:paraId="01B78B93">
            <w:pPr>
              <w:widowControl/>
              <w:jc w:val="left"/>
              <w:rPr>
                <w:rFonts w:ascii="宋体" w:hAnsi="宋体" w:cs="宋体"/>
                <w:kern w:val="0"/>
                <w:sz w:val="22"/>
              </w:rPr>
            </w:pPr>
            <w:r>
              <w:rPr>
                <w:rFonts w:hint="eastAsia" w:ascii="宋体" w:hAnsi="宋体" w:cs="宋体"/>
                <w:kern w:val="0"/>
                <w:sz w:val="22"/>
              </w:rPr>
              <w:t>教师主控电源</w:t>
            </w:r>
          </w:p>
        </w:tc>
        <w:tc>
          <w:tcPr>
            <w:tcW w:w="4897" w:type="dxa"/>
            <w:shd w:val="clear" w:color="auto" w:fill="auto"/>
            <w:vAlign w:val="center"/>
          </w:tcPr>
          <w:p w14:paraId="797230E2">
            <w:pPr>
              <w:widowControl/>
              <w:jc w:val="left"/>
              <w:rPr>
                <w:rFonts w:ascii="宋体" w:hAnsi="宋体" w:cs="宋体"/>
                <w:kern w:val="0"/>
                <w:sz w:val="22"/>
              </w:rPr>
            </w:pPr>
            <w:r>
              <w:rPr>
                <w:rFonts w:hint="eastAsia" w:ascii="宋体" w:hAnsi="宋体" w:cs="宋体"/>
                <w:kern w:val="0"/>
                <w:sz w:val="22"/>
              </w:rPr>
              <w:t>1.漏电保护开关、工作指示灯；</w:t>
            </w:r>
            <w:r>
              <w:rPr>
                <w:rFonts w:hint="eastAsia" w:ascii="宋体" w:hAnsi="宋体" w:cs="宋体"/>
                <w:kern w:val="0"/>
                <w:sz w:val="22"/>
              </w:rPr>
              <w:br w:type="textWrapping"/>
            </w:r>
            <w:r>
              <w:rPr>
                <w:rFonts w:hint="eastAsia" w:ascii="宋体" w:hAnsi="宋体" w:cs="宋体"/>
                <w:kern w:val="0"/>
                <w:sz w:val="22"/>
              </w:rPr>
              <w:t>2.控制面板带有风机及学生AC220V交流输出插座的继电器控制开关，可控制风机及学生AC220V交流输出插座电源的通断；</w:t>
            </w:r>
            <w:r>
              <w:rPr>
                <w:rFonts w:hint="eastAsia" w:ascii="宋体" w:hAnsi="宋体" w:cs="宋体"/>
                <w:kern w:val="0"/>
                <w:sz w:val="22"/>
              </w:rPr>
              <w:br w:type="textWrapping"/>
            </w:r>
            <w:r>
              <w:rPr>
                <w:rFonts w:hint="eastAsia" w:ascii="宋体" w:hAnsi="宋体" w:cs="宋体"/>
                <w:kern w:val="0"/>
                <w:sz w:val="22"/>
              </w:rPr>
              <w:t>3.直流稳压电源：1.5V-36V连续可调，额定电流≥3A（短路、过载自动保护，自动复位）；</w:t>
            </w:r>
            <w:r>
              <w:rPr>
                <w:rFonts w:hint="eastAsia" w:ascii="宋体" w:hAnsi="宋体" w:cs="宋体"/>
                <w:kern w:val="0"/>
                <w:sz w:val="22"/>
              </w:rPr>
              <w:br w:type="textWrapping"/>
            </w:r>
            <w:r>
              <w:rPr>
                <w:rFonts w:hint="eastAsia" w:ascii="宋体" w:hAnsi="宋体" w:cs="宋体"/>
                <w:kern w:val="0"/>
                <w:sz w:val="22"/>
              </w:rPr>
              <w:t>4.学生供电控制电源：由教师分组控制学生实验台交流220V；</w:t>
            </w:r>
            <w:r>
              <w:rPr>
                <w:rFonts w:hint="eastAsia" w:ascii="宋体" w:hAnsi="宋体" w:cs="宋体"/>
                <w:kern w:val="0"/>
                <w:sz w:val="22"/>
              </w:rPr>
              <w:br w:type="textWrapping"/>
            </w:r>
            <w:r>
              <w:rPr>
                <w:rFonts w:hint="eastAsia" w:ascii="宋体" w:hAnsi="宋体" w:cs="宋体"/>
                <w:kern w:val="0"/>
                <w:sz w:val="22"/>
              </w:rPr>
              <w:t>5.电源系统符合JY/T0374-2004《教学实验室设备 电源系统》标准；</w:t>
            </w:r>
            <w:r>
              <w:rPr>
                <w:rFonts w:hint="eastAsia" w:ascii="宋体" w:hAnsi="宋体" w:cs="宋体"/>
                <w:kern w:val="0"/>
                <w:sz w:val="22"/>
              </w:rPr>
              <w:br w:type="textWrapping"/>
            </w:r>
            <w:r>
              <w:rPr>
                <w:rFonts w:hint="eastAsia" w:ascii="宋体" w:hAnsi="宋体" w:cs="宋体"/>
                <w:kern w:val="0"/>
                <w:sz w:val="22"/>
              </w:rPr>
              <w:t>6.按教育部最新标准制作，有过载过流保护，安全方便规范。</w:t>
            </w:r>
          </w:p>
        </w:tc>
        <w:tc>
          <w:tcPr>
            <w:tcW w:w="462" w:type="dxa"/>
            <w:shd w:val="clear" w:color="auto" w:fill="auto"/>
            <w:noWrap/>
            <w:vAlign w:val="center"/>
          </w:tcPr>
          <w:p w14:paraId="2CCA4DEF">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681C8FBB">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2AC2E4D5">
            <w:pPr>
              <w:widowControl/>
              <w:jc w:val="left"/>
              <w:rPr>
                <w:rFonts w:ascii="宋体" w:hAnsi="宋体" w:cs="宋体"/>
                <w:kern w:val="0"/>
                <w:sz w:val="22"/>
              </w:rPr>
            </w:pPr>
            <w:r>
              <w:rPr>
                <w:rFonts w:hint="eastAsia" w:ascii="宋体" w:hAnsi="宋体" w:cs="宋体"/>
                <w:kern w:val="0"/>
                <w:sz w:val="22"/>
              </w:rPr>
              <w:t>1200</w:t>
            </w:r>
          </w:p>
        </w:tc>
        <w:tc>
          <w:tcPr>
            <w:tcW w:w="1489" w:type="dxa"/>
            <w:shd w:val="clear" w:color="auto" w:fill="auto"/>
            <w:noWrap/>
            <w:vAlign w:val="center"/>
          </w:tcPr>
          <w:p w14:paraId="11D18870">
            <w:pPr>
              <w:widowControl/>
              <w:jc w:val="left"/>
              <w:rPr>
                <w:rFonts w:ascii="宋体" w:hAnsi="宋体" w:cs="宋体"/>
                <w:kern w:val="0"/>
                <w:sz w:val="22"/>
              </w:rPr>
            </w:pPr>
            <w:r>
              <w:rPr>
                <w:rFonts w:hint="eastAsia" w:ascii="宋体" w:hAnsi="宋体" w:cs="宋体"/>
                <w:kern w:val="0"/>
                <w:sz w:val="22"/>
              </w:rPr>
              <w:t>1200</w:t>
            </w:r>
          </w:p>
        </w:tc>
      </w:tr>
      <w:tr w14:paraId="7225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7CAF8A55">
            <w:pPr>
              <w:widowControl/>
              <w:jc w:val="left"/>
              <w:rPr>
                <w:rFonts w:ascii="宋体" w:hAnsi="宋体" w:cs="宋体"/>
                <w:kern w:val="0"/>
                <w:sz w:val="22"/>
              </w:rPr>
            </w:pPr>
            <w:r>
              <w:rPr>
                <w:rFonts w:hint="eastAsia" w:ascii="宋体" w:hAnsi="宋体" w:cs="宋体"/>
                <w:kern w:val="0"/>
                <w:sz w:val="22"/>
              </w:rPr>
              <w:t>4</w:t>
            </w:r>
          </w:p>
        </w:tc>
        <w:tc>
          <w:tcPr>
            <w:tcW w:w="1072" w:type="dxa"/>
            <w:shd w:val="clear" w:color="auto" w:fill="auto"/>
            <w:vAlign w:val="center"/>
          </w:tcPr>
          <w:p w14:paraId="755ACC45">
            <w:pPr>
              <w:widowControl/>
              <w:jc w:val="left"/>
              <w:rPr>
                <w:rFonts w:ascii="宋体" w:hAnsi="宋体" w:cs="宋体"/>
                <w:kern w:val="0"/>
                <w:sz w:val="22"/>
              </w:rPr>
            </w:pPr>
            <w:r>
              <w:rPr>
                <w:rFonts w:hint="eastAsia" w:ascii="宋体" w:hAnsi="宋体" w:cs="宋体"/>
                <w:kern w:val="0"/>
                <w:sz w:val="22"/>
              </w:rPr>
              <w:t>学生电源</w:t>
            </w:r>
          </w:p>
        </w:tc>
        <w:tc>
          <w:tcPr>
            <w:tcW w:w="4897" w:type="dxa"/>
            <w:shd w:val="clear" w:color="auto" w:fill="auto"/>
            <w:vAlign w:val="center"/>
          </w:tcPr>
          <w:p w14:paraId="375B7AC3">
            <w:pPr>
              <w:widowControl/>
              <w:jc w:val="left"/>
              <w:rPr>
                <w:rFonts w:ascii="宋体" w:hAnsi="宋体" w:cs="宋体"/>
                <w:kern w:val="0"/>
                <w:sz w:val="22"/>
              </w:rPr>
            </w:pPr>
            <w:r>
              <w:rPr>
                <w:rFonts w:hint="eastAsia" w:ascii="宋体" w:hAnsi="宋体" w:cs="宋体"/>
                <w:kern w:val="0"/>
                <w:sz w:val="22"/>
              </w:rPr>
              <w:t>1.AC220V交流电源输出插座；</w:t>
            </w:r>
            <w:r>
              <w:rPr>
                <w:rFonts w:hint="eastAsia" w:ascii="宋体" w:hAnsi="宋体" w:cs="宋体"/>
                <w:kern w:val="0"/>
                <w:sz w:val="22"/>
              </w:rPr>
              <w:br w:type="textWrapping"/>
            </w:r>
            <w:r>
              <w:rPr>
                <w:rFonts w:hint="eastAsia" w:ascii="宋体" w:hAnsi="宋体" w:cs="宋体"/>
                <w:kern w:val="0"/>
                <w:sz w:val="22"/>
              </w:rPr>
              <w:t>2.带有防尘保护盖；</w:t>
            </w:r>
            <w:r>
              <w:rPr>
                <w:rFonts w:hint="eastAsia" w:ascii="宋体" w:hAnsi="宋体" w:cs="宋体"/>
                <w:kern w:val="0"/>
                <w:sz w:val="22"/>
              </w:rPr>
              <w:br w:type="textWrapping"/>
            </w:r>
            <w:r>
              <w:rPr>
                <w:rFonts w:hint="eastAsia" w:ascii="宋体" w:hAnsi="宋体" w:cs="宋体"/>
                <w:kern w:val="0"/>
                <w:sz w:val="22"/>
              </w:rPr>
              <w:t>3.直流稳压电源：1.5V-36V连续可调，额定电流≥1A（短路、过载自动保护，手动复位）；</w:t>
            </w:r>
            <w:r>
              <w:rPr>
                <w:rFonts w:hint="eastAsia" w:ascii="宋体" w:hAnsi="宋体" w:cs="宋体"/>
                <w:kern w:val="0"/>
                <w:sz w:val="22"/>
              </w:rPr>
              <w:br w:type="textWrapping"/>
            </w:r>
            <w:r>
              <w:rPr>
                <w:rFonts w:hint="eastAsia" w:ascii="宋体" w:hAnsi="宋体" w:cs="宋体"/>
                <w:kern w:val="0"/>
                <w:sz w:val="22"/>
              </w:rPr>
              <w:t>4.电源系统符合JY/T0374-2004《教学实验室设备电源系统》标准。</w:t>
            </w:r>
          </w:p>
        </w:tc>
        <w:tc>
          <w:tcPr>
            <w:tcW w:w="462" w:type="dxa"/>
            <w:shd w:val="clear" w:color="auto" w:fill="auto"/>
            <w:noWrap/>
            <w:vAlign w:val="center"/>
          </w:tcPr>
          <w:p w14:paraId="4B8162E1">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3DBB3BFD">
            <w:pPr>
              <w:widowControl/>
              <w:jc w:val="left"/>
              <w:rPr>
                <w:rFonts w:ascii="宋体" w:hAnsi="宋体" w:cs="宋体"/>
                <w:kern w:val="0"/>
                <w:sz w:val="22"/>
              </w:rPr>
            </w:pPr>
            <w:r>
              <w:rPr>
                <w:rFonts w:hint="eastAsia" w:ascii="宋体" w:hAnsi="宋体" w:cs="宋体"/>
                <w:kern w:val="0"/>
                <w:sz w:val="22"/>
              </w:rPr>
              <w:t>20</w:t>
            </w:r>
          </w:p>
        </w:tc>
        <w:tc>
          <w:tcPr>
            <w:tcW w:w="1048" w:type="dxa"/>
            <w:shd w:val="clear" w:color="auto" w:fill="auto"/>
            <w:noWrap/>
            <w:vAlign w:val="center"/>
          </w:tcPr>
          <w:p w14:paraId="52F9221D">
            <w:pPr>
              <w:widowControl/>
              <w:jc w:val="left"/>
              <w:rPr>
                <w:rFonts w:ascii="宋体" w:hAnsi="宋体" w:cs="宋体"/>
                <w:kern w:val="0"/>
                <w:sz w:val="22"/>
              </w:rPr>
            </w:pPr>
            <w:r>
              <w:rPr>
                <w:rFonts w:hint="eastAsia" w:ascii="宋体" w:hAnsi="宋体" w:cs="宋体"/>
                <w:kern w:val="0"/>
                <w:sz w:val="22"/>
              </w:rPr>
              <w:t>100</w:t>
            </w:r>
          </w:p>
        </w:tc>
        <w:tc>
          <w:tcPr>
            <w:tcW w:w="1489" w:type="dxa"/>
            <w:shd w:val="clear" w:color="auto" w:fill="auto"/>
            <w:noWrap/>
            <w:vAlign w:val="center"/>
          </w:tcPr>
          <w:p w14:paraId="3A9E9E22">
            <w:pPr>
              <w:widowControl/>
              <w:jc w:val="left"/>
              <w:rPr>
                <w:rFonts w:ascii="宋体" w:hAnsi="宋体" w:cs="宋体"/>
                <w:kern w:val="0"/>
                <w:sz w:val="22"/>
              </w:rPr>
            </w:pPr>
            <w:r>
              <w:rPr>
                <w:rFonts w:hint="eastAsia" w:ascii="宋体" w:hAnsi="宋体" w:cs="宋体"/>
                <w:kern w:val="0"/>
                <w:sz w:val="22"/>
              </w:rPr>
              <w:t>2000</w:t>
            </w:r>
          </w:p>
        </w:tc>
      </w:tr>
      <w:tr w14:paraId="49A7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1CC3AC57">
            <w:pPr>
              <w:widowControl/>
              <w:jc w:val="left"/>
              <w:rPr>
                <w:rFonts w:ascii="宋体" w:hAnsi="宋体" w:cs="宋体"/>
                <w:kern w:val="0"/>
                <w:sz w:val="22"/>
              </w:rPr>
            </w:pPr>
            <w:r>
              <w:rPr>
                <w:rFonts w:hint="eastAsia" w:ascii="宋体" w:hAnsi="宋体" w:cs="宋体"/>
                <w:kern w:val="0"/>
                <w:sz w:val="22"/>
              </w:rPr>
              <w:t>5</w:t>
            </w:r>
          </w:p>
        </w:tc>
        <w:tc>
          <w:tcPr>
            <w:tcW w:w="1072" w:type="dxa"/>
            <w:shd w:val="clear" w:color="auto" w:fill="auto"/>
            <w:vAlign w:val="center"/>
          </w:tcPr>
          <w:p w14:paraId="19B739AF">
            <w:pPr>
              <w:widowControl/>
              <w:jc w:val="left"/>
              <w:rPr>
                <w:rFonts w:ascii="宋体" w:hAnsi="宋体" w:cs="宋体"/>
                <w:kern w:val="0"/>
                <w:sz w:val="22"/>
              </w:rPr>
            </w:pPr>
            <w:r>
              <w:rPr>
                <w:rFonts w:hint="eastAsia" w:ascii="宋体" w:hAnsi="宋体" w:cs="宋体"/>
                <w:kern w:val="0"/>
                <w:sz w:val="22"/>
              </w:rPr>
              <w:t>学生实验凳</w:t>
            </w:r>
          </w:p>
        </w:tc>
        <w:tc>
          <w:tcPr>
            <w:tcW w:w="4897" w:type="dxa"/>
            <w:shd w:val="clear" w:color="auto" w:fill="auto"/>
          </w:tcPr>
          <w:p w14:paraId="252CAB45">
            <w:pPr>
              <w:widowControl/>
              <w:jc w:val="left"/>
              <w:rPr>
                <w:rFonts w:ascii="宋体" w:hAnsi="宋体" w:cs="宋体"/>
                <w:kern w:val="0"/>
                <w:sz w:val="22"/>
              </w:rPr>
            </w:pPr>
            <w:r>
              <w:rPr>
                <w:rFonts w:hint="eastAsia" w:ascii="宋体" w:hAnsi="宋体" w:cs="宋体"/>
                <w:kern w:val="0"/>
                <w:sz w:val="22"/>
              </w:rPr>
              <w:t>1.规格：凳子高不小于430mm（±2mm），凳子坐面长宽不小于340mm×宽240mm（±2mm），厚度不小于15mm（±2mm）；凳子脚架规格不小于长300mm×宽200mm×高415mm（±2mm）。</w:t>
            </w:r>
            <w:r>
              <w:rPr>
                <w:rFonts w:hint="eastAsia" w:ascii="宋体" w:hAnsi="宋体" w:cs="宋体"/>
                <w:kern w:val="0"/>
                <w:sz w:val="22"/>
              </w:rPr>
              <w:br w:type="textWrapping"/>
            </w:r>
            <w:r>
              <w:rPr>
                <w:rFonts w:hint="eastAsia" w:ascii="宋体" w:hAnsi="宋体" w:cs="宋体"/>
                <w:kern w:val="0"/>
                <w:sz w:val="22"/>
              </w:rPr>
              <w:t>▲2.材料要求：凳子板面为多层胶合板，双面防火板饰面，甲醛释放量符合GB18580-2017的E1级控制指标，限量≤0.12mg/m³，立脚架采用不小于25mm×25mm×厚1.2mm方截面钢管焊接而成。</w:t>
            </w:r>
            <w:r>
              <w:rPr>
                <w:rFonts w:hint="eastAsia" w:ascii="宋体" w:hAnsi="宋体" w:cs="宋体"/>
                <w:kern w:val="0"/>
                <w:sz w:val="22"/>
              </w:rPr>
              <w:br w:type="textWrapping"/>
            </w:r>
            <w:r>
              <w:rPr>
                <w:rFonts w:hint="eastAsia" w:ascii="宋体" w:hAnsi="宋体" w:cs="宋体"/>
                <w:kern w:val="0"/>
                <w:sz w:val="22"/>
              </w:rPr>
              <w:t>3.加工要求：钢管表面喷涂前必须经过酸洗、磷化、除油，热固化喷塑。凳子面板四角磨圆处理，以防尖锐边角给学生带来伤害；凳子面板可用四根直径≥6mm的方颈螺钉及锁紧螺帽固定于立脚架上（螺钉尽量固定在立脚架边缘，确保面板稳固的基础上不影响使用感受）、凳子四只脚套为内嵌耐磨的坚韧胶套，脚套厚度不小于1.5mm。立脚架焊接件焊接时采用二氧化碳气体保护焊接，表面光滑，不能有脱焊、虚焊、焊穿；</w:t>
            </w:r>
            <w:r>
              <w:rPr>
                <w:rFonts w:hint="eastAsia" w:ascii="宋体" w:hAnsi="宋体" w:cs="宋体"/>
                <w:kern w:val="0"/>
                <w:sz w:val="22"/>
              </w:rPr>
              <w:br w:type="textWrapping"/>
            </w:r>
            <w:r>
              <w:rPr>
                <w:rFonts w:hint="eastAsia" w:ascii="宋体" w:hAnsi="宋体" w:cs="宋体"/>
                <w:kern w:val="0"/>
                <w:sz w:val="22"/>
              </w:rPr>
              <w:t>4.与学生实验台配套使用。</w:t>
            </w:r>
            <w:r>
              <w:rPr>
                <w:rFonts w:hint="eastAsia" w:ascii="宋体" w:hAnsi="宋体" w:cs="宋体"/>
                <w:kern w:val="0"/>
                <w:sz w:val="22"/>
              </w:rPr>
              <w:br w:type="textWrapping"/>
            </w:r>
            <w:r>
              <w:rPr>
                <w:rFonts w:hint="eastAsia" w:ascii="宋体" w:hAnsi="宋体" w:cs="宋体"/>
                <w:kern w:val="0"/>
                <w:sz w:val="22"/>
              </w:rPr>
              <w:t>5.学生凳样式如下：</w:t>
            </w:r>
          </w:p>
        </w:tc>
        <w:tc>
          <w:tcPr>
            <w:tcW w:w="462" w:type="dxa"/>
            <w:shd w:val="clear" w:color="auto" w:fill="auto"/>
            <w:noWrap/>
            <w:vAlign w:val="center"/>
          </w:tcPr>
          <w:p w14:paraId="3DB32E7D">
            <w:pPr>
              <w:widowControl/>
              <w:jc w:val="left"/>
              <w:rPr>
                <w:rFonts w:ascii="宋体" w:hAnsi="宋体" w:cs="宋体"/>
                <w:kern w:val="0"/>
                <w:sz w:val="22"/>
              </w:rPr>
            </w:pPr>
            <w:r>
              <w:rPr>
                <w:rFonts w:hint="eastAsia" w:ascii="宋体" w:hAnsi="宋体" w:cs="宋体"/>
                <w:kern w:val="0"/>
                <w:sz w:val="22"/>
              </w:rPr>
              <w:t>张</w:t>
            </w:r>
          </w:p>
        </w:tc>
        <w:tc>
          <w:tcPr>
            <w:tcW w:w="605" w:type="dxa"/>
            <w:shd w:val="clear" w:color="auto" w:fill="auto"/>
            <w:noWrap/>
            <w:vAlign w:val="center"/>
          </w:tcPr>
          <w:p w14:paraId="1E0B42A3">
            <w:pPr>
              <w:widowControl/>
              <w:jc w:val="left"/>
              <w:rPr>
                <w:rFonts w:ascii="宋体" w:hAnsi="宋体" w:cs="宋体"/>
                <w:kern w:val="0"/>
                <w:sz w:val="22"/>
              </w:rPr>
            </w:pPr>
            <w:r>
              <w:rPr>
                <w:rFonts w:hint="eastAsia" w:ascii="宋体" w:hAnsi="宋体" w:cs="宋体"/>
                <w:kern w:val="0"/>
                <w:sz w:val="22"/>
              </w:rPr>
              <w:t>60</w:t>
            </w:r>
          </w:p>
        </w:tc>
        <w:tc>
          <w:tcPr>
            <w:tcW w:w="1048" w:type="dxa"/>
            <w:shd w:val="clear" w:color="auto" w:fill="auto"/>
            <w:noWrap/>
            <w:vAlign w:val="center"/>
          </w:tcPr>
          <w:p w14:paraId="310816CC">
            <w:pPr>
              <w:widowControl/>
              <w:jc w:val="left"/>
              <w:rPr>
                <w:rFonts w:ascii="宋体" w:hAnsi="宋体" w:cs="宋体"/>
                <w:kern w:val="0"/>
                <w:sz w:val="22"/>
              </w:rPr>
            </w:pPr>
            <w:r>
              <w:rPr>
                <w:rFonts w:hint="eastAsia" w:ascii="宋体" w:hAnsi="宋体" w:cs="宋体"/>
                <w:kern w:val="0"/>
                <w:sz w:val="22"/>
              </w:rPr>
              <w:t>65</w:t>
            </w:r>
          </w:p>
        </w:tc>
        <w:tc>
          <w:tcPr>
            <w:tcW w:w="1489" w:type="dxa"/>
            <w:shd w:val="clear" w:color="auto" w:fill="auto"/>
            <w:noWrap/>
            <w:vAlign w:val="center"/>
          </w:tcPr>
          <w:p w14:paraId="1E5F50B3">
            <w:pPr>
              <w:widowControl/>
              <w:jc w:val="left"/>
              <w:rPr>
                <w:rFonts w:ascii="宋体" w:hAnsi="宋体" w:cs="宋体"/>
                <w:kern w:val="0"/>
                <w:sz w:val="22"/>
              </w:rPr>
            </w:pPr>
            <w:r>
              <w:rPr>
                <w:rFonts w:hint="eastAsia" w:ascii="宋体" w:hAnsi="宋体" w:cs="宋体"/>
                <w:kern w:val="0"/>
                <w:sz w:val="22"/>
              </w:rPr>
              <w:t>3900</w:t>
            </w:r>
          </w:p>
        </w:tc>
      </w:tr>
      <w:tr w14:paraId="13F6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4092BE83">
            <w:pPr>
              <w:widowControl/>
              <w:jc w:val="left"/>
              <w:rPr>
                <w:rFonts w:ascii="宋体" w:hAnsi="宋体" w:cs="宋体"/>
                <w:kern w:val="0"/>
                <w:sz w:val="22"/>
              </w:rPr>
            </w:pPr>
            <w:r>
              <w:rPr>
                <w:rFonts w:hint="eastAsia" w:ascii="宋体" w:hAnsi="宋体" w:cs="宋体"/>
                <w:kern w:val="0"/>
                <w:sz w:val="22"/>
              </w:rPr>
              <w:t>6</w:t>
            </w:r>
          </w:p>
        </w:tc>
        <w:tc>
          <w:tcPr>
            <w:tcW w:w="1072" w:type="dxa"/>
            <w:shd w:val="clear" w:color="auto" w:fill="auto"/>
            <w:vAlign w:val="center"/>
          </w:tcPr>
          <w:p w14:paraId="58A39103">
            <w:pPr>
              <w:widowControl/>
              <w:jc w:val="left"/>
              <w:rPr>
                <w:rFonts w:ascii="宋体" w:hAnsi="宋体" w:cs="宋体"/>
                <w:kern w:val="0"/>
                <w:sz w:val="22"/>
              </w:rPr>
            </w:pPr>
            <w:r>
              <w:rPr>
                <w:rFonts w:hint="eastAsia" w:ascii="宋体" w:hAnsi="宋体" w:cs="宋体"/>
                <w:kern w:val="0"/>
                <w:sz w:val="22"/>
              </w:rPr>
              <w:t>交互智能平板一体机</w:t>
            </w:r>
          </w:p>
        </w:tc>
        <w:tc>
          <w:tcPr>
            <w:tcW w:w="4897" w:type="dxa"/>
            <w:shd w:val="clear" w:color="auto" w:fill="auto"/>
            <w:vAlign w:val="center"/>
          </w:tcPr>
          <w:p w14:paraId="15FF0FBC">
            <w:pPr>
              <w:widowControl/>
              <w:jc w:val="left"/>
              <w:rPr>
                <w:rFonts w:ascii="宋体" w:hAnsi="宋体" w:cs="宋体"/>
                <w:kern w:val="0"/>
                <w:sz w:val="22"/>
              </w:rPr>
            </w:pPr>
            <w:r>
              <w:rPr>
                <w:rFonts w:hint="eastAsia" w:ascii="宋体" w:hAnsi="宋体" w:cs="宋体"/>
                <w:kern w:val="0"/>
                <w:sz w:val="22"/>
              </w:rPr>
              <w:t>一、整机屏显、音效设计</w:t>
            </w:r>
            <w:r>
              <w:rPr>
                <w:rFonts w:hint="eastAsia" w:ascii="宋体" w:hAnsi="宋体" w:cs="宋体"/>
                <w:kern w:val="0"/>
                <w:sz w:val="22"/>
              </w:rPr>
              <w:br w:type="textWrapping"/>
            </w:r>
            <w:r>
              <w:rPr>
                <w:rFonts w:hint="eastAsia" w:ascii="宋体" w:hAnsi="宋体" w:cs="宋体"/>
                <w:kern w:val="0"/>
                <w:sz w:val="22"/>
              </w:rPr>
              <w:t>1、采用UHD超高清LED防眩光液晶屏，尺寸≥86英寸，显示比例16:9，分辨率≥3840×2160。</w:t>
            </w:r>
            <w:r>
              <w:rPr>
                <w:rFonts w:hint="eastAsia" w:ascii="宋体" w:hAnsi="宋体" w:cs="宋体"/>
                <w:kern w:val="0"/>
                <w:sz w:val="22"/>
              </w:rPr>
              <w:br w:type="textWrapping"/>
            </w:r>
            <w:r>
              <w:rPr>
                <w:rFonts w:hint="eastAsia" w:ascii="宋体" w:hAnsi="宋体" w:cs="宋体"/>
                <w:kern w:val="0"/>
                <w:sz w:val="22"/>
              </w:rPr>
              <w:t>2、采用红外触控技术，支持在内置电脑操作系统中进行20点或以上触控，支持在嵌入式系统中进行10点或以上触控。</w:t>
            </w:r>
            <w:r>
              <w:rPr>
                <w:rFonts w:hint="eastAsia" w:ascii="宋体" w:hAnsi="宋体" w:cs="宋体"/>
                <w:kern w:val="0"/>
                <w:sz w:val="22"/>
              </w:rPr>
              <w:br w:type="textWrapping"/>
            </w:r>
            <w:r>
              <w:rPr>
                <w:rFonts w:hint="eastAsia" w:ascii="宋体" w:hAnsi="宋体" w:cs="宋体"/>
                <w:kern w:val="0"/>
                <w:sz w:val="22"/>
              </w:rPr>
              <w:t>3、整机显示灰度等级≥256，支持色彩空间可选，包含标准模式和sRGB模式，在sRGB模式下可做到高色准△E≤1.5。</w:t>
            </w:r>
            <w:r>
              <w:rPr>
                <w:rFonts w:hint="eastAsia" w:ascii="宋体" w:hAnsi="宋体" w:cs="宋体"/>
                <w:kern w:val="0"/>
                <w:sz w:val="22"/>
              </w:rPr>
              <w:br w:type="textWrapping"/>
            </w:r>
            <w:r>
              <w:rPr>
                <w:rFonts w:hint="eastAsia" w:ascii="宋体" w:hAnsi="宋体" w:cs="宋体"/>
                <w:kern w:val="0"/>
                <w:sz w:val="22"/>
              </w:rPr>
              <w:t>4、图像模式：支持标准、多媒体和节能三种图像模式调节；支持可自定义图像设置，可对对比度、屏幕色温、图像亮度、亮度范围、色彩空间进行调节设置。</w:t>
            </w:r>
            <w:r>
              <w:rPr>
                <w:rFonts w:hint="eastAsia" w:ascii="宋体" w:hAnsi="宋体" w:cs="宋体"/>
                <w:kern w:val="0"/>
                <w:sz w:val="22"/>
              </w:rPr>
              <w:br w:type="textWrapping"/>
            </w:r>
            <w:r>
              <w:rPr>
                <w:rFonts w:hint="eastAsia" w:ascii="宋体" w:hAnsi="宋体" w:cs="宋体"/>
                <w:kern w:val="0"/>
                <w:sz w:val="22"/>
              </w:rPr>
              <w:t>▲5、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投标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6、整机内置2.2声道扬声器，支持标准、听力、观影三种音效模式，位于设备上边框，顶置朝前发声，前朝向10W高音扬声器2个，上朝向20W中低音扬声器2个，额定总功率≥60W。（投标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7、整机内置扬声器采用缝隙发声技术，喇叭采用槽式开口设计，不大于5.8mm；在100%音量下，可做到1米处声压级≥80db，10米处声压级≥70dB。</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二、PC配置要求</w:t>
            </w:r>
            <w:r>
              <w:rPr>
                <w:rFonts w:hint="eastAsia" w:ascii="宋体" w:hAnsi="宋体" w:cs="宋体"/>
                <w:kern w:val="0"/>
                <w:sz w:val="22"/>
              </w:rPr>
              <w:br w:type="textWrapping"/>
            </w:r>
            <w:r>
              <w:rPr>
                <w:rFonts w:hint="eastAsia" w:ascii="宋体" w:hAnsi="宋体" w:cs="宋体"/>
                <w:kern w:val="0"/>
                <w:sz w:val="22"/>
              </w:rPr>
              <w:t>▲1、处理器：4核8线程或以上配置CPU，主频≥2.4Ghz。</w:t>
            </w:r>
            <w:r>
              <w:rPr>
                <w:rFonts w:hint="eastAsia" w:ascii="宋体" w:hAnsi="宋体" w:cs="宋体"/>
                <w:kern w:val="0"/>
                <w:sz w:val="22"/>
              </w:rPr>
              <w:br w:type="textWrapping"/>
            </w:r>
            <w:r>
              <w:rPr>
                <w:rFonts w:hint="eastAsia" w:ascii="宋体" w:hAnsi="宋体" w:cs="宋体"/>
                <w:kern w:val="0"/>
                <w:sz w:val="22"/>
              </w:rPr>
              <w:t>▲2、内存：≥16GB DDR4或以上配置。</w:t>
            </w:r>
            <w:r>
              <w:rPr>
                <w:rFonts w:hint="eastAsia" w:ascii="宋体" w:hAnsi="宋体" w:cs="宋体"/>
                <w:kern w:val="0"/>
                <w:sz w:val="22"/>
              </w:rPr>
              <w:br w:type="textWrapping"/>
            </w:r>
            <w:r>
              <w:rPr>
                <w:rFonts w:hint="eastAsia" w:ascii="宋体" w:hAnsi="宋体" w:cs="宋体"/>
                <w:kern w:val="0"/>
                <w:sz w:val="22"/>
              </w:rPr>
              <w:t>▲3、硬盘：≥512GB或以上SSD固态硬盘配置。</w:t>
            </w:r>
            <w:r>
              <w:rPr>
                <w:rFonts w:hint="eastAsia" w:ascii="宋体" w:hAnsi="宋体" w:cs="宋体"/>
                <w:kern w:val="0"/>
                <w:sz w:val="22"/>
              </w:rPr>
              <w:br w:type="textWrapping"/>
            </w:r>
            <w:r>
              <w:rPr>
                <w:rFonts w:hint="eastAsia" w:ascii="宋体" w:hAnsi="宋体" w:cs="宋体"/>
                <w:kern w:val="0"/>
                <w:sz w:val="22"/>
              </w:rPr>
              <w:t>4、机身采用热浸镀锌金属材质，采用智能风扇低噪音散热设计。</w:t>
            </w:r>
            <w:r>
              <w:rPr>
                <w:rFonts w:hint="eastAsia" w:ascii="宋体" w:hAnsi="宋体" w:cs="宋体"/>
                <w:kern w:val="0"/>
                <w:sz w:val="22"/>
              </w:rPr>
              <w:br w:type="textWrapping"/>
            </w:r>
            <w:r>
              <w:rPr>
                <w:rFonts w:hint="eastAsia" w:ascii="宋体" w:hAnsi="宋体" w:cs="宋体"/>
                <w:kern w:val="0"/>
                <w:sz w:val="22"/>
              </w:rPr>
              <w:t>5、模块主体尺寸不小于22cm*17cm*3cm以预留足够散热空间，确保封闭空间内有效散热。</w:t>
            </w:r>
            <w:r>
              <w:rPr>
                <w:rFonts w:hint="eastAsia" w:ascii="宋体" w:hAnsi="宋体" w:cs="宋体"/>
                <w:kern w:val="0"/>
                <w:sz w:val="22"/>
              </w:rPr>
              <w:br w:type="textWrapping"/>
            </w:r>
            <w:r>
              <w:rPr>
                <w:rFonts w:hint="eastAsia" w:ascii="宋体" w:hAnsi="宋体" w:cs="宋体"/>
                <w:kern w:val="0"/>
                <w:sz w:val="22"/>
              </w:rPr>
              <w:t>6、和整机的连接采用万兆级接口，传输速率≥10Gbps。</w:t>
            </w:r>
            <w:r>
              <w:rPr>
                <w:rFonts w:hint="eastAsia" w:ascii="宋体" w:hAnsi="宋体" w:cs="宋体"/>
                <w:kern w:val="0"/>
                <w:sz w:val="22"/>
              </w:rPr>
              <w:br w:type="textWrapping"/>
            </w:r>
            <w:r>
              <w:rPr>
                <w:rFonts w:hint="eastAsia" w:ascii="宋体" w:hAnsi="宋体" w:cs="宋体"/>
                <w:kern w:val="0"/>
                <w:sz w:val="22"/>
              </w:rPr>
              <w:t>7、具有独立非外扩展的视频输出接口：≥1路HDMI ，≥3路USB。</w:t>
            </w:r>
            <w:r>
              <w:rPr>
                <w:rFonts w:hint="eastAsia" w:ascii="宋体" w:hAnsi="宋体" w:cs="宋体"/>
                <w:kern w:val="0"/>
                <w:sz w:val="22"/>
              </w:rPr>
              <w:br w:type="textWrapping"/>
            </w:r>
            <w:r>
              <w:rPr>
                <w:rFonts w:hint="eastAsia" w:ascii="宋体" w:hAnsi="宋体" w:cs="宋体"/>
                <w:kern w:val="0"/>
                <w:sz w:val="22"/>
              </w:rPr>
              <w:t>8、PC模块可通过抽拉方式插入整机，可实现无单独接线的插拔。安全性保障：具有标准PC防盗锁孔。</w:t>
            </w:r>
            <w:r>
              <w:rPr>
                <w:rFonts w:hint="eastAsia" w:ascii="宋体" w:hAnsi="宋体" w:cs="宋体"/>
                <w:kern w:val="0"/>
                <w:sz w:val="22"/>
              </w:rPr>
              <w:br w:type="textWrapping"/>
            </w:r>
            <w:r>
              <w:rPr>
                <w:rFonts w:hint="eastAsia" w:ascii="宋体" w:hAnsi="宋体" w:cs="宋体"/>
                <w:kern w:val="0"/>
                <w:sz w:val="22"/>
              </w:rPr>
              <w:t>9、PC模块的USB接口须为冗余备份接口，在正常使用整机的内置摄像头、内置麦克风功能时，USB接口不被占用，确保教师有足够的接口外接存储设备及显示设备。</w:t>
            </w:r>
            <w:r>
              <w:rPr>
                <w:rFonts w:hint="eastAsia" w:ascii="宋体" w:hAnsi="宋体" w:cs="宋体"/>
                <w:kern w:val="0"/>
                <w:sz w:val="22"/>
              </w:rPr>
              <w:br w:type="textWrapping"/>
            </w:r>
            <w:r>
              <w:rPr>
                <w:rFonts w:hint="eastAsia" w:ascii="宋体" w:hAnsi="宋体" w:cs="宋体"/>
                <w:kern w:val="0"/>
                <w:sz w:val="22"/>
              </w:rPr>
              <w:t>▲10、正版电脑操作系统，带永久授权。中标人须完成正版激活流程。</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三、按键和接口设计</w:t>
            </w:r>
            <w:r>
              <w:rPr>
                <w:rFonts w:hint="eastAsia" w:ascii="宋体" w:hAnsi="宋体" w:cs="宋体"/>
                <w:kern w:val="0"/>
                <w:sz w:val="22"/>
              </w:rPr>
              <w:br w:type="textWrapping"/>
            </w:r>
            <w:r>
              <w:rPr>
                <w:rFonts w:hint="eastAsia" w:ascii="宋体" w:hAnsi="宋体" w:cs="宋体"/>
                <w:kern w:val="0"/>
                <w:sz w:val="22"/>
              </w:rPr>
              <w:t>1、前置 USB 接口具备防撞挡板设计，防撞挡板采用转轴式翻转。</w:t>
            </w:r>
            <w:r>
              <w:rPr>
                <w:rFonts w:hint="eastAsia" w:ascii="宋体" w:hAnsi="宋体" w:cs="宋体"/>
                <w:kern w:val="0"/>
                <w:sz w:val="22"/>
              </w:rPr>
              <w:br w:type="textWrapping"/>
            </w:r>
            <w:r>
              <w:rPr>
                <w:rFonts w:hint="eastAsia" w:ascii="宋体" w:hAnsi="宋体" w:cs="宋体"/>
                <w:kern w:val="0"/>
                <w:sz w:val="22"/>
              </w:rPr>
              <w:t>▲2、整机具备至少6个前置按键，实现老师开关机、调出中控菜单、音量+/-、护眼、录屏的操作。（投标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3、智能电子产品一键式设计：三合一电源按键，同一电源物理按键完成完成嵌入式系统和电脑系统的开机、节能熄屏、关机操作；关机状态下按按键开机；开机状态下按按键实现节能熄屏/唤醒，长按按键实现关机。</w:t>
            </w:r>
            <w:r>
              <w:rPr>
                <w:rFonts w:hint="eastAsia" w:ascii="宋体" w:hAnsi="宋体" w:cs="宋体"/>
                <w:kern w:val="0"/>
                <w:sz w:val="22"/>
              </w:rPr>
              <w:br w:type="textWrapping"/>
            </w:r>
            <w:r>
              <w:rPr>
                <w:rFonts w:hint="eastAsia" w:ascii="宋体" w:hAnsi="宋体" w:cs="宋体"/>
                <w:kern w:val="0"/>
                <w:sz w:val="22"/>
              </w:rPr>
              <w:t>4、支持锁定屏幕触摸和整机前置按键，可通过遥控器、十指长按屏幕5秒、软件菜单（调试菜单）实现该功能，也可通过前置面板的物理按键以组合按键的形式进行锁定/解锁。</w:t>
            </w:r>
            <w:r>
              <w:rPr>
                <w:rFonts w:hint="eastAsia" w:ascii="宋体" w:hAnsi="宋体" w:cs="宋体"/>
                <w:kern w:val="0"/>
                <w:sz w:val="22"/>
              </w:rPr>
              <w:br w:type="textWrapping"/>
            </w:r>
            <w:r>
              <w:rPr>
                <w:rFonts w:hint="eastAsia" w:ascii="宋体" w:hAnsi="宋体" w:cs="宋体"/>
                <w:kern w:val="0"/>
                <w:sz w:val="22"/>
              </w:rPr>
              <w:t>▲5、设备支持自定义前置“设置”按键，可通过自定义设置实现前置面板功能按键一键启用任一全局小工具（批注、截屏、计时、降半屏、放大镜、倒数日、日历）、快捷开关（节能模式、纸质护眼模式、经典护眼模式、自动亮度模式）。（投标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6、支持前置Type-C接口，通过Type-C接口实现音视频输入，外接电脑设备通过双头TypeC线连接至整机，即可把外接电脑设备画面投到整机上，同时在整机上操作画面，可实现触摸电脑的操作，无需再连接触控USB线。</w:t>
            </w:r>
            <w:r>
              <w:rPr>
                <w:rFonts w:hint="eastAsia" w:ascii="宋体" w:hAnsi="宋体" w:cs="宋体"/>
                <w:kern w:val="0"/>
                <w:sz w:val="22"/>
              </w:rPr>
              <w:br w:type="textWrapping"/>
            </w:r>
            <w:r>
              <w:rPr>
                <w:rFonts w:hint="eastAsia" w:ascii="宋体" w:hAnsi="宋体" w:cs="宋体"/>
                <w:kern w:val="0"/>
                <w:sz w:val="22"/>
              </w:rPr>
              <w:t>7、外接电脑设备通过双头TypeC线连接至整机，可直接调用整机内置的摄像头、麦克风、扬声器，通过外接电脑可拍摄教室画面。</w:t>
            </w:r>
            <w:r>
              <w:rPr>
                <w:rFonts w:hint="eastAsia" w:ascii="宋体" w:hAnsi="宋体" w:cs="宋体"/>
                <w:kern w:val="0"/>
                <w:sz w:val="22"/>
              </w:rPr>
              <w:br w:type="textWrapping"/>
            </w:r>
            <w:r>
              <w:rPr>
                <w:rFonts w:hint="eastAsia" w:ascii="宋体" w:hAnsi="宋体" w:cs="宋体"/>
                <w:kern w:val="0"/>
                <w:sz w:val="22"/>
              </w:rPr>
              <w:t>8、前置Type-C接口，支持通过外部线缆，实现外接电脑HDMI信号的接入显示。</w:t>
            </w:r>
            <w:r>
              <w:rPr>
                <w:rFonts w:hint="eastAsia" w:ascii="宋体" w:hAnsi="宋体" w:cs="宋体"/>
                <w:kern w:val="0"/>
                <w:sz w:val="22"/>
              </w:rPr>
              <w:br w:type="textWrapping"/>
            </w:r>
            <w:r>
              <w:rPr>
                <w:rFonts w:hint="eastAsia" w:ascii="宋体" w:hAnsi="宋体" w:cs="宋体"/>
                <w:kern w:val="0"/>
                <w:sz w:val="22"/>
              </w:rPr>
              <w:t>9、外接电脑设备连接整机且触摸信号连通时，外接电脑设备可直接读取整机前置USB接口的移动存储设备数据，连接整机前置USB接口的翻页笔和无线键鼠可直接使用于外接电脑。</w:t>
            </w:r>
            <w:r>
              <w:rPr>
                <w:rFonts w:hint="eastAsia" w:ascii="宋体" w:hAnsi="宋体" w:cs="宋体"/>
                <w:kern w:val="0"/>
                <w:sz w:val="22"/>
              </w:rPr>
              <w:br w:type="textWrapping"/>
            </w:r>
            <w:r>
              <w:rPr>
                <w:rFonts w:hint="eastAsia" w:ascii="宋体" w:hAnsi="宋体" w:cs="宋体"/>
                <w:kern w:val="0"/>
                <w:sz w:val="22"/>
              </w:rPr>
              <w:t>10、整机具备不少于1路侧置双通道USB接口，双系统USB接口支持Windows和Android双系统读取外接存储设备数据和识别展台信号。</w:t>
            </w:r>
            <w:r>
              <w:rPr>
                <w:rFonts w:hint="eastAsia" w:ascii="宋体" w:hAnsi="宋体" w:cs="宋体"/>
                <w:kern w:val="0"/>
                <w:sz w:val="22"/>
              </w:rPr>
              <w:br w:type="textWrapping"/>
            </w:r>
            <w:r>
              <w:rPr>
                <w:rFonts w:hint="eastAsia" w:ascii="宋体" w:hAnsi="宋体" w:cs="宋体"/>
                <w:kern w:val="0"/>
                <w:sz w:val="22"/>
              </w:rPr>
              <w:t>11、外接电脑设备通过HDMI线投送画面至整机时，再连接TypeB USB线至整机触控输出接口，即可直接调用整机内置的摄像头、麦克风、扬声器，在外接电脑即可拍摄教室画面。</w:t>
            </w:r>
            <w:r>
              <w:rPr>
                <w:rFonts w:hint="eastAsia" w:ascii="宋体" w:hAnsi="宋体" w:cs="宋体"/>
                <w:kern w:val="0"/>
                <w:sz w:val="22"/>
              </w:rPr>
              <w:br w:type="textWrapping"/>
            </w:r>
            <w:r>
              <w:rPr>
                <w:rFonts w:hint="eastAsia" w:ascii="宋体" w:hAnsi="宋体" w:cs="宋体"/>
                <w:kern w:val="0"/>
                <w:sz w:val="22"/>
              </w:rPr>
              <w:t>12、支持通道自动跳转功能，如整机处于正常使用状态，HDMI信号接入时，能自动识别并切换到对应的HDMI信号源通道，且断开后能回到上一通道，自动跳转前支持选择确认，待确认后再跳转。</w:t>
            </w:r>
            <w:r>
              <w:rPr>
                <w:rFonts w:hint="eastAsia" w:ascii="宋体" w:hAnsi="宋体" w:cs="宋体"/>
                <w:kern w:val="0"/>
                <w:sz w:val="22"/>
              </w:rPr>
              <w:br w:type="textWrapping"/>
            </w:r>
            <w:r>
              <w:rPr>
                <w:rFonts w:hint="eastAsia" w:ascii="宋体" w:hAnsi="宋体" w:cs="宋体"/>
                <w:kern w:val="0"/>
                <w:sz w:val="22"/>
              </w:rPr>
              <w:t>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四、教学工具设计</w:t>
            </w:r>
            <w:r>
              <w:rPr>
                <w:rFonts w:hint="eastAsia" w:ascii="宋体" w:hAnsi="宋体" w:cs="宋体"/>
                <w:kern w:val="0"/>
                <w:sz w:val="22"/>
              </w:rPr>
              <w:br w:type="textWrapping"/>
            </w:r>
            <w:r>
              <w:rPr>
                <w:rFonts w:hint="eastAsia" w:ascii="宋体" w:hAnsi="宋体" w:cs="宋体"/>
                <w:kern w:val="0"/>
                <w:sz w:val="22"/>
              </w:rPr>
              <w:t>▲1、支持统一互通的用户身份认证服务，账号登录后，打开教学白板软件、学生行为评价软件的教学应用工具时无需再次输入账号密码重复登录。（投标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2、整机全通道侧边栏支持快速将设备屏幕降低为半屏幕状态，点击上半屏幕可快速返回全屏状态。</w:t>
            </w:r>
            <w:r>
              <w:rPr>
                <w:rFonts w:hint="eastAsia" w:ascii="宋体" w:hAnsi="宋体" w:cs="宋体"/>
                <w:kern w:val="0"/>
                <w:sz w:val="22"/>
              </w:rPr>
              <w:br w:type="textWrapping"/>
            </w:r>
            <w:r>
              <w:rPr>
                <w:rFonts w:hint="eastAsia" w:ascii="宋体" w:hAnsi="宋体" w:cs="宋体"/>
                <w:kern w:val="0"/>
                <w:sz w:val="22"/>
              </w:rPr>
              <w:t>3、整机全通道侧边栏快捷菜单包含如下小工具：批注、截屏、计时、降半屏、放大镜、日历。</w:t>
            </w:r>
            <w:r>
              <w:rPr>
                <w:rFonts w:hint="eastAsia" w:ascii="宋体" w:hAnsi="宋体" w:cs="宋体"/>
                <w:kern w:val="0"/>
                <w:sz w:val="22"/>
              </w:rPr>
              <w:br w:type="textWrapping"/>
            </w:r>
            <w:r>
              <w:rPr>
                <w:rFonts w:hint="eastAsia" w:ascii="宋体" w:hAnsi="宋体" w:cs="宋体"/>
                <w:kern w:val="0"/>
                <w:sz w:val="22"/>
              </w:rPr>
              <w:t>4、整机具备智能手势识别功能，在任意信号源通道下可识别五指上、下、左、右方向手势、支持将各手势滑动方向自定义设置为无操作、熄屏、批注、桌面、半屏模式。</w:t>
            </w:r>
            <w:r>
              <w:rPr>
                <w:rFonts w:hint="eastAsia" w:ascii="宋体" w:hAnsi="宋体" w:cs="宋体"/>
                <w:kern w:val="0"/>
                <w:sz w:val="22"/>
              </w:rPr>
              <w:br w:type="textWrapping"/>
            </w:r>
            <w:r>
              <w:rPr>
                <w:rFonts w:hint="eastAsia" w:ascii="宋体" w:hAnsi="宋体" w:cs="宋体"/>
                <w:kern w:val="0"/>
                <w:sz w:val="22"/>
              </w:rPr>
              <w:t>5、整机全通道侧边栏支持在任意通道、页面使用批注小工具进行批注讲解，可根据手与屏幕的接触面积自动调整板擦工具的大小，可切换书写笔颜色、截屏保存批注内容、快速清屏。</w:t>
            </w:r>
            <w:r>
              <w:rPr>
                <w:rFonts w:hint="eastAsia" w:ascii="宋体" w:hAnsi="宋体" w:cs="宋体"/>
                <w:kern w:val="0"/>
                <w:sz w:val="22"/>
              </w:rPr>
              <w:br w:type="textWrapping"/>
            </w:r>
            <w:r>
              <w:rPr>
                <w:rFonts w:hint="eastAsia" w:ascii="宋体" w:hAnsi="宋体" w:cs="宋体"/>
                <w:kern w:val="0"/>
                <w:sz w:val="22"/>
              </w:rPr>
              <w:t xml:space="preserve">6、整机内置无线网络模块，PC模块无任何外接或转接天线、网卡可实现Wi-Fi无线上网连接和AP无线热点发射。 </w:t>
            </w:r>
            <w:r>
              <w:rPr>
                <w:rFonts w:hint="eastAsia" w:ascii="宋体" w:hAnsi="宋体" w:cs="宋体"/>
                <w:kern w:val="0"/>
                <w:sz w:val="22"/>
              </w:rPr>
              <w:br w:type="textWrapping"/>
            </w:r>
            <w:r>
              <w:rPr>
                <w:rFonts w:hint="eastAsia" w:ascii="宋体" w:hAnsi="宋体" w:cs="宋体"/>
                <w:kern w:val="0"/>
                <w:sz w:val="22"/>
              </w:rPr>
              <w:t>7、Wi-Fi和AP热点均支持频段 2.4GHz/5GHz ，Wi-Fi制式支持IEEE 802.11 a/b/g/n/ac/ax；支持版本Wi-Fi6。</w:t>
            </w:r>
            <w:r>
              <w:rPr>
                <w:rFonts w:hint="eastAsia" w:ascii="宋体" w:hAnsi="宋体" w:cs="宋体"/>
                <w:kern w:val="0"/>
                <w:sz w:val="22"/>
              </w:rPr>
              <w:br w:type="textWrapping"/>
            </w:r>
            <w:r>
              <w:rPr>
                <w:rFonts w:hint="eastAsia" w:ascii="宋体" w:hAnsi="宋体" w:cs="宋体"/>
                <w:kern w:val="0"/>
                <w:sz w:val="22"/>
              </w:rPr>
              <w:t>★8、Wi-Fi和AP热点工作距离≥8米。</w:t>
            </w:r>
            <w:r>
              <w:rPr>
                <w:rFonts w:hint="eastAsia" w:ascii="宋体" w:hAnsi="宋体" w:cs="宋体"/>
                <w:kern w:val="0"/>
                <w:sz w:val="22"/>
              </w:rPr>
              <w:br w:type="textWrapping"/>
            </w:r>
            <w:r>
              <w:rPr>
                <w:rFonts w:hint="eastAsia" w:ascii="宋体" w:hAnsi="宋体" w:cs="宋体"/>
                <w:kern w:val="0"/>
                <w:sz w:val="22"/>
              </w:rPr>
              <w:t>★9、整机内置非独立的高清摄像头，像素≥1200万，支持输出4K分辨率；视场角≥135度且水平视场角≥120度；可用于远程巡课，拍摄范围可以涵盖整机距离摄像头垂直法线左右水平距离各≥4米，左右最边缘深度≥2米范围内，并且可以AI识别人像。</w:t>
            </w:r>
            <w:r>
              <w:rPr>
                <w:rFonts w:hint="eastAsia" w:ascii="宋体" w:hAnsi="宋体" w:cs="宋体"/>
                <w:kern w:val="0"/>
                <w:sz w:val="22"/>
              </w:rPr>
              <w:br w:type="textWrapping"/>
            </w:r>
            <w:r>
              <w:rPr>
                <w:rFonts w:hint="eastAsia" w:ascii="宋体" w:hAnsi="宋体" w:cs="宋体"/>
                <w:kern w:val="0"/>
                <w:sz w:val="22"/>
              </w:rPr>
              <w:t>10、整机摄像头支持环境色温判断，根据环境调节合适的显示图像效果。</w:t>
            </w:r>
            <w:r>
              <w:rPr>
                <w:rFonts w:hint="eastAsia" w:ascii="宋体" w:hAnsi="宋体" w:cs="宋体"/>
                <w:kern w:val="0"/>
                <w:sz w:val="22"/>
              </w:rPr>
              <w:br w:type="textWrapping"/>
            </w:r>
            <w:r>
              <w:rPr>
                <w:rFonts w:hint="eastAsia" w:ascii="宋体" w:hAnsi="宋体" w:cs="宋体"/>
                <w:kern w:val="0"/>
                <w:sz w:val="22"/>
              </w:rPr>
              <w:t>★11、整机摄像头支持人脸识别、快速点人数、随机抽人；识别所有学生，显示标记，然后随机抽选，同时显示标记≥55人。</w:t>
            </w:r>
            <w:r>
              <w:rPr>
                <w:rFonts w:hint="eastAsia" w:ascii="宋体" w:hAnsi="宋体" w:cs="宋体"/>
                <w:kern w:val="0"/>
                <w:sz w:val="22"/>
              </w:rPr>
              <w:br w:type="textWrapping"/>
            </w:r>
            <w:r>
              <w:rPr>
                <w:rFonts w:hint="eastAsia" w:ascii="宋体" w:hAnsi="宋体" w:cs="宋体"/>
                <w:kern w:val="0"/>
                <w:sz w:val="22"/>
              </w:rPr>
              <w:t>12、整机内置非独立外扩展的4阵列麦克风，可用于对教室环境音频进行采集，拾音距离≥10m。</w:t>
            </w:r>
            <w:r>
              <w:rPr>
                <w:rFonts w:hint="eastAsia" w:ascii="宋体" w:hAnsi="宋体" w:cs="宋体"/>
                <w:kern w:val="0"/>
                <w:sz w:val="22"/>
              </w:rPr>
              <w:br w:type="textWrapping"/>
            </w:r>
            <w:r>
              <w:rPr>
                <w:rFonts w:hint="eastAsia" w:ascii="宋体" w:hAnsi="宋体" w:cs="宋体"/>
                <w:kern w:val="0"/>
                <w:sz w:val="22"/>
              </w:rPr>
              <w:t>★13、整机支持蓝牙Bluetooth 5.2标准，固件版本号HCI11.20/LMP11.20；蓝牙模块工作距离≥8m。</w:t>
            </w:r>
            <w:r>
              <w:rPr>
                <w:rFonts w:hint="eastAsia" w:ascii="宋体" w:hAnsi="宋体" w:cs="宋体"/>
                <w:kern w:val="0"/>
                <w:sz w:val="22"/>
              </w:rPr>
              <w:br w:type="textWrapping"/>
            </w:r>
            <w:r>
              <w:rPr>
                <w:rFonts w:hint="eastAsia" w:ascii="宋体" w:hAnsi="宋体" w:cs="宋体"/>
                <w:kern w:val="0"/>
                <w:sz w:val="22"/>
              </w:rPr>
              <w:t>14、整机支持搭配具有NFC功能的手机、平板，通过接触整机设备上的NFC标签，即可实现手机、平板与大屏的连接并同步手机、平板的画面到设备上，无需其它操作设置，支持≥4台手机、平板同时连接并显示。</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五、嵌入式操作系统设计</w:t>
            </w:r>
            <w:r>
              <w:rPr>
                <w:rFonts w:hint="eastAsia" w:ascii="宋体" w:hAnsi="宋体" w:cs="宋体"/>
                <w:kern w:val="0"/>
                <w:sz w:val="22"/>
              </w:rPr>
              <w:br w:type="textWrapping"/>
            </w:r>
            <w:r>
              <w:rPr>
                <w:rFonts w:hint="eastAsia" w:ascii="宋体" w:hAnsi="宋体" w:cs="宋体"/>
                <w:kern w:val="0"/>
                <w:sz w:val="22"/>
              </w:rPr>
              <w:t>1、嵌入式系统硬件配置，内存≥2GB，存储空间≥8GB。</w:t>
            </w:r>
            <w:r>
              <w:rPr>
                <w:rFonts w:hint="eastAsia" w:ascii="宋体" w:hAnsi="宋体" w:cs="宋体"/>
                <w:kern w:val="0"/>
                <w:sz w:val="22"/>
              </w:rPr>
              <w:br w:type="textWrapping"/>
            </w:r>
            <w:r>
              <w:rPr>
                <w:rFonts w:hint="eastAsia" w:ascii="宋体" w:hAnsi="宋体" w:cs="宋体"/>
                <w:kern w:val="0"/>
                <w:sz w:val="22"/>
              </w:rPr>
              <w:t>2、无PC状态下，嵌入式操作系统下可实现电脑操作系统中常用的教学应用功能，如白板书写、WPS软件使用、网页浏览。</w:t>
            </w:r>
            <w:r>
              <w:rPr>
                <w:rFonts w:hint="eastAsia" w:ascii="宋体" w:hAnsi="宋体" w:cs="宋体"/>
                <w:kern w:val="0"/>
                <w:sz w:val="22"/>
              </w:rPr>
              <w:br w:type="textWrapping"/>
            </w:r>
            <w:r>
              <w:rPr>
                <w:rFonts w:hint="eastAsia" w:ascii="宋体" w:hAnsi="宋体" w:cs="宋体"/>
                <w:kern w:val="0"/>
                <w:sz w:val="22"/>
              </w:rPr>
              <w:t>3、嵌入式操作系统下，互动白板可支持不同背景颜色，同时提供学科专用背景，如：五线谱、信纸、田字格、英文格、篮球和足球场地平面图。</w:t>
            </w:r>
            <w:r>
              <w:rPr>
                <w:rFonts w:hint="eastAsia" w:ascii="宋体" w:hAnsi="宋体" w:cs="宋体"/>
                <w:kern w:val="0"/>
                <w:sz w:val="22"/>
              </w:rPr>
              <w:br w:type="textWrapping"/>
            </w:r>
            <w:r>
              <w:rPr>
                <w:rFonts w:hint="eastAsia" w:ascii="宋体" w:hAnsi="宋体" w:cs="宋体"/>
                <w:kern w:val="0"/>
                <w:sz w:val="22"/>
              </w:rPr>
              <w:t>4、在嵌入式操作系统下，能对TV多媒体USB所读取到的文件进行自动归类，可快速分类查找文档、板书、音视频，检索后可直接在界面中打开。</w:t>
            </w:r>
            <w:r>
              <w:rPr>
                <w:rFonts w:hint="eastAsia" w:ascii="宋体" w:hAnsi="宋体" w:cs="宋体"/>
                <w:kern w:val="0"/>
                <w:sz w:val="22"/>
              </w:rPr>
              <w:br w:type="textWrapping"/>
            </w:r>
            <w:r>
              <w:rPr>
                <w:rFonts w:hint="eastAsia" w:ascii="宋体" w:hAnsi="宋体" w:cs="宋体"/>
                <w:kern w:val="0"/>
                <w:sz w:val="22"/>
              </w:rPr>
              <w:t>★5、无PC状态下，嵌入式系统内置互动白板支持十笔书写及手掌擦除（手掌擦除面积根据手掌与屏幕的接触面大小自动调整），白板书写内容可导出PDF、IWB、SVG格式。支持8种以上平面图形工具，支持6种以上立体图形工具。</w:t>
            </w:r>
            <w:r>
              <w:rPr>
                <w:rFonts w:hint="eastAsia" w:ascii="宋体" w:hAnsi="宋体" w:cs="宋体"/>
                <w:kern w:val="0"/>
                <w:sz w:val="22"/>
              </w:rPr>
              <w:br w:type="textWrapping"/>
            </w:r>
            <w:r>
              <w:rPr>
                <w:rFonts w:hint="eastAsia" w:ascii="宋体" w:hAnsi="宋体" w:cs="宋体"/>
                <w:kern w:val="0"/>
                <w:sz w:val="22"/>
              </w:rPr>
              <w:t>6、无PC状态下，嵌入式系统内置互动白板支持全局漫游，并能在工具栏中对全局内容进行预览和移动。</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六、教学白板软件</w:t>
            </w:r>
            <w:r>
              <w:rPr>
                <w:rFonts w:hint="eastAsia" w:ascii="宋体" w:hAnsi="宋体" w:cs="宋体"/>
                <w:kern w:val="0"/>
                <w:sz w:val="22"/>
              </w:rPr>
              <w:br w:type="textWrapping"/>
            </w:r>
            <w:r>
              <w:rPr>
                <w:rFonts w:hint="eastAsia" w:ascii="宋体" w:hAnsi="宋体" w:cs="宋体"/>
                <w:kern w:val="0"/>
                <w:sz w:val="22"/>
              </w:rPr>
              <w:t>1、备授课一体化，具有备课模式及授课模式，且操作界面根据备课和授课使用场景不同而区别设计，符合用户使用需求。</w:t>
            </w:r>
            <w:r>
              <w:rPr>
                <w:rFonts w:hint="eastAsia" w:ascii="宋体" w:hAnsi="宋体" w:cs="宋体"/>
                <w:kern w:val="0"/>
                <w:sz w:val="22"/>
              </w:rPr>
              <w:br w:type="textWrapping"/>
            </w:r>
            <w:r>
              <w:rPr>
                <w:rFonts w:hint="eastAsia" w:ascii="宋体" w:hAnsi="宋体" w:cs="宋体"/>
                <w:kern w:val="0"/>
                <w:sz w:val="22"/>
              </w:rPr>
              <w:t>2、备课模式工具栏会自动根据老师账号中关联的学科不同而提供相对应的教学工具，例如语文学科会出现田字格工具，数学学科则出现几何工具，无需用户自行选择。</w:t>
            </w:r>
            <w:r>
              <w:rPr>
                <w:rFonts w:hint="eastAsia" w:ascii="宋体" w:hAnsi="宋体" w:cs="宋体"/>
                <w:kern w:val="0"/>
                <w:sz w:val="22"/>
              </w:rPr>
              <w:br w:type="textWrapping"/>
            </w:r>
            <w:r>
              <w:rPr>
                <w:rFonts w:hint="eastAsia" w:ascii="宋体" w:hAnsi="宋体" w:cs="宋体"/>
                <w:kern w:val="0"/>
                <w:sz w:val="22"/>
              </w:rPr>
              <w:t>3、支持课件云存储，无需使用 U 盘等存储设备，用户只需联网登录即可在交互式白板软件中获取云课件，并支持课件云分享，可将课件直接分享给其他用户，只需输入其他用户手持终端号即可。</w:t>
            </w:r>
            <w:r>
              <w:rPr>
                <w:rFonts w:hint="eastAsia" w:ascii="宋体" w:hAnsi="宋体" w:cs="宋体"/>
                <w:kern w:val="0"/>
                <w:sz w:val="22"/>
              </w:rPr>
              <w:br w:type="textWrapping"/>
            </w:r>
            <w:r>
              <w:rPr>
                <w:rFonts w:hint="eastAsia" w:ascii="宋体" w:hAnsi="宋体" w:cs="宋体"/>
                <w:kern w:val="0"/>
                <w:sz w:val="22"/>
              </w:rPr>
              <w:t>4、支持课件云同步，课件上的所有修改、操作均可实时同步至云端，无需单独保存上传，确保多终端调用同个课件均为最新版本。</w:t>
            </w:r>
            <w:r>
              <w:rPr>
                <w:rFonts w:hint="eastAsia" w:ascii="宋体" w:hAnsi="宋体" w:cs="宋体"/>
                <w:kern w:val="0"/>
                <w:sz w:val="22"/>
              </w:rPr>
              <w:br w:type="textWrapping"/>
            </w:r>
            <w:r>
              <w:rPr>
                <w:rFonts w:hint="eastAsia" w:ascii="宋体" w:hAnsi="宋体" w:cs="宋体"/>
                <w:kern w:val="0"/>
                <w:sz w:val="22"/>
              </w:rPr>
              <w:t>5、游戏教学功能：支持创建互动分类式游戏，可自定义不同类别及相对应的对象，实现将不同对象拖拽到对应的类别容器中可自动辨识分类，分类正确或错误均有相应提示。类别和对象的样式、数量均可以自定义设置。系统需提供不少于 20种游戏模板，直接选择并输入相应内容即可轻松生成互动分类式游戏，提升课堂趣味性。</w:t>
            </w:r>
            <w:r>
              <w:rPr>
                <w:rFonts w:hint="eastAsia" w:ascii="宋体" w:hAnsi="宋体" w:cs="宋体"/>
                <w:kern w:val="0"/>
                <w:sz w:val="22"/>
              </w:rPr>
              <w:br w:type="textWrapping"/>
            </w:r>
            <w:r>
              <w:rPr>
                <w:rFonts w:hint="eastAsia" w:ascii="宋体" w:hAnsi="宋体" w:cs="宋体"/>
                <w:kern w:val="0"/>
                <w:sz w:val="22"/>
              </w:rPr>
              <w:t>6、支持软件联网自动静默升级，无需用户手动更新。</w:t>
            </w:r>
            <w:r>
              <w:rPr>
                <w:rFonts w:hint="eastAsia" w:ascii="宋体" w:hAnsi="宋体" w:cs="宋体"/>
                <w:kern w:val="0"/>
                <w:sz w:val="22"/>
              </w:rPr>
              <w:br w:type="textWrapping"/>
            </w:r>
            <w:r>
              <w:rPr>
                <w:rFonts w:hint="eastAsia" w:ascii="宋体" w:hAnsi="宋体" w:cs="宋体"/>
                <w:kern w:val="0"/>
                <w:sz w:val="22"/>
              </w:rPr>
              <w:t>7、课件背景：提供不少于12 种以上背景模板供用户选择，持自定义背景。</w:t>
            </w:r>
            <w:r>
              <w:rPr>
                <w:rFonts w:hint="eastAsia" w:ascii="宋体" w:hAnsi="宋体" w:cs="宋体"/>
                <w:kern w:val="0"/>
                <w:sz w:val="22"/>
              </w:rPr>
              <w:br w:type="textWrapping"/>
            </w:r>
            <w:r>
              <w:rPr>
                <w:rFonts w:hint="eastAsia" w:ascii="宋体" w:hAnsi="宋体" w:cs="宋体"/>
                <w:kern w:val="0"/>
                <w:sz w:val="22"/>
              </w:rPr>
              <w:t>8、美术画板：支持美术画板工具，提供铅笔、毛笔、油画笔，可实现模拟调色盘功能，用户可自由选择不同颜色进行混合调色，搭配出任意色彩。</w:t>
            </w:r>
            <w:r>
              <w:rPr>
                <w:rFonts w:hint="eastAsia" w:ascii="宋体" w:hAnsi="宋体" w:cs="宋体"/>
                <w:kern w:val="0"/>
                <w:sz w:val="22"/>
              </w:rPr>
              <w:br w:type="textWrapping"/>
            </w:r>
            <w:r>
              <w:rPr>
                <w:rFonts w:hint="eastAsia" w:ascii="宋体" w:hAnsi="宋体" w:cs="宋体"/>
                <w:kern w:val="0"/>
                <w:sz w:val="22"/>
              </w:rPr>
              <w:t>9、快捷抠图：无需借助专业图片处理软件，即可在白板软件中对导入的图片进行快捷抠图、去背景，处理后的图片主体边缘没有明显毛边，可导出保存成 PNG 格式。</w:t>
            </w:r>
            <w:r>
              <w:rPr>
                <w:rFonts w:hint="eastAsia" w:ascii="宋体" w:hAnsi="宋体" w:cs="宋体"/>
                <w:kern w:val="0"/>
                <w:sz w:val="22"/>
              </w:rPr>
              <w:br w:type="textWrapping"/>
            </w:r>
            <w:r>
              <w:rPr>
                <w:rFonts w:hint="eastAsia" w:ascii="宋体" w:hAnsi="宋体" w:cs="宋体"/>
                <w:kern w:val="0"/>
                <w:sz w:val="22"/>
              </w:rPr>
              <w:t>10、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宋体" w:hAnsi="宋体" w:cs="宋体"/>
                <w:kern w:val="0"/>
                <w:sz w:val="22"/>
              </w:rPr>
              <w:br w:type="textWrapping"/>
            </w:r>
            <w:r>
              <w:rPr>
                <w:rFonts w:hint="eastAsia" w:ascii="宋体" w:hAnsi="宋体" w:cs="宋体"/>
                <w:kern w:val="0"/>
                <w:sz w:val="22"/>
              </w:rPr>
              <w:t>11、数学公式编辑器：支持复杂数学公式输入，提供不少于 20 个数学符号及和不少于15种公式模板，输出的公式内容支持不同颜色标记及二次编辑。</w:t>
            </w:r>
            <w:r>
              <w:rPr>
                <w:rFonts w:hint="eastAsia" w:ascii="宋体" w:hAnsi="宋体" w:cs="宋体"/>
                <w:kern w:val="0"/>
                <w:sz w:val="22"/>
              </w:rPr>
              <w:br w:type="textWrapping"/>
            </w:r>
            <w:r>
              <w:rPr>
                <w:rFonts w:hint="eastAsia" w:ascii="宋体" w:hAnsi="宋体" w:cs="宋体"/>
                <w:kern w:val="0"/>
                <w:sz w:val="22"/>
              </w:rPr>
              <w:t xml:space="preserve">12、3D星球模型：提供3D立体星球模型，包括地球、太阳、火星、水星等太阳系行星，支持360°自由旋转、缩放展示；并支持在立体地球模型清晰展现地球表面的六大板块、降水分布、气温分布、气候分布、人口分布、表层洋流、陆地自然带、海平面等压线等内容；且支持三维、二维切换展示，方便地理学科教学。 </w:t>
            </w:r>
            <w:r>
              <w:rPr>
                <w:rFonts w:hint="eastAsia" w:ascii="宋体" w:hAnsi="宋体" w:cs="宋体"/>
                <w:kern w:val="0"/>
                <w:sz w:val="22"/>
              </w:rPr>
              <w:br w:type="textWrapping"/>
            </w:r>
            <w:r>
              <w:rPr>
                <w:rFonts w:hint="eastAsia" w:ascii="宋体" w:hAnsi="宋体" w:cs="宋体"/>
                <w:kern w:val="0"/>
                <w:sz w:val="22"/>
              </w:rPr>
              <w:t>13、古诗词资源：</w:t>
            </w:r>
            <w:r>
              <w:rPr>
                <w:rFonts w:hint="eastAsia" w:ascii="宋体" w:hAnsi="宋体" w:cs="宋体"/>
                <w:kern w:val="0"/>
                <w:sz w:val="22"/>
              </w:rPr>
              <w:br w:type="textWrapping"/>
            </w:r>
            <w:r>
              <w:rPr>
                <w:rFonts w:hint="eastAsia" w:ascii="宋体" w:hAnsi="宋体" w:cs="宋体"/>
                <w:kern w:val="0"/>
                <w:sz w:val="22"/>
              </w:rPr>
              <w:t>（1）提供覆盖小学、初中、高中的古诗词资源，包含原文、翻译、背景介绍、作者介绍、朗诵音频等。</w:t>
            </w:r>
            <w:r>
              <w:rPr>
                <w:rFonts w:hint="eastAsia" w:ascii="宋体" w:hAnsi="宋体" w:cs="宋体"/>
                <w:kern w:val="0"/>
                <w:sz w:val="22"/>
              </w:rPr>
              <w:br w:type="textWrapping"/>
            </w:r>
            <w:r>
              <w:rPr>
                <w:rFonts w:hint="eastAsia" w:ascii="宋体" w:hAnsi="宋体" w:cs="宋体"/>
                <w:kern w:val="0"/>
                <w:sz w:val="22"/>
              </w:rPr>
              <w:t>（2）支持用户根据年级、朝代、诗人等进行分类查找，也可直接搜索诗词、古文名称或作者名查找。</w:t>
            </w:r>
            <w:r>
              <w:rPr>
                <w:rFonts w:hint="eastAsia" w:ascii="宋体" w:hAnsi="宋体" w:cs="宋体"/>
                <w:kern w:val="0"/>
                <w:sz w:val="22"/>
              </w:rPr>
              <w:br w:type="textWrapping"/>
            </w:r>
            <w:r>
              <w:rPr>
                <w:rFonts w:hint="eastAsia" w:ascii="宋体" w:hAnsi="宋体" w:cs="宋体"/>
                <w:kern w:val="0"/>
                <w:sz w:val="22"/>
              </w:rPr>
              <w:t>（3）提供不少于9种古诗词专用背景模板，用户可贴合古诗词意境选择合适背景进行教学。</w:t>
            </w:r>
            <w:r>
              <w:rPr>
                <w:rFonts w:hint="eastAsia" w:ascii="宋体" w:hAnsi="宋体" w:cs="宋体"/>
                <w:kern w:val="0"/>
                <w:sz w:val="22"/>
              </w:rPr>
              <w:br w:type="textWrapping"/>
            </w:r>
            <w:r>
              <w:rPr>
                <w:rFonts w:hint="eastAsia" w:ascii="宋体" w:hAnsi="宋体" w:cs="宋体"/>
                <w:kern w:val="0"/>
                <w:sz w:val="22"/>
              </w:rPr>
              <w:t>（4）古诗词、古文提供原文及翻译、背景介绍、作者介绍等，同时支持一键跳转打开网页，展示对应的背景或者介绍。</w:t>
            </w:r>
            <w:r>
              <w:rPr>
                <w:rFonts w:hint="eastAsia" w:ascii="宋体" w:hAnsi="宋体" w:cs="宋体"/>
                <w:kern w:val="0"/>
                <w:sz w:val="22"/>
              </w:rPr>
              <w:br w:type="textWrapping"/>
            </w:r>
            <w:r>
              <w:rPr>
                <w:rFonts w:hint="eastAsia" w:ascii="宋体" w:hAnsi="宋体" w:cs="宋体"/>
                <w:kern w:val="0"/>
                <w:sz w:val="22"/>
              </w:rPr>
              <w:t>（5）提供原文朗读功能，全部诗词、古文均配备专业朗读配音，且支持用户在备课时对朗读音频进行打点操作，上课时可播放提前选择好的片段。</w:t>
            </w:r>
            <w:r>
              <w:rPr>
                <w:rFonts w:hint="eastAsia" w:ascii="宋体" w:hAnsi="宋体" w:cs="宋体"/>
                <w:kern w:val="0"/>
                <w:sz w:val="22"/>
              </w:rPr>
              <w:br w:type="textWrapping"/>
            </w:r>
            <w:r>
              <w:rPr>
                <w:rFonts w:hint="eastAsia" w:ascii="宋体" w:hAnsi="宋体" w:cs="宋体"/>
                <w:kern w:val="0"/>
                <w:sz w:val="22"/>
              </w:rPr>
              <w:t>（6）支持用户备课时对原文进行注释、标重点等操作，方便用户讲解重点字词。</w:t>
            </w:r>
            <w:r>
              <w:rPr>
                <w:rFonts w:hint="eastAsia" w:ascii="宋体" w:hAnsi="宋体" w:cs="宋体"/>
                <w:kern w:val="0"/>
                <w:sz w:val="22"/>
              </w:rPr>
              <w:br w:type="textWrapping"/>
            </w:r>
            <w:r>
              <w:rPr>
                <w:rFonts w:hint="eastAsia" w:ascii="宋体" w:hAnsi="宋体" w:cs="宋体"/>
                <w:kern w:val="0"/>
                <w:sz w:val="22"/>
              </w:rPr>
              <w:t>14、立体几何：</w:t>
            </w:r>
            <w:r>
              <w:rPr>
                <w:rFonts w:hint="eastAsia" w:ascii="宋体" w:hAnsi="宋体" w:cs="宋体"/>
                <w:kern w:val="0"/>
                <w:sz w:val="22"/>
              </w:rPr>
              <w:br w:type="textWrapping"/>
            </w:r>
            <w:r>
              <w:rPr>
                <w:rFonts w:hint="eastAsia" w:ascii="宋体" w:hAnsi="宋体" w:cs="宋体"/>
                <w:kern w:val="0"/>
                <w:sz w:val="22"/>
              </w:rPr>
              <w:t>（1）支持绘制立方体、圆柱体等立体几何图形。</w:t>
            </w:r>
            <w:r>
              <w:rPr>
                <w:rFonts w:hint="eastAsia" w:ascii="宋体" w:hAnsi="宋体" w:cs="宋体"/>
                <w:kern w:val="0"/>
                <w:sz w:val="22"/>
              </w:rPr>
              <w:br w:type="textWrapping"/>
            </w:r>
            <w:r>
              <w:rPr>
                <w:rFonts w:hint="eastAsia" w:ascii="宋体" w:hAnsi="宋体" w:cs="宋体"/>
                <w:kern w:val="0"/>
                <w:sz w:val="22"/>
              </w:rPr>
              <w:t>（2）支持任意调节立体几何图形的尺寸，改变长宽高比例。</w:t>
            </w:r>
            <w:r>
              <w:rPr>
                <w:rFonts w:hint="eastAsia" w:ascii="宋体" w:hAnsi="宋体" w:cs="宋体"/>
                <w:kern w:val="0"/>
                <w:sz w:val="22"/>
              </w:rPr>
              <w:br w:type="textWrapping"/>
            </w:r>
            <w:r>
              <w:rPr>
                <w:rFonts w:hint="eastAsia" w:ascii="宋体" w:hAnsi="宋体" w:cs="宋体"/>
                <w:kern w:val="0"/>
                <w:sz w:val="22"/>
              </w:rPr>
              <w:t>（3）支持沿任意方向旋转立体几何。</w:t>
            </w:r>
            <w:r>
              <w:rPr>
                <w:rFonts w:hint="eastAsia" w:ascii="宋体" w:hAnsi="宋体" w:cs="宋体"/>
                <w:kern w:val="0"/>
                <w:sz w:val="22"/>
              </w:rPr>
              <w:br w:type="textWrapping"/>
            </w:r>
            <w:r>
              <w:rPr>
                <w:rFonts w:hint="eastAsia" w:ascii="宋体" w:hAnsi="宋体" w:cs="宋体"/>
                <w:kern w:val="0"/>
                <w:sz w:val="22"/>
              </w:rPr>
              <w:t>（4）支持为长方体6个面分别涂色，并且可通过任意旋转观察涂色与未涂色的表面</w:t>
            </w:r>
            <w:r>
              <w:rPr>
                <w:rFonts w:hint="eastAsia" w:ascii="宋体" w:hAnsi="宋体" w:cs="宋体"/>
                <w:kern w:val="0"/>
                <w:sz w:val="22"/>
              </w:rPr>
              <w:br w:type="textWrapping"/>
            </w:r>
            <w:r>
              <w:rPr>
                <w:rFonts w:hint="eastAsia" w:ascii="宋体" w:hAnsi="宋体" w:cs="宋体"/>
                <w:kern w:val="0"/>
                <w:sz w:val="22"/>
              </w:rPr>
              <w:t>15.数学画板功能：</w:t>
            </w:r>
            <w:r>
              <w:rPr>
                <w:rFonts w:hint="eastAsia" w:ascii="宋体" w:hAnsi="宋体" w:cs="宋体"/>
                <w:kern w:val="0"/>
                <w:sz w:val="22"/>
              </w:rPr>
              <w:br w:type="textWrapping"/>
            </w:r>
            <w:r>
              <w:rPr>
                <w:rFonts w:hint="eastAsia" w:ascii="宋体" w:hAnsi="宋体" w:cs="宋体"/>
                <w:kern w:val="0"/>
                <w:sz w:val="22"/>
              </w:rPr>
              <w:t>（1）支持在白板中插入在线画板，授课时可以一键打开,方便老师配合课件内容进行讲解。</w:t>
            </w:r>
            <w:r>
              <w:rPr>
                <w:rFonts w:hint="eastAsia" w:ascii="宋体" w:hAnsi="宋体" w:cs="宋体"/>
                <w:kern w:val="0"/>
                <w:sz w:val="22"/>
              </w:rPr>
              <w:br w:type="textWrapping"/>
            </w:r>
            <w:r>
              <w:rPr>
                <w:rFonts w:hint="eastAsia" w:ascii="宋体" w:hAnsi="宋体" w:cs="宋体"/>
                <w:kern w:val="0"/>
                <w:sz w:val="22"/>
              </w:rPr>
              <w:t>（2）提供超过500个数学画板资源，覆盖小学、初中、高中学段数学学科主要知识点，并按照知识点分类，便于老师查找。</w:t>
            </w:r>
            <w:r>
              <w:rPr>
                <w:rFonts w:hint="eastAsia" w:ascii="宋体" w:hAnsi="宋体" w:cs="宋体"/>
                <w:kern w:val="0"/>
                <w:sz w:val="22"/>
              </w:rPr>
              <w:br w:type="textWrapping"/>
            </w:r>
            <w:r>
              <w:rPr>
                <w:rFonts w:hint="eastAsia" w:ascii="宋体" w:hAnsi="宋体" w:cs="宋体"/>
                <w:kern w:val="0"/>
                <w:sz w:val="22"/>
              </w:rPr>
              <w:t>（3）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宋体" w:hAnsi="宋体" w:cs="宋体"/>
                <w:kern w:val="0"/>
                <w:sz w:val="22"/>
              </w:rPr>
              <w:br w:type="textWrapping"/>
            </w:r>
            <w:r>
              <w:rPr>
                <w:rFonts w:hint="eastAsia" w:ascii="宋体" w:hAnsi="宋体" w:cs="宋体"/>
                <w:kern w:val="0"/>
                <w:sz w:val="22"/>
              </w:rPr>
              <w:t>（4）支持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宋体" w:hAnsi="宋体" w:cs="宋体"/>
                <w:kern w:val="0"/>
                <w:sz w:val="22"/>
              </w:rPr>
              <w:br w:type="textWrapping"/>
            </w:r>
            <w:r>
              <w:rPr>
                <w:rFonts w:hint="eastAsia" w:ascii="宋体" w:hAnsi="宋体" w:cs="宋体"/>
                <w:kern w:val="0"/>
                <w:sz w:val="22"/>
              </w:rPr>
              <w:t>16、多学科题库：</w:t>
            </w:r>
            <w:r>
              <w:rPr>
                <w:rFonts w:hint="eastAsia" w:ascii="宋体" w:hAnsi="宋体" w:cs="宋体"/>
                <w:kern w:val="0"/>
                <w:sz w:val="22"/>
              </w:rPr>
              <w:br w:type="textWrapping"/>
            </w:r>
            <w:r>
              <w:rPr>
                <w:rFonts w:hint="eastAsia" w:ascii="宋体" w:hAnsi="宋体" w:cs="宋体"/>
                <w:kern w:val="0"/>
                <w:sz w:val="22"/>
              </w:rPr>
              <w:t>（1）提供不少于30万道试题给老师使用。</w:t>
            </w:r>
            <w:r>
              <w:rPr>
                <w:rFonts w:hint="eastAsia" w:ascii="宋体" w:hAnsi="宋体" w:cs="宋体"/>
                <w:kern w:val="0"/>
                <w:sz w:val="22"/>
              </w:rPr>
              <w:br w:type="textWrapping"/>
            </w:r>
            <w:r>
              <w:rPr>
                <w:rFonts w:hint="eastAsia" w:ascii="宋体" w:hAnsi="宋体" w:cs="宋体"/>
                <w:kern w:val="0"/>
                <w:sz w:val="22"/>
              </w:rPr>
              <w:t>（2）涵盖小学、初中、高中，其中中学部分包含语文、数学、英语、物理、化学、生物、政治、历史、地理等多个学科。</w:t>
            </w:r>
            <w:r>
              <w:rPr>
                <w:rFonts w:hint="eastAsia" w:ascii="宋体" w:hAnsi="宋体" w:cs="宋体"/>
                <w:kern w:val="0"/>
                <w:sz w:val="22"/>
              </w:rPr>
              <w:br w:type="textWrapping"/>
            </w:r>
            <w:r>
              <w:rPr>
                <w:rFonts w:hint="eastAsia" w:ascii="宋体" w:hAnsi="宋体" w:cs="宋体"/>
                <w:kern w:val="0"/>
                <w:sz w:val="22"/>
              </w:rPr>
              <w:t>（3）题库总知识点不少于9000个，除选择、填空、判断等基本题型外，还包含诗歌阅读、完形填空、阅读理解、辨析题、材料题、实验题、作图题等。</w:t>
            </w:r>
            <w:r>
              <w:rPr>
                <w:rFonts w:hint="eastAsia" w:ascii="宋体" w:hAnsi="宋体" w:cs="宋体"/>
                <w:kern w:val="0"/>
                <w:sz w:val="22"/>
              </w:rPr>
              <w:br w:type="textWrapping"/>
            </w:r>
            <w:r>
              <w:rPr>
                <w:rFonts w:hint="eastAsia" w:ascii="宋体" w:hAnsi="宋体" w:cs="宋体"/>
                <w:kern w:val="0"/>
                <w:sz w:val="22"/>
              </w:rPr>
              <w:t>（4）可批量选择多题并以交互式试题卡的形式插入到白板中。试题卡包含题干、答案和解析，并可一键实时展开、收起答案和解析。</w:t>
            </w:r>
            <w:r>
              <w:rPr>
                <w:rFonts w:hint="eastAsia" w:ascii="宋体" w:hAnsi="宋体" w:cs="宋体"/>
                <w:kern w:val="0"/>
                <w:sz w:val="22"/>
              </w:rPr>
              <w:br w:type="textWrapping"/>
            </w:r>
            <w:r>
              <w:rPr>
                <w:rFonts w:hint="eastAsia" w:ascii="宋体" w:hAnsi="宋体" w:cs="宋体"/>
                <w:kern w:val="0"/>
                <w:sz w:val="22"/>
              </w:rPr>
              <w:t>17、课堂小测：提供不少于40000道初中数学试题。</w:t>
            </w:r>
            <w:r>
              <w:rPr>
                <w:rFonts w:hint="eastAsia" w:ascii="宋体" w:hAnsi="宋体" w:cs="宋体"/>
                <w:kern w:val="0"/>
                <w:sz w:val="22"/>
              </w:rPr>
              <w:br w:type="textWrapping"/>
            </w:r>
            <w:r>
              <w:rPr>
                <w:rFonts w:hint="eastAsia" w:ascii="宋体" w:hAnsi="宋体" w:cs="宋体"/>
                <w:kern w:val="0"/>
                <w:sz w:val="22"/>
              </w:rPr>
              <w:t>（1）老师可根据所使用教材版本自由选择人教新版、苏科新版、北师大版、北京课改新版等不同版本试题。</w:t>
            </w:r>
            <w:r>
              <w:rPr>
                <w:rFonts w:hint="eastAsia" w:ascii="宋体" w:hAnsi="宋体" w:cs="宋体"/>
                <w:kern w:val="0"/>
                <w:sz w:val="22"/>
              </w:rPr>
              <w:br w:type="textWrapping"/>
            </w:r>
            <w:r>
              <w:rPr>
                <w:rFonts w:hint="eastAsia" w:ascii="宋体" w:hAnsi="宋体" w:cs="宋体"/>
                <w:kern w:val="0"/>
                <w:sz w:val="22"/>
              </w:rPr>
              <w:t>（2）试题按照教学进度分类，精确到每一章每一节，方便老师查找。</w:t>
            </w:r>
            <w:r>
              <w:rPr>
                <w:rFonts w:hint="eastAsia" w:ascii="宋体" w:hAnsi="宋体" w:cs="宋体"/>
                <w:kern w:val="0"/>
                <w:sz w:val="22"/>
              </w:rPr>
              <w:br w:type="textWrapping"/>
            </w:r>
            <w:r>
              <w:rPr>
                <w:rFonts w:hint="eastAsia" w:ascii="宋体" w:hAnsi="宋体" w:cs="宋体"/>
                <w:kern w:val="0"/>
                <w:sz w:val="22"/>
              </w:rPr>
              <w:t>（3）试题按照使用场景分类，分为课堂小测、课时练习、课后基础、课后提高等，方便老师在不同场景下选择。</w:t>
            </w:r>
            <w:r>
              <w:rPr>
                <w:rFonts w:hint="eastAsia" w:ascii="宋体" w:hAnsi="宋体" w:cs="宋体"/>
                <w:kern w:val="0"/>
                <w:sz w:val="22"/>
              </w:rPr>
              <w:br w:type="textWrapping"/>
            </w:r>
            <w:r>
              <w:rPr>
                <w:rFonts w:hint="eastAsia" w:ascii="宋体" w:hAnsi="宋体" w:cs="宋体"/>
                <w:kern w:val="0"/>
                <w:sz w:val="22"/>
              </w:rPr>
              <w:t>（4）题目已根据老师使用需要，组成套题，老师可一键批量选择；同时也支持老师自由组题，形成个性化套题。</w:t>
            </w:r>
            <w:r>
              <w:rPr>
                <w:rFonts w:hint="eastAsia" w:ascii="宋体" w:hAnsi="宋体" w:cs="宋体"/>
                <w:kern w:val="0"/>
                <w:sz w:val="22"/>
              </w:rPr>
              <w:br w:type="textWrapping"/>
            </w:r>
            <w:r>
              <w:rPr>
                <w:rFonts w:hint="eastAsia" w:ascii="宋体" w:hAnsi="宋体" w:cs="宋体"/>
                <w:kern w:val="0"/>
                <w:sz w:val="22"/>
              </w:rPr>
              <w:t>18、表格工具：</w:t>
            </w:r>
            <w:r>
              <w:rPr>
                <w:rFonts w:hint="eastAsia" w:ascii="宋体" w:hAnsi="宋体" w:cs="宋体"/>
                <w:kern w:val="0"/>
                <w:sz w:val="22"/>
              </w:rPr>
              <w:br w:type="textWrapping"/>
            </w:r>
            <w:r>
              <w:rPr>
                <w:rFonts w:hint="eastAsia" w:ascii="宋体" w:hAnsi="宋体" w:cs="宋体"/>
                <w:kern w:val="0"/>
                <w:sz w:val="22"/>
              </w:rPr>
              <w:t>（1）支持老师插入表格，并提供5种以上表格样式供老师选择。</w:t>
            </w:r>
            <w:r>
              <w:rPr>
                <w:rFonts w:hint="eastAsia" w:ascii="宋体" w:hAnsi="宋体" w:cs="宋体"/>
                <w:kern w:val="0"/>
                <w:sz w:val="22"/>
              </w:rPr>
              <w:br w:type="textWrapping"/>
            </w:r>
            <w:r>
              <w:rPr>
                <w:rFonts w:hint="eastAsia" w:ascii="宋体" w:hAnsi="宋体" w:cs="宋体"/>
                <w:kern w:val="0"/>
                <w:sz w:val="22"/>
              </w:rPr>
              <w:t>（2）支持表格自适应，可一键将表格的行、列调整到最合适的大小。</w:t>
            </w:r>
            <w:r>
              <w:rPr>
                <w:rFonts w:hint="eastAsia" w:ascii="宋体" w:hAnsi="宋体" w:cs="宋体"/>
                <w:kern w:val="0"/>
                <w:sz w:val="22"/>
              </w:rPr>
              <w:br w:type="textWrapping"/>
            </w:r>
            <w:r>
              <w:rPr>
                <w:rFonts w:hint="eastAsia" w:ascii="宋体" w:hAnsi="宋体" w:cs="宋体"/>
                <w:kern w:val="0"/>
                <w:sz w:val="22"/>
              </w:rPr>
              <w:t>（3）支持表格遮罩功能，可对表格中任意一格添加遮罩，在授课模式下通过点击可消除遮罩，方便老师设置互动活动。</w:t>
            </w:r>
            <w:r>
              <w:rPr>
                <w:rFonts w:hint="eastAsia" w:ascii="宋体" w:hAnsi="宋体" w:cs="宋体"/>
                <w:kern w:val="0"/>
                <w:sz w:val="22"/>
              </w:rPr>
              <w:br w:type="textWrapping"/>
            </w:r>
            <w:r>
              <w:rPr>
                <w:rFonts w:hint="eastAsia" w:ascii="宋体" w:hAnsi="宋体" w:cs="宋体"/>
                <w:kern w:val="0"/>
                <w:sz w:val="22"/>
              </w:rPr>
              <w:t>（4）在授课模式下，支持表格克隆功能，可克隆出多个相同表格，方便老师请多位同学进行答题互动。</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七、学生行为评价软件</w:t>
            </w:r>
            <w:r>
              <w:rPr>
                <w:rFonts w:hint="eastAsia" w:ascii="宋体" w:hAnsi="宋体" w:cs="宋体"/>
                <w:kern w:val="0"/>
                <w:sz w:val="22"/>
              </w:rPr>
              <w:br w:type="textWrapping"/>
            </w:r>
            <w:r>
              <w:rPr>
                <w:rFonts w:hint="eastAsia" w:ascii="宋体" w:hAnsi="宋体" w:cs="宋体"/>
                <w:kern w:val="0"/>
                <w:sz w:val="22"/>
              </w:rPr>
              <w:t>1、学生行为评价系统，集成三大功能模块：基础信息管理、课堂表现评价、家校互联互通，功能及操作均统一在同一软件平台同一账号体系实现。</w:t>
            </w:r>
            <w:r>
              <w:rPr>
                <w:rFonts w:hint="eastAsia" w:ascii="宋体" w:hAnsi="宋体" w:cs="宋体"/>
                <w:kern w:val="0"/>
                <w:sz w:val="22"/>
              </w:rPr>
              <w:br w:type="textWrapping"/>
            </w:r>
            <w:r>
              <w:rPr>
                <w:rFonts w:hint="eastAsia" w:ascii="宋体" w:hAnsi="宋体" w:cs="宋体"/>
                <w:kern w:val="0"/>
                <w:sz w:val="22"/>
              </w:rPr>
              <w:t>2、支持 PC客户端、PC 网页端、安卓手持终端端、苹果手持终端端登陆使用，且各个端的数据是互通的，方便用户随时随地对学生进行管理与评价。</w:t>
            </w:r>
            <w:r>
              <w:rPr>
                <w:rFonts w:hint="eastAsia" w:ascii="宋体" w:hAnsi="宋体" w:cs="宋体"/>
                <w:kern w:val="0"/>
                <w:sz w:val="22"/>
              </w:rPr>
              <w:br w:type="textWrapping"/>
            </w:r>
            <w:r>
              <w:rPr>
                <w:rFonts w:hint="eastAsia" w:ascii="宋体" w:hAnsi="宋体" w:cs="宋体"/>
                <w:kern w:val="0"/>
                <w:sz w:val="22"/>
              </w:rPr>
              <w:t>3、支持多个用户管理同一个班级，从而满足一个班级有班主任和多个任课用户的实际情况。</w:t>
            </w:r>
            <w:r>
              <w:rPr>
                <w:rFonts w:hint="eastAsia" w:ascii="宋体" w:hAnsi="宋体" w:cs="宋体"/>
                <w:kern w:val="0"/>
                <w:sz w:val="22"/>
              </w:rPr>
              <w:br w:type="textWrapping"/>
            </w:r>
            <w:r>
              <w:rPr>
                <w:rFonts w:hint="eastAsia" w:ascii="宋体" w:hAnsi="宋体" w:cs="宋体"/>
                <w:kern w:val="0"/>
                <w:sz w:val="22"/>
              </w:rPr>
              <w:t>4、支持邀请家长入班，使家长可查看到自己的孩子在学校的各种表现。</w:t>
            </w:r>
            <w:r>
              <w:rPr>
                <w:rFonts w:hint="eastAsia" w:ascii="宋体" w:hAnsi="宋体" w:cs="宋体"/>
                <w:kern w:val="0"/>
                <w:sz w:val="22"/>
              </w:rPr>
              <w:br w:type="textWrapping"/>
            </w:r>
            <w:r>
              <w:rPr>
                <w:rFonts w:hint="eastAsia" w:ascii="宋体" w:hAnsi="宋体" w:cs="宋体"/>
                <w:kern w:val="0"/>
                <w:sz w:val="22"/>
              </w:rPr>
              <w:t>5、用户可通过移动端、PC端及网页端对学生、小组及班级进行行为评价，通过卡通游戏化的方式对学生进行表扬或提醒。</w:t>
            </w:r>
            <w:r>
              <w:rPr>
                <w:rFonts w:hint="eastAsia" w:ascii="宋体" w:hAnsi="宋体" w:cs="宋体"/>
                <w:kern w:val="0"/>
                <w:sz w:val="22"/>
              </w:rPr>
              <w:br w:type="textWrapping"/>
            </w:r>
            <w:r>
              <w:rPr>
                <w:rFonts w:hint="eastAsia" w:ascii="宋体" w:hAnsi="宋体" w:cs="宋体"/>
                <w:kern w:val="0"/>
                <w:sz w:val="22"/>
              </w:rPr>
              <w:t>6、支持查看课堂表现评价统计报表，按饼状图形式展现学生课堂表现情况，支持查看班级或学生个人的评价情况，并可具体查看到每一条评价的原因、对象、分值，便于用户做统计分析。</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八、大小屏互动软件</w:t>
            </w:r>
            <w:r>
              <w:rPr>
                <w:rFonts w:hint="eastAsia" w:ascii="宋体" w:hAnsi="宋体" w:cs="宋体"/>
                <w:kern w:val="0"/>
                <w:sz w:val="22"/>
              </w:rPr>
              <w:br w:type="textWrapping"/>
            </w:r>
            <w:r>
              <w:rPr>
                <w:rFonts w:hint="eastAsia" w:ascii="宋体" w:hAnsi="宋体" w:cs="宋体"/>
                <w:kern w:val="0"/>
                <w:sz w:val="22"/>
              </w:rPr>
              <w:t>1、如手机、PAD等移动终端，可通过本软件与交互智能平板实现无线连接，可对连接的设备进行密码的权限管理，支持二维码扫码自连接服务器功能。</w:t>
            </w:r>
            <w:r>
              <w:rPr>
                <w:rFonts w:hint="eastAsia" w:ascii="宋体" w:hAnsi="宋体" w:cs="宋体"/>
                <w:kern w:val="0"/>
                <w:sz w:val="22"/>
              </w:rPr>
              <w:br w:type="textWrapping"/>
            </w:r>
            <w:r>
              <w:rPr>
                <w:rFonts w:hint="eastAsia" w:ascii="宋体" w:hAnsi="宋体" w:cs="宋体"/>
                <w:kern w:val="0"/>
                <w:sz w:val="22"/>
              </w:rPr>
              <w:t>2、支持多图对比展示功能，可将多位学生的作业、试卷或实验结果进行拍摄，并上传至智能平板的互动教学软件里进行对比展示，支持点评功能，可给每位同学的作品以不同的奖章。</w:t>
            </w:r>
            <w:r>
              <w:rPr>
                <w:rFonts w:hint="eastAsia" w:ascii="宋体" w:hAnsi="宋体" w:cs="宋体"/>
                <w:kern w:val="0"/>
                <w:sz w:val="22"/>
              </w:rPr>
              <w:br w:type="textWrapping"/>
            </w:r>
            <w:r>
              <w:rPr>
                <w:rFonts w:hint="eastAsia" w:ascii="宋体" w:hAnsi="宋体" w:cs="宋体"/>
                <w:kern w:val="0"/>
                <w:sz w:val="22"/>
              </w:rP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r>
              <w:rPr>
                <w:rFonts w:hint="eastAsia" w:ascii="宋体" w:hAnsi="宋体" w:cs="宋体"/>
                <w:kern w:val="0"/>
                <w:sz w:val="22"/>
              </w:rPr>
              <w:br w:type="textWrapping"/>
            </w:r>
            <w:r>
              <w:rPr>
                <w:rFonts w:hint="eastAsia" w:ascii="宋体" w:hAnsi="宋体" w:cs="宋体"/>
                <w:kern w:val="0"/>
                <w:sz w:val="22"/>
              </w:rP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九、其它要求：</w:t>
            </w:r>
            <w:r>
              <w:rPr>
                <w:rFonts w:hint="eastAsia" w:ascii="宋体" w:hAnsi="宋体" w:cs="宋体"/>
                <w:kern w:val="0"/>
                <w:sz w:val="22"/>
              </w:rPr>
              <w:br w:type="textWrapping"/>
            </w:r>
            <w:r>
              <w:rPr>
                <w:rFonts w:hint="eastAsia" w:ascii="宋体" w:hAnsi="宋体" w:cs="宋体"/>
                <w:kern w:val="0"/>
                <w:sz w:val="22"/>
              </w:rPr>
              <w:t>1、全国24小时免费400/800等电话保修、二维码扫描保修、区域化驻地技术工程师专线保修。</w:t>
            </w:r>
            <w:r>
              <w:rPr>
                <w:rFonts w:hint="eastAsia" w:ascii="宋体" w:hAnsi="宋体" w:cs="宋体"/>
                <w:kern w:val="0"/>
                <w:sz w:val="22"/>
              </w:rPr>
              <w:br w:type="textWrapping"/>
            </w:r>
            <w:r>
              <w:rPr>
                <w:rFonts w:hint="eastAsia" w:ascii="宋体" w:hAnsi="宋体" w:cs="宋体"/>
                <w:kern w:val="0"/>
                <w:sz w:val="22"/>
              </w:rPr>
              <w:t>2、开机LOGO定制，开机时显示“隆安县教育局2024年配备”。</w:t>
            </w:r>
          </w:p>
        </w:tc>
        <w:tc>
          <w:tcPr>
            <w:tcW w:w="462" w:type="dxa"/>
            <w:shd w:val="clear" w:color="auto" w:fill="auto"/>
            <w:noWrap/>
            <w:vAlign w:val="center"/>
          </w:tcPr>
          <w:p w14:paraId="750B6B7F">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5227DCEC">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5E533841">
            <w:pPr>
              <w:widowControl/>
              <w:jc w:val="left"/>
              <w:rPr>
                <w:rFonts w:ascii="宋体" w:hAnsi="宋体" w:cs="宋体"/>
                <w:kern w:val="0"/>
                <w:sz w:val="22"/>
              </w:rPr>
            </w:pPr>
            <w:r>
              <w:rPr>
                <w:rFonts w:hint="eastAsia" w:ascii="宋体" w:hAnsi="宋体" w:cs="宋体"/>
                <w:kern w:val="0"/>
                <w:sz w:val="22"/>
              </w:rPr>
              <w:t>24000</w:t>
            </w:r>
          </w:p>
        </w:tc>
        <w:tc>
          <w:tcPr>
            <w:tcW w:w="1489" w:type="dxa"/>
            <w:shd w:val="clear" w:color="auto" w:fill="auto"/>
            <w:noWrap/>
            <w:vAlign w:val="center"/>
          </w:tcPr>
          <w:p w14:paraId="39A1EC62">
            <w:pPr>
              <w:widowControl/>
              <w:jc w:val="left"/>
              <w:rPr>
                <w:rFonts w:ascii="宋体" w:hAnsi="宋体" w:cs="宋体"/>
                <w:kern w:val="0"/>
                <w:sz w:val="22"/>
              </w:rPr>
            </w:pPr>
            <w:r>
              <w:rPr>
                <w:rFonts w:hint="eastAsia" w:ascii="宋体" w:hAnsi="宋体" w:cs="宋体"/>
                <w:kern w:val="0"/>
                <w:sz w:val="22"/>
              </w:rPr>
              <w:t>24000</w:t>
            </w:r>
          </w:p>
        </w:tc>
      </w:tr>
      <w:tr w14:paraId="6F25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66073D6F">
            <w:pPr>
              <w:widowControl/>
              <w:jc w:val="left"/>
              <w:rPr>
                <w:rFonts w:ascii="宋体" w:hAnsi="宋体" w:cs="宋体"/>
                <w:kern w:val="0"/>
                <w:sz w:val="22"/>
              </w:rPr>
            </w:pPr>
            <w:r>
              <w:rPr>
                <w:rFonts w:hint="eastAsia" w:ascii="宋体" w:hAnsi="宋体" w:cs="宋体"/>
                <w:kern w:val="0"/>
                <w:sz w:val="22"/>
              </w:rPr>
              <w:t>7</w:t>
            </w:r>
          </w:p>
        </w:tc>
        <w:tc>
          <w:tcPr>
            <w:tcW w:w="1072" w:type="dxa"/>
            <w:shd w:val="clear" w:color="auto" w:fill="auto"/>
            <w:vAlign w:val="center"/>
          </w:tcPr>
          <w:p w14:paraId="3ECCB08E">
            <w:pPr>
              <w:widowControl/>
              <w:jc w:val="left"/>
              <w:rPr>
                <w:rFonts w:ascii="宋体" w:hAnsi="宋体" w:cs="宋体"/>
                <w:kern w:val="0"/>
                <w:sz w:val="22"/>
              </w:rPr>
            </w:pPr>
            <w:r>
              <w:rPr>
                <w:rFonts w:hint="eastAsia" w:ascii="宋体" w:hAnsi="宋体" w:cs="宋体"/>
                <w:kern w:val="0"/>
                <w:sz w:val="22"/>
              </w:rPr>
              <w:t>视频展台</w:t>
            </w:r>
          </w:p>
        </w:tc>
        <w:tc>
          <w:tcPr>
            <w:tcW w:w="4897" w:type="dxa"/>
            <w:shd w:val="clear" w:color="auto" w:fill="auto"/>
            <w:vAlign w:val="center"/>
          </w:tcPr>
          <w:p w14:paraId="4D9DFA46">
            <w:pPr>
              <w:widowControl/>
              <w:jc w:val="left"/>
              <w:rPr>
                <w:rFonts w:ascii="宋体" w:hAnsi="宋体" w:cs="宋体"/>
                <w:kern w:val="0"/>
                <w:sz w:val="22"/>
              </w:rPr>
            </w:pPr>
            <w:r>
              <w:rPr>
                <w:rFonts w:hint="eastAsia" w:ascii="宋体" w:hAnsi="宋体" w:cs="宋体"/>
                <w:kern w:val="0"/>
                <w:sz w:val="22"/>
              </w:rPr>
              <w:t>一、展台硬件</w:t>
            </w:r>
            <w:r>
              <w:rPr>
                <w:rFonts w:hint="eastAsia" w:ascii="宋体" w:hAnsi="宋体" w:cs="宋体"/>
                <w:kern w:val="0"/>
                <w:sz w:val="22"/>
              </w:rPr>
              <w:br w:type="textWrapping"/>
            </w:r>
            <w:r>
              <w:rPr>
                <w:rFonts w:hint="eastAsia" w:ascii="宋体" w:hAnsi="宋体" w:cs="宋体"/>
                <w:kern w:val="0"/>
                <w:sz w:val="22"/>
              </w:rPr>
              <w:t>1、壁挂式安装，防盗防破坏。</w:t>
            </w:r>
            <w:r>
              <w:rPr>
                <w:rFonts w:hint="eastAsia" w:ascii="宋体" w:hAnsi="宋体" w:cs="宋体"/>
                <w:kern w:val="0"/>
                <w:sz w:val="22"/>
              </w:rPr>
              <w:br w:type="textWrapping"/>
            </w:r>
            <w:r>
              <w:rPr>
                <w:rFonts w:hint="eastAsia" w:ascii="宋体" w:hAnsi="宋体" w:cs="宋体"/>
                <w:kern w:val="0"/>
                <w:sz w:val="22"/>
              </w:rPr>
              <w:t>2、无锐角无利边设计，有效防止师生碰伤、划伤。</w:t>
            </w:r>
            <w:r>
              <w:rPr>
                <w:rFonts w:hint="eastAsia" w:ascii="宋体" w:hAnsi="宋体" w:cs="宋体"/>
                <w:kern w:val="0"/>
                <w:sz w:val="22"/>
              </w:rPr>
              <w:br w:type="textWrapping"/>
            </w:r>
            <w:r>
              <w:rPr>
                <w:rFonts w:hint="eastAsia" w:ascii="宋体" w:hAnsi="宋体" w:cs="宋体"/>
                <w:kern w:val="0"/>
                <w:sz w:val="22"/>
              </w:rPr>
              <w:t>3、采用三折叠开合式托板，展开后托板尺寸≥A4面积，收起时小巧不占空间，高效利用挂墙面积。</w:t>
            </w:r>
            <w:r>
              <w:rPr>
                <w:rFonts w:hint="eastAsia" w:ascii="宋体" w:hAnsi="宋体" w:cs="宋体"/>
                <w:kern w:val="0"/>
                <w:sz w:val="22"/>
              </w:rPr>
              <w:br w:type="textWrapping"/>
            </w:r>
            <w:r>
              <w:rPr>
                <w:rFonts w:hint="eastAsia" w:ascii="宋体" w:hAnsi="宋体" w:cs="宋体"/>
                <w:kern w:val="0"/>
                <w:sz w:val="22"/>
              </w:rPr>
              <w:t>4、采用USB高速接口，单根USB线实现供电、高清数据传输需求。</w:t>
            </w:r>
            <w:r>
              <w:rPr>
                <w:rFonts w:hint="eastAsia" w:ascii="宋体" w:hAnsi="宋体" w:cs="宋体"/>
                <w:kern w:val="0"/>
                <w:sz w:val="22"/>
              </w:rPr>
              <w:br w:type="textWrapping"/>
            </w:r>
            <w:r>
              <w:rPr>
                <w:rFonts w:hint="eastAsia" w:ascii="宋体" w:hAnsi="宋体" w:cs="宋体"/>
                <w:kern w:val="0"/>
                <w:sz w:val="22"/>
              </w:rPr>
              <w:t>▲5、采用≥1200W像素自动对焦摄像头，可拍摄A4画幅。</w:t>
            </w:r>
            <w:r>
              <w:rPr>
                <w:rFonts w:hint="eastAsia" w:ascii="宋体" w:hAnsi="宋体" w:cs="宋体"/>
                <w:kern w:val="0"/>
                <w:sz w:val="22"/>
              </w:rPr>
              <w:br w:type="textWrapping"/>
            </w:r>
            <w:r>
              <w:rPr>
                <w:rFonts w:hint="eastAsia" w:ascii="宋体" w:hAnsi="宋体" w:cs="宋体"/>
                <w:kern w:val="0"/>
                <w:sz w:val="22"/>
              </w:rPr>
              <w:t>6、支持通过双击屏幕画面任意位置，即时改变对焦位置，可对立体物体的局部进行精确对焦。</w:t>
            </w:r>
            <w:r>
              <w:rPr>
                <w:rFonts w:hint="eastAsia" w:ascii="宋体" w:hAnsi="宋体" w:cs="宋体"/>
                <w:kern w:val="0"/>
                <w:sz w:val="22"/>
              </w:rPr>
              <w:br w:type="textWrapping"/>
            </w:r>
            <w:r>
              <w:rPr>
                <w:rFonts w:hint="eastAsia" w:ascii="宋体" w:hAnsi="宋体" w:cs="宋体"/>
                <w:kern w:val="0"/>
                <w:sz w:val="22"/>
              </w:rPr>
              <w:t>▲7、展台按键采用电容式触摸按键，可实现一键启动展台画面、画面放大、画面缩小、画面旋转、拍照截图等功能，同时也支持在展台软件上进行同样的操作。</w:t>
            </w:r>
            <w:r>
              <w:rPr>
                <w:rFonts w:hint="eastAsia" w:ascii="宋体" w:hAnsi="宋体" w:cs="宋体"/>
                <w:kern w:val="0"/>
                <w:sz w:val="22"/>
              </w:rPr>
              <w:br w:type="textWrapping"/>
            </w:r>
            <w:r>
              <w:rPr>
                <w:rFonts w:hint="eastAsia" w:ascii="宋体" w:hAnsi="宋体" w:cs="宋体"/>
                <w:kern w:val="0"/>
                <w:sz w:val="22"/>
              </w:rPr>
              <w:t>二、展台软件</w:t>
            </w:r>
            <w:r>
              <w:rPr>
                <w:rFonts w:hint="eastAsia" w:ascii="宋体" w:hAnsi="宋体" w:cs="宋体"/>
                <w:kern w:val="0"/>
                <w:sz w:val="22"/>
              </w:rPr>
              <w:br w:type="textWrapping"/>
            </w:r>
            <w:r>
              <w:rPr>
                <w:rFonts w:hint="eastAsia" w:ascii="宋体" w:hAnsi="宋体" w:cs="宋体"/>
                <w:kern w:val="0"/>
                <w:sz w:val="22"/>
              </w:rPr>
              <w:t>▲1、支持对展台实时画面进行放大、缩小、旋转、自适应、冻结画面等操作。</w:t>
            </w:r>
            <w:r>
              <w:rPr>
                <w:rFonts w:hint="eastAsia" w:ascii="宋体" w:hAnsi="宋体" w:cs="宋体"/>
                <w:kern w:val="0"/>
                <w:sz w:val="22"/>
              </w:rPr>
              <w:br w:type="textWrapping"/>
            </w:r>
            <w:r>
              <w:rPr>
                <w:rFonts w:hint="eastAsia" w:ascii="宋体" w:hAnsi="宋体" w:cs="宋体"/>
                <w:kern w:val="0"/>
                <w:sz w:val="22"/>
              </w:rPr>
              <w:t>2、支持展台画面实时批注，预设多种笔划粗细及颜色供选择，且支持对展台画面联同批注内容进行同步缩放、移动。</w:t>
            </w:r>
            <w:r>
              <w:rPr>
                <w:rFonts w:hint="eastAsia" w:ascii="宋体" w:hAnsi="宋体" w:cs="宋体"/>
                <w:kern w:val="0"/>
                <w:sz w:val="22"/>
              </w:rPr>
              <w:br w:type="textWrapping"/>
            </w:r>
            <w:r>
              <w:rPr>
                <w:rFonts w:hint="eastAsia" w:ascii="宋体" w:hAnsi="宋体" w:cs="宋体"/>
                <w:kern w:val="0"/>
                <w:sz w:val="22"/>
              </w:rPr>
              <w:t>3、支持展台画面拍照截图并进行多图预览，可对任一图片进行全屏显示。</w:t>
            </w:r>
            <w:r>
              <w:rPr>
                <w:rFonts w:hint="eastAsia" w:ascii="宋体" w:hAnsi="宋体" w:cs="宋体"/>
                <w:kern w:val="0"/>
                <w:sz w:val="22"/>
              </w:rPr>
              <w:br w:type="textWrapping"/>
            </w:r>
            <w:r>
              <w:rPr>
                <w:rFonts w:hint="eastAsia" w:ascii="宋体" w:hAnsi="宋体" w:cs="宋体"/>
                <w:kern w:val="0"/>
                <w:sz w:val="22"/>
              </w:rPr>
              <w:t>4、老师可在一体机或电脑上选择延时拍照功能，支持5秒或10秒延时模式，预留充足时间以便调整拍摄内容。</w:t>
            </w:r>
            <w:r>
              <w:rPr>
                <w:rFonts w:hint="eastAsia" w:ascii="宋体" w:hAnsi="宋体" w:cs="宋体"/>
                <w:kern w:val="0"/>
                <w:sz w:val="22"/>
              </w:rPr>
              <w:br w:type="textWrapping"/>
            </w:r>
            <w:r>
              <w:rPr>
                <w:rFonts w:hint="eastAsia" w:ascii="宋体" w:hAnsi="宋体" w:cs="宋体"/>
                <w:kern w:val="0"/>
                <w:sz w:val="22"/>
              </w:rPr>
              <w:t>5、可选择图像、文本或动态等多种情景模式，适应不同展示内容。</w:t>
            </w:r>
            <w:r>
              <w:rPr>
                <w:rFonts w:hint="eastAsia" w:ascii="宋体" w:hAnsi="宋体" w:cs="宋体"/>
                <w:kern w:val="0"/>
                <w:sz w:val="22"/>
              </w:rPr>
              <w:br w:type="textWrapping"/>
            </w:r>
            <w:r>
              <w:rPr>
                <w:rFonts w:hint="eastAsia" w:ascii="宋体" w:hAnsi="宋体" w:cs="宋体"/>
                <w:kern w:val="0"/>
                <w:sz w:val="22"/>
              </w:rPr>
              <w:t>6、支持故障自动检测，在软件无法出现展台拍摄画面时，自动出现检测链接，帮助用户检测“无画面”的原因，并给出引导性解决方案。可判断硬件连接、显卡驱动、摄像头占用、软件版本等问题</w:t>
            </w:r>
            <w:r>
              <w:rPr>
                <w:rFonts w:hint="eastAsia" w:ascii="宋体" w:hAnsi="宋体" w:cs="宋体"/>
                <w:kern w:val="0"/>
                <w:sz w:val="22"/>
              </w:rPr>
              <w:br w:type="textWrapping"/>
            </w:r>
            <w:r>
              <w:rPr>
                <w:rFonts w:hint="eastAsia" w:ascii="宋体" w:hAnsi="宋体" w:cs="宋体"/>
                <w:kern w:val="0"/>
                <w:sz w:val="22"/>
              </w:rPr>
              <w:t>7、支持二维码扫码功能：打开扫一扫功能后，将书本上的二维码放入扫描框内即可自动扫描，并进入系统浏览器获取二维码的链接内容，帮助老师快速获取电子教学资源。</w:t>
            </w:r>
          </w:p>
        </w:tc>
        <w:tc>
          <w:tcPr>
            <w:tcW w:w="462" w:type="dxa"/>
            <w:shd w:val="clear" w:color="auto" w:fill="auto"/>
            <w:noWrap/>
            <w:vAlign w:val="center"/>
          </w:tcPr>
          <w:p w14:paraId="40971C3B">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0022E43F">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559AEC13">
            <w:pPr>
              <w:widowControl/>
              <w:jc w:val="left"/>
              <w:rPr>
                <w:rFonts w:ascii="宋体" w:hAnsi="宋体" w:cs="宋体"/>
                <w:kern w:val="0"/>
                <w:sz w:val="22"/>
              </w:rPr>
            </w:pPr>
            <w:r>
              <w:rPr>
                <w:rFonts w:hint="eastAsia" w:ascii="宋体" w:hAnsi="宋体" w:cs="宋体"/>
                <w:kern w:val="0"/>
                <w:sz w:val="22"/>
              </w:rPr>
              <w:t>900</w:t>
            </w:r>
          </w:p>
        </w:tc>
        <w:tc>
          <w:tcPr>
            <w:tcW w:w="1489" w:type="dxa"/>
            <w:shd w:val="clear" w:color="auto" w:fill="auto"/>
            <w:noWrap/>
            <w:vAlign w:val="center"/>
          </w:tcPr>
          <w:p w14:paraId="335F6EAB">
            <w:pPr>
              <w:widowControl/>
              <w:jc w:val="left"/>
              <w:rPr>
                <w:rFonts w:ascii="宋体" w:hAnsi="宋体" w:cs="宋体"/>
                <w:kern w:val="0"/>
                <w:sz w:val="22"/>
              </w:rPr>
            </w:pPr>
            <w:r>
              <w:rPr>
                <w:rFonts w:hint="eastAsia" w:ascii="宋体" w:hAnsi="宋体" w:cs="宋体"/>
                <w:kern w:val="0"/>
                <w:sz w:val="22"/>
              </w:rPr>
              <w:t>900</w:t>
            </w:r>
          </w:p>
        </w:tc>
      </w:tr>
      <w:tr w14:paraId="313F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0A284356">
            <w:pPr>
              <w:widowControl/>
              <w:jc w:val="left"/>
              <w:rPr>
                <w:rFonts w:ascii="宋体" w:hAnsi="宋体" w:cs="宋体"/>
                <w:kern w:val="0"/>
                <w:sz w:val="22"/>
              </w:rPr>
            </w:pPr>
            <w:r>
              <w:rPr>
                <w:rFonts w:hint="eastAsia" w:ascii="宋体" w:hAnsi="宋体" w:cs="宋体"/>
                <w:kern w:val="0"/>
                <w:sz w:val="22"/>
              </w:rPr>
              <w:t>8</w:t>
            </w:r>
          </w:p>
        </w:tc>
        <w:tc>
          <w:tcPr>
            <w:tcW w:w="1072" w:type="dxa"/>
            <w:shd w:val="clear" w:color="auto" w:fill="auto"/>
            <w:vAlign w:val="center"/>
          </w:tcPr>
          <w:p w14:paraId="45ABF01E">
            <w:pPr>
              <w:widowControl/>
              <w:jc w:val="left"/>
              <w:rPr>
                <w:rFonts w:ascii="宋体" w:hAnsi="宋体" w:cs="宋体"/>
                <w:kern w:val="0"/>
                <w:sz w:val="22"/>
              </w:rPr>
            </w:pPr>
            <w:r>
              <w:rPr>
                <w:rFonts w:hint="eastAsia" w:ascii="宋体" w:hAnsi="宋体" w:cs="宋体"/>
                <w:kern w:val="0"/>
                <w:sz w:val="22"/>
              </w:rPr>
              <w:t>推拉黑板</w:t>
            </w:r>
          </w:p>
        </w:tc>
        <w:tc>
          <w:tcPr>
            <w:tcW w:w="4897" w:type="dxa"/>
            <w:shd w:val="clear" w:color="auto" w:fill="auto"/>
            <w:vAlign w:val="center"/>
          </w:tcPr>
          <w:p w14:paraId="70277960">
            <w:pPr>
              <w:widowControl/>
              <w:jc w:val="left"/>
              <w:rPr>
                <w:rFonts w:ascii="宋体" w:hAnsi="宋体" w:cs="宋体"/>
                <w:kern w:val="0"/>
                <w:sz w:val="22"/>
              </w:rPr>
            </w:pPr>
            <w:r>
              <w:rPr>
                <w:rFonts w:hint="eastAsia" w:ascii="宋体" w:hAnsi="宋体" w:cs="宋体"/>
                <w:kern w:val="0"/>
                <w:sz w:val="22"/>
              </w:rPr>
              <w:t>1、结构：推拉板由大框及四块同等大小的书写板组装而成，书写板分内外双层结构，内层为两块固定书写板与液晶一体机正面平齐，外层为两块滑动书写板，滑动板配装刻有黑板品牌LOGO标识的挂锁，开闭自如确保液晶一体机的安全管理。（中标人提供图样，经使用人同意后方可实施）</w:t>
            </w:r>
            <w:r>
              <w:rPr>
                <w:rFonts w:hint="eastAsia" w:ascii="宋体" w:hAnsi="宋体" w:cs="宋体"/>
                <w:kern w:val="0"/>
                <w:sz w:val="22"/>
              </w:rPr>
              <w:br w:type="textWrapping"/>
            </w:r>
            <w:r>
              <w:rPr>
                <w:rFonts w:hint="eastAsia" w:ascii="宋体" w:hAnsi="宋体" w:cs="宋体"/>
                <w:kern w:val="0"/>
                <w:sz w:val="22"/>
              </w:rPr>
              <w:t>2、基本尺寸：≥4300mm×1300mm，可根据所配电子产品适当调整，确保与电子产品的有效配套。</w:t>
            </w:r>
            <w:r>
              <w:rPr>
                <w:rFonts w:hint="eastAsia" w:ascii="宋体" w:hAnsi="宋体" w:cs="宋体"/>
                <w:kern w:val="0"/>
                <w:sz w:val="22"/>
              </w:rPr>
              <w:br w:type="textWrapping"/>
            </w:r>
            <w:r>
              <w:rPr>
                <w:rFonts w:hint="eastAsia" w:ascii="宋体" w:hAnsi="宋体" w:cs="宋体"/>
                <w:kern w:val="0"/>
                <w:sz w:val="22"/>
              </w:rPr>
              <w:t>3、书写板面：采用280℃高温烤漆板面，具体面板颜色根据使用人要求定、亚光，厚度≥0.32mm，漆膜硬度6H，粗糙度Ra1.6-3.2um，光泽度≤6﹪，没有明显眩光，板面表面附有一层透明保护膜，符合GB/T 28231-2011《书写板安全卫生要求》（中标人提供图样，经使用人同意后方可实施）。</w:t>
            </w:r>
            <w:r>
              <w:rPr>
                <w:rFonts w:hint="eastAsia" w:ascii="宋体" w:hAnsi="宋体" w:cs="宋体"/>
                <w:kern w:val="0"/>
                <w:sz w:val="22"/>
              </w:rPr>
              <w:br w:type="textWrapping"/>
            </w:r>
            <w:r>
              <w:rPr>
                <w:rFonts w:hint="eastAsia" w:ascii="宋体" w:hAnsi="宋体" w:cs="宋体"/>
                <w:kern w:val="0"/>
                <w:sz w:val="22"/>
              </w:rPr>
              <w:t>4、内芯材料：高强度、吸音、聚苯乙烯泡沫板，采用国际适用工艺，书写无吱咔声，改善书写手感。</w:t>
            </w:r>
            <w:r>
              <w:rPr>
                <w:rFonts w:hint="eastAsia" w:ascii="宋体" w:hAnsi="宋体" w:cs="宋体"/>
                <w:kern w:val="0"/>
                <w:sz w:val="22"/>
              </w:rPr>
              <w:br w:type="textWrapping"/>
            </w:r>
            <w:r>
              <w:rPr>
                <w:rFonts w:hint="eastAsia" w:ascii="宋体" w:hAnsi="宋体" w:cs="宋体"/>
                <w:kern w:val="0"/>
                <w:sz w:val="22"/>
              </w:rPr>
              <w:t>5、背板：采用优质防锈热镀锌钢板，厚度≥0.25mm，流水线一次成型，间隔80mm压有20mm凹槽加强筋,确保均布承压不低于635N，凹槽造型美观、增加强度，更加耐用。</w:t>
            </w:r>
            <w:r>
              <w:rPr>
                <w:rFonts w:hint="eastAsia" w:ascii="宋体" w:hAnsi="宋体" w:cs="宋体"/>
                <w:kern w:val="0"/>
                <w:sz w:val="22"/>
              </w:rPr>
              <w:br w:type="textWrapping"/>
            </w:r>
            <w:r>
              <w:rPr>
                <w:rFonts w:hint="eastAsia" w:ascii="宋体" w:hAnsi="宋体" w:cs="宋体"/>
                <w:kern w:val="0"/>
                <w:sz w:val="22"/>
              </w:rPr>
              <w:t>6、板面与衬板粘贴：采用环保型双组份聚氨酯胶水1:1配置，使用自动化覆板流水线作业，喷胶、压固、切割下料一次成型，确保粘接牢固板面平整。</w:t>
            </w:r>
            <w:r>
              <w:rPr>
                <w:rFonts w:hint="eastAsia" w:ascii="宋体" w:hAnsi="宋体" w:cs="宋体"/>
                <w:kern w:val="0"/>
                <w:sz w:val="22"/>
              </w:rPr>
              <w:br w:type="textWrapping"/>
            </w:r>
            <w:r>
              <w:rPr>
                <w:rFonts w:hint="eastAsia" w:ascii="宋体" w:hAnsi="宋体" w:cs="宋体"/>
                <w:kern w:val="0"/>
                <w:sz w:val="22"/>
              </w:rPr>
              <w:t>7、边框：采用工业用高强度铝合金型材，电泳香槟色，模具挤压一次成型，上框规格57mm×100mm，左右框规格29mm×100mm，横（立）框采用双层加强结构，厚度≥15mm。轨道上置隐藏式平滑轮滑道，结构性解决滑轮受粉尘影响的情况，配有宽度≥30mm的粉尘槽，粉尘槽与滑动系统分离，与边框一次模具成形，防止粉尘垂直落地。</w:t>
            </w:r>
            <w:r>
              <w:rPr>
                <w:rFonts w:hint="eastAsia" w:ascii="宋体" w:hAnsi="宋体" w:cs="宋体"/>
                <w:kern w:val="0"/>
                <w:sz w:val="22"/>
              </w:rPr>
              <w:br w:type="textWrapping"/>
            </w:r>
            <w:r>
              <w:rPr>
                <w:rFonts w:hint="eastAsia" w:ascii="宋体" w:hAnsi="宋体" w:cs="宋体"/>
                <w:kern w:val="0"/>
                <w:sz w:val="22"/>
              </w:rPr>
              <w:t>8、包角材料：采用抗老化高强度ABS工程塑料注塑成型。规格：100mm×29mm×29mm◆，采用双壁成腔流线型设计，≥R25mm的圆角，正面带黑板品牌LOGO标识，无尖角毛刺，符合JY0001-2003《教学仪器设备产品一般质量要求》。</w:t>
            </w:r>
            <w:r>
              <w:rPr>
                <w:rFonts w:hint="eastAsia" w:ascii="宋体" w:hAnsi="宋体" w:cs="宋体"/>
                <w:kern w:val="0"/>
                <w:sz w:val="22"/>
              </w:rPr>
              <w:br w:type="textWrapping"/>
            </w:r>
            <w:r>
              <w:rPr>
                <w:rFonts w:hint="eastAsia" w:ascii="宋体" w:hAnsi="宋体" w:cs="宋体"/>
                <w:kern w:val="0"/>
                <w:sz w:val="22"/>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r>
              <w:rPr>
                <w:rFonts w:hint="eastAsia" w:ascii="宋体" w:hAnsi="宋体" w:cs="宋体"/>
                <w:kern w:val="0"/>
                <w:sz w:val="22"/>
              </w:rPr>
              <w:br w:type="textWrapping"/>
            </w:r>
            <w:r>
              <w:rPr>
                <w:rFonts w:hint="eastAsia" w:ascii="宋体" w:hAnsi="宋体" w:cs="宋体"/>
                <w:kern w:val="0"/>
                <w:sz w:val="22"/>
              </w:rPr>
              <w:t>10、除尘装置：外下框两侧各开一个直径25mm的圆孔，配置100*80mm的抽拉式粉尘盒，粉尘盒可拆卸清洁。</w:t>
            </w:r>
            <w:r>
              <w:rPr>
                <w:rFonts w:hint="eastAsia" w:ascii="宋体" w:hAnsi="宋体" w:cs="宋体"/>
                <w:kern w:val="0"/>
                <w:sz w:val="22"/>
              </w:rPr>
              <w:br w:type="textWrapping"/>
            </w:r>
            <w:r>
              <w:rPr>
                <w:rFonts w:hint="eastAsia" w:ascii="宋体" w:hAnsi="宋体" w:cs="宋体"/>
                <w:kern w:val="0"/>
                <w:sz w:val="22"/>
              </w:rPr>
              <w:t>11、限位档：黑板边框内部两侧安装滑动板限位档，防止活动黑板开启时撞击立框。</w:t>
            </w:r>
            <w:r>
              <w:rPr>
                <w:rFonts w:hint="eastAsia" w:ascii="宋体" w:hAnsi="宋体" w:cs="宋体"/>
                <w:kern w:val="0"/>
                <w:sz w:val="22"/>
              </w:rPr>
              <w:br w:type="textWrapping"/>
            </w:r>
            <w:r>
              <w:rPr>
                <w:rFonts w:hint="eastAsia" w:ascii="宋体" w:hAnsi="宋体" w:cs="宋体"/>
                <w:kern w:val="0"/>
                <w:sz w:val="22"/>
              </w:rPr>
              <w:t>12、易维护性：一体机上下配同色同质书写板，上下可根据一体机尺寸进行微调，两侧用H型边框与固定板配合，可自由拆装。使一体机不用拆整个黑板即可直接拆装维护，减少麻烦，延长使用寿命。</w:t>
            </w:r>
            <w:r>
              <w:rPr>
                <w:rFonts w:hint="eastAsia" w:ascii="宋体" w:hAnsi="宋体" w:cs="宋体"/>
                <w:kern w:val="0"/>
                <w:sz w:val="22"/>
              </w:rPr>
              <w:br w:type="textWrapping"/>
            </w:r>
            <w:r>
              <w:rPr>
                <w:rFonts w:hint="eastAsia" w:ascii="宋体" w:hAnsi="宋体" w:cs="宋体"/>
                <w:kern w:val="0"/>
                <w:sz w:val="22"/>
              </w:rPr>
              <w:t>13、安全性：一把锁实现对滑动黑板的锁定，钥匙通用，方便实用。</w:t>
            </w:r>
            <w:r>
              <w:rPr>
                <w:rFonts w:hint="eastAsia" w:ascii="宋体" w:hAnsi="宋体" w:cs="宋体"/>
                <w:kern w:val="0"/>
                <w:sz w:val="22"/>
              </w:rPr>
              <w:br w:type="textWrapping"/>
            </w:r>
            <w:r>
              <w:rPr>
                <w:rFonts w:hint="eastAsia" w:ascii="宋体" w:hAnsi="宋体" w:cs="宋体"/>
                <w:kern w:val="0"/>
                <w:sz w:val="22"/>
              </w:rPr>
              <w:t>14、根据所选黑板，提供书写耗材一套：</w:t>
            </w:r>
            <w:r>
              <w:rPr>
                <w:rFonts w:hint="eastAsia" w:ascii="宋体" w:hAnsi="宋体" w:cs="宋体"/>
                <w:kern w:val="0"/>
                <w:sz w:val="22"/>
              </w:rPr>
              <w:br w:type="textWrapping"/>
            </w:r>
            <w:r>
              <w:rPr>
                <w:rFonts w:hint="eastAsia" w:ascii="宋体" w:hAnsi="宋体" w:cs="宋体"/>
                <w:kern w:val="0"/>
                <w:sz w:val="22"/>
              </w:rPr>
              <w:t>（1）不同颜色的水溶性粉笔各一盒，盒装≥20支/盒；专用笔套≥2支；清洗装置≥1套，专用板擦≥1个。</w:t>
            </w:r>
            <w:r>
              <w:rPr>
                <w:rFonts w:hint="eastAsia" w:ascii="宋体" w:hAnsi="宋体" w:cs="宋体"/>
                <w:kern w:val="0"/>
                <w:sz w:val="22"/>
              </w:rPr>
              <w:br w:type="textWrapping"/>
            </w:r>
            <w:r>
              <w:rPr>
                <w:rFonts w:hint="eastAsia" w:ascii="宋体" w:hAnsi="宋体" w:cs="宋体"/>
                <w:kern w:val="0"/>
                <w:sz w:val="22"/>
              </w:rPr>
              <w:t>或者</w:t>
            </w:r>
            <w:r>
              <w:rPr>
                <w:rFonts w:hint="eastAsia" w:ascii="宋体" w:hAnsi="宋体" w:cs="宋体"/>
                <w:kern w:val="0"/>
                <w:sz w:val="22"/>
              </w:rPr>
              <w:br w:type="textWrapping"/>
            </w:r>
            <w:r>
              <w:rPr>
                <w:rFonts w:hint="eastAsia" w:ascii="宋体" w:hAnsi="宋体" w:cs="宋体"/>
                <w:kern w:val="0"/>
                <w:sz w:val="22"/>
              </w:rPr>
              <w:t>（2）新型成膜墨水笔≥3支（红色蓝色黑色各1支）；环保墨水≥3瓶（红色蓝色黑色各1瓶），墨水容量每瓶100ml；板擦≥1个；黑板专用清洁毛巾 ≥1条。</w:t>
            </w:r>
          </w:p>
        </w:tc>
        <w:tc>
          <w:tcPr>
            <w:tcW w:w="462" w:type="dxa"/>
            <w:shd w:val="clear" w:color="auto" w:fill="auto"/>
            <w:noWrap/>
            <w:vAlign w:val="center"/>
          </w:tcPr>
          <w:p w14:paraId="356846D8">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7C72A6C1">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55743598">
            <w:pPr>
              <w:widowControl/>
              <w:jc w:val="left"/>
              <w:rPr>
                <w:rFonts w:ascii="宋体" w:hAnsi="宋体" w:cs="宋体"/>
                <w:kern w:val="0"/>
                <w:sz w:val="22"/>
              </w:rPr>
            </w:pPr>
            <w:r>
              <w:rPr>
                <w:rFonts w:hint="eastAsia" w:ascii="宋体" w:hAnsi="宋体" w:cs="宋体"/>
                <w:kern w:val="0"/>
                <w:sz w:val="22"/>
              </w:rPr>
              <w:t>1300</w:t>
            </w:r>
          </w:p>
        </w:tc>
        <w:tc>
          <w:tcPr>
            <w:tcW w:w="1489" w:type="dxa"/>
            <w:shd w:val="clear" w:color="auto" w:fill="auto"/>
            <w:noWrap/>
            <w:vAlign w:val="center"/>
          </w:tcPr>
          <w:p w14:paraId="6638EF3E">
            <w:pPr>
              <w:widowControl/>
              <w:jc w:val="left"/>
              <w:rPr>
                <w:rFonts w:ascii="宋体" w:hAnsi="宋体" w:cs="宋体"/>
                <w:kern w:val="0"/>
                <w:sz w:val="22"/>
              </w:rPr>
            </w:pPr>
            <w:r>
              <w:rPr>
                <w:rFonts w:hint="eastAsia" w:ascii="宋体" w:hAnsi="宋体" w:cs="宋体"/>
                <w:kern w:val="0"/>
                <w:sz w:val="22"/>
              </w:rPr>
              <w:t>1300</w:t>
            </w:r>
          </w:p>
        </w:tc>
      </w:tr>
      <w:tr w14:paraId="1FD6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5BFCEA68">
            <w:pPr>
              <w:widowControl/>
              <w:jc w:val="left"/>
              <w:rPr>
                <w:rFonts w:ascii="宋体" w:hAnsi="宋体" w:cs="宋体"/>
                <w:kern w:val="0"/>
                <w:sz w:val="22"/>
              </w:rPr>
            </w:pPr>
            <w:r>
              <w:rPr>
                <w:rFonts w:hint="eastAsia" w:ascii="宋体" w:hAnsi="宋体" w:cs="宋体"/>
                <w:kern w:val="0"/>
                <w:sz w:val="22"/>
              </w:rPr>
              <w:t>9</w:t>
            </w:r>
          </w:p>
        </w:tc>
        <w:tc>
          <w:tcPr>
            <w:tcW w:w="1072" w:type="dxa"/>
            <w:shd w:val="clear" w:color="auto" w:fill="auto"/>
            <w:vAlign w:val="center"/>
          </w:tcPr>
          <w:p w14:paraId="10B98195">
            <w:pPr>
              <w:widowControl/>
              <w:jc w:val="left"/>
              <w:rPr>
                <w:rFonts w:ascii="宋体" w:hAnsi="宋体" w:cs="宋体"/>
                <w:kern w:val="0"/>
                <w:sz w:val="22"/>
              </w:rPr>
            </w:pPr>
            <w:r>
              <w:rPr>
                <w:rFonts w:hint="eastAsia" w:ascii="宋体" w:hAnsi="宋体" w:cs="宋体"/>
                <w:kern w:val="0"/>
                <w:sz w:val="22"/>
              </w:rPr>
              <w:t>音响话筒</w:t>
            </w:r>
          </w:p>
        </w:tc>
        <w:tc>
          <w:tcPr>
            <w:tcW w:w="4897" w:type="dxa"/>
            <w:shd w:val="clear" w:color="auto" w:fill="auto"/>
            <w:vAlign w:val="center"/>
          </w:tcPr>
          <w:p w14:paraId="37ACF6E3">
            <w:pPr>
              <w:widowControl/>
              <w:jc w:val="left"/>
              <w:rPr>
                <w:rFonts w:ascii="宋体" w:hAnsi="宋体" w:cs="宋体"/>
                <w:kern w:val="0"/>
                <w:sz w:val="22"/>
              </w:rPr>
            </w:pPr>
            <w:r>
              <w:rPr>
                <w:rFonts w:hint="eastAsia" w:ascii="宋体" w:hAnsi="宋体" w:cs="宋体"/>
                <w:kern w:val="0"/>
                <w:sz w:val="22"/>
              </w:rPr>
              <w:t>一、音箱</w:t>
            </w:r>
            <w:r>
              <w:rPr>
                <w:rFonts w:hint="eastAsia" w:ascii="宋体" w:hAnsi="宋体" w:cs="宋体"/>
                <w:kern w:val="0"/>
                <w:sz w:val="22"/>
              </w:rPr>
              <w:br w:type="textWrapping"/>
            </w:r>
            <w:r>
              <w:rPr>
                <w:rFonts w:hint="eastAsia" w:ascii="宋体" w:hAnsi="宋体" w:cs="宋体"/>
                <w:kern w:val="0"/>
                <w:sz w:val="22"/>
              </w:rPr>
              <w:t>▲1、采用功放与有源音箱一体化设计，内置麦克风无线接收模块。</w:t>
            </w:r>
            <w:r>
              <w:rPr>
                <w:rFonts w:hint="eastAsia" w:ascii="宋体" w:hAnsi="宋体" w:cs="宋体"/>
                <w:kern w:val="0"/>
                <w:sz w:val="22"/>
              </w:rPr>
              <w:br w:type="textWrapping"/>
            </w:r>
            <w:r>
              <w:rPr>
                <w:rFonts w:hint="eastAsia" w:ascii="宋体" w:hAnsi="宋体" w:cs="宋体"/>
                <w:kern w:val="0"/>
                <w:sz w:val="22"/>
              </w:rPr>
              <w:t>2、双音箱有线连接，机箱采用塑胶材质，保护设备免受环境影响。</w:t>
            </w:r>
            <w:r>
              <w:rPr>
                <w:rFonts w:hint="eastAsia" w:ascii="宋体" w:hAnsi="宋体" w:cs="宋体"/>
                <w:kern w:val="0"/>
                <w:sz w:val="22"/>
              </w:rPr>
              <w:br w:type="textWrapping"/>
            </w:r>
            <w:r>
              <w:rPr>
                <w:rFonts w:hint="eastAsia" w:ascii="宋体" w:hAnsi="宋体" w:cs="宋体"/>
                <w:kern w:val="0"/>
                <w:sz w:val="22"/>
              </w:rPr>
              <w:t>3、输出额定功率: 2*15W，喇叭单元尺寸≥5寸。</w:t>
            </w:r>
            <w:r>
              <w:rPr>
                <w:rFonts w:hint="eastAsia" w:ascii="宋体" w:hAnsi="宋体" w:cs="宋体"/>
                <w:kern w:val="0"/>
                <w:sz w:val="22"/>
              </w:rPr>
              <w:br w:type="textWrapping"/>
            </w:r>
            <w:r>
              <w:rPr>
                <w:rFonts w:hint="eastAsia" w:ascii="宋体" w:hAnsi="宋体" w:cs="宋体"/>
                <w:kern w:val="0"/>
                <w:sz w:val="22"/>
              </w:rPr>
              <w:t>4、端口：220V电源接口*1、Line in*1、USB*1。</w:t>
            </w:r>
            <w:r>
              <w:rPr>
                <w:rFonts w:hint="eastAsia" w:ascii="宋体" w:hAnsi="宋体" w:cs="宋体"/>
                <w:kern w:val="0"/>
                <w:sz w:val="22"/>
              </w:rPr>
              <w:br w:type="textWrapping"/>
            </w:r>
            <w:r>
              <w:rPr>
                <w:rFonts w:hint="eastAsia" w:ascii="宋体" w:hAnsi="宋体" w:cs="宋体"/>
                <w:kern w:val="0"/>
                <w:sz w:val="22"/>
              </w:rPr>
              <w:t>5、麦克风和功放音箱之间采用数字U段传输技术，有效避免环境中2.4G信号干扰，例如蓝牙及WIFI设备。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6、配置独立音频数字信号处理芯片，支持啸叫抑制功能。</w:t>
            </w:r>
            <w:r>
              <w:rPr>
                <w:rFonts w:hint="eastAsia" w:ascii="宋体" w:hAnsi="宋体" w:cs="宋体"/>
                <w:kern w:val="0"/>
                <w:sz w:val="22"/>
              </w:rPr>
              <w:br w:type="textWrapping"/>
            </w:r>
            <w:r>
              <w:rPr>
                <w:rFonts w:hint="eastAsia" w:ascii="宋体" w:hAnsi="宋体" w:cs="宋体"/>
                <w:kern w:val="0"/>
                <w:sz w:val="22"/>
              </w:rPr>
              <w:t>7、支持教师扩声和输入音源叠加输出，可对接录播系统实现教师扩声音频的纯净采集，避免环境杂音干扰采集效果。</w:t>
            </w:r>
            <w:r>
              <w:rPr>
                <w:rFonts w:hint="eastAsia" w:ascii="宋体" w:hAnsi="宋体" w:cs="宋体"/>
                <w:kern w:val="0"/>
                <w:sz w:val="22"/>
              </w:rPr>
              <w:br w:type="textWrapping"/>
            </w:r>
            <w:r>
              <w:rPr>
                <w:rFonts w:hint="eastAsia" w:ascii="宋体" w:hAnsi="宋体" w:cs="宋体"/>
                <w:kern w:val="0"/>
                <w:sz w:val="22"/>
              </w:rPr>
              <w:t>二、无线麦克风</w:t>
            </w:r>
            <w:r>
              <w:rPr>
                <w:rFonts w:hint="eastAsia" w:ascii="宋体" w:hAnsi="宋体" w:cs="宋体"/>
                <w:kern w:val="0"/>
                <w:sz w:val="22"/>
              </w:rPr>
              <w:br w:type="textWrapping"/>
            </w:r>
            <w:r>
              <w:rPr>
                <w:rFonts w:hint="eastAsia" w:ascii="宋体" w:hAnsi="宋体" w:cs="宋体"/>
                <w:kern w:val="0"/>
                <w:sz w:val="22"/>
              </w:rPr>
              <w:t>▲1、无线麦克风集音频发射处理器、天线、电池、拾音麦克风于一体，配合一体化有源音箱，无需任何外接辅助设备即可实现本地扩声功能。</w:t>
            </w:r>
            <w:r>
              <w:rPr>
                <w:rFonts w:hint="eastAsia" w:ascii="宋体" w:hAnsi="宋体" w:cs="宋体"/>
                <w:kern w:val="0"/>
                <w:sz w:val="22"/>
              </w:rPr>
              <w:br w:type="textWrapping"/>
            </w:r>
            <w:r>
              <w:rPr>
                <w:rFonts w:hint="eastAsia" w:ascii="宋体" w:hAnsi="宋体" w:cs="宋体"/>
                <w:kern w:val="0"/>
                <w:sz w:val="22"/>
              </w:rPr>
              <w:t>2、采用U段传输，有效避免环境中2.4G信号干扰，例如蓝牙及WIFI设备。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3、采用红外对码方式连接，避免连接到其他教室音箱。可在2s内快速完成与教学扩声音箱对码，无需繁琐操作。</w:t>
            </w:r>
            <w:r>
              <w:rPr>
                <w:rFonts w:hint="eastAsia" w:ascii="宋体" w:hAnsi="宋体" w:cs="宋体"/>
                <w:kern w:val="0"/>
                <w:sz w:val="22"/>
              </w:rPr>
              <w:br w:type="textWrapping"/>
            </w:r>
            <w:r>
              <w:rPr>
                <w:rFonts w:hint="eastAsia" w:ascii="宋体" w:hAnsi="宋体" w:cs="宋体"/>
                <w:kern w:val="0"/>
                <w:sz w:val="22"/>
              </w:rPr>
              <w:t>4、配合USB麦克风接收器连接一体机，具备翻页键功能，可远程操控一体机设备进行课件软件翻页功能。</w:t>
            </w:r>
            <w:r>
              <w:rPr>
                <w:rFonts w:hint="eastAsia" w:ascii="宋体" w:hAnsi="宋体" w:cs="宋体"/>
                <w:kern w:val="0"/>
                <w:sz w:val="22"/>
              </w:rPr>
              <w:br w:type="textWrapping"/>
            </w:r>
            <w:r>
              <w:rPr>
                <w:rFonts w:hint="eastAsia" w:ascii="宋体" w:hAnsi="宋体" w:cs="宋体"/>
                <w:kern w:val="0"/>
                <w:sz w:val="22"/>
              </w:rPr>
              <w:t>5、配合USB接收器连接一体机，可通过一体机对老师的声音进行录制。</w:t>
            </w:r>
            <w:r>
              <w:rPr>
                <w:rFonts w:hint="eastAsia" w:ascii="宋体" w:hAnsi="宋体" w:cs="宋体"/>
                <w:kern w:val="0"/>
                <w:sz w:val="22"/>
              </w:rPr>
              <w:br w:type="textWrapping"/>
            </w:r>
            <w:r>
              <w:rPr>
                <w:rFonts w:hint="eastAsia" w:ascii="宋体" w:hAnsi="宋体" w:cs="宋体"/>
                <w:kern w:val="0"/>
                <w:sz w:val="22"/>
              </w:rPr>
              <w:t>6、采用触点磁吸式充电方式，充电10分钟，可扩音80分钟。</w:t>
            </w:r>
            <w:r>
              <w:rPr>
                <w:rFonts w:hint="eastAsia" w:ascii="宋体" w:hAnsi="宋体" w:cs="宋体"/>
                <w:kern w:val="0"/>
                <w:sz w:val="22"/>
              </w:rPr>
              <w:br w:type="textWrapping"/>
            </w:r>
            <w:r>
              <w:rPr>
                <w:rFonts w:hint="eastAsia" w:ascii="宋体" w:hAnsi="宋体" w:cs="宋体"/>
                <w:kern w:val="0"/>
                <w:sz w:val="22"/>
              </w:rPr>
              <w:t>7、具备磁吸式触点接口，与充电接口复用，保证整机的整洁、平整性，无易损的插入式接口。</w:t>
            </w:r>
            <w:r>
              <w:rPr>
                <w:rFonts w:hint="eastAsia" w:ascii="宋体" w:hAnsi="宋体" w:cs="宋体"/>
                <w:kern w:val="0"/>
                <w:sz w:val="22"/>
              </w:rPr>
              <w:br w:type="textWrapping"/>
            </w:r>
            <w:r>
              <w:rPr>
                <w:rFonts w:hint="eastAsia" w:ascii="宋体" w:hAnsi="宋体" w:cs="宋体"/>
                <w:kern w:val="0"/>
                <w:sz w:val="22"/>
              </w:rPr>
              <w:t>8、无遮挡情况下，有效工作距离≥10米，保证全教室覆盖。</w:t>
            </w:r>
          </w:p>
        </w:tc>
        <w:tc>
          <w:tcPr>
            <w:tcW w:w="462" w:type="dxa"/>
            <w:shd w:val="clear" w:color="auto" w:fill="auto"/>
            <w:noWrap/>
            <w:vAlign w:val="center"/>
          </w:tcPr>
          <w:p w14:paraId="0188406E">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631C66E5">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53A43C1A">
            <w:pPr>
              <w:widowControl/>
              <w:jc w:val="left"/>
              <w:rPr>
                <w:rFonts w:ascii="宋体" w:hAnsi="宋体" w:cs="宋体"/>
                <w:kern w:val="0"/>
                <w:sz w:val="22"/>
              </w:rPr>
            </w:pPr>
            <w:r>
              <w:rPr>
                <w:rFonts w:hint="eastAsia" w:ascii="宋体" w:hAnsi="宋体" w:cs="宋体"/>
                <w:kern w:val="0"/>
                <w:sz w:val="22"/>
              </w:rPr>
              <w:t>1300</w:t>
            </w:r>
          </w:p>
        </w:tc>
        <w:tc>
          <w:tcPr>
            <w:tcW w:w="1489" w:type="dxa"/>
            <w:shd w:val="clear" w:color="auto" w:fill="auto"/>
            <w:noWrap/>
            <w:vAlign w:val="center"/>
          </w:tcPr>
          <w:p w14:paraId="5EA29FBD">
            <w:pPr>
              <w:widowControl/>
              <w:jc w:val="left"/>
              <w:rPr>
                <w:rFonts w:ascii="宋体" w:hAnsi="宋体" w:cs="宋体"/>
                <w:kern w:val="0"/>
                <w:sz w:val="22"/>
              </w:rPr>
            </w:pPr>
            <w:r>
              <w:rPr>
                <w:rFonts w:hint="eastAsia" w:ascii="宋体" w:hAnsi="宋体" w:cs="宋体"/>
                <w:kern w:val="0"/>
                <w:sz w:val="22"/>
              </w:rPr>
              <w:t>1300</w:t>
            </w:r>
          </w:p>
        </w:tc>
      </w:tr>
      <w:tr w14:paraId="5777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15D6BA58">
            <w:pPr>
              <w:widowControl/>
              <w:jc w:val="left"/>
              <w:rPr>
                <w:rFonts w:ascii="宋体" w:hAnsi="宋体" w:cs="宋体"/>
                <w:kern w:val="0"/>
                <w:sz w:val="22"/>
              </w:rPr>
            </w:pPr>
            <w:r>
              <w:rPr>
                <w:rFonts w:hint="eastAsia" w:ascii="宋体" w:hAnsi="宋体" w:cs="宋体"/>
                <w:kern w:val="0"/>
                <w:sz w:val="22"/>
              </w:rPr>
              <w:t>10</w:t>
            </w:r>
          </w:p>
        </w:tc>
        <w:tc>
          <w:tcPr>
            <w:tcW w:w="1072" w:type="dxa"/>
            <w:shd w:val="clear" w:color="auto" w:fill="auto"/>
            <w:vAlign w:val="center"/>
          </w:tcPr>
          <w:p w14:paraId="69B78361">
            <w:pPr>
              <w:widowControl/>
              <w:jc w:val="left"/>
              <w:rPr>
                <w:rFonts w:ascii="宋体" w:hAnsi="宋体" w:cs="宋体"/>
                <w:kern w:val="0"/>
                <w:sz w:val="22"/>
              </w:rPr>
            </w:pPr>
            <w:r>
              <w:rPr>
                <w:rFonts w:hint="eastAsia" w:ascii="宋体" w:hAnsi="宋体" w:cs="宋体"/>
                <w:kern w:val="0"/>
                <w:sz w:val="22"/>
              </w:rPr>
              <w:t>教辅设备</w:t>
            </w:r>
          </w:p>
        </w:tc>
        <w:tc>
          <w:tcPr>
            <w:tcW w:w="4897" w:type="dxa"/>
            <w:shd w:val="clear" w:color="auto" w:fill="auto"/>
            <w:vAlign w:val="center"/>
          </w:tcPr>
          <w:p w14:paraId="40381008">
            <w:pPr>
              <w:widowControl/>
              <w:jc w:val="left"/>
              <w:rPr>
                <w:rFonts w:ascii="宋体" w:hAnsi="宋体" w:cs="宋体"/>
                <w:kern w:val="0"/>
                <w:sz w:val="22"/>
              </w:rPr>
            </w:pPr>
            <w:r>
              <w:rPr>
                <w:rFonts w:hint="eastAsia" w:ascii="宋体" w:hAnsi="宋体" w:cs="宋体"/>
                <w:kern w:val="0"/>
                <w:sz w:val="22"/>
              </w:rPr>
              <w:t>1、电子教鞭×2支：</w:t>
            </w:r>
            <w:r>
              <w:rPr>
                <w:rFonts w:hint="eastAsia" w:ascii="宋体" w:hAnsi="宋体" w:cs="宋体"/>
                <w:kern w:val="0"/>
                <w:sz w:val="22"/>
              </w:rPr>
              <w:br w:type="textWrapping"/>
            </w:r>
            <w:r>
              <w:rPr>
                <w:rFonts w:hint="eastAsia" w:ascii="宋体" w:hAnsi="宋体" w:cs="宋体"/>
                <w:kern w:val="0"/>
                <w:sz w:val="22"/>
              </w:rPr>
              <w:t>▲（1）采用笔型设计，具有三个遥控按键（上下翻页和功能键），既可用于触摸书写，也可用于远程操控。</w:t>
            </w:r>
            <w:r>
              <w:rPr>
                <w:rFonts w:hint="eastAsia" w:ascii="宋体" w:hAnsi="宋体" w:cs="宋体"/>
                <w:kern w:val="0"/>
                <w:sz w:val="22"/>
              </w:rPr>
              <w:br w:type="textWrapping"/>
            </w:r>
            <w:r>
              <w:rPr>
                <w:rFonts w:hint="eastAsia" w:ascii="宋体" w:hAnsi="宋体" w:cs="宋体"/>
                <w:kern w:val="0"/>
                <w:sz w:val="22"/>
              </w:rPr>
              <w:t>（2）采用2.4G无线连接技术，无线接收距离最大可达15米。</w:t>
            </w:r>
            <w:r>
              <w:rPr>
                <w:rFonts w:hint="eastAsia" w:ascii="宋体" w:hAnsi="宋体" w:cs="宋体"/>
                <w:kern w:val="0"/>
                <w:sz w:val="22"/>
              </w:rPr>
              <w:br w:type="textWrapping"/>
            </w:r>
            <w:r>
              <w:rPr>
                <w:rFonts w:hint="eastAsia" w:ascii="宋体" w:hAnsi="宋体" w:cs="宋体"/>
                <w:kern w:val="0"/>
                <w:sz w:val="22"/>
              </w:rPr>
              <w:t>（3）无线接收器采用微型nano设计，并能收纳在笔上。</w:t>
            </w:r>
            <w:r>
              <w:rPr>
                <w:rFonts w:hint="eastAsia" w:ascii="宋体" w:hAnsi="宋体" w:cs="宋体"/>
                <w:kern w:val="0"/>
                <w:sz w:val="22"/>
              </w:rPr>
              <w:br w:type="textWrapping"/>
            </w:r>
            <w:r>
              <w:rPr>
                <w:rFonts w:hint="eastAsia" w:ascii="宋体" w:hAnsi="宋体" w:cs="宋体"/>
                <w:kern w:val="0"/>
                <w:sz w:val="22"/>
              </w:rPr>
              <w:t>（4）使用单节7号电池驱动，并带自动休眠节电设计。</w:t>
            </w:r>
            <w:r>
              <w:rPr>
                <w:rFonts w:hint="eastAsia" w:ascii="宋体" w:hAnsi="宋体" w:cs="宋体"/>
                <w:kern w:val="0"/>
                <w:sz w:val="22"/>
              </w:rPr>
              <w:br w:type="textWrapping"/>
            </w:r>
            <w:r>
              <w:rPr>
                <w:rFonts w:hint="eastAsia" w:ascii="宋体" w:hAnsi="宋体" w:cs="宋体"/>
                <w:kern w:val="0"/>
                <w:sz w:val="22"/>
              </w:rPr>
              <w:t>▲（5）单接收器设计，android、windows双系统同时响应。只需安装一个接收器，双系统都能响应智能笔的操作指令。</w:t>
            </w:r>
            <w:r>
              <w:rPr>
                <w:rFonts w:hint="eastAsia" w:ascii="宋体" w:hAnsi="宋体" w:cs="宋体"/>
                <w:kern w:val="0"/>
                <w:sz w:val="22"/>
              </w:rPr>
              <w:br w:type="textWrapping"/>
            </w:r>
            <w:r>
              <w:rPr>
                <w:rFonts w:hint="eastAsia" w:ascii="宋体" w:hAnsi="宋体" w:cs="宋体"/>
                <w:kern w:val="0"/>
                <w:sz w:val="22"/>
              </w:rPr>
              <w:t>（6）支持白板课件、PPT、PDF等多种格式的课件进行远程无线翻页。</w:t>
            </w:r>
            <w:r>
              <w:rPr>
                <w:rFonts w:hint="eastAsia" w:ascii="宋体" w:hAnsi="宋体" w:cs="宋体"/>
                <w:kern w:val="0"/>
                <w:sz w:val="22"/>
              </w:rPr>
              <w:br w:type="textWrapping"/>
            </w:r>
            <w:r>
              <w:rPr>
                <w:rFonts w:hint="eastAsia" w:ascii="宋体" w:hAnsi="宋体" w:cs="宋体"/>
                <w:kern w:val="0"/>
                <w:sz w:val="22"/>
              </w:rPr>
              <w:t>▲（7）功能按键可通过长按/短按实现两种快捷功能，方便教师操作。</w:t>
            </w:r>
            <w:r>
              <w:rPr>
                <w:rFonts w:hint="eastAsia" w:ascii="宋体" w:hAnsi="宋体" w:cs="宋体"/>
                <w:kern w:val="0"/>
                <w:sz w:val="22"/>
              </w:rPr>
              <w:br w:type="textWrapping"/>
            </w:r>
            <w:r>
              <w:rPr>
                <w:rFonts w:hint="eastAsia" w:ascii="宋体" w:hAnsi="宋体" w:cs="宋体"/>
                <w:kern w:val="0"/>
                <w:sz w:val="22"/>
              </w:rPr>
              <w:t>▲（8）支持自定义按键功能，可选功能包括：一键启动任意通道批注、一键启动/退出PPT播放、一键启动PPT批注、一键启动任意通道冻结与放大屏幕内容。</w:t>
            </w:r>
            <w:r>
              <w:rPr>
                <w:rFonts w:hint="eastAsia" w:ascii="宋体" w:hAnsi="宋体" w:cs="宋体"/>
                <w:kern w:val="0"/>
                <w:sz w:val="22"/>
              </w:rPr>
              <w:br w:type="textWrapping"/>
            </w:r>
            <w:r>
              <w:rPr>
                <w:rFonts w:hint="eastAsia" w:ascii="宋体" w:hAnsi="宋体" w:cs="宋体"/>
                <w:kern w:val="0"/>
                <w:sz w:val="22"/>
              </w:rPr>
              <w:t>▲2、小蜜蜂便携式扩音器×5个；</w:t>
            </w:r>
            <w:r>
              <w:rPr>
                <w:rFonts w:hint="eastAsia" w:ascii="宋体" w:hAnsi="宋体" w:cs="宋体"/>
                <w:kern w:val="0"/>
                <w:sz w:val="22"/>
              </w:rPr>
              <w:br w:type="textWrapping"/>
            </w:r>
            <w:r>
              <w:rPr>
                <w:rFonts w:hint="eastAsia" w:ascii="宋体" w:hAnsi="宋体" w:cs="宋体"/>
                <w:kern w:val="0"/>
                <w:sz w:val="22"/>
              </w:rPr>
              <w:t>3、双音圈喇叭（66mm/2欧姆）+双通道功放；</w:t>
            </w:r>
            <w:r>
              <w:rPr>
                <w:rFonts w:hint="eastAsia" w:ascii="宋体" w:hAnsi="宋体" w:cs="宋体"/>
                <w:kern w:val="0"/>
                <w:sz w:val="22"/>
              </w:rPr>
              <w:br w:type="textWrapping"/>
            </w:r>
            <w:r>
              <w:rPr>
                <w:rFonts w:hint="eastAsia" w:ascii="宋体" w:hAnsi="宋体" w:cs="宋体"/>
                <w:kern w:val="0"/>
                <w:sz w:val="22"/>
              </w:rPr>
              <w:t>▲4、3.7V/1500mAH锂离子电池，micro USB A充电口；</w:t>
            </w:r>
            <w:r>
              <w:rPr>
                <w:rFonts w:hint="eastAsia" w:ascii="宋体" w:hAnsi="宋体" w:cs="宋体"/>
                <w:kern w:val="0"/>
                <w:sz w:val="22"/>
              </w:rPr>
              <w:br w:type="textWrapping"/>
            </w:r>
            <w:r>
              <w:rPr>
                <w:rFonts w:hint="eastAsia" w:ascii="宋体" w:hAnsi="宋体" w:cs="宋体"/>
                <w:kern w:val="0"/>
                <w:sz w:val="22"/>
              </w:rPr>
              <w:t>5、AUX音频输入，MIC有线麦输入接口；</w:t>
            </w:r>
            <w:r>
              <w:rPr>
                <w:rFonts w:hint="eastAsia" w:ascii="宋体" w:hAnsi="宋体" w:cs="宋体"/>
                <w:kern w:val="0"/>
                <w:sz w:val="22"/>
              </w:rPr>
              <w:br w:type="textWrapping"/>
            </w:r>
            <w:r>
              <w:rPr>
                <w:rFonts w:hint="eastAsia" w:ascii="宋体" w:hAnsi="宋体" w:cs="宋体"/>
                <w:kern w:val="0"/>
                <w:sz w:val="22"/>
              </w:rPr>
              <w:t>6、有线麦克风头戴式，3.5MM插头线长约1米；</w:t>
            </w:r>
            <w:r>
              <w:rPr>
                <w:rFonts w:hint="eastAsia" w:ascii="宋体" w:hAnsi="宋体" w:cs="宋体"/>
                <w:kern w:val="0"/>
                <w:sz w:val="22"/>
              </w:rPr>
              <w:br w:type="textWrapping"/>
            </w:r>
            <w:r>
              <w:rPr>
                <w:rFonts w:hint="eastAsia" w:ascii="宋体" w:hAnsi="宋体" w:cs="宋体"/>
                <w:kern w:val="0"/>
                <w:sz w:val="22"/>
              </w:rPr>
              <w:t>7、信噪比≥50dB。</w:t>
            </w:r>
          </w:p>
        </w:tc>
        <w:tc>
          <w:tcPr>
            <w:tcW w:w="462" w:type="dxa"/>
            <w:shd w:val="clear" w:color="auto" w:fill="auto"/>
            <w:noWrap/>
            <w:vAlign w:val="center"/>
          </w:tcPr>
          <w:p w14:paraId="41CBDD0C">
            <w:pPr>
              <w:widowControl/>
              <w:jc w:val="left"/>
              <w:rPr>
                <w:rFonts w:ascii="宋体" w:hAnsi="宋体" w:cs="宋体"/>
                <w:kern w:val="0"/>
                <w:sz w:val="22"/>
              </w:rPr>
            </w:pPr>
            <w:r>
              <w:rPr>
                <w:rFonts w:hint="eastAsia" w:ascii="宋体" w:hAnsi="宋体" w:cs="宋体"/>
                <w:kern w:val="0"/>
                <w:sz w:val="22"/>
              </w:rPr>
              <w:t>批</w:t>
            </w:r>
          </w:p>
        </w:tc>
        <w:tc>
          <w:tcPr>
            <w:tcW w:w="605" w:type="dxa"/>
            <w:shd w:val="clear" w:color="auto" w:fill="auto"/>
            <w:noWrap/>
            <w:vAlign w:val="center"/>
          </w:tcPr>
          <w:p w14:paraId="44EBDC8B">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27788967">
            <w:pPr>
              <w:widowControl/>
              <w:jc w:val="left"/>
              <w:rPr>
                <w:rFonts w:ascii="宋体" w:hAnsi="宋体" w:cs="宋体"/>
                <w:kern w:val="0"/>
                <w:sz w:val="22"/>
              </w:rPr>
            </w:pPr>
            <w:r>
              <w:rPr>
                <w:rFonts w:hint="eastAsia" w:ascii="宋体" w:hAnsi="宋体" w:cs="宋体"/>
                <w:kern w:val="0"/>
                <w:sz w:val="22"/>
              </w:rPr>
              <w:t>300</w:t>
            </w:r>
          </w:p>
        </w:tc>
        <w:tc>
          <w:tcPr>
            <w:tcW w:w="1489" w:type="dxa"/>
            <w:shd w:val="clear" w:color="auto" w:fill="auto"/>
            <w:noWrap/>
            <w:vAlign w:val="center"/>
          </w:tcPr>
          <w:p w14:paraId="563C0424">
            <w:pPr>
              <w:widowControl/>
              <w:jc w:val="left"/>
              <w:rPr>
                <w:rFonts w:ascii="宋体" w:hAnsi="宋体" w:cs="宋体"/>
                <w:kern w:val="0"/>
                <w:sz w:val="22"/>
              </w:rPr>
            </w:pPr>
            <w:r>
              <w:rPr>
                <w:rFonts w:hint="eastAsia" w:ascii="宋体" w:hAnsi="宋体" w:cs="宋体"/>
                <w:kern w:val="0"/>
                <w:sz w:val="22"/>
              </w:rPr>
              <w:t>300</w:t>
            </w:r>
          </w:p>
        </w:tc>
      </w:tr>
      <w:tr w14:paraId="0958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279EA175">
            <w:pPr>
              <w:widowControl/>
              <w:jc w:val="left"/>
              <w:rPr>
                <w:rFonts w:ascii="宋体" w:hAnsi="宋体" w:cs="宋体"/>
                <w:kern w:val="0"/>
                <w:sz w:val="22"/>
              </w:rPr>
            </w:pPr>
            <w:r>
              <w:rPr>
                <w:rFonts w:hint="eastAsia" w:ascii="宋体" w:hAnsi="宋体" w:cs="宋体"/>
                <w:kern w:val="0"/>
                <w:sz w:val="22"/>
              </w:rPr>
              <w:t>11</w:t>
            </w:r>
          </w:p>
        </w:tc>
        <w:tc>
          <w:tcPr>
            <w:tcW w:w="1072" w:type="dxa"/>
            <w:shd w:val="clear" w:color="auto" w:fill="auto"/>
            <w:vAlign w:val="center"/>
          </w:tcPr>
          <w:p w14:paraId="0BA4C785">
            <w:pPr>
              <w:widowControl/>
              <w:jc w:val="left"/>
              <w:rPr>
                <w:rFonts w:ascii="宋体" w:hAnsi="宋体" w:cs="宋体"/>
                <w:kern w:val="0"/>
                <w:sz w:val="22"/>
              </w:rPr>
            </w:pPr>
            <w:r>
              <w:rPr>
                <w:rFonts w:hint="eastAsia" w:ascii="宋体" w:hAnsi="宋体" w:cs="宋体"/>
                <w:kern w:val="0"/>
                <w:sz w:val="22"/>
              </w:rPr>
              <w:t>周边配套设备及辅助材料及安装要求</w:t>
            </w:r>
          </w:p>
        </w:tc>
        <w:tc>
          <w:tcPr>
            <w:tcW w:w="4897" w:type="dxa"/>
            <w:shd w:val="clear" w:color="auto" w:fill="auto"/>
            <w:vAlign w:val="center"/>
          </w:tcPr>
          <w:p w14:paraId="4B86EDC4">
            <w:pPr>
              <w:widowControl/>
              <w:jc w:val="left"/>
              <w:rPr>
                <w:rFonts w:ascii="宋体" w:hAnsi="宋体" w:cs="宋体"/>
                <w:kern w:val="0"/>
                <w:sz w:val="22"/>
              </w:rPr>
            </w:pPr>
            <w:r>
              <w:rPr>
                <w:rFonts w:hint="eastAsia" w:ascii="宋体" w:hAnsi="宋体" w:cs="宋体"/>
                <w:kern w:val="0"/>
                <w:sz w:val="22"/>
              </w:rPr>
              <w:t>1、材料：国产优质10米HDMI线缆，国产优质铜线电源线：RVV 3*2.5mm，国产优质音频线：100芯*2股，10米  接头3.5mm，国产优质五孔明装插座等必备配件。国产优质六类非屏蔽网线、 20*15PVC不燃线槽（管）、视频线接头、电源插座等线材设备以及相关的周边设备、音视频线接头及相关配件、材料全部包干并安装（包括仪器上架贴签等）、调试、培训直至设备正常使用；</w:t>
            </w:r>
            <w:r>
              <w:rPr>
                <w:rFonts w:hint="eastAsia" w:ascii="宋体" w:hAnsi="宋体" w:cs="宋体"/>
                <w:kern w:val="0"/>
                <w:sz w:val="22"/>
              </w:rPr>
              <w:br w:type="textWrapping"/>
            </w:r>
            <w:r>
              <w:rPr>
                <w:rFonts w:hint="eastAsia" w:ascii="宋体" w:hAnsi="宋体" w:cs="宋体"/>
                <w:kern w:val="0"/>
                <w:sz w:val="22"/>
              </w:rPr>
              <w:t>2、安装工艺：安装前要把安装方案的思路、优点、可能存在的问题事先与学校沟通好，形成书面协议，由学校盖章确认后再实施。</w:t>
            </w:r>
            <w:r>
              <w:rPr>
                <w:rFonts w:hint="eastAsia" w:ascii="宋体" w:hAnsi="宋体" w:cs="宋体"/>
                <w:kern w:val="0"/>
                <w:sz w:val="22"/>
              </w:rPr>
              <w:br w:type="textWrapping"/>
            </w:r>
            <w:r>
              <w:rPr>
                <w:rFonts w:hint="eastAsia" w:ascii="宋体" w:hAnsi="宋体" w:cs="宋体"/>
                <w:kern w:val="0"/>
                <w:sz w:val="22"/>
              </w:rPr>
              <w:t>3、中标人负责拆除旧设备并搬运至学校指定地点。</w:t>
            </w:r>
          </w:p>
        </w:tc>
        <w:tc>
          <w:tcPr>
            <w:tcW w:w="462" w:type="dxa"/>
            <w:shd w:val="clear" w:color="auto" w:fill="auto"/>
            <w:noWrap/>
            <w:vAlign w:val="center"/>
          </w:tcPr>
          <w:p w14:paraId="125C57BD">
            <w:pPr>
              <w:widowControl/>
              <w:jc w:val="left"/>
              <w:rPr>
                <w:rFonts w:ascii="宋体" w:hAnsi="宋体" w:cs="宋体"/>
                <w:kern w:val="0"/>
                <w:sz w:val="22"/>
              </w:rPr>
            </w:pPr>
            <w:r>
              <w:rPr>
                <w:rFonts w:hint="eastAsia" w:ascii="宋体" w:hAnsi="宋体" w:cs="宋体"/>
                <w:kern w:val="0"/>
                <w:sz w:val="22"/>
              </w:rPr>
              <w:t>项</w:t>
            </w:r>
          </w:p>
        </w:tc>
        <w:tc>
          <w:tcPr>
            <w:tcW w:w="605" w:type="dxa"/>
            <w:shd w:val="clear" w:color="auto" w:fill="auto"/>
            <w:noWrap/>
            <w:vAlign w:val="center"/>
          </w:tcPr>
          <w:p w14:paraId="7B9EB7D6">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12FF8634">
            <w:pPr>
              <w:widowControl/>
              <w:jc w:val="left"/>
              <w:rPr>
                <w:rFonts w:ascii="宋体" w:hAnsi="宋体" w:cs="宋体"/>
                <w:kern w:val="0"/>
                <w:sz w:val="22"/>
              </w:rPr>
            </w:pPr>
            <w:r>
              <w:rPr>
                <w:rFonts w:hint="eastAsia" w:ascii="宋体" w:hAnsi="宋体" w:cs="宋体"/>
                <w:kern w:val="0"/>
                <w:sz w:val="22"/>
              </w:rPr>
              <w:t>400</w:t>
            </w:r>
          </w:p>
        </w:tc>
        <w:tc>
          <w:tcPr>
            <w:tcW w:w="1489" w:type="dxa"/>
            <w:shd w:val="clear" w:color="auto" w:fill="auto"/>
            <w:noWrap/>
            <w:vAlign w:val="center"/>
          </w:tcPr>
          <w:p w14:paraId="6FCC3D4C">
            <w:pPr>
              <w:widowControl/>
              <w:jc w:val="left"/>
              <w:rPr>
                <w:rFonts w:ascii="宋体" w:hAnsi="宋体" w:cs="宋体"/>
                <w:kern w:val="0"/>
                <w:sz w:val="22"/>
              </w:rPr>
            </w:pPr>
            <w:r>
              <w:rPr>
                <w:rFonts w:hint="eastAsia" w:ascii="宋体" w:hAnsi="宋体" w:cs="宋体"/>
                <w:kern w:val="0"/>
                <w:sz w:val="22"/>
              </w:rPr>
              <w:t>400</w:t>
            </w:r>
          </w:p>
        </w:tc>
      </w:tr>
      <w:tr w14:paraId="43BC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243043F8">
            <w:pPr>
              <w:widowControl/>
              <w:jc w:val="left"/>
              <w:rPr>
                <w:rFonts w:ascii="宋体" w:hAnsi="宋体" w:cs="宋体"/>
                <w:kern w:val="0"/>
                <w:sz w:val="22"/>
              </w:rPr>
            </w:pPr>
            <w:r>
              <w:rPr>
                <w:rFonts w:hint="eastAsia" w:ascii="宋体" w:hAnsi="宋体" w:cs="宋体"/>
                <w:kern w:val="0"/>
                <w:sz w:val="22"/>
              </w:rPr>
              <w:t>12</w:t>
            </w:r>
          </w:p>
        </w:tc>
        <w:tc>
          <w:tcPr>
            <w:tcW w:w="1072" w:type="dxa"/>
            <w:shd w:val="clear" w:color="auto" w:fill="auto"/>
            <w:vAlign w:val="center"/>
          </w:tcPr>
          <w:p w14:paraId="6AAC5742">
            <w:pPr>
              <w:widowControl/>
              <w:jc w:val="left"/>
              <w:rPr>
                <w:rFonts w:ascii="宋体" w:hAnsi="宋体" w:cs="宋体"/>
                <w:kern w:val="0"/>
                <w:sz w:val="22"/>
              </w:rPr>
            </w:pPr>
            <w:r>
              <w:rPr>
                <w:rFonts w:hint="eastAsia" w:ascii="宋体" w:hAnsi="宋体" w:cs="宋体"/>
                <w:kern w:val="0"/>
                <w:sz w:val="22"/>
              </w:rPr>
              <w:t>综合布线</w:t>
            </w:r>
          </w:p>
        </w:tc>
        <w:tc>
          <w:tcPr>
            <w:tcW w:w="4897" w:type="dxa"/>
            <w:shd w:val="clear" w:color="auto" w:fill="auto"/>
            <w:vAlign w:val="center"/>
          </w:tcPr>
          <w:p w14:paraId="709C7AD5">
            <w:pPr>
              <w:widowControl/>
              <w:jc w:val="left"/>
              <w:rPr>
                <w:rFonts w:ascii="宋体" w:hAnsi="宋体" w:cs="宋体"/>
                <w:kern w:val="0"/>
                <w:sz w:val="22"/>
              </w:rPr>
            </w:pPr>
            <w:r>
              <w:rPr>
                <w:rFonts w:hint="eastAsia" w:ascii="宋体" w:hAnsi="宋体" w:cs="宋体"/>
                <w:kern w:val="0"/>
                <w:sz w:val="22"/>
              </w:rPr>
              <w:t>1.材料：HDMI线，铜线电源线，音频线，插座等必备配件，六类网线。 PVC不燃线槽（管）、视频线接头、电源插座等线材设备以及相关的周边设备、音视频线接头及相关配件、材料全部包干并安装、调试、培训直至设备正常使用；</w:t>
            </w:r>
            <w:r>
              <w:rPr>
                <w:rFonts w:hint="eastAsia" w:ascii="宋体" w:hAnsi="宋体" w:cs="宋体"/>
                <w:kern w:val="0"/>
                <w:sz w:val="22"/>
              </w:rPr>
              <w:br w:type="textWrapping"/>
            </w:r>
            <w:r>
              <w:rPr>
                <w:rFonts w:hint="eastAsia" w:ascii="宋体" w:hAnsi="宋体" w:cs="宋体"/>
                <w:kern w:val="0"/>
                <w:sz w:val="22"/>
              </w:rPr>
              <w:t>2.如有开槽施工，开槽后的回填方案由使用方签字确认后实施。</w:t>
            </w:r>
            <w:r>
              <w:rPr>
                <w:rFonts w:hint="eastAsia" w:ascii="宋体" w:hAnsi="宋体" w:cs="宋体"/>
                <w:kern w:val="0"/>
                <w:sz w:val="22"/>
              </w:rPr>
              <w:br w:type="textWrapping"/>
            </w:r>
            <w:r>
              <w:rPr>
                <w:rFonts w:hint="eastAsia" w:ascii="宋体" w:hAnsi="宋体" w:cs="宋体"/>
                <w:kern w:val="0"/>
                <w:sz w:val="22"/>
              </w:rPr>
              <w:t>3.安装工艺：安装前要把安装方案的思路（如开槽或吊装等）、优点、可能存在的问题事先与学校沟通好，形成书面协议、图样，由学校盖章确认后再实施。</w:t>
            </w:r>
          </w:p>
        </w:tc>
        <w:tc>
          <w:tcPr>
            <w:tcW w:w="462" w:type="dxa"/>
            <w:shd w:val="clear" w:color="auto" w:fill="auto"/>
            <w:noWrap/>
            <w:vAlign w:val="center"/>
          </w:tcPr>
          <w:p w14:paraId="3E2120E2">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17F76056">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08377BBE">
            <w:pPr>
              <w:widowControl/>
              <w:jc w:val="left"/>
              <w:rPr>
                <w:rFonts w:ascii="宋体" w:hAnsi="宋体" w:cs="宋体"/>
                <w:kern w:val="0"/>
                <w:sz w:val="22"/>
              </w:rPr>
            </w:pPr>
            <w:r>
              <w:rPr>
                <w:rFonts w:hint="eastAsia" w:ascii="宋体" w:hAnsi="宋体" w:cs="宋体"/>
                <w:kern w:val="0"/>
                <w:sz w:val="22"/>
              </w:rPr>
              <w:t>5000</w:t>
            </w:r>
          </w:p>
        </w:tc>
        <w:tc>
          <w:tcPr>
            <w:tcW w:w="1489" w:type="dxa"/>
            <w:shd w:val="clear" w:color="auto" w:fill="auto"/>
            <w:noWrap/>
            <w:vAlign w:val="center"/>
          </w:tcPr>
          <w:p w14:paraId="5392D9DA">
            <w:pPr>
              <w:widowControl/>
              <w:jc w:val="left"/>
              <w:rPr>
                <w:rFonts w:ascii="宋体" w:hAnsi="宋体" w:cs="宋体"/>
                <w:kern w:val="0"/>
                <w:sz w:val="22"/>
              </w:rPr>
            </w:pPr>
            <w:r>
              <w:rPr>
                <w:rFonts w:hint="eastAsia" w:ascii="宋体" w:hAnsi="宋体" w:cs="宋体"/>
                <w:kern w:val="0"/>
                <w:sz w:val="22"/>
              </w:rPr>
              <w:t>5000</w:t>
            </w:r>
          </w:p>
        </w:tc>
      </w:tr>
      <w:tr w14:paraId="5578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226" w:type="dxa"/>
            <w:gridSpan w:val="7"/>
            <w:shd w:val="clear" w:color="auto" w:fill="auto"/>
            <w:vAlign w:val="center"/>
          </w:tcPr>
          <w:p w14:paraId="2AA34AC8">
            <w:pPr>
              <w:widowControl/>
              <w:jc w:val="left"/>
              <w:textAlignment w:val="center"/>
              <w:rPr>
                <w:rFonts w:ascii="宋体" w:hAnsi="宋体" w:cs="宋体"/>
                <w:kern w:val="0"/>
                <w:sz w:val="22"/>
              </w:rPr>
            </w:pPr>
            <w:r>
              <w:rPr>
                <w:rFonts w:hint="eastAsia" w:ascii="宋体" w:hAnsi="宋体" w:cs="宋体"/>
                <w:b/>
                <w:bCs/>
                <w:kern w:val="0"/>
                <w:sz w:val="22"/>
              </w:rPr>
              <w:t>四、化学数字化实验室（学科器材）</w:t>
            </w:r>
          </w:p>
        </w:tc>
      </w:tr>
      <w:tr w14:paraId="703C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FB7801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w:t>
            </w:r>
          </w:p>
        </w:tc>
        <w:tc>
          <w:tcPr>
            <w:tcW w:w="1072" w:type="dxa"/>
            <w:shd w:val="clear" w:color="auto" w:fill="auto"/>
            <w:noWrap/>
            <w:vAlign w:val="center"/>
          </w:tcPr>
          <w:p w14:paraId="0DB96A9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计算机</w:t>
            </w:r>
          </w:p>
        </w:tc>
        <w:tc>
          <w:tcPr>
            <w:tcW w:w="4897" w:type="dxa"/>
            <w:shd w:val="clear" w:color="auto" w:fill="auto"/>
            <w:vAlign w:val="center"/>
          </w:tcPr>
          <w:p w14:paraId="1D39F45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台式机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一、硬件配置（不得低于以下配置参数，可高于）：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▲1.CPU:第12代英特尔酷睿6核I5-12500同类或以上处理器，最高睿频：4.2GHz，12M三级缓存；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▲2.主板：英特尔600系列芯片组同类或以上主板，带BIOS自动控制的可变速CPU风扇，配备智能散热系统包括由BIOS管理的智能风扇通过对机箱内部的温度感应来调节风扇速度，有效的降低噪音的同时高效散热功能；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3.扩展插槽： 1个PCIe x1，1个PCIe x16，1个PCI；</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▲4.内存：16G DDR4 2933，2个DIMM插槽，最高支持128G内存,支持双通道内存；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5.端口和接口：前置1个麦克风/耳机组合插孔，5个USB 3.1 Gen 1；后置1个HDMI， 1个音频输入，1个音频输出，1个麦克风输入，1个RJ-45，1个VGA，2个USB 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▲6.硬盘：本次配置原厂1TB SSD M.2 PL固态硬盘，支持混合双硬盘；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▲7.显卡：Intel UHD Graphics 750高性能同类或以上集成显卡， HDMI+VGA支持双屏屏幕1080P分辨率输出；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8.网络接口：集成千兆网卡10/100/1000M以太网卡；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9.电源：采用要求电源额定300W高效白金级高效率热插拔电源模块，支持睿能技术，噪音优化；兼容市场主流电源.完美适配；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10.键盘/鼠标：原厂同品牌标准键盘和鼠标；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▲11.机箱：前置电源开关, 内置2W扬声器/0.6mm厚精钢防辐射机箱，不大于17L机箱（宽度小于等于18CM）；适配电脑桌尺寸；显示器23.8”英寸宽屏LED IPS背光液晶显示器，最高分辨率≥1920*1080；通过蓝光危害试验，最大可降低70%蓝光危害辐照度值。</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▲二、软件要求：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1.操作系统：出厂预装Windows10正版操作系统。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原厂网络同传管理功能：支持同一硬盘上支持同时安装24个操作系统；在同一硬盘上同时支持40个分区（包括启动分区和数据分区）；支持可由任意一台主机发起网络拷贝、增量拷贝和临时部署；网络传输速度标值：千兆网卡：1GB-7GB/Min；支持断点续传功能：支持多种情况的断点续传功能；支持网络故障定位：支持网络故障定位，便于排查；支持在局域网内分组管理；支持硬盘容量差异网络拷贝；支持6秒内的物理掉线(断路)可自动恢复；支持网络传输数据加密；网络克隆维护：在局域网络内一次可传输250台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三、配置正版管理终端系统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 系统支持全中文界面，B/S架构，管理员只需通过浏览器登录控制中心，即可对系统进p行管理；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 客户端支持WindowsXP、Windows 7、Windows 8、Windows 10、Windows2003、Windows2008、Windows2012等32位/64位微软操作系统，同时应支持Centos、Redhat、Ubuntu等Linux操作系统以及中标麒麟、银河麒麟等国产操作系统；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▲3.客户端安装后占用小于30MB存储资源，病毒库小于3MB，日常内存占用小于10MB，有效节省PC或Server资源；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4.支持本地上传客户端升级包或https/ftp远端同步方式更新客户端，可根据不同网络环境提供在线获取和隔离网获取相应工具；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▲5.支持单个或多个客户端不同管理中心的平滑迁移，迁移过程自动完成，无需手动添加客户端；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6.控制中心支持全网、分组、标签等方式指定某些客户端定制特殊策略，特殊策略包括文件实时监控、恶意行为监控、下载保护、系统加固、软件安装拦截、浏览器保护、黑客入侵拦截、恶意网站拦截等；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7.支持网络准入功能，支持标准802.1x协议，通过与支持该协议的交换机联动，实现有线局域网网络准入；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▲8.支持敏感数据防泄漏，支持敏感信息检查，针对终端存储的word、pdf、Excel、文本文件等进行全盘关键字检查，对含有制定关键字的文档进行禁止发送、禁止打印、禁止拷贝等管控；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▲9.要求对流行病毒的检测能力必须超过98%的检出率，超过98%的清除率，小于0.1%的误报率；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 支持对webshell后门进行扫描检测 , webshell后门库数量大于90000条；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▲11.支持非法外联监控，实时检测内部网络用户通过调制解调器、ADSL、双网卡等任意连接设备非法外联互联网行为，支持报警、断开网络、自动重启等管控措施；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12.支持终端防火墙功能，支持包括但不限于通过协议（TCP、UDP、ICMP、IGMP、GGP、PUP、IDP、ND、ESP、AH、RDP、GRE、SKIP、RAW），端口号，IP地址、进出口方向等控制规则对终端进行防护，从网络层保护终端安全；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 须有正版序列号，支持电话查询真伪；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 投标时提供所竞标产品的节能产品认证证书扫描件（加盖供应商公章）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四、服务及保修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原厂五年有限保修（鼠标键盘1年），365天全年无休。具备微信、QQ等即时通讯群组服务能力，提供自助查询、驱动自动下载、在线技术支持、维修单进度查询等自助售后功能，中标后须提供产品生产厂家官网截图证明（包含官网链接、服务平台微信二维码、功能模块简单介绍、微信服务平台关注流程指引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2.所投产品为商用节能认证产品、环境标志产品产品。供货时提供3年7x24售后支持服务证明，提供原厂基础安装服务。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3.供货时提供防雷击检测报告及证书扫描件证明。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4.为了证明产品可靠性，供货时提供国家认可的第三方检测机构出具的认证产品相关证书。</w:t>
            </w:r>
          </w:p>
        </w:tc>
        <w:tc>
          <w:tcPr>
            <w:tcW w:w="462" w:type="dxa"/>
            <w:shd w:val="clear" w:color="auto" w:fill="auto"/>
            <w:vAlign w:val="center"/>
          </w:tcPr>
          <w:p w14:paraId="535FD2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1E1F10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28C3EF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c>
          <w:tcPr>
            <w:tcW w:w="1489" w:type="dxa"/>
            <w:shd w:val="clear" w:color="auto" w:fill="auto"/>
            <w:vAlign w:val="center"/>
          </w:tcPr>
          <w:p w14:paraId="7FD02C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r>
      <w:tr w14:paraId="595D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E6834D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w:t>
            </w:r>
          </w:p>
        </w:tc>
        <w:tc>
          <w:tcPr>
            <w:tcW w:w="1072" w:type="dxa"/>
            <w:shd w:val="clear" w:color="auto" w:fill="auto"/>
            <w:vAlign w:val="center"/>
          </w:tcPr>
          <w:p w14:paraId="5EC07D1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网络接入设备</w:t>
            </w:r>
          </w:p>
        </w:tc>
        <w:tc>
          <w:tcPr>
            <w:tcW w:w="4897" w:type="dxa"/>
            <w:shd w:val="clear" w:color="auto" w:fill="auto"/>
            <w:vAlign w:val="center"/>
          </w:tcPr>
          <w:p w14:paraId="198CAD4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保证计算机联网，宜千兆到桌面，室内宜实现无线网覆盖</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1、路由器2台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6000M双频超千兆Wi-Fi 6无线路由器，外置天线设计，四核旗舰CPU，2500M宽带接入能力，推荐带机100台终端，无线：双频6000Mbps；端口：1个2.5G WAN/LAN口，4个千兆网口，支持双WAN/LAN叠加，特有自研多台“一键易联”技术，支持Wi-Fi无缝漫游，支持睿易APP                                            2、交换机1台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24个10/100/1000Mbps电口，支持端口状态/流量查询，端口远程重启，交换机远程重启，VLAN隔离，端口隔离，环路保护，DHCP Snooping等，支持EWEB/APP/MACC远程管理。</w:t>
            </w:r>
          </w:p>
        </w:tc>
        <w:tc>
          <w:tcPr>
            <w:tcW w:w="462" w:type="dxa"/>
            <w:shd w:val="clear" w:color="auto" w:fill="auto"/>
            <w:vAlign w:val="center"/>
          </w:tcPr>
          <w:p w14:paraId="44E084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744D47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3AE24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2240</w:t>
            </w:r>
          </w:p>
        </w:tc>
        <w:tc>
          <w:tcPr>
            <w:tcW w:w="1489" w:type="dxa"/>
            <w:shd w:val="clear" w:color="auto" w:fill="auto"/>
            <w:vAlign w:val="center"/>
          </w:tcPr>
          <w:p w14:paraId="5ACBD9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2240</w:t>
            </w:r>
          </w:p>
        </w:tc>
      </w:tr>
      <w:tr w14:paraId="4873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852036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w:t>
            </w:r>
          </w:p>
        </w:tc>
        <w:tc>
          <w:tcPr>
            <w:tcW w:w="1072" w:type="dxa"/>
            <w:shd w:val="clear" w:color="auto" w:fill="auto"/>
            <w:vAlign w:val="center"/>
          </w:tcPr>
          <w:p w14:paraId="7D5A4D1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危险化学品储存柜</w:t>
            </w:r>
          </w:p>
        </w:tc>
        <w:tc>
          <w:tcPr>
            <w:tcW w:w="4897" w:type="dxa"/>
            <w:shd w:val="clear" w:color="auto" w:fill="auto"/>
            <w:vAlign w:val="center"/>
          </w:tcPr>
          <w:p w14:paraId="0C4CDCD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900mmX510mmX1200mm,，柜整体为两层防火钢板构造，壳体全部采用1.2mm优质冷轧钢板，柜底采用2.0mm冷轧钢板，柜体内胆采用pp板，柜底配有可调风阀，柜体的底板中部有直径为10mm的漏液孔，柜体底部设有高度为160mm的黄沙挡板，最下层留有120mm厚的黄沙填埋腔，柜底装有4个直径是60mm的移动钢轮，前轮后有2个手动调节螺杆，柜中有3个三层阶梯式活动隔板并附有pp板，下层隔板边沿镶有护栏，护栏中间嵌有红黄蓝警示标志，柜子顶部中间带有风机出风口，电源电压220V，控制开关位于柜体右上角，柜门上安装有电子密码锁和机械锁（双锁结构）。防火，防盗，防腐蚀。</w:t>
            </w:r>
          </w:p>
        </w:tc>
        <w:tc>
          <w:tcPr>
            <w:tcW w:w="462" w:type="dxa"/>
            <w:shd w:val="clear" w:color="auto" w:fill="auto"/>
            <w:vAlign w:val="center"/>
          </w:tcPr>
          <w:p w14:paraId="7BC15B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3D2DD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0B902A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3860</w:t>
            </w:r>
          </w:p>
        </w:tc>
        <w:tc>
          <w:tcPr>
            <w:tcW w:w="1489" w:type="dxa"/>
            <w:shd w:val="clear" w:color="auto" w:fill="auto"/>
            <w:vAlign w:val="center"/>
          </w:tcPr>
          <w:p w14:paraId="34A8BD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3860</w:t>
            </w:r>
          </w:p>
        </w:tc>
      </w:tr>
      <w:tr w14:paraId="0FBC8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D86861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w:t>
            </w:r>
          </w:p>
        </w:tc>
        <w:tc>
          <w:tcPr>
            <w:tcW w:w="1072" w:type="dxa"/>
            <w:shd w:val="clear" w:color="auto" w:fill="auto"/>
            <w:vAlign w:val="center"/>
          </w:tcPr>
          <w:p w14:paraId="7CD1E3C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危险化学品储存柜</w:t>
            </w:r>
          </w:p>
        </w:tc>
        <w:tc>
          <w:tcPr>
            <w:tcW w:w="4897" w:type="dxa"/>
            <w:shd w:val="clear" w:color="auto" w:fill="auto"/>
            <w:vAlign w:val="center"/>
          </w:tcPr>
          <w:p w14:paraId="1B1B826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900mmX510mmX1840mm,规格：900×500×1840mm，柜整体为两层防火钢板构造，壳体全部采用1.2mm优质冷轧钢板，柜底采用2.0mm冷轧钢板，柜体内胆采用pp板，柜底配有可调风阀，柜体的底板中部有直径为10mm的漏液孔，柜体底部设有高度为160mm的黄沙挡板，最下层留有120mm厚的黄沙填埋腔，柜底装有4个直径是60mm的移动钢轮，前轮后有2个手动调节螺杆，柜中有3个三层阶梯式活动隔板并附有pp板，下层隔板边沿镶有护栏，护栏中间嵌有红黄蓝警示标志，柜子顶部中间带有风机出风口，电源电压220V，控制开关位于柜体右上角，柜门上安装有电子密码锁和机械锁（双锁结构）。防火，防盗，防腐蚀。</w:t>
            </w:r>
          </w:p>
        </w:tc>
        <w:tc>
          <w:tcPr>
            <w:tcW w:w="462" w:type="dxa"/>
            <w:shd w:val="clear" w:color="auto" w:fill="auto"/>
            <w:vAlign w:val="center"/>
          </w:tcPr>
          <w:p w14:paraId="0966D6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942BCD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20534C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5510</w:t>
            </w:r>
          </w:p>
        </w:tc>
        <w:tc>
          <w:tcPr>
            <w:tcW w:w="1489" w:type="dxa"/>
            <w:shd w:val="clear" w:color="auto" w:fill="auto"/>
            <w:vAlign w:val="center"/>
          </w:tcPr>
          <w:p w14:paraId="369BBD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5510</w:t>
            </w:r>
          </w:p>
        </w:tc>
      </w:tr>
      <w:tr w14:paraId="7D0A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EB6911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w:t>
            </w:r>
          </w:p>
        </w:tc>
        <w:tc>
          <w:tcPr>
            <w:tcW w:w="1072" w:type="dxa"/>
            <w:shd w:val="clear" w:color="auto" w:fill="auto"/>
            <w:vAlign w:val="center"/>
          </w:tcPr>
          <w:p w14:paraId="4CE8257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紧急喷淋器</w:t>
            </w:r>
          </w:p>
        </w:tc>
        <w:tc>
          <w:tcPr>
            <w:tcW w:w="4897" w:type="dxa"/>
            <w:shd w:val="clear" w:color="auto" w:fill="auto"/>
            <w:vAlign w:val="center"/>
          </w:tcPr>
          <w:p w14:paraId="00F1725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不锈钢材质，喷淋流量120L/min</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180L/min</w:t>
            </w:r>
          </w:p>
        </w:tc>
        <w:tc>
          <w:tcPr>
            <w:tcW w:w="462" w:type="dxa"/>
            <w:shd w:val="clear" w:color="auto" w:fill="auto"/>
            <w:vAlign w:val="center"/>
          </w:tcPr>
          <w:p w14:paraId="49BB30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D31CC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6A8171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2145</w:t>
            </w:r>
          </w:p>
        </w:tc>
        <w:tc>
          <w:tcPr>
            <w:tcW w:w="1489" w:type="dxa"/>
            <w:shd w:val="clear" w:color="auto" w:fill="auto"/>
            <w:vAlign w:val="center"/>
          </w:tcPr>
          <w:p w14:paraId="02E096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2145</w:t>
            </w:r>
          </w:p>
        </w:tc>
      </w:tr>
      <w:tr w14:paraId="7B1A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98698B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w:t>
            </w:r>
          </w:p>
        </w:tc>
        <w:tc>
          <w:tcPr>
            <w:tcW w:w="1072" w:type="dxa"/>
            <w:shd w:val="clear" w:color="auto" w:fill="auto"/>
            <w:vAlign w:val="center"/>
          </w:tcPr>
          <w:p w14:paraId="7B9E27B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灭火毯</w:t>
            </w:r>
          </w:p>
        </w:tc>
        <w:tc>
          <w:tcPr>
            <w:tcW w:w="4897" w:type="dxa"/>
            <w:shd w:val="clear" w:color="auto" w:fill="auto"/>
            <w:vAlign w:val="center"/>
          </w:tcPr>
          <w:p w14:paraId="7D66C10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玻璃纤维材质，1200mmX1800mm</w:t>
            </w:r>
          </w:p>
        </w:tc>
        <w:tc>
          <w:tcPr>
            <w:tcW w:w="462" w:type="dxa"/>
            <w:shd w:val="clear" w:color="auto" w:fill="auto"/>
            <w:vAlign w:val="center"/>
          </w:tcPr>
          <w:p w14:paraId="6A089E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vAlign w:val="center"/>
          </w:tcPr>
          <w:p w14:paraId="67C60B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33C223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135</w:t>
            </w:r>
          </w:p>
        </w:tc>
        <w:tc>
          <w:tcPr>
            <w:tcW w:w="1489" w:type="dxa"/>
            <w:shd w:val="clear" w:color="auto" w:fill="auto"/>
            <w:vAlign w:val="center"/>
          </w:tcPr>
          <w:p w14:paraId="39E0AB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270</w:t>
            </w:r>
          </w:p>
        </w:tc>
      </w:tr>
      <w:tr w14:paraId="6731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BC677D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w:t>
            </w:r>
          </w:p>
        </w:tc>
        <w:tc>
          <w:tcPr>
            <w:tcW w:w="1072" w:type="dxa"/>
            <w:shd w:val="clear" w:color="auto" w:fill="auto"/>
            <w:vAlign w:val="center"/>
          </w:tcPr>
          <w:p w14:paraId="47F1807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实验服</w:t>
            </w:r>
          </w:p>
        </w:tc>
        <w:tc>
          <w:tcPr>
            <w:tcW w:w="4897" w:type="dxa"/>
            <w:shd w:val="clear" w:color="auto" w:fill="auto"/>
            <w:vAlign w:val="center"/>
          </w:tcPr>
          <w:p w14:paraId="16D99ED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可分为大、中、小号</w:t>
            </w:r>
          </w:p>
        </w:tc>
        <w:tc>
          <w:tcPr>
            <w:tcW w:w="462" w:type="dxa"/>
            <w:shd w:val="clear" w:color="auto" w:fill="auto"/>
            <w:vAlign w:val="center"/>
          </w:tcPr>
          <w:p w14:paraId="35AF30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vAlign w:val="center"/>
          </w:tcPr>
          <w:p w14:paraId="1CD78C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143520A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53</w:t>
            </w:r>
          </w:p>
        </w:tc>
        <w:tc>
          <w:tcPr>
            <w:tcW w:w="1489" w:type="dxa"/>
            <w:shd w:val="clear" w:color="auto" w:fill="auto"/>
            <w:vAlign w:val="center"/>
          </w:tcPr>
          <w:p w14:paraId="553181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3180</w:t>
            </w:r>
          </w:p>
        </w:tc>
      </w:tr>
      <w:tr w14:paraId="63A2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6B157A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w:t>
            </w:r>
          </w:p>
        </w:tc>
        <w:tc>
          <w:tcPr>
            <w:tcW w:w="1072" w:type="dxa"/>
            <w:shd w:val="clear" w:color="auto" w:fill="auto"/>
            <w:vAlign w:val="center"/>
          </w:tcPr>
          <w:p w14:paraId="0C7D4AE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护目镜</w:t>
            </w:r>
          </w:p>
        </w:tc>
        <w:tc>
          <w:tcPr>
            <w:tcW w:w="4897" w:type="dxa"/>
            <w:shd w:val="clear" w:color="auto" w:fill="auto"/>
            <w:vAlign w:val="center"/>
          </w:tcPr>
          <w:p w14:paraId="3DAF960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封闭型，耐酸碱，抗冲击，耐磨，便于清洗</w:t>
            </w:r>
          </w:p>
        </w:tc>
        <w:tc>
          <w:tcPr>
            <w:tcW w:w="462" w:type="dxa"/>
            <w:shd w:val="clear" w:color="auto" w:fill="auto"/>
            <w:vAlign w:val="center"/>
          </w:tcPr>
          <w:p w14:paraId="141A51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0A8D0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774B6F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vAlign w:val="center"/>
          </w:tcPr>
          <w:p w14:paraId="23FE08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1256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1D8C83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w:t>
            </w:r>
          </w:p>
        </w:tc>
        <w:tc>
          <w:tcPr>
            <w:tcW w:w="1072" w:type="dxa"/>
            <w:shd w:val="clear" w:color="auto" w:fill="auto"/>
            <w:vAlign w:val="center"/>
          </w:tcPr>
          <w:p w14:paraId="2486E86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化学实验废水处理装置</w:t>
            </w:r>
          </w:p>
        </w:tc>
        <w:tc>
          <w:tcPr>
            <w:tcW w:w="4897" w:type="dxa"/>
            <w:shd w:val="clear" w:color="auto" w:fill="auto"/>
            <w:vAlign w:val="center"/>
          </w:tcPr>
          <w:p w14:paraId="668DED2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主体透明，兼作教学使用，能进行pH测试、酸碱废液中和、重金属离子凝聚和过滤，能处理中学常见无机化学废液，同时可以通过仪器内的活性炭吸附少量混入的有机物。应配备适量的凝聚剂和助凝剂，至少应配备更换用活性炭包2个。处理量≥6L/次</w:t>
            </w:r>
          </w:p>
        </w:tc>
        <w:tc>
          <w:tcPr>
            <w:tcW w:w="462" w:type="dxa"/>
            <w:shd w:val="clear" w:color="auto" w:fill="auto"/>
            <w:vAlign w:val="center"/>
          </w:tcPr>
          <w:p w14:paraId="6DD03D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68E277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30185E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1465</w:t>
            </w:r>
          </w:p>
        </w:tc>
        <w:tc>
          <w:tcPr>
            <w:tcW w:w="1489" w:type="dxa"/>
            <w:shd w:val="clear" w:color="auto" w:fill="auto"/>
            <w:vAlign w:val="center"/>
          </w:tcPr>
          <w:p w14:paraId="7C7AE9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1465</w:t>
            </w:r>
          </w:p>
        </w:tc>
      </w:tr>
      <w:tr w14:paraId="2B50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CD755B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w:t>
            </w:r>
          </w:p>
        </w:tc>
        <w:tc>
          <w:tcPr>
            <w:tcW w:w="1072" w:type="dxa"/>
            <w:shd w:val="clear" w:color="auto" w:fill="auto"/>
            <w:vAlign w:val="center"/>
          </w:tcPr>
          <w:p w14:paraId="5BFFDF7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废液分类回收桶</w:t>
            </w:r>
          </w:p>
        </w:tc>
        <w:tc>
          <w:tcPr>
            <w:tcW w:w="4897" w:type="dxa"/>
            <w:shd w:val="clear" w:color="auto" w:fill="auto"/>
            <w:vAlign w:val="center"/>
          </w:tcPr>
          <w:p w14:paraId="022CA27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塑料制，25L</w:t>
            </w:r>
          </w:p>
        </w:tc>
        <w:tc>
          <w:tcPr>
            <w:tcW w:w="462" w:type="dxa"/>
            <w:shd w:val="clear" w:color="auto" w:fill="auto"/>
            <w:vAlign w:val="center"/>
          </w:tcPr>
          <w:p w14:paraId="056249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69B9D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vAlign w:val="center"/>
          </w:tcPr>
          <w:p w14:paraId="3AFFB2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vAlign w:val="center"/>
          </w:tcPr>
          <w:p w14:paraId="7E7A0C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r>
      <w:tr w14:paraId="763F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F41CD4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w:t>
            </w:r>
          </w:p>
        </w:tc>
        <w:tc>
          <w:tcPr>
            <w:tcW w:w="1072" w:type="dxa"/>
            <w:shd w:val="clear" w:color="auto" w:fill="auto"/>
            <w:vAlign w:val="center"/>
          </w:tcPr>
          <w:p w14:paraId="5A6CC13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电加热器</w:t>
            </w:r>
          </w:p>
        </w:tc>
        <w:tc>
          <w:tcPr>
            <w:tcW w:w="4897" w:type="dxa"/>
            <w:shd w:val="clear" w:color="auto" w:fill="auto"/>
            <w:vAlign w:val="center"/>
          </w:tcPr>
          <w:p w14:paraId="193CF2B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密封式、方形结构。</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1、额定电压AC220V±5％50Hz＋5,消耗功率1000W。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2、加热盘直径150mm。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3、温控旋扭控制温度，指示灯显示加热。</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4、外形尺寸：210×210×50(mm)。</w:t>
            </w:r>
          </w:p>
        </w:tc>
        <w:tc>
          <w:tcPr>
            <w:tcW w:w="462" w:type="dxa"/>
            <w:shd w:val="clear" w:color="auto" w:fill="auto"/>
            <w:vAlign w:val="center"/>
          </w:tcPr>
          <w:p w14:paraId="5238E0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AF73C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29CD00D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c>
          <w:tcPr>
            <w:tcW w:w="1489" w:type="dxa"/>
            <w:shd w:val="clear" w:color="auto" w:fill="auto"/>
            <w:vAlign w:val="center"/>
          </w:tcPr>
          <w:p w14:paraId="38A6E8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r>
      <w:tr w14:paraId="7AF2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5E09C4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w:t>
            </w:r>
          </w:p>
        </w:tc>
        <w:tc>
          <w:tcPr>
            <w:tcW w:w="1072" w:type="dxa"/>
            <w:shd w:val="clear" w:color="auto" w:fill="auto"/>
            <w:vAlign w:val="center"/>
          </w:tcPr>
          <w:p w14:paraId="44D92AF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列管式烘干器</w:t>
            </w:r>
          </w:p>
        </w:tc>
        <w:tc>
          <w:tcPr>
            <w:tcW w:w="4897" w:type="dxa"/>
            <w:shd w:val="clear" w:color="auto" w:fill="auto"/>
            <w:vAlign w:val="center"/>
          </w:tcPr>
          <w:p w14:paraId="5A51017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由外壳、不少于13支通风管、电源线、发热器、风扇等组成。通风管用外径12mm的金属管制作，管壁厚≥2mm,长度185mm,每支通风管上均布10个直径5mm的通气孔。功率≥250W,绝缘电阻大于100MΩ</w:t>
            </w:r>
          </w:p>
        </w:tc>
        <w:tc>
          <w:tcPr>
            <w:tcW w:w="462" w:type="dxa"/>
            <w:shd w:val="clear" w:color="auto" w:fill="auto"/>
            <w:vAlign w:val="center"/>
          </w:tcPr>
          <w:p w14:paraId="70B323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2364DD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6FA3C3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412</w:t>
            </w:r>
          </w:p>
        </w:tc>
        <w:tc>
          <w:tcPr>
            <w:tcW w:w="1489" w:type="dxa"/>
            <w:shd w:val="clear" w:color="auto" w:fill="auto"/>
            <w:vAlign w:val="center"/>
          </w:tcPr>
          <w:p w14:paraId="788AAB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412</w:t>
            </w:r>
          </w:p>
        </w:tc>
      </w:tr>
      <w:tr w14:paraId="7591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630FFC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w:t>
            </w:r>
          </w:p>
        </w:tc>
        <w:tc>
          <w:tcPr>
            <w:tcW w:w="1072" w:type="dxa"/>
            <w:shd w:val="clear" w:color="auto" w:fill="auto"/>
            <w:vAlign w:val="center"/>
          </w:tcPr>
          <w:p w14:paraId="30D2611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烘干箱</w:t>
            </w:r>
          </w:p>
        </w:tc>
        <w:tc>
          <w:tcPr>
            <w:tcW w:w="4897" w:type="dxa"/>
            <w:shd w:val="clear" w:color="auto" w:fill="auto"/>
            <w:vAlign w:val="center"/>
          </w:tcPr>
          <w:p w14:paraId="11E2C43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电热鼓风型,最高工作温度为250℃,温度波动度限值为±1.0℃,箱体内有隔板,内部容积≥350mmX350mmX350mm</w:t>
            </w:r>
          </w:p>
        </w:tc>
        <w:tc>
          <w:tcPr>
            <w:tcW w:w="462" w:type="dxa"/>
            <w:shd w:val="clear" w:color="auto" w:fill="auto"/>
            <w:vAlign w:val="center"/>
          </w:tcPr>
          <w:p w14:paraId="438E08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3AF5BC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005054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1540</w:t>
            </w:r>
          </w:p>
        </w:tc>
        <w:tc>
          <w:tcPr>
            <w:tcW w:w="1489" w:type="dxa"/>
            <w:shd w:val="clear" w:color="auto" w:fill="auto"/>
            <w:vAlign w:val="center"/>
          </w:tcPr>
          <w:p w14:paraId="24C6B1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1540</w:t>
            </w:r>
          </w:p>
        </w:tc>
      </w:tr>
      <w:tr w14:paraId="1F22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D64C67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w:t>
            </w:r>
          </w:p>
        </w:tc>
        <w:tc>
          <w:tcPr>
            <w:tcW w:w="1072" w:type="dxa"/>
            <w:shd w:val="clear" w:color="auto" w:fill="auto"/>
            <w:vAlign w:val="center"/>
          </w:tcPr>
          <w:p w14:paraId="4E1DECD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教学电源</w:t>
            </w:r>
          </w:p>
        </w:tc>
        <w:tc>
          <w:tcPr>
            <w:tcW w:w="4897" w:type="dxa"/>
            <w:shd w:val="clear" w:color="auto" w:fill="auto"/>
            <w:vAlign w:val="center"/>
          </w:tcPr>
          <w:p w14:paraId="6D13BD7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交流2V</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12V,5A,每2V一档；直流1.5V</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12V,2A,分为1.5V、3V、4.5V、6V、9V、12V,共6档</w:t>
            </w:r>
          </w:p>
        </w:tc>
        <w:tc>
          <w:tcPr>
            <w:tcW w:w="462" w:type="dxa"/>
            <w:shd w:val="clear" w:color="auto" w:fill="auto"/>
            <w:vAlign w:val="center"/>
          </w:tcPr>
          <w:p w14:paraId="29582B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3677EA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315C24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332</w:t>
            </w:r>
          </w:p>
        </w:tc>
        <w:tc>
          <w:tcPr>
            <w:tcW w:w="1489" w:type="dxa"/>
            <w:shd w:val="clear" w:color="auto" w:fill="auto"/>
            <w:vAlign w:val="center"/>
          </w:tcPr>
          <w:p w14:paraId="36EF8D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332</w:t>
            </w:r>
          </w:p>
        </w:tc>
      </w:tr>
      <w:tr w14:paraId="1AB0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83D51A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w:t>
            </w:r>
          </w:p>
        </w:tc>
        <w:tc>
          <w:tcPr>
            <w:tcW w:w="1072" w:type="dxa"/>
            <w:shd w:val="clear" w:color="auto" w:fill="auto"/>
            <w:vAlign w:val="center"/>
          </w:tcPr>
          <w:p w14:paraId="3371AAF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仪器车</w:t>
            </w:r>
          </w:p>
        </w:tc>
        <w:tc>
          <w:tcPr>
            <w:tcW w:w="4897" w:type="dxa"/>
            <w:shd w:val="clear" w:color="auto" w:fill="auto"/>
            <w:vAlign w:val="center"/>
          </w:tcPr>
          <w:p w14:paraId="2AB97E6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600mmX400mmX800mm,不锈钢材质，至少两层，各层带可拆卸护栏，总载重≥60kg</w:t>
            </w:r>
          </w:p>
        </w:tc>
        <w:tc>
          <w:tcPr>
            <w:tcW w:w="462" w:type="dxa"/>
            <w:shd w:val="clear" w:color="auto" w:fill="auto"/>
            <w:vAlign w:val="center"/>
          </w:tcPr>
          <w:p w14:paraId="293335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辆</w:t>
            </w:r>
          </w:p>
        </w:tc>
        <w:tc>
          <w:tcPr>
            <w:tcW w:w="605" w:type="dxa"/>
            <w:shd w:val="clear" w:color="auto" w:fill="auto"/>
            <w:vAlign w:val="center"/>
          </w:tcPr>
          <w:p w14:paraId="2C88C7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165424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576</w:t>
            </w:r>
          </w:p>
        </w:tc>
        <w:tc>
          <w:tcPr>
            <w:tcW w:w="1489" w:type="dxa"/>
            <w:shd w:val="clear" w:color="auto" w:fill="auto"/>
            <w:vAlign w:val="center"/>
          </w:tcPr>
          <w:p w14:paraId="35084E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1152</w:t>
            </w:r>
          </w:p>
        </w:tc>
      </w:tr>
      <w:tr w14:paraId="38B0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36B88D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w:t>
            </w:r>
          </w:p>
        </w:tc>
        <w:tc>
          <w:tcPr>
            <w:tcW w:w="1072" w:type="dxa"/>
            <w:shd w:val="clear" w:color="auto" w:fill="auto"/>
            <w:vAlign w:val="center"/>
          </w:tcPr>
          <w:p w14:paraId="7F6E33B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试剂瓶托盘</w:t>
            </w:r>
          </w:p>
        </w:tc>
        <w:tc>
          <w:tcPr>
            <w:tcW w:w="4897" w:type="dxa"/>
            <w:shd w:val="clear" w:color="auto" w:fill="auto"/>
            <w:vAlign w:val="center"/>
          </w:tcPr>
          <w:p w14:paraId="41C1EA2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搪瓷材质，内沿≥400mmX290mmX50mm</w:t>
            </w:r>
          </w:p>
        </w:tc>
        <w:tc>
          <w:tcPr>
            <w:tcW w:w="462" w:type="dxa"/>
            <w:shd w:val="clear" w:color="auto" w:fill="auto"/>
            <w:vAlign w:val="center"/>
          </w:tcPr>
          <w:p w14:paraId="47401C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19807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c>
          <w:tcPr>
            <w:tcW w:w="1048" w:type="dxa"/>
            <w:shd w:val="clear" w:color="auto" w:fill="auto"/>
            <w:vAlign w:val="center"/>
          </w:tcPr>
          <w:p w14:paraId="4069D1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41</w:t>
            </w:r>
          </w:p>
        </w:tc>
        <w:tc>
          <w:tcPr>
            <w:tcW w:w="1489" w:type="dxa"/>
            <w:shd w:val="clear" w:color="auto" w:fill="auto"/>
            <w:vAlign w:val="center"/>
          </w:tcPr>
          <w:p w14:paraId="368F76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4920</w:t>
            </w:r>
          </w:p>
        </w:tc>
      </w:tr>
      <w:tr w14:paraId="0D0E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E9FF00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w:t>
            </w:r>
          </w:p>
        </w:tc>
        <w:tc>
          <w:tcPr>
            <w:tcW w:w="1072" w:type="dxa"/>
            <w:shd w:val="clear" w:color="auto" w:fill="auto"/>
            <w:vAlign w:val="center"/>
          </w:tcPr>
          <w:p w14:paraId="08C94DB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实验用品提篮</w:t>
            </w:r>
          </w:p>
        </w:tc>
        <w:tc>
          <w:tcPr>
            <w:tcW w:w="4897" w:type="dxa"/>
            <w:shd w:val="clear" w:color="auto" w:fill="auto"/>
            <w:vAlign w:val="center"/>
          </w:tcPr>
          <w:p w14:paraId="2DB7061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木制，配有提手，490mmX360mmX290mm</w:t>
            </w:r>
          </w:p>
        </w:tc>
        <w:tc>
          <w:tcPr>
            <w:tcW w:w="462" w:type="dxa"/>
            <w:shd w:val="clear" w:color="auto" w:fill="auto"/>
            <w:vAlign w:val="center"/>
          </w:tcPr>
          <w:p w14:paraId="6170E1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27EC9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vAlign w:val="center"/>
          </w:tcPr>
          <w:p w14:paraId="15102D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237</w:t>
            </w:r>
          </w:p>
        </w:tc>
        <w:tc>
          <w:tcPr>
            <w:tcW w:w="1489" w:type="dxa"/>
            <w:shd w:val="clear" w:color="auto" w:fill="auto"/>
            <w:vAlign w:val="center"/>
          </w:tcPr>
          <w:p w14:paraId="28A640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711</w:t>
            </w:r>
          </w:p>
        </w:tc>
      </w:tr>
      <w:tr w14:paraId="2162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1D7613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w:t>
            </w:r>
          </w:p>
        </w:tc>
        <w:tc>
          <w:tcPr>
            <w:tcW w:w="1072" w:type="dxa"/>
            <w:shd w:val="clear" w:color="auto" w:fill="auto"/>
            <w:vAlign w:val="center"/>
          </w:tcPr>
          <w:p w14:paraId="6EBA9BE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一字螺丝刀</w:t>
            </w:r>
          </w:p>
        </w:tc>
        <w:tc>
          <w:tcPr>
            <w:tcW w:w="4897" w:type="dxa"/>
            <w:shd w:val="clear" w:color="auto" w:fill="auto"/>
            <w:vAlign w:val="center"/>
          </w:tcPr>
          <w:p w14:paraId="07FAF97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Φ6mm,长150mm,工作端带磁性</w:t>
            </w:r>
          </w:p>
        </w:tc>
        <w:tc>
          <w:tcPr>
            <w:tcW w:w="462" w:type="dxa"/>
            <w:shd w:val="clear" w:color="auto" w:fill="auto"/>
            <w:vAlign w:val="center"/>
          </w:tcPr>
          <w:p w14:paraId="4240B4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475C58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3CC1AB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6CE4D2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7CF6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DFEACF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w:t>
            </w:r>
          </w:p>
        </w:tc>
        <w:tc>
          <w:tcPr>
            <w:tcW w:w="1072" w:type="dxa"/>
            <w:shd w:val="clear" w:color="auto" w:fill="auto"/>
            <w:vAlign w:val="center"/>
          </w:tcPr>
          <w:p w14:paraId="3E3E280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十字螺丝刀</w:t>
            </w:r>
          </w:p>
        </w:tc>
        <w:tc>
          <w:tcPr>
            <w:tcW w:w="4897" w:type="dxa"/>
            <w:shd w:val="clear" w:color="auto" w:fill="auto"/>
            <w:vAlign w:val="center"/>
          </w:tcPr>
          <w:p w14:paraId="7192FD3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Φ6mm,长150mm,工作端带磁性</w:t>
            </w:r>
          </w:p>
        </w:tc>
        <w:tc>
          <w:tcPr>
            <w:tcW w:w="462" w:type="dxa"/>
            <w:shd w:val="clear" w:color="auto" w:fill="auto"/>
            <w:vAlign w:val="center"/>
          </w:tcPr>
          <w:p w14:paraId="2F0840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6AA9F5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153915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4A0D58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19D9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E38163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w:t>
            </w:r>
          </w:p>
        </w:tc>
        <w:tc>
          <w:tcPr>
            <w:tcW w:w="1072" w:type="dxa"/>
            <w:shd w:val="clear" w:color="auto" w:fill="auto"/>
            <w:vAlign w:val="center"/>
          </w:tcPr>
          <w:p w14:paraId="18B8F0F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钢丝钳</w:t>
            </w:r>
          </w:p>
        </w:tc>
        <w:tc>
          <w:tcPr>
            <w:tcW w:w="4897" w:type="dxa"/>
            <w:shd w:val="clear" w:color="auto" w:fill="auto"/>
            <w:vAlign w:val="center"/>
          </w:tcPr>
          <w:p w14:paraId="0A00AA9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规格：160mm，抗弯强度1120 N，扭力矩15 N·m，15°；剪切性能Φ16 mm钢丝，580 N；夹持面硬度不低于44HRC；PVC环保手柄，在不大于18 N的力作用下撑开角度不小于22°</w:t>
            </w:r>
          </w:p>
        </w:tc>
        <w:tc>
          <w:tcPr>
            <w:tcW w:w="462" w:type="dxa"/>
            <w:shd w:val="clear" w:color="auto" w:fill="auto"/>
            <w:vAlign w:val="center"/>
          </w:tcPr>
          <w:p w14:paraId="569D36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vAlign w:val="center"/>
          </w:tcPr>
          <w:p w14:paraId="684294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D58B3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c>
          <w:tcPr>
            <w:tcW w:w="1489" w:type="dxa"/>
            <w:shd w:val="clear" w:color="auto" w:fill="auto"/>
            <w:vAlign w:val="center"/>
          </w:tcPr>
          <w:p w14:paraId="2EEECA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r>
      <w:tr w14:paraId="326B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7BA6F7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w:t>
            </w:r>
          </w:p>
        </w:tc>
        <w:tc>
          <w:tcPr>
            <w:tcW w:w="1072" w:type="dxa"/>
            <w:shd w:val="clear" w:color="auto" w:fill="auto"/>
            <w:vAlign w:val="center"/>
          </w:tcPr>
          <w:p w14:paraId="565308F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钢锤</w:t>
            </w:r>
          </w:p>
        </w:tc>
        <w:tc>
          <w:tcPr>
            <w:tcW w:w="4897" w:type="dxa"/>
            <w:shd w:val="clear" w:color="auto" w:fill="auto"/>
            <w:vAlign w:val="center"/>
          </w:tcPr>
          <w:p w14:paraId="4A8BB25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0.25kg,羊角锤</w:t>
            </w:r>
          </w:p>
        </w:tc>
        <w:tc>
          <w:tcPr>
            <w:tcW w:w="462" w:type="dxa"/>
            <w:shd w:val="clear" w:color="auto" w:fill="auto"/>
            <w:vAlign w:val="center"/>
          </w:tcPr>
          <w:p w14:paraId="6C4484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vAlign w:val="center"/>
          </w:tcPr>
          <w:p w14:paraId="1BAD28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CFBA3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vAlign w:val="center"/>
          </w:tcPr>
          <w:p w14:paraId="3CB623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r>
      <w:tr w14:paraId="3146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1050BC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w:t>
            </w:r>
          </w:p>
        </w:tc>
        <w:tc>
          <w:tcPr>
            <w:tcW w:w="1072" w:type="dxa"/>
            <w:shd w:val="clear" w:color="auto" w:fill="auto"/>
            <w:vAlign w:val="center"/>
          </w:tcPr>
          <w:p w14:paraId="69A2D72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三角锉</w:t>
            </w:r>
          </w:p>
        </w:tc>
        <w:tc>
          <w:tcPr>
            <w:tcW w:w="4897" w:type="dxa"/>
            <w:shd w:val="clear" w:color="auto" w:fill="auto"/>
            <w:vAlign w:val="center"/>
          </w:tcPr>
          <w:p w14:paraId="272483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250mm,带柄</w:t>
            </w:r>
          </w:p>
        </w:tc>
        <w:tc>
          <w:tcPr>
            <w:tcW w:w="462" w:type="dxa"/>
            <w:shd w:val="clear" w:color="auto" w:fill="auto"/>
            <w:vAlign w:val="center"/>
          </w:tcPr>
          <w:p w14:paraId="3ECD16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CEAF9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3D6085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vAlign w:val="center"/>
          </w:tcPr>
          <w:p w14:paraId="3ADFA8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r>
      <w:tr w14:paraId="2168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744157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w:t>
            </w:r>
          </w:p>
        </w:tc>
        <w:tc>
          <w:tcPr>
            <w:tcW w:w="1072" w:type="dxa"/>
            <w:shd w:val="clear" w:color="auto" w:fill="auto"/>
            <w:vAlign w:val="center"/>
          </w:tcPr>
          <w:p w14:paraId="39F7F03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民用剪刀</w:t>
            </w:r>
          </w:p>
        </w:tc>
        <w:tc>
          <w:tcPr>
            <w:tcW w:w="4897" w:type="dxa"/>
            <w:shd w:val="clear" w:color="auto" w:fill="auto"/>
            <w:vAlign w:val="center"/>
          </w:tcPr>
          <w:p w14:paraId="77C8199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3号，150mm,A型</w:t>
            </w:r>
          </w:p>
        </w:tc>
        <w:tc>
          <w:tcPr>
            <w:tcW w:w="462" w:type="dxa"/>
            <w:shd w:val="clear" w:color="auto" w:fill="auto"/>
            <w:vAlign w:val="center"/>
          </w:tcPr>
          <w:p w14:paraId="528BAA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vAlign w:val="center"/>
          </w:tcPr>
          <w:p w14:paraId="532628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vAlign w:val="center"/>
          </w:tcPr>
          <w:p w14:paraId="79F6AA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vAlign w:val="center"/>
          </w:tcPr>
          <w:p w14:paraId="06EBDC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7BCD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0F7EAD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24</w:t>
            </w:r>
          </w:p>
        </w:tc>
        <w:tc>
          <w:tcPr>
            <w:tcW w:w="1072" w:type="dxa"/>
            <w:shd w:val="clear" w:color="auto" w:fill="auto"/>
            <w:vAlign w:val="center"/>
          </w:tcPr>
          <w:p w14:paraId="31F9280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打孔器</w:t>
            </w:r>
          </w:p>
        </w:tc>
        <w:tc>
          <w:tcPr>
            <w:tcW w:w="4897" w:type="dxa"/>
            <w:shd w:val="clear" w:color="auto" w:fill="auto"/>
            <w:vAlign w:val="center"/>
          </w:tcPr>
          <w:p w14:paraId="3E8159E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刀口式,材质为不锈钢管、钢管或黄铜管,每组不少于4支,外径分别为9mm、8mm、7mm、6mm,并配一支带柄金属通扦</w:t>
            </w:r>
          </w:p>
        </w:tc>
        <w:tc>
          <w:tcPr>
            <w:tcW w:w="462" w:type="dxa"/>
            <w:shd w:val="clear" w:color="auto" w:fill="auto"/>
            <w:vAlign w:val="center"/>
          </w:tcPr>
          <w:p w14:paraId="0363BA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23F9A5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3B556C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vAlign w:val="center"/>
          </w:tcPr>
          <w:p w14:paraId="57232E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16793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FEF85A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25</w:t>
            </w:r>
          </w:p>
        </w:tc>
        <w:tc>
          <w:tcPr>
            <w:tcW w:w="1072" w:type="dxa"/>
            <w:shd w:val="clear" w:color="auto" w:fill="auto"/>
            <w:vAlign w:val="center"/>
          </w:tcPr>
          <w:p w14:paraId="42E7117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打孔夹板</w:t>
            </w:r>
          </w:p>
        </w:tc>
        <w:tc>
          <w:tcPr>
            <w:tcW w:w="4897" w:type="dxa"/>
            <w:shd w:val="clear" w:color="auto" w:fill="auto"/>
            <w:vAlign w:val="center"/>
          </w:tcPr>
          <w:p w14:paraId="3594D14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硬木或硬塑料制</w:t>
            </w:r>
          </w:p>
        </w:tc>
        <w:tc>
          <w:tcPr>
            <w:tcW w:w="462" w:type="dxa"/>
            <w:shd w:val="clear" w:color="auto" w:fill="auto"/>
            <w:vAlign w:val="center"/>
          </w:tcPr>
          <w:p w14:paraId="292C5C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5EEAC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056F5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vAlign w:val="center"/>
          </w:tcPr>
          <w:p w14:paraId="332466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r>
      <w:tr w14:paraId="711B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3F93FF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26</w:t>
            </w:r>
          </w:p>
        </w:tc>
        <w:tc>
          <w:tcPr>
            <w:tcW w:w="1072" w:type="dxa"/>
            <w:shd w:val="clear" w:color="auto" w:fill="auto"/>
            <w:vAlign w:val="center"/>
          </w:tcPr>
          <w:p w14:paraId="4C1865B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打孔器刮刀</w:t>
            </w:r>
          </w:p>
        </w:tc>
        <w:tc>
          <w:tcPr>
            <w:tcW w:w="4897" w:type="dxa"/>
            <w:shd w:val="clear" w:color="auto" w:fill="auto"/>
            <w:vAlign w:val="center"/>
          </w:tcPr>
          <w:p w14:paraId="5F02D5A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刮刀宜用65M板制成，表面热处理，55HRC</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60HRC,总长为70mm±0.5mm,宽14.5mm±0.1mm,厚1.8mm±0.5mm,刀口角度宜为60°±5°,锋刃＜0.1mm</w:t>
            </w:r>
          </w:p>
        </w:tc>
        <w:tc>
          <w:tcPr>
            <w:tcW w:w="462" w:type="dxa"/>
            <w:shd w:val="clear" w:color="auto" w:fill="auto"/>
            <w:vAlign w:val="center"/>
          </w:tcPr>
          <w:p w14:paraId="0ACC30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66E8D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6A3175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vAlign w:val="center"/>
          </w:tcPr>
          <w:p w14:paraId="066879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37F3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244C9E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27</w:t>
            </w:r>
          </w:p>
        </w:tc>
        <w:tc>
          <w:tcPr>
            <w:tcW w:w="1072" w:type="dxa"/>
            <w:shd w:val="clear" w:color="auto" w:fill="auto"/>
            <w:vAlign w:val="center"/>
          </w:tcPr>
          <w:p w14:paraId="34027AA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电动钻孔器</w:t>
            </w:r>
          </w:p>
        </w:tc>
        <w:tc>
          <w:tcPr>
            <w:tcW w:w="4897" w:type="dxa"/>
            <w:shd w:val="clear" w:color="auto" w:fill="auto"/>
            <w:vAlign w:val="center"/>
          </w:tcPr>
          <w:p w14:paraId="5E2873C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钻头可拆卸,应配有2个以上不同孔径的钻头</w:t>
            </w:r>
          </w:p>
        </w:tc>
        <w:tc>
          <w:tcPr>
            <w:tcW w:w="462" w:type="dxa"/>
            <w:shd w:val="clear" w:color="auto" w:fill="auto"/>
            <w:vAlign w:val="center"/>
          </w:tcPr>
          <w:p w14:paraId="50EE26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5B3E75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0636A8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1405</w:t>
            </w:r>
          </w:p>
        </w:tc>
        <w:tc>
          <w:tcPr>
            <w:tcW w:w="1489" w:type="dxa"/>
            <w:shd w:val="clear" w:color="auto" w:fill="auto"/>
            <w:vAlign w:val="center"/>
          </w:tcPr>
          <w:p w14:paraId="79F49B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1405</w:t>
            </w:r>
          </w:p>
        </w:tc>
      </w:tr>
      <w:tr w14:paraId="36DB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FED5D8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28</w:t>
            </w:r>
          </w:p>
        </w:tc>
        <w:tc>
          <w:tcPr>
            <w:tcW w:w="1072" w:type="dxa"/>
            <w:shd w:val="clear" w:color="auto" w:fill="auto"/>
            <w:vAlign w:val="center"/>
          </w:tcPr>
          <w:p w14:paraId="702AA7F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托盘天平</w:t>
            </w:r>
          </w:p>
        </w:tc>
        <w:tc>
          <w:tcPr>
            <w:tcW w:w="4897" w:type="dxa"/>
            <w:shd w:val="clear" w:color="auto" w:fill="auto"/>
            <w:vAlign w:val="center"/>
          </w:tcPr>
          <w:p w14:paraId="2F7A7BF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1.最大称量100g，分度值0.1g,标尺称量0-5g。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2.底座为金属冲压件,表面喷塑。</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3．横梁，支架，盘托架为金属制，表面镀铬。</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4．刀子为钢制，双向调节螺母。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5.双托盘，托盘为塑胶制成，附件：四等砝码一套，塑料镊子一把，专用塑料砝码盒一个，各种砝码定位放置。</w:t>
            </w:r>
          </w:p>
        </w:tc>
        <w:tc>
          <w:tcPr>
            <w:tcW w:w="462" w:type="dxa"/>
            <w:shd w:val="clear" w:color="auto" w:fill="auto"/>
            <w:vAlign w:val="center"/>
          </w:tcPr>
          <w:p w14:paraId="08F330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7498F3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2ACBBE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65</w:t>
            </w:r>
          </w:p>
        </w:tc>
        <w:tc>
          <w:tcPr>
            <w:tcW w:w="1489" w:type="dxa"/>
            <w:shd w:val="clear" w:color="auto" w:fill="auto"/>
            <w:vAlign w:val="center"/>
          </w:tcPr>
          <w:p w14:paraId="654F86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1950</w:t>
            </w:r>
          </w:p>
        </w:tc>
      </w:tr>
      <w:tr w14:paraId="1964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AA9915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29</w:t>
            </w:r>
          </w:p>
        </w:tc>
        <w:tc>
          <w:tcPr>
            <w:tcW w:w="1072" w:type="dxa"/>
            <w:shd w:val="clear" w:color="auto" w:fill="auto"/>
            <w:vAlign w:val="center"/>
          </w:tcPr>
          <w:p w14:paraId="763A04A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托盘天平</w:t>
            </w:r>
          </w:p>
        </w:tc>
        <w:tc>
          <w:tcPr>
            <w:tcW w:w="4897" w:type="dxa"/>
            <w:shd w:val="clear" w:color="auto" w:fill="auto"/>
            <w:vAlign w:val="center"/>
          </w:tcPr>
          <w:p w14:paraId="2AD18E8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1.最大称量500g，分度值0.5g,标尺称量0-5g。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2.底座为金属冲压件,表面喷塑。</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3．横梁，支架，盘托架为金属制，表面镀铬。</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4．刀子为钢制，双向调节螺母。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5.双托盘，托盘为塑胶制成，附件：四等砝码一套，塑料镊子一把，专用塑料砝码盒一个，各种砝码定位放置。</w:t>
            </w:r>
          </w:p>
        </w:tc>
        <w:tc>
          <w:tcPr>
            <w:tcW w:w="462" w:type="dxa"/>
            <w:shd w:val="clear" w:color="auto" w:fill="auto"/>
            <w:vAlign w:val="center"/>
          </w:tcPr>
          <w:p w14:paraId="4454AC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7F78E8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C7058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95</w:t>
            </w:r>
          </w:p>
        </w:tc>
        <w:tc>
          <w:tcPr>
            <w:tcW w:w="1489" w:type="dxa"/>
            <w:shd w:val="clear" w:color="auto" w:fill="auto"/>
            <w:vAlign w:val="center"/>
          </w:tcPr>
          <w:p w14:paraId="5D1212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95</w:t>
            </w:r>
          </w:p>
        </w:tc>
      </w:tr>
      <w:tr w14:paraId="66A4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5E18D4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30</w:t>
            </w:r>
          </w:p>
        </w:tc>
        <w:tc>
          <w:tcPr>
            <w:tcW w:w="1072" w:type="dxa"/>
            <w:shd w:val="clear" w:color="auto" w:fill="auto"/>
            <w:vAlign w:val="center"/>
          </w:tcPr>
          <w:p w14:paraId="78F61CE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电子天平</w:t>
            </w:r>
          </w:p>
        </w:tc>
        <w:tc>
          <w:tcPr>
            <w:tcW w:w="4897" w:type="dxa"/>
            <w:shd w:val="clear" w:color="auto" w:fill="auto"/>
            <w:vAlign w:val="center"/>
          </w:tcPr>
          <w:p w14:paraId="14BFE5F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1、量程1000g。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2、读数精度：0.1g。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3、采用高精度应变式称量传感器。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4、自动外置砝码校准，标配砝码操作简便。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5、可拆卸式方形透明防风罩。</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6、数码显示。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7、具有超载保护及去皮，计数等功能。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8、产品应符合JJG1036-2008《电子天平》。</w:t>
            </w:r>
          </w:p>
        </w:tc>
        <w:tc>
          <w:tcPr>
            <w:tcW w:w="462" w:type="dxa"/>
            <w:shd w:val="clear" w:color="auto" w:fill="auto"/>
            <w:vAlign w:val="center"/>
          </w:tcPr>
          <w:p w14:paraId="20E728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5F18E1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88C5B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302</w:t>
            </w:r>
          </w:p>
        </w:tc>
        <w:tc>
          <w:tcPr>
            <w:tcW w:w="1489" w:type="dxa"/>
            <w:shd w:val="clear" w:color="auto" w:fill="auto"/>
            <w:vAlign w:val="center"/>
          </w:tcPr>
          <w:p w14:paraId="1BA010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302</w:t>
            </w:r>
          </w:p>
        </w:tc>
      </w:tr>
      <w:tr w14:paraId="3F74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F6F71A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31</w:t>
            </w:r>
          </w:p>
        </w:tc>
        <w:tc>
          <w:tcPr>
            <w:tcW w:w="1072" w:type="dxa"/>
            <w:shd w:val="clear" w:color="auto" w:fill="auto"/>
            <w:vAlign w:val="center"/>
          </w:tcPr>
          <w:p w14:paraId="51675A7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红液温度计</w:t>
            </w:r>
          </w:p>
        </w:tc>
        <w:tc>
          <w:tcPr>
            <w:tcW w:w="4897" w:type="dxa"/>
            <w:shd w:val="clear" w:color="auto" w:fill="auto"/>
            <w:vAlign w:val="center"/>
          </w:tcPr>
          <w:p w14:paraId="0507A3A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0℃-100℃,分度值1℃,示值误差＜1.5℃</w:t>
            </w:r>
          </w:p>
        </w:tc>
        <w:tc>
          <w:tcPr>
            <w:tcW w:w="462" w:type="dxa"/>
            <w:shd w:val="clear" w:color="auto" w:fill="auto"/>
            <w:vAlign w:val="center"/>
          </w:tcPr>
          <w:p w14:paraId="111D74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3209C1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3B49E9D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1D9D87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4DC4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69E7BF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32</w:t>
            </w:r>
          </w:p>
        </w:tc>
        <w:tc>
          <w:tcPr>
            <w:tcW w:w="1072" w:type="dxa"/>
            <w:shd w:val="clear" w:color="auto" w:fill="auto"/>
            <w:vAlign w:val="center"/>
          </w:tcPr>
          <w:p w14:paraId="6905A3D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水银温度计</w:t>
            </w:r>
          </w:p>
        </w:tc>
        <w:tc>
          <w:tcPr>
            <w:tcW w:w="4897" w:type="dxa"/>
            <w:shd w:val="clear" w:color="auto" w:fill="auto"/>
            <w:vAlign w:val="center"/>
          </w:tcPr>
          <w:p w14:paraId="186B606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0℃~200℃,分度值1℃,示值误差＜0.5℃，有保护套</w:t>
            </w:r>
          </w:p>
        </w:tc>
        <w:tc>
          <w:tcPr>
            <w:tcW w:w="462" w:type="dxa"/>
            <w:shd w:val="clear" w:color="auto" w:fill="auto"/>
            <w:vAlign w:val="center"/>
          </w:tcPr>
          <w:p w14:paraId="6A5DF5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3190F4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2106C7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1C2B8C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r>
      <w:tr w14:paraId="046C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3AAB83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33</w:t>
            </w:r>
          </w:p>
        </w:tc>
        <w:tc>
          <w:tcPr>
            <w:tcW w:w="1072" w:type="dxa"/>
            <w:shd w:val="clear" w:color="auto" w:fill="auto"/>
            <w:vAlign w:val="center"/>
          </w:tcPr>
          <w:p w14:paraId="776A443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电子秒表</w:t>
            </w:r>
          </w:p>
        </w:tc>
        <w:tc>
          <w:tcPr>
            <w:tcW w:w="4897" w:type="dxa"/>
            <w:shd w:val="clear" w:color="auto" w:fill="auto"/>
            <w:vAlign w:val="center"/>
          </w:tcPr>
          <w:p w14:paraId="42C6CB6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0.1s</w:t>
            </w:r>
          </w:p>
        </w:tc>
        <w:tc>
          <w:tcPr>
            <w:tcW w:w="462" w:type="dxa"/>
            <w:shd w:val="clear" w:color="auto" w:fill="auto"/>
            <w:vAlign w:val="center"/>
          </w:tcPr>
          <w:p w14:paraId="5F7683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0A308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69949A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w:t>
            </w:r>
          </w:p>
        </w:tc>
        <w:tc>
          <w:tcPr>
            <w:tcW w:w="1489" w:type="dxa"/>
            <w:shd w:val="clear" w:color="auto" w:fill="auto"/>
            <w:vAlign w:val="center"/>
          </w:tcPr>
          <w:p w14:paraId="0500A2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780</w:t>
            </w:r>
          </w:p>
        </w:tc>
      </w:tr>
      <w:tr w14:paraId="7253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C10421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34</w:t>
            </w:r>
          </w:p>
        </w:tc>
        <w:tc>
          <w:tcPr>
            <w:tcW w:w="1072" w:type="dxa"/>
            <w:shd w:val="clear" w:color="auto" w:fill="auto"/>
            <w:vAlign w:val="center"/>
          </w:tcPr>
          <w:p w14:paraId="26C4F4E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多用电表</w:t>
            </w:r>
          </w:p>
        </w:tc>
        <w:tc>
          <w:tcPr>
            <w:tcW w:w="4897" w:type="dxa"/>
            <w:shd w:val="clear" w:color="auto" w:fill="auto"/>
            <w:vAlign w:val="center"/>
          </w:tcPr>
          <w:p w14:paraId="6CF5103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1.MF-47型，内磁表头。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直流电流：0～5～50～500mA,10A；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直流电压：0～0.25～0.5～10～50～250～500～1000V；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直流电阻：X1～X10K；</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交流电压：0～10～50～250～500～1000V；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3.温度测试：-10～150℃，电容：0.01～100000μf；电感：20～1000H；音频电平：-10～+22db；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4.表笔1套。</w:t>
            </w:r>
          </w:p>
        </w:tc>
        <w:tc>
          <w:tcPr>
            <w:tcW w:w="462" w:type="dxa"/>
            <w:shd w:val="clear" w:color="auto" w:fill="auto"/>
            <w:vAlign w:val="center"/>
          </w:tcPr>
          <w:p w14:paraId="107D2D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vAlign w:val="center"/>
          </w:tcPr>
          <w:p w14:paraId="2D3A43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2F3C7B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110</w:t>
            </w:r>
          </w:p>
        </w:tc>
        <w:tc>
          <w:tcPr>
            <w:tcW w:w="1489" w:type="dxa"/>
            <w:shd w:val="clear" w:color="auto" w:fill="auto"/>
            <w:vAlign w:val="center"/>
          </w:tcPr>
          <w:p w14:paraId="3E698D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110</w:t>
            </w:r>
          </w:p>
        </w:tc>
      </w:tr>
      <w:tr w14:paraId="7274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E1F6D8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35</w:t>
            </w:r>
          </w:p>
        </w:tc>
        <w:tc>
          <w:tcPr>
            <w:tcW w:w="1072" w:type="dxa"/>
            <w:shd w:val="clear" w:color="auto" w:fill="auto"/>
            <w:vAlign w:val="center"/>
          </w:tcPr>
          <w:p w14:paraId="16BAAD6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直流电流表</w:t>
            </w:r>
          </w:p>
        </w:tc>
        <w:tc>
          <w:tcPr>
            <w:tcW w:w="4897" w:type="dxa"/>
            <w:shd w:val="clear" w:color="auto" w:fill="auto"/>
            <w:vAlign w:val="center"/>
          </w:tcPr>
          <w:p w14:paraId="129A8FD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产品由测量机构、外壳等组成。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1.指示面板与水平面成45度夹角。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2.测量范围：（-0.2A~0~0.6A）（-1~0~3A）。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3.仪表准确度等级：2.5级。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4.对外界磁场的防御等级为Ⅲ级。</w:t>
            </w:r>
          </w:p>
        </w:tc>
        <w:tc>
          <w:tcPr>
            <w:tcW w:w="462" w:type="dxa"/>
            <w:shd w:val="clear" w:color="auto" w:fill="auto"/>
            <w:vAlign w:val="center"/>
          </w:tcPr>
          <w:p w14:paraId="4E8D4C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vAlign w:val="center"/>
          </w:tcPr>
          <w:p w14:paraId="1DB6EE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0DE24A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37</w:t>
            </w:r>
          </w:p>
        </w:tc>
        <w:tc>
          <w:tcPr>
            <w:tcW w:w="1489" w:type="dxa"/>
            <w:shd w:val="clear" w:color="auto" w:fill="auto"/>
            <w:vAlign w:val="center"/>
          </w:tcPr>
          <w:p w14:paraId="3D57F5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555</w:t>
            </w:r>
          </w:p>
        </w:tc>
      </w:tr>
      <w:tr w14:paraId="10E7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8B652E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36</w:t>
            </w:r>
          </w:p>
        </w:tc>
        <w:tc>
          <w:tcPr>
            <w:tcW w:w="1072" w:type="dxa"/>
            <w:shd w:val="clear" w:color="auto" w:fill="auto"/>
            <w:vAlign w:val="center"/>
          </w:tcPr>
          <w:p w14:paraId="0596772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灵敏电流计</w:t>
            </w:r>
          </w:p>
        </w:tc>
        <w:tc>
          <w:tcPr>
            <w:tcW w:w="4897" w:type="dxa"/>
            <w:shd w:val="clear" w:color="auto" w:fill="auto"/>
            <w:vAlign w:val="center"/>
          </w:tcPr>
          <w:p w14:paraId="7865DEE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产品由测量机构、外壳等组成。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1.指示面板与水平面成45度夹角。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2.测量范围：±300μA内阻。</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3.仪表准确度等级：2.5级。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4.对外界磁场的防御等级为Ⅲ级。</w:t>
            </w:r>
          </w:p>
        </w:tc>
        <w:tc>
          <w:tcPr>
            <w:tcW w:w="462" w:type="dxa"/>
            <w:shd w:val="clear" w:color="auto" w:fill="auto"/>
            <w:vAlign w:val="center"/>
          </w:tcPr>
          <w:p w14:paraId="7725CF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09E5A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55F546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c>
          <w:tcPr>
            <w:tcW w:w="1489" w:type="dxa"/>
            <w:shd w:val="clear" w:color="auto" w:fill="auto"/>
            <w:vAlign w:val="center"/>
          </w:tcPr>
          <w:p w14:paraId="3D9825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630</w:t>
            </w:r>
          </w:p>
        </w:tc>
      </w:tr>
      <w:tr w14:paraId="477ED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76B7B8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37</w:t>
            </w:r>
          </w:p>
        </w:tc>
        <w:tc>
          <w:tcPr>
            <w:tcW w:w="1072" w:type="dxa"/>
            <w:shd w:val="clear" w:color="auto" w:fill="auto"/>
            <w:vAlign w:val="center"/>
          </w:tcPr>
          <w:p w14:paraId="616FE57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演示电流电压表</w:t>
            </w:r>
          </w:p>
        </w:tc>
        <w:tc>
          <w:tcPr>
            <w:tcW w:w="4897" w:type="dxa"/>
            <w:shd w:val="clear" w:color="auto" w:fill="auto"/>
            <w:vAlign w:val="center"/>
          </w:tcPr>
          <w:p w14:paraId="1CC372E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中演示电流电压表为指针式内磁结构，具有使用方便，性能稳定、安全可靠、演示直观等优点。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1.十四档测量量程，供教学演示实验中作检流计，测量直流电流、直流电压、交流电流、交流电压等之用。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DCA:-500μA-0-+500μA，0-10-100mA-1-5A；DCV：0-5-10V；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ACA:0-10-100mA-1-5A；ACV:0-10-50-250V；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3.基本误差：±2.5%；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4.阻尼时间：≤6S；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5.重量：1Kg；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6.规格300×270×115mm；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7.准确度等级：2.5级。</w:t>
            </w:r>
          </w:p>
        </w:tc>
        <w:tc>
          <w:tcPr>
            <w:tcW w:w="462" w:type="dxa"/>
            <w:shd w:val="clear" w:color="auto" w:fill="auto"/>
            <w:vAlign w:val="center"/>
          </w:tcPr>
          <w:p w14:paraId="111CE6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1CCC7E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6C25B9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631</w:t>
            </w:r>
          </w:p>
        </w:tc>
        <w:tc>
          <w:tcPr>
            <w:tcW w:w="1489" w:type="dxa"/>
            <w:shd w:val="clear" w:color="auto" w:fill="auto"/>
            <w:vAlign w:val="center"/>
          </w:tcPr>
          <w:p w14:paraId="7E4566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631</w:t>
            </w:r>
          </w:p>
        </w:tc>
      </w:tr>
      <w:tr w14:paraId="2508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92598A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38</w:t>
            </w:r>
          </w:p>
        </w:tc>
        <w:tc>
          <w:tcPr>
            <w:tcW w:w="1072" w:type="dxa"/>
            <w:shd w:val="clear" w:color="auto" w:fill="auto"/>
            <w:vAlign w:val="center"/>
          </w:tcPr>
          <w:p w14:paraId="625F57E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酸度计</w:t>
            </w:r>
          </w:p>
        </w:tc>
        <w:tc>
          <w:tcPr>
            <w:tcW w:w="4897" w:type="dxa"/>
            <w:shd w:val="clear" w:color="auto" w:fill="auto"/>
            <w:vAlign w:val="center"/>
          </w:tcPr>
          <w:p w14:paraId="7EBCFD9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笔式，pH测量范围0</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14,分辨力0.1,读数清晰，有自动关机节电模式，配校准试剂</w:t>
            </w:r>
          </w:p>
        </w:tc>
        <w:tc>
          <w:tcPr>
            <w:tcW w:w="462" w:type="dxa"/>
            <w:shd w:val="clear" w:color="auto" w:fill="auto"/>
            <w:vAlign w:val="center"/>
          </w:tcPr>
          <w:p w14:paraId="335918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7C1AD6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2CA504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81</w:t>
            </w:r>
          </w:p>
        </w:tc>
        <w:tc>
          <w:tcPr>
            <w:tcW w:w="1489" w:type="dxa"/>
            <w:shd w:val="clear" w:color="auto" w:fill="auto"/>
            <w:vAlign w:val="center"/>
          </w:tcPr>
          <w:p w14:paraId="51B843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1215</w:t>
            </w:r>
          </w:p>
        </w:tc>
      </w:tr>
      <w:tr w14:paraId="4F1A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6CDB50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39</w:t>
            </w:r>
          </w:p>
        </w:tc>
        <w:tc>
          <w:tcPr>
            <w:tcW w:w="1072" w:type="dxa"/>
            <w:shd w:val="clear" w:color="auto" w:fill="auto"/>
            <w:vAlign w:val="center"/>
          </w:tcPr>
          <w:p w14:paraId="2CA72AB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教学支架</w:t>
            </w:r>
          </w:p>
        </w:tc>
        <w:tc>
          <w:tcPr>
            <w:tcW w:w="4897" w:type="dxa"/>
            <w:shd w:val="clear" w:color="auto" w:fill="auto"/>
            <w:vAlign w:val="center"/>
          </w:tcPr>
          <w:p w14:paraId="241F299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包括方形座,立杆,平行夹,垂直夹两个,烧瓶夹,大铁环,小铁环,吊杆。重心稳定不晃动,烧瓶夹内侧应有缓压层</w:t>
            </w:r>
          </w:p>
        </w:tc>
        <w:tc>
          <w:tcPr>
            <w:tcW w:w="462" w:type="dxa"/>
            <w:shd w:val="clear" w:color="auto" w:fill="auto"/>
            <w:vAlign w:val="center"/>
          </w:tcPr>
          <w:p w14:paraId="5A8A6D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0B8A43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25E29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83</w:t>
            </w:r>
          </w:p>
        </w:tc>
        <w:tc>
          <w:tcPr>
            <w:tcW w:w="1489" w:type="dxa"/>
            <w:shd w:val="clear" w:color="auto" w:fill="auto"/>
            <w:vAlign w:val="center"/>
          </w:tcPr>
          <w:p w14:paraId="016D09B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2490</w:t>
            </w:r>
          </w:p>
        </w:tc>
      </w:tr>
      <w:tr w14:paraId="64AD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29A44A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40</w:t>
            </w:r>
          </w:p>
        </w:tc>
        <w:tc>
          <w:tcPr>
            <w:tcW w:w="1072" w:type="dxa"/>
            <w:shd w:val="clear" w:color="auto" w:fill="auto"/>
            <w:vAlign w:val="center"/>
          </w:tcPr>
          <w:p w14:paraId="0348581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三脚架</w:t>
            </w:r>
          </w:p>
        </w:tc>
        <w:tc>
          <w:tcPr>
            <w:tcW w:w="4897" w:type="dxa"/>
            <w:shd w:val="clear" w:color="auto" w:fill="auto"/>
            <w:vAlign w:val="center"/>
          </w:tcPr>
          <w:p w14:paraId="096939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铁制，环内径75mm,高150mm</w:t>
            </w:r>
          </w:p>
        </w:tc>
        <w:tc>
          <w:tcPr>
            <w:tcW w:w="462" w:type="dxa"/>
            <w:shd w:val="clear" w:color="auto" w:fill="auto"/>
            <w:vAlign w:val="center"/>
          </w:tcPr>
          <w:p w14:paraId="24C1BD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77F45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28A1E3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65AACD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35D6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DF8F46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41</w:t>
            </w:r>
          </w:p>
        </w:tc>
        <w:tc>
          <w:tcPr>
            <w:tcW w:w="1072" w:type="dxa"/>
            <w:shd w:val="clear" w:color="auto" w:fill="auto"/>
            <w:vAlign w:val="center"/>
          </w:tcPr>
          <w:p w14:paraId="32C4101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泥三角</w:t>
            </w:r>
          </w:p>
        </w:tc>
        <w:tc>
          <w:tcPr>
            <w:tcW w:w="4897" w:type="dxa"/>
            <w:shd w:val="clear" w:color="auto" w:fill="auto"/>
            <w:vAlign w:val="center"/>
          </w:tcPr>
          <w:p w14:paraId="26A94C6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陶制或者瓷制,内径应保证稳定支撑30mm坩埚</w:t>
            </w:r>
          </w:p>
        </w:tc>
        <w:tc>
          <w:tcPr>
            <w:tcW w:w="462" w:type="dxa"/>
            <w:shd w:val="clear" w:color="auto" w:fill="auto"/>
            <w:vAlign w:val="center"/>
          </w:tcPr>
          <w:p w14:paraId="47E582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ACA97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91C16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25908F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6E31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F8CFCD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42</w:t>
            </w:r>
          </w:p>
        </w:tc>
        <w:tc>
          <w:tcPr>
            <w:tcW w:w="1072" w:type="dxa"/>
            <w:shd w:val="clear" w:color="auto" w:fill="auto"/>
            <w:vAlign w:val="center"/>
          </w:tcPr>
          <w:p w14:paraId="0ECBCFB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试管架</w:t>
            </w:r>
          </w:p>
        </w:tc>
        <w:tc>
          <w:tcPr>
            <w:tcW w:w="4897" w:type="dxa"/>
            <w:shd w:val="clear" w:color="auto" w:fill="auto"/>
            <w:vAlign w:val="center"/>
          </w:tcPr>
          <w:p w14:paraId="3BED829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木制或塑料制，8孔，孔径21mm,立柱粘结牢固</w:t>
            </w:r>
          </w:p>
        </w:tc>
        <w:tc>
          <w:tcPr>
            <w:tcW w:w="462" w:type="dxa"/>
            <w:shd w:val="clear" w:color="auto" w:fill="auto"/>
            <w:vAlign w:val="center"/>
          </w:tcPr>
          <w:p w14:paraId="21B6C6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BEF9D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326EB7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vAlign w:val="center"/>
          </w:tcPr>
          <w:p w14:paraId="5C957E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390</w:t>
            </w:r>
          </w:p>
        </w:tc>
      </w:tr>
      <w:tr w14:paraId="5E0B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308A40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43</w:t>
            </w:r>
          </w:p>
        </w:tc>
        <w:tc>
          <w:tcPr>
            <w:tcW w:w="1072" w:type="dxa"/>
            <w:shd w:val="clear" w:color="auto" w:fill="auto"/>
            <w:vAlign w:val="center"/>
          </w:tcPr>
          <w:p w14:paraId="7D89A2F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试管架</w:t>
            </w:r>
          </w:p>
        </w:tc>
        <w:tc>
          <w:tcPr>
            <w:tcW w:w="4897" w:type="dxa"/>
            <w:shd w:val="clear" w:color="auto" w:fill="auto"/>
            <w:vAlign w:val="center"/>
          </w:tcPr>
          <w:p w14:paraId="243ECD2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木制或塑料制,8孔,孔径25mm</w:t>
            </w:r>
          </w:p>
        </w:tc>
        <w:tc>
          <w:tcPr>
            <w:tcW w:w="462" w:type="dxa"/>
            <w:shd w:val="clear" w:color="auto" w:fill="auto"/>
            <w:vAlign w:val="center"/>
          </w:tcPr>
          <w:p w14:paraId="185245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74655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vAlign w:val="center"/>
          </w:tcPr>
          <w:p w14:paraId="504E07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vAlign w:val="center"/>
          </w:tcPr>
          <w:p w14:paraId="5C705F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56</w:t>
            </w:r>
          </w:p>
        </w:tc>
      </w:tr>
      <w:tr w14:paraId="23E1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C3410F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44</w:t>
            </w:r>
          </w:p>
        </w:tc>
        <w:tc>
          <w:tcPr>
            <w:tcW w:w="1072" w:type="dxa"/>
            <w:shd w:val="clear" w:color="auto" w:fill="auto"/>
            <w:vAlign w:val="center"/>
          </w:tcPr>
          <w:p w14:paraId="747B220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试管架</w:t>
            </w:r>
          </w:p>
        </w:tc>
        <w:tc>
          <w:tcPr>
            <w:tcW w:w="4897" w:type="dxa"/>
            <w:shd w:val="clear" w:color="auto" w:fill="auto"/>
            <w:vAlign w:val="center"/>
          </w:tcPr>
          <w:p w14:paraId="32D63C9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木制或塑料制,8孔,孔径35mm</w:t>
            </w:r>
          </w:p>
        </w:tc>
        <w:tc>
          <w:tcPr>
            <w:tcW w:w="462" w:type="dxa"/>
            <w:shd w:val="clear" w:color="auto" w:fill="auto"/>
            <w:vAlign w:val="center"/>
          </w:tcPr>
          <w:p w14:paraId="5FDF4E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4C19F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vAlign w:val="center"/>
          </w:tcPr>
          <w:p w14:paraId="631701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c>
          <w:tcPr>
            <w:tcW w:w="1489" w:type="dxa"/>
            <w:shd w:val="clear" w:color="auto" w:fill="auto"/>
            <w:vAlign w:val="center"/>
          </w:tcPr>
          <w:p w14:paraId="04B160F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68</w:t>
            </w:r>
          </w:p>
        </w:tc>
      </w:tr>
      <w:tr w14:paraId="720D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D1CBCA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45</w:t>
            </w:r>
          </w:p>
        </w:tc>
        <w:tc>
          <w:tcPr>
            <w:tcW w:w="1072" w:type="dxa"/>
            <w:shd w:val="clear" w:color="auto" w:fill="auto"/>
            <w:vAlign w:val="center"/>
          </w:tcPr>
          <w:p w14:paraId="227D1EC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漏斗架</w:t>
            </w:r>
          </w:p>
        </w:tc>
        <w:tc>
          <w:tcPr>
            <w:tcW w:w="4897" w:type="dxa"/>
            <w:shd w:val="clear" w:color="auto" w:fill="auto"/>
            <w:vAlign w:val="center"/>
          </w:tcPr>
          <w:p w14:paraId="35121A7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木制或塑料制</w:t>
            </w:r>
          </w:p>
        </w:tc>
        <w:tc>
          <w:tcPr>
            <w:tcW w:w="462" w:type="dxa"/>
            <w:shd w:val="clear" w:color="auto" w:fill="auto"/>
            <w:vAlign w:val="center"/>
          </w:tcPr>
          <w:p w14:paraId="128E62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B67D0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8AA52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vAlign w:val="center"/>
          </w:tcPr>
          <w:p w14:paraId="1929C2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6A70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2DCA0C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46</w:t>
            </w:r>
          </w:p>
        </w:tc>
        <w:tc>
          <w:tcPr>
            <w:tcW w:w="1072" w:type="dxa"/>
            <w:shd w:val="clear" w:color="auto" w:fill="auto"/>
            <w:vAlign w:val="center"/>
          </w:tcPr>
          <w:p w14:paraId="35113A4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滴定台</w:t>
            </w:r>
          </w:p>
        </w:tc>
        <w:tc>
          <w:tcPr>
            <w:tcW w:w="4897" w:type="dxa"/>
            <w:shd w:val="clear" w:color="auto" w:fill="auto"/>
            <w:vAlign w:val="center"/>
          </w:tcPr>
          <w:p w14:paraId="70F587E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人造石或大理石白色台面,重心稳定不晃动,底部有四个橡胶垫脚</w:t>
            </w:r>
          </w:p>
        </w:tc>
        <w:tc>
          <w:tcPr>
            <w:tcW w:w="462" w:type="dxa"/>
            <w:shd w:val="clear" w:color="auto" w:fill="auto"/>
            <w:vAlign w:val="center"/>
          </w:tcPr>
          <w:p w14:paraId="166BF8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73652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0A0434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31</w:t>
            </w:r>
          </w:p>
        </w:tc>
        <w:tc>
          <w:tcPr>
            <w:tcW w:w="1489" w:type="dxa"/>
            <w:shd w:val="clear" w:color="auto" w:fill="auto"/>
            <w:vAlign w:val="center"/>
          </w:tcPr>
          <w:p w14:paraId="5E6882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930</w:t>
            </w:r>
          </w:p>
        </w:tc>
      </w:tr>
      <w:tr w14:paraId="6582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0F3368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47</w:t>
            </w:r>
          </w:p>
        </w:tc>
        <w:tc>
          <w:tcPr>
            <w:tcW w:w="1072" w:type="dxa"/>
            <w:shd w:val="clear" w:color="auto" w:fill="auto"/>
            <w:vAlign w:val="center"/>
          </w:tcPr>
          <w:p w14:paraId="3D7FA38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滴定夹</w:t>
            </w:r>
          </w:p>
        </w:tc>
        <w:tc>
          <w:tcPr>
            <w:tcW w:w="4897" w:type="dxa"/>
            <w:shd w:val="clear" w:color="auto" w:fill="auto"/>
            <w:vAlign w:val="center"/>
          </w:tcPr>
          <w:p w14:paraId="64B1146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铝制,加持部位有防滑脱凹槽</w:t>
            </w:r>
          </w:p>
        </w:tc>
        <w:tc>
          <w:tcPr>
            <w:tcW w:w="462" w:type="dxa"/>
            <w:shd w:val="clear" w:color="auto" w:fill="auto"/>
            <w:vAlign w:val="center"/>
          </w:tcPr>
          <w:p w14:paraId="7869CE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E22E4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6B9A71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vAlign w:val="center"/>
          </w:tcPr>
          <w:p w14:paraId="1EEF83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61B8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E85EF3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48</w:t>
            </w:r>
          </w:p>
        </w:tc>
        <w:tc>
          <w:tcPr>
            <w:tcW w:w="1072" w:type="dxa"/>
            <w:shd w:val="clear" w:color="auto" w:fill="auto"/>
            <w:vAlign w:val="center"/>
          </w:tcPr>
          <w:p w14:paraId="0337213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多用滴管架</w:t>
            </w:r>
          </w:p>
        </w:tc>
        <w:tc>
          <w:tcPr>
            <w:tcW w:w="4897" w:type="dxa"/>
            <w:shd w:val="clear" w:color="auto" w:fill="auto"/>
            <w:vAlign w:val="center"/>
          </w:tcPr>
          <w:p w14:paraId="75022E1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塑料制,底部有圆形凹槽</w:t>
            </w:r>
          </w:p>
        </w:tc>
        <w:tc>
          <w:tcPr>
            <w:tcW w:w="462" w:type="dxa"/>
            <w:shd w:val="clear" w:color="auto" w:fill="auto"/>
            <w:vAlign w:val="center"/>
          </w:tcPr>
          <w:p w14:paraId="6FAE42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B356B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1B79C0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vAlign w:val="center"/>
          </w:tcPr>
          <w:p w14:paraId="28D72B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3128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F8B3B4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49</w:t>
            </w:r>
          </w:p>
        </w:tc>
        <w:tc>
          <w:tcPr>
            <w:tcW w:w="1072" w:type="dxa"/>
            <w:shd w:val="clear" w:color="auto" w:fill="auto"/>
            <w:vAlign w:val="center"/>
          </w:tcPr>
          <w:p w14:paraId="4B6E675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移液管架</w:t>
            </w:r>
          </w:p>
        </w:tc>
        <w:tc>
          <w:tcPr>
            <w:tcW w:w="4897" w:type="dxa"/>
            <w:shd w:val="clear" w:color="auto" w:fill="auto"/>
            <w:vAlign w:val="center"/>
          </w:tcPr>
          <w:p w14:paraId="658040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塑料制</w:t>
            </w:r>
          </w:p>
        </w:tc>
        <w:tc>
          <w:tcPr>
            <w:tcW w:w="462" w:type="dxa"/>
            <w:shd w:val="clear" w:color="auto" w:fill="auto"/>
            <w:vAlign w:val="center"/>
          </w:tcPr>
          <w:p w14:paraId="04415A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A4700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70F603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74</w:t>
            </w:r>
          </w:p>
        </w:tc>
        <w:tc>
          <w:tcPr>
            <w:tcW w:w="1489" w:type="dxa"/>
            <w:shd w:val="clear" w:color="auto" w:fill="auto"/>
            <w:vAlign w:val="center"/>
          </w:tcPr>
          <w:p w14:paraId="28F3EF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1110</w:t>
            </w:r>
          </w:p>
        </w:tc>
      </w:tr>
      <w:tr w14:paraId="6817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A5EA4C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50</w:t>
            </w:r>
          </w:p>
        </w:tc>
        <w:tc>
          <w:tcPr>
            <w:tcW w:w="1072" w:type="dxa"/>
            <w:shd w:val="clear" w:color="auto" w:fill="auto"/>
            <w:vAlign w:val="center"/>
          </w:tcPr>
          <w:p w14:paraId="1BE3B5F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比色管架</w:t>
            </w:r>
          </w:p>
        </w:tc>
        <w:tc>
          <w:tcPr>
            <w:tcW w:w="4897" w:type="dxa"/>
            <w:shd w:val="clear" w:color="auto" w:fill="auto"/>
            <w:vAlign w:val="center"/>
          </w:tcPr>
          <w:p w14:paraId="09C8989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塑料制,6孔</w:t>
            </w:r>
          </w:p>
        </w:tc>
        <w:tc>
          <w:tcPr>
            <w:tcW w:w="462" w:type="dxa"/>
            <w:shd w:val="clear" w:color="auto" w:fill="auto"/>
            <w:vAlign w:val="center"/>
          </w:tcPr>
          <w:p w14:paraId="6F9223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457C0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457754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62</w:t>
            </w:r>
          </w:p>
        </w:tc>
        <w:tc>
          <w:tcPr>
            <w:tcW w:w="1489" w:type="dxa"/>
            <w:shd w:val="clear" w:color="auto" w:fill="auto"/>
            <w:vAlign w:val="center"/>
          </w:tcPr>
          <w:p w14:paraId="0DEA14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930</w:t>
            </w:r>
          </w:p>
        </w:tc>
      </w:tr>
      <w:tr w14:paraId="0D0C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7EB685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51</w:t>
            </w:r>
          </w:p>
        </w:tc>
        <w:tc>
          <w:tcPr>
            <w:tcW w:w="1072" w:type="dxa"/>
            <w:shd w:val="clear" w:color="auto" w:fill="auto"/>
            <w:vAlign w:val="center"/>
          </w:tcPr>
          <w:p w14:paraId="4D0F0AE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升降台</w:t>
            </w:r>
          </w:p>
        </w:tc>
        <w:tc>
          <w:tcPr>
            <w:tcW w:w="4897" w:type="dxa"/>
            <w:shd w:val="clear" w:color="auto" w:fill="auto"/>
            <w:vAlign w:val="center"/>
          </w:tcPr>
          <w:p w14:paraId="5522215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1、产品由上面板、下面板、旋转轴、手轮等组成。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2、升降范围不小于150mm，载重量不小于10kg。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3、工作台面：上面板150mm×150mm，下底板180mm×180mm。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4、上下面板均采用厚不小于1mm的冷轧板冲压成型，成型厚度约8mm，表面烤黑漆。其它金属表面均电镀处理。</w:t>
            </w:r>
          </w:p>
        </w:tc>
        <w:tc>
          <w:tcPr>
            <w:tcW w:w="462" w:type="dxa"/>
            <w:shd w:val="clear" w:color="auto" w:fill="auto"/>
            <w:vAlign w:val="center"/>
          </w:tcPr>
          <w:p w14:paraId="19654C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E24C7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43F8F0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182</w:t>
            </w:r>
          </w:p>
        </w:tc>
        <w:tc>
          <w:tcPr>
            <w:tcW w:w="1489" w:type="dxa"/>
            <w:shd w:val="clear" w:color="auto" w:fill="auto"/>
            <w:vAlign w:val="center"/>
          </w:tcPr>
          <w:p w14:paraId="403D5C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5460</w:t>
            </w:r>
          </w:p>
        </w:tc>
      </w:tr>
      <w:tr w14:paraId="6E9D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A0EFBC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52</w:t>
            </w:r>
          </w:p>
        </w:tc>
        <w:tc>
          <w:tcPr>
            <w:tcW w:w="1072" w:type="dxa"/>
            <w:shd w:val="clear" w:color="auto" w:fill="auto"/>
            <w:vAlign w:val="center"/>
          </w:tcPr>
          <w:p w14:paraId="6BDE618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4D51510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10mL,透明钠钙玻璃制，分度线、数字和标志应完整、清晰和耐久，容积为20℃时充满量筒刻度线所容纳体积</w:t>
            </w:r>
          </w:p>
        </w:tc>
        <w:tc>
          <w:tcPr>
            <w:tcW w:w="462" w:type="dxa"/>
            <w:shd w:val="clear" w:color="auto" w:fill="auto"/>
            <w:vAlign w:val="center"/>
          </w:tcPr>
          <w:p w14:paraId="439DC4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6851F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0C0427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1669A9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6604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09C753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53</w:t>
            </w:r>
          </w:p>
        </w:tc>
        <w:tc>
          <w:tcPr>
            <w:tcW w:w="1072" w:type="dxa"/>
            <w:shd w:val="clear" w:color="auto" w:fill="auto"/>
            <w:vAlign w:val="center"/>
          </w:tcPr>
          <w:p w14:paraId="7D4AA64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33D930E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20mL,透明钠钙玻璃制，分度线、数字和标志应完整、清晰和耐久，容积为20℃时充满量筒刻度线所容纳体积</w:t>
            </w:r>
          </w:p>
        </w:tc>
        <w:tc>
          <w:tcPr>
            <w:tcW w:w="462" w:type="dxa"/>
            <w:shd w:val="clear" w:color="auto" w:fill="auto"/>
            <w:vAlign w:val="center"/>
          </w:tcPr>
          <w:p w14:paraId="2E3602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913A0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3104A6D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1A811B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3C8C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32011E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54</w:t>
            </w:r>
          </w:p>
        </w:tc>
        <w:tc>
          <w:tcPr>
            <w:tcW w:w="1072" w:type="dxa"/>
            <w:shd w:val="clear" w:color="auto" w:fill="auto"/>
            <w:vAlign w:val="center"/>
          </w:tcPr>
          <w:p w14:paraId="105C81C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47EC3AA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50mL,透明钠钙玻璃制，分度线、数字和标志应完整、清晰和耐久，容积为20℃时充满量筒刻度线所容纳体积</w:t>
            </w:r>
          </w:p>
        </w:tc>
        <w:tc>
          <w:tcPr>
            <w:tcW w:w="462" w:type="dxa"/>
            <w:shd w:val="clear" w:color="auto" w:fill="auto"/>
            <w:vAlign w:val="center"/>
          </w:tcPr>
          <w:p w14:paraId="4C925C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5F939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6521A99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5774F2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1FD6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2EF3A7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55</w:t>
            </w:r>
          </w:p>
        </w:tc>
        <w:tc>
          <w:tcPr>
            <w:tcW w:w="1072" w:type="dxa"/>
            <w:shd w:val="clear" w:color="auto" w:fill="auto"/>
            <w:vAlign w:val="center"/>
          </w:tcPr>
          <w:p w14:paraId="0EA3220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235D39D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100mL,透明钠钙玻璃制，分度线、数字和标志应完整、清晰和耐久，容积为20℃时充满量筒刻度线所容纳体积</w:t>
            </w:r>
          </w:p>
        </w:tc>
        <w:tc>
          <w:tcPr>
            <w:tcW w:w="462" w:type="dxa"/>
            <w:shd w:val="clear" w:color="auto" w:fill="auto"/>
            <w:vAlign w:val="center"/>
          </w:tcPr>
          <w:p w14:paraId="4A81AC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BC4775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6B22CB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vAlign w:val="center"/>
          </w:tcPr>
          <w:p w14:paraId="30F41B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32D0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963EE2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56</w:t>
            </w:r>
          </w:p>
        </w:tc>
        <w:tc>
          <w:tcPr>
            <w:tcW w:w="1072" w:type="dxa"/>
            <w:shd w:val="clear" w:color="auto" w:fill="auto"/>
            <w:vAlign w:val="center"/>
          </w:tcPr>
          <w:p w14:paraId="59B3A93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5C70013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500mL,透明钠钙玻璃制，分度线、数字和标志应完整、清晰和耐久，容积为20℃时充满量筒刻度线所容纳体积</w:t>
            </w:r>
          </w:p>
        </w:tc>
        <w:tc>
          <w:tcPr>
            <w:tcW w:w="462" w:type="dxa"/>
            <w:shd w:val="clear" w:color="auto" w:fill="auto"/>
            <w:vAlign w:val="center"/>
          </w:tcPr>
          <w:p w14:paraId="4FEB91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B377C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3AB251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c>
          <w:tcPr>
            <w:tcW w:w="1489" w:type="dxa"/>
            <w:shd w:val="clear" w:color="auto" w:fill="auto"/>
            <w:vAlign w:val="center"/>
          </w:tcPr>
          <w:p w14:paraId="660041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58</w:t>
            </w:r>
          </w:p>
        </w:tc>
      </w:tr>
      <w:tr w14:paraId="3BB1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57529A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57</w:t>
            </w:r>
          </w:p>
        </w:tc>
        <w:tc>
          <w:tcPr>
            <w:tcW w:w="1072" w:type="dxa"/>
            <w:shd w:val="clear" w:color="auto" w:fill="auto"/>
            <w:vAlign w:val="center"/>
          </w:tcPr>
          <w:p w14:paraId="7ACCCBC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1DB1994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1000mL,透明钠钙玻璃制，分度线、数字和标志应完整、清晰和耐久，容积为20℃时充满量筒刻度线所容纳体积</w:t>
            </w:r>
          </w:p>
        </w:tc>
        <w:tc>
          <w:tcPr>
            <w:tcW w:w="462" w:type="dxa"/>
            <w:shd w:val="clear" w:color="auto" w:fill="auto"/>
            <w:vAlign w:val="center"/>
          </w:tcPr>
          <w:p w14:paraId="415153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7F9EC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79F52F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w:t>
            </w:r>
          </w:p>
        </w:tc>
        <w:tc>
          <w:tcPr>
            <w:tcW w:w="1489" w:type="dxa"/>
            <w:shd w:val="clear" w:color="auto" w:fill="auto"/>
            <w:vAlign w:val="center"/>
          </w:tcPr>
          <w:p w14:paraId="4E1CA3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92</w:t>
            </w:r>
          </w:p>
        </w:tc>
      </w:tr>
      <w:tr w14:paraId="7926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CB733B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58</w:t>
            </w:r>
          </w:p>
        </w:tc>
        <w:tc>
          <w:tcPr>
            <w:tcW w:w="1072" w:type="dxa"/>
            <w:shd w:val="clear" w:color="auto" w:fill="auto"/>
            <w:vAlign w:val="center"/>
          </w:tcPr>
          <w:p w14:paraId="0B48EFE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0827DEF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50mL,透明硼硅酸盐玻璃制，刻度线应清晰耐久，粗细均匀，位于和瓶底平行的平面，围绕整个瓶颈</w:t>
            </w:r>
          </w:p>
        </w:tc>
        <w:tc>
          <w:tcPr>
            <w:tcW w:w="462" w:type="dxa"/>
            <w:shd w:val="clear" w:color="auto" w:fill="auto"/>
            <w:vAlign w:val="center"/>
          </w:tcPr>
          <w:p w14:paraId="7CA060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F9940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254D6D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489" w:type="dxa"/>
            <w:shd w:val="clear" w:color="auto" w:fill="auto"/>
            <w:vAlign w:val="center"/>
          </w:tcPr>
          <w:p w14:paraId="267888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r>
      <w:tr w14:paraId="5BB50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03E775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59</w:t>
            </w:r>
          </w:p>
        </w:tc>
        <w:tc>
          <w:tcPr>
            <w:tcW w:w="1072" w:type="dxa"/>
            <w:shd w:val="clear" w:color="auto" w:fill="auto"/>
            <w:vAlign w:val="center"/>
          </w:tcPr>
          <w:p w14:paraId="0774D7B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2884472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100mL,透明硼硅酸盐玻璃制，刻度线应清晰耐久，粗细均匀，位于和瓶底平行的平面，围绕整个瓶颈</w:t>
            </w:r>
          </w:p>
        </w:tc>
        <w:tc>
          <w:tcPr>
            <w:tcW w:w="462" w:type="dxa"/>
            <w:shd w:val="clear" w:color="auto" w:fill="auto"/>
            <w:vAlign w:val="center"/>
          </w:tcPr>
          <w:p w14:paraId="75AB25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1CE24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1C57DB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vAlign w:val="center"/>
          </w:tcPr>
          <w:p w14:paraId="718A24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390</w:t>
            </w:r>
          </w:p>
        </w:tc>
      </w:tr>
      <w:tr w14:paraId="26A4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C23336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60</w:t>
            </w:r>
          </w:p>
        </w:tc>
        <w:tc>
          <w:tcPr>
            <w:tcW w:w="1072" w:type="dxa"/>
            <w:shd w:val="clear" w:color="auto" w:fill="auto"/>
            <w:vAlign w:val="center"/>
          </w:tcPr>
          <w:p w14:paraId="7D7898D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168C4B7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250mL,透明硼硅酸盐玻璃制，刻度线应清晰耐久，粗细均匀，位于和瓶底平行的平面，围绕整个瓶颈</w:t>
            </w:r>
          </w:p>
        </w:tc>
        <w:tc>
          <w:tcPr>
            <w:tcW w:w="462" w:type="dxa"/>
            <w:shd w:val="clear" w:color="auto" w:fill="auto"/>
            <w:vAlign w:val="center"/>
          </w:tcPr>
          <w:p w14:paraId="1F3718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FA36B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vAlign w:val="center"/>
          </w:tcPr>
          <w:p w14:paraId="5B626B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c>
          <w:tcPr>
            <w:tcW w:w="1489" w:type="dxa"/>
            <w:shd w:val="clear" w:color="auto" w:fill="auto"/>
            <w:vAlign w:val="center"/>
          </w:tcPr>
          <w:p w14:paraId="69BA2E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80</w:t>
            </w:r>
          </w:p>
        </w:tc>
      </w:tr>
      <w:tr w14:paraId="65FA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45A26E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61</w:t>
            </w:r>
          </w:p>
        </w:tc>
        <w:tc>
          <w:tcPr>
            <w:tcW w:w="1072" w:type="dxa"/>
            <w:shd w:val="clear" w:color="auto" w:fill="auto"/>
            <w:vAlign w:val="center"/>
          </w:tcPr>
          <w:p w14:paraId="11922EE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301D168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500mL,透明硼硅酸盐玻璃制，刻度线应清晰耐久，粗细均匀，位于和瓶底平行的平面，围绕整个瓶颈</w:t>
            </w:r>
          </w:p>
        </w:tc>
        <w:tc>
          <w:tcPr>
            <w:tcW w:w="462" w:type="dxa"/>
            <w:shd w:val="clear" w:color="auto" w:fill="auto"/>
            <w:vAlign w:val="center"/>
          </w:tcPr>
          <w:p w14:paraId="66F4FF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FED15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25660C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vAlign w:val="center"/>
          </w:tcPr>
          <w:p w14:paraId="57013F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56</w:t>
            </w:r>
          </w:p>
        </w:tc>
      </w:tr>
      <w:tr w14:paraId="04D2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EA3A08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62</w:t>
            </w:r>
          </w:p>
        </w:tc>
        <w:tc>
          <w:tcPr>
            <w:tcW w:w="1072" w:type="dxa"/>
            <w:shd w:val="clear" w:color="auto" w:fill="auto"/>
            <w:vAlign w:val="center"/>
          </w:tcPr>
          <w:p w14:paraId="465247E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5D9DB2E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1000mL,透明硼硅酸盐玻璃制，刻度线应清晰耐久，粗细均匀，位于和瓶底平行的平面，围绕整个瓶颈</w:t>
            </w:r>
          </w:p>
        </w:tc>
        <w:tc>
          <w:tcPr>
            <w:tcW w:w="462" w:type="dxa"/>
            <w:shd w:val="clear" w:color="auto" w:fill="auto"/>
            <w:vAlign w:val="center"/>
          </w:tcPr>
          <w:p w14:paraId="05E5FC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31667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6D8E18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489" w:type="dxa"/>
            <w:shd w:val="clear" w:color="auto" w:fill="auto"/>
            <w:vAlign w:val="center"/>
          </w:tcPr>
          <w:p w14:paraId="7F5F44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77C2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98DD47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63</w:t>
            </w:r>
          </w:p>
        </w:tc>
        <w:tc>
          <w:tcPr>
            <w:tcW w:w="1072" w:type="dxa"/>
            <w:shd w:val="clear" w:color="auto" w:fill="auto"/>
            <w:vAlign w:val="center"/>
          </w:tcPr>
          <w:p w14:paraId="711D971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滴定管</w:t>
            </w:r>
          </w:p>
        </w:tc>
        <w:tc>
          <w:tcPr>
            <w:tcW w:w="4897" w:type="dxa"/>
            <w:shd w:val="clear" w:color="auto" w:fill="auto"/>
            <w:vAlign w:val="center"/>
          </w:tcPr>
          <w:p w14:paraId="1739A1A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酸式，25mL,透明钠钙玻璃制，应采用刻蚀刻度，刻度清晰不易腐蚀，整数分度应为环形刻度</w:t>
            </w:r>
          </w:p>
        </w:tc>
        <w:tc>
          <w:tcPr>
            <w:tcW w:w="462" w:type="dxa"/>
            <w:shd w:val="clear" w:color="auto" w:fill="auto"/>
            <w:vAlign w:val="center"/>
          </w:tcPr>
          <w:p w14:paraId="18FC21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1B9903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83530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489" w:type="dxa"/>
            <w:shd w:val="clear" w:color="auto" w:fill="auto"/>
            <w:vAlign w:val="center"/>
          </w:tcPr>
          <w:p w14:paraId="0B8491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900</w:t>
            </w:r>
          </w:p>
        </w:tc>
      </w:tr>
      <w:tr w14:paraId="503F1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B482BC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64</w:t>
            </w:r>
          </w:p>
        </w:tc>
        <w:tc>
          <w:tcPr>
            <w:tcW w:w="1072" w:type="dxa"/>
            <w:shd w:val="clear" w:color="auto" w:fill="auto"/>
            <w:vAlign w:val="center"/>
          </w:tcPr>
          <w:p w14:paraId="4AC4DDB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滴定管</w:t>
            </w:r>
          </w:p>
        </w:tc>
        <w:tc>
          <w:tcPr>
            <w:tcW w:w="4897" w:type="dxa"/>
            <w:shd w:val="clear" w:color="auto" w:fill="auto"/>
            <w:vAlign w:val="center"/>
          </w:tcPr>
          <w:p w14:paraId="7D79AC2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碱式，25mL,透明钠钙玻璃制，应采用刻蚀刻度，刻度清晰不易腐蚀，整数分度应为环形刻度</w:t>
            </w:r>
          </w:p>
        </w:tc>
        <w:tc>
          <w:tcPr>
            <w:tcW w:w="462" w:type="dxa"/>
            <w:shd w:val="clear" w:color="auto" w:fill="auto"/>
            <w:vAlign w:val="center"/>
          </w:tcPr>
          <w:p w14:paraId="3FCD96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4D1679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724FF1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vAlign w:val="center"/>
          </w:tcPr>
          <w:p w14:paraId="7FE35B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5B7A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E5861A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65</w:t>
            </w:r>
          </w:p>
        </w:tc>
        <w:tc>
          <w:tcPr>
            <w:tcW w:w="1072" w:type="dxa"/>
            <w:shd w:val="clear" w:color="auto" w:fill="auto"/>
            <w:vAlign w:val="center"/>
          </w:tcPr>
          <w:p w14:paraId="3FA5FDD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移液管</w:t>
            </w:r>
          </w:p>
        </w:tc>
        <w:tc>
          <w:tcPr>
            <w:tcW w:w="4897" w:type="dxa"/>
            <w:shd w:val="clear" w:color="auto" w:fill="auto"/>
            <w:vAlign w:val="center"/>
          </w:tcPr>
          <w:p w14:paraId="5E08A66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1mL，透明硼硅酸盐玻璃制</w:t>
            </w:r>
          </w:p>
        </w:tc>
        <w:tc>
          <w:tcPr>
            <w:tcW w:w="462" w:type="dxa"/>
            <w:shd w:val="clear" w:color="auto" w:fill="auto"/>
            <w:vAlign w:val="center"/>
          </w:tcPr>
          <w:p w14:paraId="0CE3BF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183DA4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0FE502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vAlign w:val="center"/>
          </w:tcPr>
          <w:p w14:paraId="5F9468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7954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7AE8B4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66</w:t>
            </w:r>
          </w:p>
        </w:tc>
        <w:tc>
          <w:tcPr>
            <w:tcW w:w="1072" w:type="dxa"/>
            <w:shd w:val="clear" w:color="auto" w:fill="auto"/>
            <w:vAlign w:val="center"/>
          </w:tcPr>
          <w:p w14:paraId="1E21F15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移液管</w:t>
            </w:r>
          </w:p>
        </w:tc>
        <w:tc>
          <w:tcPr>
            <w:tcW w:w="4897" w:type="dxa"/>
            <w:shd w:val="clear" w:color="auto" w:fill="auto"/>
            <w:vAlign w:val="center"/>
          </w:tcPr>
          <w:p w14:paraId="1733980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2mL，透明硼硅酸盐玻璃制</w:t>
            </w:r>
          </w:p>
        </w:tc>
        <w:tc>
          <w:tcPr>
            <w:tcW w:w="462" w:type="dxa"/>
            <w:shd w:val="clear" w:color="auto" w:fill="auto"/>
            <w:vAlign w:val="center"/>
          </w:tcPr>
          <w:p w14:paraId="315D0C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59B86C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1319B43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vAlign w:val="center"/>
          </w:tcPr>
          <w:p w14:paraId="5C2458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79D1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C70E54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67</w:t>
            </w:r>
          </w:p>
        </w:tc>
        <w:tc>
          <w:tcPr>
            <w:tcW w:w="1072" w:type="dxa"/>
            <w:shd w:val="clear" w:color="auto" w:fill="auto"/>
            <w:vAlign w:val="center"/>
          </w:tcPr>
          <w:p w14:paraId="2219CAE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移液管</w:t>
            </w:r>
          </w:p>
        </w:tc>
        <w:tc>
          <w:tcPr>
            <w:tcW w:w="4897" w:type="dxa"/>
            <w:shd w:val="clear" w:color="auto" w:fill="auto"/>
            <w:vAlign w:val="center"/>
          </w:tcPr>
          <w:p w14:paraId="528A23D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5mL，透明硼硅酸盐玻璃制</w:t>
            </w:r>
          </w:p>
        </w:tc>
        <w:tc>
          <w:tcPr>
            <w:tcW w:w="462" w:type="dxa"/>
            <w:shd w:val="clear" w:color="auto" w:fill="auto"/>
            <w:vAlign w:val="center"/>
          </w:tcPr>
          <w:p w14:paraId="188E99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3199D6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75B5E4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5E1C2C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105</w:t>
            </w:r>
          </w:p>
        </w:tc>
      </w:tr>
      <w:tr w14:paraId="1D33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52B44F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68</w:t>
            </w:r>
          </w:p>
        </w:tc>
        <w:tc>
          <w:tcPr>
            <w:tcW w:w="1072" w:type="dxa"/>
            <w:shd w:val="clear" w:color="auto" w:fill="auto"/>
            <w:vAlign w:val="center"/>
          </w:tcPr>
          <w:p w14:paraId="1800F56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移液管</w:t>
            </w:r>
          </w:p>
        </w:tc>
        <w:tc>
          <w:tcPr>
            <w:tcW w:w="4897" w:type="dxa"/>
            <w:shd w:val="clear" w:color="auto" w:fill="auto"/>
            <w:vAlign w:val="center"/>
          </w:tcPr>
          <w:p w14:paraId="77D3ED4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25mL，透明硼硅酸盐玻璃制</w:t>
            </w:r>
          </w:p>
        </w:tc>
        <w:tc>
          <w:tcPr>
            <w:tcW w:w="462" w:type="dxa"/>
            <w:shd w:val="clear" w:color="auto" w:fill="auto"/>
            <w:vAlign w:val="center"/>
          </w:tcPr>
          <w:p w14:paraId="18437E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704EA6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1466B7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489" w:type="dxa"/>
            <w:shd w:val="clear" w:color="auto" w:fill="auto"/>
            <w:vAlign w:val="center"/>
          </w:tcPr>
          <w:p w14:paraId="43A7F3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7DA9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244BB4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69</w:t>
            </w:r>
          </w:p>
        </w:tc>
        <w:tc>
          <w:tcPr>
            <w:tcW w:w="1072" w:type="dxa"/>
            <w:shd w:val="clear" w:color="auto" w:fill="auto"/>
            <w:vAlign w:val="center"/>
          </w:tcPr>
          <w:p w14:paraId="31D2A1B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78929F0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Φ12mmX70mm,透明硼硅玻璃制</w:t>
            </w:r>
          </w:p>
        </w:tc>
        <w:tc>
          <w:tcPr>
            <w:tcW w:w="462" w:type="dxa"/>
            <w:shd w:val="clear" w:color="auto" w:fill="auto"/>
            <w:vAlign w:val="center"/>
          </w:tcPr>
          <w:p w14:paraId="2BECB1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32513F5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250</w:t>
            </w:r>
          </w:p>
        </w:tc>
        <w:tc>
          <w:tcPr>
            <w:tcW w:w="1048" w:type="dxa"/>
            <w:shd w:val="clear" w:color="auto" w:fill="auto"/>
            <w:vAlign w:val="center"/>
          </w:tcPr>
          <w:p w14:paraId="71F739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347167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250</w:t>
            </w:r>
          </w:p>
        </w:tc>
      </w:tr>
      <w:tr w14:paraId="4B33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C7DFF1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70</w:t>
            </w:r>
          </w:p>
        </w:tc>
        <w:tc>
          <w:tcPr>
            <w:tcW w:w="1072" w:type="dxa"/>
            <w:shd w:val="clear" w:color="auto" w:fill="auto"/>
            <w:vAlign w:val="center"/>
          </w:tcPr>
          <w:p w14:paraId="68B0820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567A255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Φ15mmX150mm,透明硼硅玻璃制</w:t>
            </w:r>
          </w:p>
        </w:tc>
        <w:tc>
          <w:tcPr>
            <w:tcW w:w="462" w:type="dxa"/>
            <w:shd w:val="clear" w:color="auto" w:fill="auto"/>
            <w:vAlign w:val="center"/>
          </w:tcPr>
          <w:p w14:paraId="26F7FE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12F805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250</w:t>
            </w:r>
          </w:p>
        </w:tc>
        <w:tc>
          <w:tcPr>
            <w:tcW w:w="1048" w:type="dxa"/>
            <w:shd w:val="clear" w:color="auto" w:fill="auto"/>
            <w:vAlign w:val="center"/>
          </w:tcPr>
          <w:p w14:paraId="4FE49F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10D15E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250</w:t>
            </w:r>
          </w:p>
        </w:tc>
      </w:tr>
      <w:tr w14:paraId="33D4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6332BC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71</w:t>
            </w:r>
          </w:p>
        </w:tc>
        <w:tc>
          <w:tcPr>
            <w:tcW w:w="1072" w:type="dxa"/>
            <w:shd w:val="clear" w:color="auto" w:fill="auto"/>
            <w:vAlign w:val="center"/>
          </w:tcPr>
          <w:p w14:paraId="7423C69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1B8753E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Φ18mmX180mm,透明硼硅玻璃制</w:t>
            </w:r>
          </w:p>
        </w:tc>
        <w:tc>
          <w:tcPr>
            <w:tcW w:w="462" w:type="dxa"/>
            <w:shd w:val="clear" w:color="auto" w:fill="auto"/>
            <w:vAlign w:val="center"/>
          </w:tcPr>
          <w:p w14:paraId="31AA50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6DE051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75</w:t>
            </w:r>
          </w:p>
        </w:tc>
        <w:tc>
          <w:tcPr>
            <w:tcW w:w="1048" w:type="dxa"/>
            <w:shd w:val="clear" w:color="auto" w:fill="auto"/>
            <w:vAlign w:val="center"/>
          </w:tcPr>
          <w:p w14:paraId="519697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1938D1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75</w:t>
            </w:r>
          </w:p>
        </w:tc>
      </w:tr>
      <w:tr w14:paraId="513B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C00F62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72</w:t>
            </w:r>
          </w:p>
        </w:tc>
        <w:tc>
          <w:tcPr>
            <w:tcW w:w="1072" w:type="dxa"/>
            <w:shd w:val="clear" w:color="auto" w:fill="auto"/>
            <w:vAlign w:val="center"/>
          </w:tcPr>
          <w:p w14:paraId="4BF0D8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71A0B51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Φ20mmX200mm,透明硼硅玻璃制</w:t>
            </w:r>
          </w:p>
        </w:tc>
        <w:tc>
          <w:tcPr>
            <w:tcW w:w="462" w:type="dxa"/>
            <w:shd w:val="clear" w:color="auto" w:fill="auto"/>
            <w:vAlign w:val="center"/>
          </w:tcPr>
          <w:p w14:paraId="3D512A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6DCABD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15C7A1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267AD4A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78DD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517540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73</w:t>
            </w:r>
          </w:p>
        </w:tc>
        <w:tc>
          <w:tcPr>
            <w:tcW w:w="1072" w:type="dxa"/>
            <w:shd w:val="clear" w:color="auto" w:fill="auto"/>
            <w:vAlign w:val="center"/>
          </w:tcPr>
          <w:p w14:paraId="6AFEA3B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45DCBA1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Φ32mmX200mm,透明硼硅玻璃制</w:t>
            </w:r>
          </w:p>
        </w:tc>
        <w:tc>
          <w:tcPr>
            <w:tcW w:w="462" w:type="dxa"/>
            <w:shd w:val="clear" w:color="auto" w:fill="auto"/>
            <w:vAlign w:val="center"/>
          </w:tcPr>
          <w:p w14:paraId="3FDCE1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17CD35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3697C1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76E2E0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215D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2CAB54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74</w:t>
            </w:r>
          </w:p>
        </w:tc>
        <w:tc>
          <w:tcPr>
            <w:tcW w:w="1072" w:type="dxa"/>
            <w:shd w:val="clear" w:color="auto" w:fill="auto"/>
            <w:vAlign w:val="center"/>
          </w:tcPr>
          <w:p w14:paraId="4599521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25EFFCE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Φ40mmX200mm,透明硼硅玻璃制</w:t>
            </w:r>
          </w:p>
        </w:tc>
        <w:tc>
          <w:tcPr>
            <w:tcW w:w="462" w:type="dxa"/>
            <w:shd w:val="clear" w:color="auto" w:fill="auto"/>
            <w:vAlign w:val="center"/>
          </w:tcPr>
          <w:p w14:paraId="02C5DF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7C2179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2B3E5A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vAlign w:val="center"/>
          </w:tcPr>
          <w:p w14:paraId="1231F3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749D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732EB2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75</w:t>
            </w:r>
          </w:p>
        </w:tc>
        <w:tc>
          <w:tcPr>
            <w:tcW w:w="1072" w:type="dxa"/>
            <w:shd w:val="clear" w:color="auto" w:fill="auto"/>
            <w:vAlign w:val="center"/>
          </w:tcPr>
          <w:p w14:paraId="177369F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具支试管</w:t>
            </w:r>
          </w:p>
        </w:tc>
        <w:tc>
          <w:tcPr>
            <w:tcW w:w="4897" w:type="dxa"/>
            <w:shd w:val="clear" w:color="auto" w:fill="auto"/>
            <w:vAlign w:val="center"/>
          </w:tcPr>
          <w:p w14:paraId="41B60BA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Φ18mmX180mm,透明硼硅酸盐玻璃制，管底厚薄应均匀，支管连接应平滑牢固，不应有偏歪</w:t>
            </w:r>
          </w:p>
        </w:tc>
        <w:tc>
          <w:tcPr>
            <w:tcW w:w="462" w:type="dxa"/>
            <w:shd w:val="clear" w:color="auto" w:fill="auto"/>
            <w:vAlign w:val="center"/>
          </w:tcPr>
          <w:p w14:paraId="7FEA63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5DEACC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c>
          <w:tcPr>
            <w:tcW w:w="1048" w:type="dxa"/>
            <w:shd w:val="clear" w:color="auto" w:fill="auto"/>
            <w:vAlign w:val="center"/>
          </w:tcPr>
          <w:p w14:paraId="13BAC5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7F477D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w:t>
            </w:r>
          </w:p>
        </w:tc>
      </w:tr>
      <w:tr w14:paraId="3E62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E84DB4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76</w:t>
            </w:r>
          </w:p>
        </w:tc>
        <w:tc>
          <w:tcPr>
            <w:tcW w:w="1072" w:type="dxa"/>
            <w:shd w:val="clear" w:color="auto" w:fill="auto"/>
            <w:vAlign w:val="center"/>
          </w:tcPr>
          <w:p w14:paraId="29DC02A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具支试管</w:t>
            </w:r>
          </w:p>
        </w:tc>
        <w:tc>
          <w:tcPr>
            <w:tcW w:w="4897" w:type="dxa"/>
            <w:shd w:val="clear" w:color="auto" w:fill="auto"/>
            <w:vAlign w:val="center"/>
          </w:tcPr>
          <w:p w14:paraId="785DFFA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Φ25mmX200mm,透明硼硅酸盐玻璃制，管底厚薄应均匀，支管连接应平滑牢固，不应有偏歪</w:t>
            </w:r>
          </w:p>
        </w:tc>
        <w:tc>
          <w:tcPr>
            <w:tcW w:w="462" w:type="dxa"/>
            <w:shd w:val="clear" w:color="auto" w:fill="auto"/>
            <w:vAlign w:val="center"/>
          </w:tcPr>
          <w:p w14:paraId="4924AA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1EA2DB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c>
          <w:tcPr>
            <w:tcW w:w="1048" w:type="dxa"/>
            <w:shd w:val="clear" w:color="auto" w:fill="auto"/>
            <w:vAlign w:val="center"/>
          </w:tcPr>
          <w:p w14:paraId="68B91C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20963B0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w:t>
            </w:r>
          </w:p>
        </w:tc>
      </w:tr>
      <w:tr w14:paraId="436ED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639170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77</w:t>
            </w:r>
          </w:p>
        </w:tc>
        <w:tc>
          <w:tcPr>
            <w:tcW w:w="1072" w:type="dxa"/>
            <w:shd w:val="clear" w:color="auto" w:fill="auto"/>
            <w:vAlign w:val="center"/>
          </w:tcPr>
          <w:p w14:paraId="373602E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硬质玻璃管</w:t>
            </w:r>
          </w:p>
        </w:tc>
        <w:tc>
          <w:tcPr>
            <w:tcW w:w="4897" w:type="dxa"/>
            <w:shd w:val="clear" w:color="auto" w:fill="auto"/>
            <w:vAlign w:val="center"/>
          </w:tcPr>
          <w:p w14:paraId="2E1AF03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Φ15mmX150mm,透明硼硅酸盐玻璃制，耐热温度≥800℃,试管两端口部应卷口</w:t>
            </w:r>
          </w:p>
        </w:tc>
        <w:tc>
          <w:tcPr>
            <w:tcW w:w="462" w:type="dxa"/>
            <w:shd w:val="clear" w:color="auto" w:fill="auto"/>
            <w:vAlign w:val="center"/>
          </w:tcPr>
          <w:p w14:paraId="5A7EA8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480F4E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0E3A27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681688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2772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EA58CD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78</w:t>
            </w:r>
          </w:p>
        </w:tc>
        <w:tc>
          <w:tcPr>
            <w:tcW w:w="1072" w:type="dxa"/>
            <w:shd w:val="clear" w:color="auto" w:fill="auto"/>
            <w:vAlign w:val="center"/>
          </w:tcPr>
          <w:p w14:paraId="001832D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硬质玻璃管</w:t>
            </w:r>
          </w:p>
        </w:tc>
        <w:tc>
          <w:tcPr>
            <w:tcW w:w="4897" w:type="dxa"/>
            <w:shd w:val="clear" w:color="auto" w:fill="auto"/>
            <w:vAlign w:val="center"/>
          </w:tcPr>
          <w:p w14:paraId="3B63918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Φ20mmX250mm,透明硼硅酸盐玻璃制，耐热温度≥800℃,试管两端口部应卷口</w:t>
            </w:r>
          </w:p>
        </w:tc>
        <w:tc>
          <w:tcPr>
            <w:tcW w:w="462" w:type="dxa"/>
            <w:shd w:val="clear" w:color="auto" w:fill="auto"/>
            <w:vAlign w:val="center"/>
          </w:tcPr>
          <w:p w14:paraId="75D230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1BAAB4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048" w:type="dxa"/>
            <w:shd w:val="clear" w:color="auto" w:fill="auto"/>
            <w:vAlign w:val="center"/>
          </w:tcPr>
          <w:p w14:paraId="7EE167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284984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31BA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E2920A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79</w:t>
            </w:r>
          </w:p>
        </w:tc>
        <w:tc>
          <w:tcPr>
            <w:tcW w:w="1072" w:type="dxa"/>
            <w:shd w:val="clear" w:color="auto" w:fill="auto"/>
            <w:vAlign w:val="center"/>
          </w:tcPr>
          <w:p w14:paraId="6AD594C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1EB9A3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5mL,透明硼硅酸盐玻璃制，烧杯的满口容量应超过标称容量的10%或烧杯的满口容量和标称容量的两液面间距不应少于10mm，并应采用容量差值较大的一种</w:t>
            </w:r>
          </w:p>
        </w:tc>
        <w:tc>
          <w:tcPr>
            <w:tcW w:w="462" w:type="dxa"/>
            <w:shd w:val="clear" w:color="auto" w:fill="auto"/>
            <w:vAlign w:val="center"/>
          </w:tcPr>
          <w:p w14:paraId="52CC20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C17B0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33D0D7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6DFA2D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5E22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1D42FE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80</w:t>
            </w:r>
          </w:p>
        </w:tc>
        <w:tc>
          <w:tcPr>
            <w:tcW w:w="1072" w:type="dxa"/>
            <w:shd w:val="clear" w:color="auto" w:fill="auto"/>
            <w:vAlign w:val="center"/>
          </w:tcPr>
          <w:p w14:paraId="243D966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69C04BE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10mL,透明硼硅酸盐玻璃制，烧杯的满口容量应超过标称容量的10%或烧杯的满口容量和标称容量的两液面间距不应少于10mm，并应采用容量差值较大的一种</w:t>
            </w:r>
          </w:p>
        </w:tc>
        <w:tc>
          <w:tcPr>
            <w:tcW w:w="462" w:type="dxa"/>
            <w:shd w:val="clear" w:color="auto" w:fill="auto"/>
            <w:vAlign w:val="center"/>
          </w:tcPr>
          <w:p w14:paraId="112BDB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A99DC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BA036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2C629C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04A6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C35AF1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81</w:t>
            </w:r>
          </w:p>
        </w:tc>
        <w:tc>
          <w:tcPr>
            <w:tcW w:w="1072" w:type="dxa"/>
            <w:shd w:val="clear" w:color="auto" w:fill="auto"/>
            <w:vAlign w:val="center"/>
          </w:tcPr>
          <w:p w14:paraId="628A7DB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76059B3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25mL,透明硼硅酸盐玻璃制，烧杯的满口容量应超过标称容量的10%或烧杯的满口容量和标称容量的两液面间距不应少于10mm，并应采用容量差值较大的一种</w:t>
            </w:r>
          </w:p>
        </w:tc>
        <w:tc>
          <w:tcPr>
            <w:tcW w:w="462" w:type="dxa"/>
            <w:shd w:val="clear" w:color="auto" w:fill="auto"/>
            <w:vAlign w:val="center"/>
          </w:tcPr>
          <w:p w14:paraId="502151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931E3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79F981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73EDCB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58A8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1F92C8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82</w:t>
            </w:r>
          </w:p>
        </w:tc>
        <w:tc>
          <w:tcPr>
            <w:tcW w:w="1072" w:type="dxa"/>
            <w:shd w:val="clear" w:color="auto" w:fill="auto"/>
            <w:vAlign w:val="center"/>
          </w:tcPr>
          <w:p w14:paraId="7F2EA55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3B88DF9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50mL,透明硼硅酸盐玻璃制，烧杯的满口容量应超过标称容量的10%或烧杯的满口容量和标称容量的两液面间距不应少于10mm，并应采用容量差值较大的一种</w:t>
            </w:r>
          </w:p>
        </w:tc>
        <w:tc>
          <w:tcPr>
            <w:tcW w:w="462" w:type="dxa"/>
            <w:shd w:val="clear" w:color="auto" w:fill="auto"/>
            <w:vAlign w:val="center"/>
          </w:tcPr>
          <w:p w14:paraId="0CF611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715A1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73E405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0DA39C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38E5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3A0B18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83</w:t>
            </w:r>
          </w:p>
        </w:tc>
        <w:tc>
          <w:tcPr>
            <w:tcW w:w="1072" w:type="dxa"/>
            <w:shd w:val="clear" w:color="auto" w:fill="auto"/>
            <w:vAlign w:val="center"/>
          </w:tcPr>
          <w:p w14:paraId="06C7103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1DC5B9B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100mL,透明硼硅酸盐玻璃制，烧杯的满口容量应超过标称容量的10%或烧杯的满口容量和标称容量的两液面间距不应少于10mm，并应采用容量差值较大的一种</w:t>
            </w:r>
          </w:p>
        </w:tc>
        <w:tc>
          <w:tcPr>
            <w:tcW w:w="462" w:type="dxa"/>
            <w:shd w:val="clear" w:color="auto" w:fill="auto"/>
            <w:vAlign w:val="center"/>
          </w:tcPr>
          <w:p w14:paraId="457364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6E337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05E826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3606AB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594A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80816A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84</w:t>
            </w:r>
          </w:p>
        </w:tc>
        <w:tc>
          <w:tcPr>
            <w:tcW w:w="1072" w:type="dxa"/>
            <w:shd w:val="clear" w:color="auto" w:fill="auto"/>
            <w:vAlign w:val="center"/>
          </w:tcPr>
          <w:p w14:paraId="1959E42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2891893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250mL,透明硼硅酸盐玻璃制，烧杯的满口容量应超过标称容量的10%或烧杯的满口容量和标称容量的两液面间距不应少于10mm，并应采用容量差值较大的一种</w:t>
            </w:r>
          </w:p>
        </w:tc>
        <w:tc>
          <w:tcPr>
            <w:tcW w:w="462" w:type="dxa"/>
            <w:shd w:val="clear" w:color="auto" w:fill="auto"/>
            <w:vAlign w:val="center"/>
          </w:tcPr>
          <w:p w14:paraId="724940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F45A3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2D985D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494AE5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01048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C23EF6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85</w:t>
            </w:r>
          </w:p>
        </w:tc>
        <w:tc>
          <w:tcPr>
            <w:tcW w:w="1072" w:type="dxa"/>
            <w:shd w:val="clear" w:color="auto" w:fill="auto"/>
            <w:vAlign w:val="center"/>
          </w:tcPr>
          <w:p w14:paraId="79A3DE9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1E9F2C1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500mL,透明硼硅酸盐玻璃制，烧杯的满口容量应超过标称容量的10%或烧杯的满口容量和标称容量的两液面间距不应少于10mm，并应采用容量差值较大的一种</w:t>
            </w:r>
          </w:p>
        </w:tc>
        <w:tc>
          <w:tcPr>
            <w:tcW w:w="462" w:type="dxa"/>
            <w:shd w:val="clear" w:color="auto" w:fill="auto"/>
            <w:vAlign w:val="center"/>
          </w:tcPr>
          <w:p w14:paraId="5B6B0A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48861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c>
          <w:tcPr>
            <w:tcW w:w="1048" w:type="dxa"/>
            <w:shd w:val="clear" w:color="auto" w:fill="auto"/>
            <w:vAlign w:val="center"/>
          </w:tcPr>
          <w:p w14:paraId="6F1FF7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vAlign w:val="center"/>
          </w:tcPr>
          <w:p w14:paraId="3871CE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33F7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520340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86</w:t>
            </w:r>
          </w:p>
        </w:tc>
        <w:tc>
          <w:tcPr>
            <w:tcW w:w="1072" w:type="dxa"/>
            <w:shd w:val="clear" w:color="auto" w:fill="auto"/>
            <w:vAlign w:val="center"/>
          </w:tcPr>
          <w:p w14:paraId="5F78367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21CEAE1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1000mL,透明硼硅酸盐玻璃制，烧杯的满口容量应超过标称容量的10%或烧杯的满口容量和标称容量的两液面间距不应少于10mm，并应采用容量差值较大的一种</w:t>
            </w:r>
          </w:p>
        </w:tc>
        <w:tc>
          <w:tcPr>
            <w:tcW w:w="462" w:type="dxa"/>
            <w:shd w:val="clear" w:color="auto" w:fill="auto"/>
            <w:vAlign w:val="center"/>
          </w:tcPr>
          <w:p w14:paraId="10F885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9305D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048" w:type="dxa"/>
            <w:shd w:val="clear" w:color="auto" w:fill="auto"/>
            <w:vAlign w:val="center"/>
          </w:tcPr>
          <w:p w14:paraId="3F81267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c>
          <w:tcPr>
            <w:tcW w:w="1489" w:type="dxa"/>
            <w:shd w:val="clear" w:color="auto" w:fill="auto"/>
            <w:vAlign w:val="center"/>
          </w:tcPr>
          <w:p w14:paraId="58AE5B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80</w:t>
            </w:r>
          </w:p>
        </w:tc>
      </w:tr>
      <w:tr w14:paraId="68A7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62BB57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87</w:t>
            </w:r>
          </w:p>
        </w:tc>
        <w:tc>
          <w:tcPr>
            <w:tcW w:w="1072" w:type="dxa"/>
            <w:shd w:val="clear" w:color="auto" w:fill="auto"/>
            <w:vAlign w:val="center"/>
          </w:tcPr>
          <w:p w14:paraId="45DE96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w:t>
            </w:r>
          </w:p>
        </w:tc>
        <w:tc>
          <w:tcPr>
            <w:tcW w:w="4897" w:type="dxa"/>
            <w:shd w:val="clear" w:color="auto" w:fill="auto"/>
            <w:vAlign w:val="center"/>
          </w:tcPr>
          <w:p w14:paraId="074A979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圆底、长颈，250mL,透明硼硅酸盐玻璃制，玻璃薄厚均匀，底部应规整</w:t>
            </w:r>
          </w:p>
        </w:tc>
        <w:tc>
          <w:tcPr>
            <w:tcW w:w="462" w:type="dxa"/>
            <w:shd w:val="clear" w:color="auto" w:fill="auto"/>
            <w:vAlign w:val="center"/>
          </w:tcPr>
          <w:p w14:paraId="53A5A8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550A9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280D1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vAlign w:val="center"/>
          </w:tcPr>
          <w:p w14:paraId="32F7D4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0DA5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583977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88</w:t>
            </w:r>
          </w:p>
        </w:tc>
        <w:tc>
          <w:tcPr>
            <w:tcW w:w="1072" w:type="dxa"/>
            <w:shd w:val="clear" w:color="auto" w:fill="auto"/>
            <w:vAlign w:val="center"/>
          </w:tcPr>
          <w:p w14:paraId="2455E29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w:t>
            </w:r>
          </w:p>
        </w:tc>
        <w:tc>
          <w:tcPr>
            <w:tcW w:w="4897" w:type="dxa"/>
            <w:shd w:val="clear" w:color="auto" w:fill="auto"/>
            <w:vAlign w:val="center"/>
          </w:tcPr>
          <w:p w14:paraId="0DE3274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圆底，短颈，厚口250mL,透明硼硅酸盐玻璃制，玻璃薄厚均匀，底部应规整</w:t>
            </w:r>
          </w:p>
        </w:tc>
        <w:tc>
          <w:tcPr>
            <w:tcW w:w="462" w:type="dxa"/>
            <w:shd w:val="clear" w:color="auto" w:fill="auto"/>
            <w:vAlign w:val="center"/>
          </w:tcPr>
          <w:p w14:paraId="5E65C5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151C8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vAlign w:val="center"/>
          </w:tcPr>
          <w:p w14:paraId="398FFF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vAlign w:val="center"/>
          </w:tcPr>
          <w:p w14:paraId="6450DF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216</w:t>
            </w:r>
          </w:p>
        </w:tc>
      </w:tr>
      <w:tr w14:paraId="13EA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48227F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89</w:t>
            </w:r>
          </w:p>
        </w:tc>
        <w:tc>
          <w:tcPr>
            <w:tcW w:w="1072" w:type="dxa"/>
            <w:shd w:val="clear" w:color="auto" w:fill="auto"/>
            <w:vAlign w:val="center"/>
          </w:tcPr>
          <w:p w14:paraId="3043D4D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w:t>
            </w:r>
          </w:p>
        </w:tc>
        <w:tc>
          <w:tcPr>
            <w:tcW w:w="4897" w:type="dxa"/>
            <w:shd w:val="clear" w:color="auto" w:fill="auto"/>
            <w:vAlign w:val="center"/>
          </w:tcPr>
          <w:p w14:paraId="354A33F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圆底，长颈，500mL,透明硼硅酸盐玻璃制，玻璃薄厚均匀，底部应规整</w:t>
            </w:r>
          </w:p>
        </w:tc>
        <w:tc>
          <w:tcPr>
            <w:tcW w:w="462" w:type="dxa"/>
            <w:shd w:val="clear" w:color="auto" w:fill="auto"/>
            <w:vAlign w:val="center"/>
          </w:tcPr>
          <w:p w14:paraId="7AB7A8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2D94A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150D8F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vAlign w:val="center"/>
          </w:tcPr>
          <w:p w14:paraId="444486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315</w:t>
            </w:r>
          </w:p>
        </w:tc>
      </w:tr>
      <w:tr w14:paraId="59B8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DC8E4B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90</w:t>
            </w:r>
          </w:p>
        </w:tc>
        <w:tc>
          <w:tcPr>
            <w:tcW w:w="1072" w:type="dxa"/>
            <w:shd w:val="clear" w:color="auto" w:fill="auto"/>
            <w:vAlign w:val="center"/>
          </w:tcPr>
          <w:p w14:paraId="3EFBF6A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w:t>
            </w:r>
          </w:p>
        </w:tc>
        <w:tc>
          <w:tcPr>
            <w:tcW w:w="4897" w:type="dxa"/>
            <w:shd w:val="clear" w:color="auto" w:fill="auto"/>
            <w:vAlign w:val="center"/>
          </w:tcPr>
          <w:p w14:paraId="6333711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平底、长颈，250mL,透明硼硅酸盐玻璃制，平底烧瓶底部应平整，放在平台上应直立不摇晃</w:t>
            </w:r>
          </w:p>
        </w:tc>
        <w:tc>
          <w:tcPr>
            <w:tcW w:w="462" w:type="dxa"/>
            <w:shd w:val="clear" w:color="auto" w:fill="auto"/>
            <w:vAlign w:val="center"/>
          </w:tcPr>
          <w:p w14:paraId="478741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AF033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048" w:type="dxa"/>
            <w:shd w:val="clear" w:color="auto" w:fill="auto"/>
            <w:vAlign w:val="center"/>
          </w:tcPr>
          <w:p w14:paraId="5BF601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vAlign w:val="center"/>
          </w:tcPr>
          <w:p w14:paraId="07B22E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75</w:t>
            </w:r>
          </w:p>
        </w:tc>
      </w:tr>
      <w:tr w14:paraId="3B83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FBE3AF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91</w:t>
            </w:r>
          </w:p>
        </w:tc>
        <w:tc>
          <w:tcPr>
            <w:tcW w:w="1072" w:type="dxa"/>
            <w:shd w:val="clear" w:color="auto" w:fill="auto"/>
            <w:vAlign w:val="center"/>
          </w:tcPr>
          <w:p w14:paraId="5FE97D6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1B7CF0E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100mL,透明硼硅酸盐玻璃制，放在平台上应直立不摇晃</w:t>
            </w:r>
          </w:p>
        </w:tc>
        <w:tc>
          <w:tcPr>
            <w:tcW w:w="462" w:type="dxa"/>
            <w:shd w:val="clear" w:color="auto" w:fill="auto"/>
            <w:vAlign w:val="center"/>
          </w:tcPr>
          <w:p w14:paraId="233273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18709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147C30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vAlign w:val="center"/>
          </w:tcPr>
          <w:p w14:paraId="7B59B5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330</w:t>
            </w:r>
          </w:p>
        </w:tc>
      </w:tr>
      <w:tr w14:paraId="064D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FE391F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92</w:t>
            </w:r>
          </w:p>
        </w:tc>
        <w:tc>
          <w:tcPr>
            <w:tcW w:w="1072" w:type="dxa"/>
            <w:shd w:val="clear" w:color="auto" w:fill="auto"/>
            <w:vAlign w:val="center"/>
          </w:tcPr>
          <w:p w14:paraId="68639E4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50BBD2B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250mL,透明硼硅酸盐玻璃制，放在平台上应直立不摇晃</w:t>
            </w:r>
          </w:p>
        </w:tc>
        <w:tc>
          <w:tcPr>
            <w:tcW w:w="462" w:type="dxa"/>
            <w:shd w:val="clear" w:color="auto" w:fill="auto"/>
            <w:vAlign w:val="center"/>
          </w:tcPr>
          <w:p w14:paraId="508EEC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61D65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00D66F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vAlign w:val="center"/>
          </w:tcPr>
          <w:p w14:paraId="3D9132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195</w:t>
            </w:r>
          </w:p>
        </w:tc>
      </w:tr>
      <w:tr w14:paraId="221F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9F84B9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93</w:t>
            </w:r>
          </w:p>
        </w:tc>
        <w:tc>
          <w:tcPr>
            <w:tcW w:w="1072" w:type="dxa"/>
            <w:shd w:val="clear" w:color="auto" w:fill="auto"/>
            <w:vAlign w:val="center"/>
          </w:tcPr>
          <w:p w14:paraId="7579FB4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蒸馏烧瓶</w:t>
            </w:r>
          </w:p>
        </w:tc>
        <w:tc>
          <w:tcPr>
            <w:tcW w:w="4897" w:type="dxa"/>
            <w:shd w:val="clear" w:color="auto" w:fill="auto"/>
            <w:vAlign w:val="center"/>
          </w:tcPr>
          <w:p w14:paraId="63AA084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250mL,透明硼硅酸盐玻璃制，烧瓶的颈部同一截面应该呈圆形，颈的口部不应呈锥形，并适当提高强度</w:t>
            </w:r>
          </w:p>
        </w:tc>
        <w:tc>
          <w:tcPr>
            <w:tcW w:w="462" w:type="dxa"/>
            <w:shd w:val="clear" w:color="auto" w:fill="auto"/>
            <w:vAlign w:val="center"/>
          </w:tcPr>
          <w:p w14:paraId="0D0C16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3C852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70226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vAlign w:val="center"/>
          </w:tcPr>
          <w:p w14:paraId="088CF1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450</w:t>
            </w:r>
          </w:p>
        </w:tc>
      </w:tr>
      <w:tr w14:paraId="54F9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CC106C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94</w:t>
            </w:r>
          </w:p>
        </w:tc>
        <w:tc>
          <w:tcPr>
            <w:tcW w:w="1072" w:type="dxa"/>
            <w:shd w:val="clear" w:color="auto" w:fill="auto"/>
            <w:vAlign w:val="center"/>
          </w:tcPr>
          <w:p w14:paraId="342DF1F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三口烧瓶</w:t>
            </w:r>
          </w:p>
        </w:tc>
        <w:tc>
          <w:tcPr>
            <w:tcW w:w="4897" w:type="dxa"/>
            <w:shd w:val="clear" w:color="auto" w:fill="auto"/>
            <w:vAlign w:val="center"/>
          </w:tcPr>
          <w:p w14:paraId="61A832E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w:t>
            </w:r>
          </w:p>
        </w:tc>
        <w:tc>
          <w:tcPr>
            <w:tcW w:w="462" w:type="dxa"/>
            <w:shd w:val="clear" w:color="auto" w:fill="auto"/>
            <w:vAlign w:val="center"/>
          </w:tcPr>
          <w:p w14:paraId="0CB574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84EAE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6D9299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vAlign w:val="center"/>
          </w:tcPr>
          <w:p w14:paraId="2C22FA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138</w:t>
            </w:r>
          </w:p>
        </w:tc>
      </w:tr>
      <w:tr w14:paraId="4280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87C5DB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95</w:t>
            </w:r>
          </w:p>
        </w:tc>
        <w:tc>
          <w:tcPr>
            <w:tcW w:w="1072" w:type="dxa"/>
            <w:shd w:val="clear" w:color="auto" w:fill="auto"/>
            <w:vAlign w:val="center"/>
          </w:tcPr>
          <w:p w14:paraId="2625178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集气瓶</w:t>
            </w:r>
          </w:p>
        </w:tc>
        <w:tc>
          <w:tcPr>
            <w:tcW w:w="4897" w:type="dxa"/>
            <w:shd w:val="clear" w:color="auto" w:fill="auto"/>
            <w:vAlign w:val="center"/>
          </w:tcPr>
          <w:p w14:paraId="7804067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125mL，透明钠钙玻璃制，磨砂面应均匀地覆盖瓶口端面与盖板，磨砂面不应有光斑；盖板四角应倒角，四边应磨光。盖板与瓶口密合性应符合：盖板与瓶口充分湿润盖合后，倒提瓶体盖板在瓶口上保持30s不脱落</w:t>
            </w:r>
          </w:p>
        </w:tc>
        <w:tc>
          <w:tcPr>
            <w:tcW w:w="462" w:type="dxa"/>
            <w:shd w:val="clear" w:color="auto" w:fill="auto"/>
            <w:vAlign w:val="center"/>
          </w:tcPr>
          <w:p w14:paraId="4D7898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68843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vAlign w:val="center"/>
          </w:tcPr>
          <w:p w14:paraId="54880D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027E4D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270</w:t>
            </w:r>
          </w:p>
        </w:tc>
      </w:tr>
      <w:tr w14:paraId="536A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728535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96</w:t>
            </w:r>
          </w:p>
        </w:tc>
        <w:tc>
          <w:tcPr>
            <w:tcW w:w="1072" w:type="dxa"/>
            <w:shd w:val="clear" w:color="auto" w:fill="auto"/>
            <w:vAlign w:val="center"/>
          </w:tcPr>
          <w:p w14:paraId="71130C0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集气瓶</w:t>
            </w:r>
          </w:p>
        </w:tc>
        <w:tc>
          <w:tcPr>
            <w:tcW w:w="4897" w:type="dxa"/>
            <w:shd w:val="clear" w:color="auto" w:fill="auto"/>
            <w:vAlign w:val="center"/>
          </w:tcPr>
          <w:p w14:paraId="02C20C7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250mL，透明钠钙玻璃制，磨砂面应均匀地覆盖瓶口端面与盖板，磨砂面不应有光斑；盖板四角应倒角，四边应磨光。盖板与瓶口密合性应符合：盖板与瓶口充分湿润盖合后，倒提瓶体盖板在瓶口上保持30s不脱落</w:t>
            </w:r>
          </w:p>
        </w:tc>
        <w:tc>
          <w:tcPr>
            <w:tcW w:w="462" w:type="dxa"/>
            <w:shd w:val="clear" w:color="auto" w:fill="auto"/>
            <w:vAlign w:val="center"/>
          </w:tcPr>
          <w:p w14:paraId="6964FE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28398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048" w:type="dxa"/>
            <w:shd w:val="clear" w:color="auto" w:fill="auto"/>
            <w:vAlign w:val="center"/>
          </w:tcPr>
          <w:p w14:paraId="6D8F21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270059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4B94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DAF928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97</w:t>
            </w:r>
          </w:p>
        </w:tc>
        <w:tc>
          <w:tcPr>
            <w:tcW w:w="1072" w:type="dxa"/>
            <w:shd w:val="clear" w:color="auto" w:fill="auto"/>
            <w:vAlign w:val="center"/>
          </w:tcPr>
          <w:p w14:paraId="4394533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集气瓶</w:t>
            </w:r>
          </w:p>
        </w:tc>
        <w:tc>
          <w:tcPr>
            <w:tcW w:w="4897" w:type="dxa"/>
            <w:shd w:val="clear" w:color="auto" w:fill="auto"/>
            <w:vAlign w:val="center"/>
          </w:tcPr>
          <w:p w14:paraId="2C49B5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500mL，透明钠钙玻璃制，磨砂面应均匀地覆盖瓶口端面与盖板，磨砂面不应有光斑；盖板四角应倒角，四边应磨光。盖板与瓶口密合性应符合：盖板与瓶口充分湿润盖合后，倒提瓶体盖板在瓶口上保持30s不脱落</w:t>
            </w:r>
          </w:p>
        </w:tc>
        <w:tc>
          <w:tcPr>
            <w:tcW w:w="462" w:type="dxa"/>
            <w:shd w:val="clear" w:color="auto" w:fill="auto"/>
            <w:vAlign w:val="center"/>
          </w:tcPr>
          <w:p w14:paraId="22BC63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041DE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6A10D64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vAlign w:val="center"/>
          </w:tcPr>
          <w:p w14:paraId="22F928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60BD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C457EF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98</w:t>
            </w:r>
          </w:p>
        </w:tc>
        <w:tc>
          <w:tcPr>
            <w:tcW w:w="1072" w:type="dxa"/>
            <w:shd w:val="clear" w:color="auto" w:fill="auto"/>
            <w:vAlign w:val="center"/>
          </w:tcPr>
          <w:p w14:paraId="3124120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液封除毒气集气瓶</w:t>
            </w:r>
          </w:p>
        </w:tc>
        <w:tc>
          <w:tcPr>
            <w:tcW w:w="4897" w:type="dxa"/>
            <w:shd w:val="clear" w:color="auto" w:fill="auto"/>
            <w:vAlign w:val="center"/>
          </w:tcPr>
          <w:p w14:paraId="4FD5A4D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250mL，瓶口光滑，液封口深度≥1cm</w:t>
            </w:r>
          </w:p>
        </w:tc>
        <w:tc>
          <w:tcPr>
            <w:tcW w:w="462" w:type="dxa"/>
            <w:shd w:val="clear" w:color="auto" w:fill="auto"/>
            <w:vAlign w:val="center"/>
          </w:tcPr>
          <w:p w14:paraId="52227C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01C13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202BD0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w:t>
            </w:r>
          </w:p>
        </w:tc>
        <w:tc>
          <w:tcPr>
            <w:tcW w:w="1489" w:type="dxa"/>
            <w:shd w:val="clear" w:color="auto" w:fill="auto"/>
            <w:vAlign w:val="center"/>
          </w:tcPr>
          <w:p w14:paraId="4BE30E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276</w:t>
            </w:r>
          </w:p>
        </w:tc>
      </w:tr>
      <w:tr w14:paraId="029D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281DDB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99</w:t>
            </w:r>
          </w:p>
        </w:tc>
        <w:tc>
          <w:tcPr>
            <w:tcW w:w="1072" w:type="dxa"/>
            <w:shd w:val="clear" w:color="auto" w:fill="auto"/>
            <w:vAlign w:val="center"/>
          </w:tcPr>
          <w:p w14:paraId="7B2397D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1F85BFC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60mL，透明钠钙玻璃制，瓶塞与瓶口紧实，不晃动；口部应圆整光滑，底部应平整，放置平台上不应摇晃</w:t>
            </w:r>
          </w:p>
        </w:tc>
        <w:tc>
          <w:tcPr>
            <w:tcW w:w="462" w:type="dxa"/>
            <w:shd w:val="clear" w:color="auto" w:fill="auto"/>
            <w:vAlign w:val="center"/>
          </w:tcPr>
          <w:p w14:paraId="691BA5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4B219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c>
          <w:tcPr>
            <w:tcW w:w="1048" w:type="dxa"/>
            <w:shd w:val="clear" w:color="auto" w:fill="auto"/>
            <w:vAlign w:val="center"/>
          </w:tcPr>
          <w:p w14:paraId="1F78F0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7DBACE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2100</w:t>
            </w:r>
          </w:p>
        </w:tc>
      </w:tr>
      <w:tr w14:paraId="5D35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88B418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100</w:t>
            </w:r>
          </w:p>
        </w:tc>
        <w:tc>
          <w:tcPr>
            <w:tcW w:w="1072" w:type="dxa"/>
            <w:shd w:val="clear" w:color="auto" w:fill="auto"/>
            <w:vAlign w:val="center"/>
          </w:tcPr>
          <w:p w14:paraId="415CB8E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1D2E218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125mL，透明钠钙玻璃制，瓶塞与瓶口紧实，不晃动；口部应圆整光滑，底部应平整，放置平台上不应摇晃</w:t>
            </w:r>
          </w:p>
        </w:tc>
        <w:tc>
          <w:tcPr>
            <w:tcW w:w="462" w:type="dxa"/>
            <w:shd w:val="clear" w:color="auto" w:fill="auto"/>
            <w:vAlign w:val="center"/>
          </w:tcPr>
          <w:p w14:paraId="0DC906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41C2F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785D0D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24D3677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r>
      <w:tr w14:paraId="2AB6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7369CA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101</w:t>
            </w:r>
          </w:p>
        </w:tc>
        <w:tc>
          <w:tcPr>
            <w:tcW w:w="1072" w:type="dxa"/>
            <w:shd w:val="clear" w:color="auto" w:fill="auto"/>
            <w:vAlign w:val="center"/>
          </w:tcPr>
          <w:p w14:paraId="05248AD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65EFEBD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250mL，透明钠钙玻璃制，瓶塞与瓶口紧实，不晃动；口部应圆整光滑，底部应平整，放置平台上不应摇晃</w:t>
            </w:r>
          </w:p>
        </w:tc>
        <w:tc>
          <w:tcPr>
            <w:tcW w:w="462" w:type="dxa"/>
            <w:shd w:val="clear" w:color="auto" w:fill="auto"/>
            <w:vAlign w:val="center"/>
          </w:tcPr>
          <w:p w14:paraId="40369F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A870F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vAlign w:val="center"/>
          </w:tcPr>
          <w:p w14:paraId="7A6D20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vAlign w:val="center"/>
          </w:tcPr>
          <w:p w14:paraId="479498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216</w:t>
            </w:r>
          </w:p>
        </w:tc>
      </w:tr>
      <w:tr w14:paraId="6539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80A95C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102</w:t>
            </w:r>
          </w:p>
        </w:tc>
        <w:tc>
          <w:tcPr>
            <w:tcW w:w="1072" w:type="dxa"/>
            <w:shd w:val="clear" w:color="auto" w:fill="auto"/>
            <w:vAlign w:val="center"/>
          </w:tcPr>
          <w:p w14:paraId="3921297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483FC3B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500mL，透明钠钙玻璃制，瓶塞与瓶口紧实，不晃动；口部应圆整光滑，底部应平整，放置平台上不应摇晃</w:t>
            </w:r>
          </w:p>
        </w:tc>
        <w:tc>
          <w:tcPr>
            <w:tcW w:w="462" w:type="dxa"/>
            <w:shd w:val="clear" w:color="auto" w:fill="auto"/>
            <w:vAlign w:val="center"/>
          </w:tcPr>
          <w:p w14:paraId="51434F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E5BC7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41F0EC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vAlign w:val="center"/>
          </w:tcPr>
          <w:p w14:paraId="529CD2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r>
      <w:tr w14:paraId="00D0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75EB07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103</w:t>
            </w:r>
          </w:p>
        </w:tc>
        <w:tc>
          <w:tcPr>
            <w:tcW w:w="1072" w:type="dxa"/>
            <w:shd w:val="clear" w:color="auto" w:fill="auto"/>
            <w:vAlign w:val="center"/>
          </w:tcPr>
          <w:p w14:paraId="36A45DB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茶色广口瓶</w:t>
            </w:r>
          </w:p>
        </w:tc>
        <w:tc>
          <w:tcPr>
            <w:tcW w:w="4897" w:type="dxa"/>
            <w:shd w:val="clear" w:color="auto" w:fill="auto"/>
            <w:vAlign w:val="center"/>
          </w:tcPr>
          <w:p w14:paraId="5AACB7F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60mL，黄棕色钠钙玻璃制，瓶塞与瓶口紧实，不晃动；口部应圆整光滑，底部应平整，放置平台上不应摇晃</w:t>
            </w:r>
          </w:p>
        </w:tc>
        <w:tc>
          <w:tcPr>
            <w:tcW w:w="462" w:type="dxa"/>
            <w:shd w:val="clear" w:color="auto" w:fill="auto"/>
            <w:vAlign w:val="center"/>
          </w:tcPr>
          <w:p w14:paraId="2F1B0B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B8F36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001CD0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6C7C8A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35BF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022D16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104</w:t>
            </w:r>
          </w:p>
        </w:tc>
        <w:tc>
          <w:tcPr>
            <w:tcW w:w="1072" w:type="dxa"/>
            <w:shd w:val="clear" w:color="auto" w:fill="auto"/>
            <w:vAlign w:val="center"/>
          </w:tcPr>
          <w:p w14:paraId="32C8061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茶色广口瓶</w:t>
            </w:r>
          </w:p>
        </w:tc>
        <w:tc>
          <w:tcPr>
            <w:tcW w:w="4897" w:type="dxa"/>
            <w:shd w:val="clear" w:color="auto" w:fill="auto"/>
            <w:vAlign w:val="center"/>
          </w:tcPr>
          <w:p w14:paraId="3E9E124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125mL，黄棕色钠钙玻璃制，瓶塞与瓶口紧实，不晃动；口部应圆整光滑，底部应平整，放置平台上不应摇晃</w:t>
            </w:r>
          </w:p>
        </w:tc>
        <w:tc>
          <w:tcPr>
            <w:tcW w:w="462" w:type="dxa"/>
            <w:shd w:val="clear" w:color="auto" w:fill="auto"/>
            <w:vAlign w:val="center"/>
          </w:tcPr>
          <w:p w14:paraId="512FB53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E47B1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0F7C25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vAlign w:val="center"/>
          </w:tcPr>
          <w:p w14:paraId="28B152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r>
      <w:tr w14:paraId="767E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72280E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105</w:t>
            </w:r>
          </w:p>
        </w:tc>
        <w:tc>
          <w:tcPr>
            <w:tcW w:w="1072" w:type="dxa"/>
            <w:shd w:val="clear" w:color="auto" w:fill="auto"/>
            <w:vAlign w:val="center"/>
          </w:tcPr>
          <w:p w14:paraId="51B7BD2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茶色广口瓶</w:t>
            </w:r>
          </w:p>
        </w:tc>
        <w:tc>
          <w:tcPr>
            <w:tcW w:w="4897" w:type="dxa"/>
            <w:shd w:val="clear" w:color="auto" w:fill="auto"/>
            <w:vAlign w:val="center"/>
          </w:tcPr>
          <w:p w14:paraId="10E0C44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250mL，黄棕色钠钙玻璃制，瓶塞与瓶口紧实，不晃动；口部应圆整光滑，底部应平整，放置平台上不应摇晃</w:t>
            </w:r>
          </w:p>
        </w:tc>
        <w:tc>
          <w:tcPr>
            <w:tcW w:w="462" w:type="dxa"/>
            <w:shd w:val="clear" w:color="auto" w:fill="auto"/>
            <w:vAlign w:val="center"/>
          </w:tcPr>
          <w:p w14:paraId="19D6D7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21DA3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2622BF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vAlign w:val="center"/>
          </w:tcPr>
          <w:p w14:paraId="1E1A6A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3C56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C9A247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106</w:t>
            </w:r>
          </w:p>
        </w:tc>
        <w:tc>
          <w:tcPr>
            <w:tcW w:w="1072" w:type="dxa"/>
            <w:shd w:val="clear" w:color="auto" w:fill="auto"/>
            <w:vAlign w:val="center"/>
          </w:tcPr>
          <w:p w14:paraId="40754FA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6F7EA27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60mL，透明钠钙玻璃制，瓶塞与瓶口紧实，不晃动；口部应圆整光滑，底部应平整，放置平台上不应摇晃</w:t>
            </w:r>
          </w:p>
        </w:tc>
        <w:tc>
          <w:tcPr>
            <w:tcW w:w="462" w:type="dxa"/>
            <w:shd w:val="clear" w:color="auto" w:fill="auto"/>
            <w:vAlign w:val="center"/>
          </w:tcPr>
          <w:p w14:paraId="682AE0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FEA0C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60F74A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09E1F3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16A7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3D5ED3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107</w:t>
            </w:r>
          </w:p>
        </w:tc>
        <w:tc>
          <w:tcPr>
            <w:tcW w:w="1072" w:type="dxa"/>
            <w:shd w:val="clear" w:color="auto" w:fill="auto"/>
            <w:vAlign w:val="center"/>
          </w:tcPr>
          <w:p w14:paraId="20F974D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1D039E7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125mL，透明钠钙玻璃制，瓶塞与瓶口紧实，不晃动；口部应圆整光滑，底部应平整，放置平台上不应摇晃</w:t>
            </w:r>
          </w:p>
        </w:tc>
        <w:tc>
          <w:tcPr>
            <w:tcW w:w="462" w:type="dxa"/>
            <w:shd w:val="clear" w:color="auto" w:fill="auto"/>
            <w:vAlign w:val="center"/>
          </w:tcPr>
          <w:p w14:paraId="2EE21C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35C32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c>
          <w:tcPr>
            <w:tcW w:w="1048" w:type="dxa"/>
            <w:shd w:val="clear" w:color="auto" w:fill="auto"/>
            <w:vAlign w:val="center"/>
          </w:tcPr>
          <w:p w14:paraId="731BDF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0F53A3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2100</w:t>
            </w:r>
          </w:p>
        </w:tc>
      </w:tr>
      <w:tr w14:paraId="68AC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5E8147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108</w:t>
            </w:r>
          </w:p>
        </w:tc>
        <w:tc>
          <w:tcPr>
            <w:tcW w:w="1072" w:type="dxa"/>
            <w:shd w:val="clear" w:color="auto" w:fill="auto"/>
            <w:vAlign w:val="center"/>
          </w:tcPr>
          <w:p w14:paraId="5364DFA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5FE4269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250mL，透明钠钙玻璃制，瓶塞与瓶口紧实，不晃动；口部应圆整光滑，底部应平整，放置平台上不应摇晃</w:t>
            </w:r>
          </w:p>
        </w:tc>
        <w:tc>
          <w:tcPr>
            <w:tcW w:w="462" w:type="dxa"/>
            <w:shd w:val="clear" w:color="auto" w:fill="auto"/>
            <w:vAlign w:val="center"/>
          </w:tcPr>
          <w:p w14:paraId="4EAA29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11761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29076D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vAlign w:val="center"/>
          </w:tcPr>
          <w:p w14:paraId="1D1278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38A2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B7F047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109</w:t>
            </w:r>
          </w:p>
        </w:tc>
        <w:tc>
          <w:tcPr>
            <w:tcW w:w="1072" w:type="dxa"/>
            <w:shd w:val="clear" w:color="auto" w:fill="auto"/>
            <w:vAlign w:val="center"/>
          </w:tcPr>
          <w:p w14:paraId="42DA622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4EF3683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500mL，透明钠钙玻璃制，瓶塞与瓶口紧实，不晃动；口部应圆整光滑，底部应平整，放置平台上不应摇晃</w:t>
            </w:r>
          </w:p>
        </w:tc>
        <w:tc>
          <w:tcPr>
            <w:tcW w:w="462" w:type="dxa"/>
            <w:shd w:val="clear" w:color="auto" w:fill="auto"/>
            <w:vAlign w:val="center"/>
          </w:tcPr>
          <w:p w14:paraId="6AF243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B1640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vAlign w:val="center"/>
          </w:tcPr>
          <w:p w14:paraId="4FC1DF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vAlign w:val="center"/>
          </w:tcPr>
          <w:p w14:paraId="5BA088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108</w:t>
            </w:r>
          </w:p>
        </w:tc>
      </w:tr>
      <w:tr w14:paraId="7612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FA2F8F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110</w:t>
            </w:r>
          </w:p>
        </w:tc>
        <w:tc>
          <w:tcPr>
            <w:tcW w:w="1072" w:type="dxa"/>
            <w:shd w:val="clear" w:color="auto" w:fill="auto"/>
            <w:vAlign w:val="center"/>
          </w:tcPr>
          <w:p w14:paraId="3A36B8E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6060828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1000mL，透明钠钙玻璃制，瓶塞与瓶口紧实，不晃动；口部应圆整光滑，底部应平整，放置平台上不应摇晃</w:t>
            </w:r>
          </w:p>
        </w:tc>
        <w:tc>
          <w:tcPr>
            <w:tcW w:w="462" w:type="dxa"/>
            <w:shd w:val="clear" w:color="auto" w:fill="auto"/>
            <w:vAlign w:val="center"/>
          </w:tcPr>
          <w:p w14:paraId="717D7F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68FD8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vAlign w:val="center"/>
          </w:tcPr>
          <w:p w14:paraId="0760C3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vAlign w:val="center"/>
          </w:tcPr>
          <w:p w14:paraId="2649BE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168</w:t>
            </w:r>
          </w:p>
        </w:tc>
      </w:tr>
      <w:tr w14:paraId="59A2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85A150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111</w:t>
            </w:r>
          </w:p>
        </w:tc>
        <w:tc>
          <w:tcPr>
            <w:tcW w:w="1072" w:type="dxa"/>
            <w:shd w:val="clear" w:color="auto" w:fill="auto"/>
            <w:vAlign w:val="center"/>
          </w:tcPr>
          <w:p w14:paraId="42E4B7D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5B6D328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2500mL，透明钠钙玻璃制，瓶塞与瓶口紧实，不晃动；口部应圆整光滑，底部应平整，放置平台上不应摇晃</w:t>
            </w:r>
          </w:p>
        </w:tc>
        <w:tc>
          <w:tcPr>
            <w:tcW w:w="462" w:type="dxa"/>
            <w:shd w:val="clear" w:color="auto" w:fill="auto"/>
            <w:vAlign w:val="center"/>
          </w:tcPr>
          <w:p w14:paraId="07376D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4779E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2C15E7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45</w:t>
            </w:r>
          </w:p>
        </w:tc>
        <w:tc>
          <w:tcPr>
            <w:tcW w:w="1489" w:type="dxa"/>
            <w:shd w:val="clear" w:color="auto" w:fill="auto"/>
            <w:vAlign w:val="center"/>
          </w:tcPr>
          <w:p w14:paraId="5F624F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5B54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D34DB5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112</w:t>
            </w:r>
          </w:p>
        </w:tc>
        <w:tc>
          <w:tcPr>
            <w:tcW w:w="1072" w:type="dxa"/>
            <w:shd w:val="clear" w:color="auto" w:fill="auto"/>
            <w:vAlign w:val="center"/>
          </w:tcPr>
          <w:p w14:paraId="7FCF6D4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539FFA0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60mL，黄棕色钠钙玻璃制，瓶塞与瓶口紧实，不晃动；口部应圆整光滑，底部应平整，放置平台上不应摇晃</w:t>
            </w:r>
          </w:p>
        </w:tc>
        <w:tc>
          <w:tcPr>
            <w:tcW w:w="462" w:type="dxa"/>
            <w:shd w:val="clear" w:color="auto" w:fill="auto"/>
            <w:vAlign w:val="center"/>
          </w:tcPr>
          <w:p w14:paraId="3B4708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F0AC9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4BE8F9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43ACE8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74AD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27265F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113</w:t>
            </w:r>
          </w:p>
        </w:tc>
        <w:tc>
          <w:tcPr>
            <w:tcW w:w="1072" w:type="dxa"/>
            <w:shd w:val="clear" w:color="auto" w:fill="auto"/>
            <w:vAlign w:val="center"/>
          </w:tcPr>
          <w:p w14:paraId="59BEBE3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0594767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125mL，黄棕色钠钙玻璃制，瓶塞与瓶口紧实，不晃动；口部应圆整光滑，底部应平整，放置平台上不应摇晃</w:t>
            </w:r>
          </w:p>
        </w:tc>
        <w:tc>
          <w:tcPr>
            <w:tcW w:w="462" w:type="dxa"/>
            <w:shd w:val="clear" w:color="auto" w:fill="auto"/>
            <w:vAlign w:val="center"/>
          </w:tcPr>
          <w:p w14:paraId="2B9159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23555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531A80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vAlign w:val="center"/>
          </w:tcPr>
          <w:p w14:paraId="3AC362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2738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DF500C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114</w:t>
            </w:r>
          </w:p>
        </w:tc>
        <w:tc>
          <w:tcPr>
            <w:tcW w:w="1072" w:type="dxa"/>
            <w:shd w:val="clear" w:color="auto" w:fill="auto"/>
            <w:vAlign w:val="center"/>
          </w:tcPr>
          <w:p w14:paraId="2B2B822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3F2DAE7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250mL，黄棕色钠钙玻璃制，瓶塞与瓶口紧实，不晃动；口部应圆整光滑，底部应平整，放置平台上不应摇晃</w:t>
            </w:r>
          </w:p>
        </w:tc>
        <w:tc>
          <w:tcPr>
            <w:tcW w:w="462" w:type="dxa"/>
            <w:shd w:val="clear" w:color="auto" w:fill="auto"/>
            <w:vAlign w:val="center"/>
          </w:tcPr>
          <w:p w14:paraId="568A2A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D98B6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vAlign w:val="center"/>
          </w:tcPr>
          <w:p w14:paraId="36A665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489" w:type="dxa"/>
            <w:shd w:val="clear" w:color="auto" w:fill="auto"/>
            <w:vAlign w:val="center"/>
          </w:tcPr>
          <w:p w14:paraId="289CEC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76CF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F59854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115</w:t>
            </w:r>
          </w:p>
        </w:tc>
        <w:tc>
          <w:tcPr>
            <w:tcW w:w="1072" w:type="dxa"/>
            <w:shd w:val="clear" w:color="auto" w:fill="auto"/>
            <w:vAlign w:val="center"/>
          </w:tcPr>
          <w:p w14:paraId="185A070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50CC470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500mL，黄棕色钠钙玻璃制，瓶塞与瓶口紧实，不晃动；口部应圆整光滑，底部应平整，放置平台上不应摇晃</w:t>
            </w:r>
          </w:p>
        </w:tc>
        <w:tc>
          <w:tcPr>
            <w:tcW w:w="462" w:type="dxa"/>
            <w:shd w:val="clear" w:color="auto" w:fill="auto"/>
            <w:vAlign w:val="center"/>
          </w:tcPr>
          <w:p w14:paraId="47CE77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6C538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6718FF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vAlign w:val="center"/>
          </w:tcPr>
          <w:p w14:paraId="451FFA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0AA9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707A38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116</w:t>
            </w:r>
          </w:p>
        </w:tc>
        <w:tc>
          <w:tcPr>
            <w:tcW w:w="1072" w:type="dxa"/>
            <w:shd w:val="clear" w:color="auto" w:fill="auto"/>
            <w:vAlign w:val="center"/>
          </w:tcPr>
          <w:p w14:paraId="4B1A12E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4253974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1000mL，黄棕色钠钙玻璃制，瓶塞与瓶口紧实，不晃动；口部应圆整光滑，底部应平整，放置平台上不应摇晃</w:t>
            </w:r>
          </w:p>
        </w:tc>
        <w:tc>
          <w:tcPr>
            <w:tcW w:w="462" w:type="dxa"/>
            <w:shd w:val="clear" w:color="auto" w:fill="auto"/>
            <w:vAlign w:val="center"/>
          </w:tcPr>
          <w:p w14:paraId="1BDF98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BFA61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7F7DA4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c>
          <w:tcPr>
            <w:tcW w:w="1489" w:type="dxa"/>
            <w:shd w:val="clear" w:color="auto" w:fill="auto"/>
            <w:vAlign w:val="center"/>
          </w:tcPr>
          <w:p w14:paraId="121354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r>
      <w:tr w14:paraId="19DD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559827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117</w:t>
            </w:r>
          </w:p>
        </w:tc>
        <w:tc>
          <w:tcPr>
            <w:tcW w:w="1072" w:type="dxa"/>
            <w:shd w:val="clear" w:color="auto" w:fill="auto"/>
            <w:vAlign w:val="center"/>
          </w:tcPr>
          <w:p w14:paraId="75EF0EA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6F13284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2500mL，黄棕色钠钙玻璃制，瓶塞与瓶口紧实，不晃动；口部应圆整光滑，底部应平整，放置平台上不应摇晃</w:t>
            </w:r>
          </w:p>
        </w:tc>
        <w:tc>
          <w:tcPr>
            <w:tcW w:w="462" w:type="dxa"/>
            <w:shd w:val="clear" w:color="auto" w:fill="auto"/>
            <w:vAlign w:val="center"/>
          </w:tcPr>
          <w:p w14:paraId="4CFD7B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3691E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62D007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53</w:t>
            </w:r>
          </w:p>
        </w:tc>
        <w:tc>
          <w:tcPr>
            <w:tcW w:w="1489" w:type="dxa"/>
            <w:shd w:val="clear" w:color="auto" w:fill="auto"/>
            <w:vAlign w:val="center"/>
          </w:tcPr>
          <w:p w14:paraId="61BC8F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53</w:t>
            </w:r>
          </w:p>
        </w:tc>
      </w:tr>
      <w:tr w14:paraId="195D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2D3C8A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118</w:t>
            </w:r>
          </w:p>
        </w:tc>
        <w:tc>
          <w:tcPr>
            <w:tcW w:w="1072" w:type="dxa"/>
            <w:shd w:val="clear" w:color="auto" w:fill="auto"/>
            <w:vAlign w:val="center"/>
          </w:tcPr>
          <w:p w14:paraId="71C56A2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下口瓶</w:t>
            </w:r>
          </w:p>
        </w:tc>
        <w:tc>
          <w:tcPr>
            <w:tcW w:w="4897" w:type="dxa"/>
            <w:shd w:val="clear" w:color="auto" w:fill="auto"/>
            <w:vAlign w:val="center"/>
          </w:tcPr>
          <w:p w14:paraId="3D86894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5000mL，透明钠钙玻璃制</w:t>
            </w:r>
          </w:p>
        </w:tc>
        <w:tc>
          <w:tcPr>
            <w:tcW w:w="462" w:type="dxa"/>
            <w:shd w:val="clear" w:color="auto" w:fill="auto"/>
            <w:vAlign w:val="center"/>
          </w:tcPr>
          <w:p w14:paraId="6D4D2F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51C73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6F96C0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129</w:t>
            </w:r>
          </w:p>
        </w:tc>
        <w:tc>
          <w:tcPr>
            <w:tcW w:w="1489" w:type="dxa"/>
            <w:shd w:val="clear" w:color="auto" w:fill="auto"/>
            <w:vAlign w:val="center"/>
          </w:tcPr>
          <w:p w14:paraId="055B44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258</w:t>
            </w:r>
          </w:p>
        </w:tc>
      </w:tr>
      <w:tr w14:paraId="5995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FE3EED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119</w:t>
            </w:r>
          </w:p>
        </w:tc>
        <w:tc>
          <w:tcPr>
            <w:tcW w:w="1072" w:type="dxa"/>
            <w:shd w:val="clear" w:color="auto" w:fill="auto"/>
            <w:vAlign w:val="center"/>
          </w:tcPr>
          <w:p w14:paraId="264F560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滴瓶</w:t>
            </w:r>
          </w:p>
        </w:tc>
        <w:tc>
          <w:tcPr>
            <w:tcW w:w="4897" w:type="dxa"/>
            <w:shd w:val="clear" w:color="auto" w:fill="auto"/>
            <w:vAlign w:val="center"/>
          </w:tcPr>
          <w:p w14:paraId="4CA2FCF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30mL，透明钠钙玻璃制，瓶口细磨，磨砂面应均匀细腻，滴管应附橡胶帽，吸放弹性好，开口直径6mm，与滴管口套合牢固稳定</w:t>
            </w:r>
          </w:p>
        </w:tc>
        <w:tc>
          <w:tcPr>
            <w:tcW w:w="462" w:type="dxa"/>
            <w:shd w:val="clear" w:color="auto" w:fill="auto"/>
            <w:vAlign w:val="center"/>
          </w:tcPr>
          <w:p w14:paraId="23CE73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22680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5A2D32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12E440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71D0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7B894C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120</w:t>
            </w:r>
          </w:p>
        </w:tc>
        <w:tc>
          <w:tcPr>
            <w:tcW w:w="1072" w:type="dxa"/>
            <w:shd w:val="clear" w:color="auto" w:fill="auto"/>
            <w:vAlign w:val="center"/>
          </w:tcPr>
          <w:p w14:paraId="0F30FBA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滴瓶</w:t>
            </w:r>
          </w:p>
        </w:tc>
        <w:tc>
          <w:tcPr>
            <w:tcW w:w="4897" w:type="dxa"/>
            <w:shd w:val="clear" w:color="auto" w:fill="auto"/>
            <w:vAlign w:val="center"/>
          </w:tcPr>
          <w:p w14:paraId="6532E93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60mL，透明钠钙玻璃制，瓶口细磨，磨砂面应均匀细腻，滴管应附橡胶帽，吸放弹性好，开口直径6mm，与滴管口套合牢固稳定</w:t>
            </w:r>
          </w:p>
        </w:tc>
        <w:tc>
          <w:tcPr>
            <w:tcW w:w="462" w:type="dxa"/>
            <w:shd w:val="clear" w:color="auto" w:fill="auto"/>
            <w:vAlign w:val="center"/>
          </w:tcPr>
          <w:p w14:paraId="6D29E1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ACF55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c>
          <w:tcPr>
            <w:tcW w:w="1048" w:type="dxa"/>
            <w:shd w:val="clear" w:color="auto" w:fill="auto"/>
            <w:vAlign w:val="center"/>
          </w:tcPr>
          <w:p w14:paraId="7F1C01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707920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1440</w:t>
            </w:r>
          </w:p>
        </w:tc>
      </w:tr>
      <w:tr w14:paraId="70B6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769874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121</w:t>
            </w:r>
          </w:p>
        </w:tc>
        <w:tc>
          <w:tcPr>
            <w:tcW w:w="1072" w:type="dxa"/>
            <w:shd w:val="clear" w:color="auto" w:fill="auto"/>
            <w:vAlign w:val="center"/>
          </w:tcPr>
          <w:p w14:paraId="2676AE2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茶色滴瓶</w:t>
            </w:r>
          </w:p>
        </w:tc>
        <w:tc>
          <w:tcPr>
            <w:tcW w:w="4897" w:type="dxa"/>
            <w:shd w:val="clear" w:color="auto" w:fill="auto"/>
            <w:vAlign w:val="center"/>
          </w:tcPr>
          <w:p w14:paraId="320379B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30mL，黄棕色钠钙玻璃制，瓶口细磨，磨砂面应均匀细腻，滴管应附橡胶帽，吸放弹性好，开口直径6mm,与滴管口套合牢固稳定</w:t>
            </w:r>
          </w:p>
        </w:tc>
        <w:tc>
          <w:tcPr>
            <w:tcW w:w="462" w:type="dxa"/>
            <w:shd w:val="clear" w:color="auto" w:fill="auto"/>
            <w:vAlign w:val="center"/>
          </w:tcPr>
          <w:p w14:paraId="4A6124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BCC51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385B29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1C4727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1523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46F6D1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122</w:t>
            </w:r>
          </w:p>
        </w:tc>
        <w:tc>
          <w:tcPr>
            <w:tcW w:w="1072" w:type="dxa"/>
            <w:shd w:val="clear" w:color="auto" w:fill="auto"/>
            <w:vAlign w:val="center"/>
          </w:tcPr>
          <w:p w14:paraId="61B884D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茶色滴瓶</w:t>
            </w:r>
          </w:p>
        </w:tc>
        <w:tc>
          <w:tcPr>
            <w:tcW w:w="4897" w:type="dxa"/>
            <w:shd w:val="clear" w:color="auto" w:fill="auto"/>
            <w:vAlign w:val="center"/>
          </w:tcPr>
          <w:p w14:paraId="7ECCE72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60mL，黄棕色钠钙玻璃制，瓶口细磨，磨砂面应均匀细腻，滴管应附橡胶帽，吸放弹性好，开口直径6mm,与滴管口套合牢固稳定</w:t>
            </w:r>
          </w:p>
        </w:tc>
        <w:tc>
          <w:tcPr>
            <w:tcW w:w="462" w:type="dxa"/>
            <w:shd w:val="clear" w:color="auto" w:fill="auto"/>
            <w:vAlign w:val="center"/>
          </w:tcPr>
          <w:p w14:paraId="15CC7B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0B3E0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6FC785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54672C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39C0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DBA74A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123</w:t>
            </w:r>
          </w:p>
        </w:tc>
        <w:tc>
          <w:tcPr>
            <w:tcW w:w="1072" w:type="dxa"/>
            <w:shd w:val="clear" w:color="auto" w:fill="auto"/>
            <w:vAlign w:val="center"/>
          </w:tcPr>
          <w:p w14:paraId="751965A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称量瓶</w:t>
            </w:r>
          </w:p>
        </w:tc>
        <w:tc>
          <w:tcPr>
            <w:tcW w:w="4897" w:type="dxa"/>
            <w:shd w:val="clear" w:color="auto" w:fill="auto"/>
            <w:vAlign w:val="center"/>
          </w:tcPr>
          <w:p w14:paraId="6A5DD3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Φ25mmX40mm</w:t>
            </w:r>
          </w:p>
        </w:tc>
        <w:tc>
          <w:tcPr>
            <w:tcW w:w="462" w:type="dxa"/>
            <w:shd w:val="clear" w:color="auto" w:fill="auto"/>
            <w:vAlign w:val="center"/>
          </w:tcPr>
          <w:p w14:paraId="2C7A08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0ABFE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413D7E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6F30AF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r>
      <w:tr w14:paraId="055C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921A83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124</w:t>
            </w:r>
          </w:p>
        </w:tc>
        <w:tc>
          <w:tcPr>
            <w:tcW w:w="1072" w:type="dxa"/>
            <w:shd w:val="clear" w:color="auto" w:fill="auto"/>
            <w:vAlign w:val="center"/>
          </w:tcPr>
          <w:p w14:paraId="5B3F93B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酒精灯</w:t>
            </w:r>
          </w:p>
        </w:tc>
        <w:tc>
          <w:tcPr>
            <w:tcW w:w="4897" w:type="dxa"/>
            <w:shd w:val="clear" w:color="auto" w:fill="auto"/>
            <w:vAlign w:val="center"/>
          </w:tcPr>
          <w:p w14:paraId="311364E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150mL,单头，明钠钙玻璃制,无明显黄绿色。灯口应平整,瓷灯头与灯口平面间隙不应超过1.5mm。玻璃灯罩应磨口。瓷灯头应为白色,完全覆盖灯口,表面无缺陷。配置与灯口孔径相适应的整齐完整的棉线灯芯</w:t>
            </w:r>
          </w:p>
        </w:tc>
        <w:tc>
          <w:tcPr>
            <w:tcW w:w="462" w:type="dxa"/>
            <w:shd w:val="clear" w:color="auto" w:fill="auto"/>
            <w:vAlign w:val="center"/>
          </w:tcPr>
          <w:p w14:paraId="501277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F8394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25E03E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26DCF2D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51D7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036637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125</w:t>
            </w:r>
          </w:p>
        </w:tc>
        <w:tc>
          <w:tcPr>
            <w:tcW w:w="1072" w:type="dxa"/>
            <w:shd w:val="clear" w:color="auto" w:fill="auto"/>
            <w:vAlign w:val="center"/>
          </w:tcPr>
          <w:p w14:paraId="519241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酒精灯</w:t>
            </w:r>
          </w:p>
        </w:tc>
        <w:tc>
          <w:tcPr>
            <w:tcW w:w="4897" w:type="dxa"/>
            <w:shd w:val="clear" w:color="auto" w:fill="auto"/>
            <w:vAlign w:val="center"/>
          </w:tcPr>
          <w:p w14:paraId="72D9E06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250mL,单头，明钠钙玻璃制,无明显黄绿色。灯口应平整,瓷灯头与灯口平面间隙不应超过1.5mm。玻璃灯罩应磨口。瓷灯头应为白色,完全覆盖灯口,表面无缺陷。配置与灯口孔径相适应的整齐完整的棉线灯芯</w:t>
            </w:r>
          </w:p>
        </w:tc>
        <w:tc>
          <w:tcPr>
            <w:tcW w:w="462" w:type="dxa"/>
            <w:shd w:val="clear" w:color="auto" w:fill="auto"/>
            <w:vAlign w:val="center"/>
          </w:tcPr>
          <w:p w14:paraId="2B8310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E1488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54D7AB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70CBB4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r>
      <w:tr w14:paraId="2970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0FE2A3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126</w:t>
            </w:r>
          </w:p>
        </w:tc>
        <w:tc>
          <w:tcPr>
            <w:tcW w:w="1072" w:type="dxa"/>
            <w:shd w:val="clear" w:color="auto" w:fill="auto"/>
            <w:vAlign w:val="center"/>
          </w:tcPr>
          <w:p w14:paraId="41A5C9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酒精灯</w:t>
            </w:r>
          </w:p>
        </w:tc>
        <w:tc>
          <w:tcPr>
            <w:tcW w:w="4897" w:type="dxa"/>
            <w:shd w:val="clear" w:color="auto" w:fill="auto"/>
            <w:vAlign w:val="center"/>
          </w:tcPr>
          <w:p w14:paraId="103EB76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250mL,双头，明钠钙玻璃制,无明显黄绿色。灯口应平整,瓷灯头与灯口平面间隙不应超过1.5mm。玻璃灯罩应磨口。瓷灯头应为白色,完全覆盖灯口,表面无缺陷。配置与灯口孔径相适应的整齐完整的棉线灯芯</w:t>
            </w:r>
          </w:p>
        </w:tc>
        <w:tc>
          <w:tcPr>
            <w:tcW w:w="462" w:type="dxa"/>
            <w:shd w:val="clear" w:color="auto" w:fill="auto"/>
            <w:vAlign w:val="center"/>
          </w:tcPr>
          <w:p w14:paraId="510E84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50937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3D9705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vAlign w:val="center"/>
          </w:tcPr>
          <w:p w14:paraId="65B345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64</w:t>
            </w:r>
          </w:p>
        </w:tc>
      </w:tr>
      <w:tr w14:paraId="665D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CACC05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127</w:t>
            </w:r>
          </w:p>
        </w:tc>
        <w:tc>
          <w:tcPr>
            <w:tcW w:w="1072" w:type="dxa"/>
            <w:shd w:val="clear" w:color="auto" w:fill="auto"/>
            <w:vAlign w:val="center"/>
          </w:tcPr>
          <w:p w14:paraId="6A5C0FD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抽滤瓶</w:t>
            </w:r>
          </w:p>
        </w:tc>
        <w:tc>
          <w:tcPr>
            <w:tcW w:w="4897" w:type="dxa"/>
            <w:shd w:val="clear" w:color="auto" w:fill="auto"/>
            <w:vAlign w:val="center"/>
          </w:tcPr>
          <w:p w14:paraId="68D982F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w:t>
            </w:r>
          </w:p>
        </w:tc>
        <w:tc>
          <w:tcPr>
            <w:tcW w:w="462" w:type="dxa"/>
            <w:shd w:val="clear" w:color="auto" w:fill="auto"/>
            <w:vAlign w:val="center"/>
          </w:tcPr>
          <w:p w14:paraId="7B8193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4F7D2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2248F3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w:t>
            </w:r>
          </w:p>
        </w:tc>
        <w:tc>
          <w:tcPr>
            <w:tcW w:w="1489" w:type="dxa"/>
            <w:shd w:val="clear" w:color="auto" w:fill="auto"/>
            <w:vAlign w:val="center"/>
          </w:tcPr>
          <w:p w14:paraId="63BD0B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w:t>
            </w:r>
          </w:p>
        </w:tc>
      </w:tr>
      <w:tr w14:paraId="2F25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ECB7FB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128</w:t>
            </w:r>
          </w:p>
        </w:tc>
        <w:tc>
          <w:tcPr>
            <w:tcW w:w="1072" w:type="dxa"/>
            <w:shd w:val="clear" w:color="auto" w:fill="auto"/>
            <w:vAlign w:val="center"/>
          </w:tcPr>
          <w:p w14:paraId="7FEE7BF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干燥器</w:t>
            </w:r>
          </w:p>
        </w:tc>
        <w:tc>
          <w:tcPr>
            <w:tcW w:w="4897" w:type="dxa"/>
            <w:shd w:val="clear" w:color="auto" w:fill="auto"/>
            <w:vAlign w:val="center"/>
          </w:tcPr>
          <w:p w14:paraId="7B15DA2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150mm，磨口平整,密封严实,隔板大小合适,不少于5个圆孔</w:t>
            </w:r>
          </w:p>
        </w:tc>
        <w:tc>
          <w:tcPr>
            <w:tcW w:w="462" w:type="dxa"/>
            <w:shd w:val="clear" w:color="auto" w:fill="auto"/>
            <w:vAlign w:val="center"/>
          </w:tcPr>
          <w:p w14:paraId="105F62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65D97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3F8FCB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61</w:t>
            </w:r>
          </w:p>
        </w:tc>
        <w:tc>
          <w:tcPr>
            <w:tcW w:w="1489" w:type="dxa"/>
            <w:shd w:val="clear" w:color="auto" w:fill="auto"/>
            <w:vAlign w:val="center"/>
          </w:tcPr>
          <w:p w14:paraId="0A77C0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122</w:t>
            </w:r>
          </w:p>
        </w:tc>
      </w:tr>
      <w:tr w14:paraId="7015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A858FE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129</w:t>
            </w:r>
          </w:p>
        </w:tc>
        <w:tc>
          <w:tcPr>
            <w:tcW w:w="1072" w:type="dxa"/>
            <w:shd w:val="clear" w:color="auto" w:fill="auto"/>
            <w:vAlign w:val="center"/>
          </w:tcPr>
          <w:p w14:paraId="30EF34B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气体发生器</w:t>
            </w:r>
          </w:p>
        </w:tc>
        <w:tc>
          <w:tcPr>
            <w:tcW w:w="4897" w:type="dxa"/>
            <w:shd w:val="clear" w:color="auto" w:fill="auto"/>
            <w:vAlign w:val="center"/>
          </w:tcPr>
          <w:p w14:paraId="63C5299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250mL，漏斗柄与瓶身连接口内壁间隔≤2mm（单边）</w:t>
            </w:r>
          </w:p>
        </w:tc>
        <w:tc>
          <w:tcPr>
            <w:tcW w:w="462" w:type="dxa"/>
            <w:shd w:val="clear" w:color="auto" w:fill="auto"/>
            <w:vAlign w:val="center"/>
          </w:tcPr>
          <w:p w14:paraId="1DDA58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C8333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3068C8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136</w:t>
            </w:r>
          </w:p>
        </w:tc>
        <w:tc>
          <w:tcPr>
            <w:tcW w:w="1489" w:type="dxa"/>
            <w:shd w:val="clear" w:color="auto" w:fill="auto"/>
            <w:vAlign w:val="center"/>
          </w:tcPr>
          <w:p w14:paraId="3EE19B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272</w:t>
            </w:r>
          </w:p>
        </w:tc>
      </w:tr>
      <w:tr w14:paraId="04AE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576391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130</w:t>
            </w:r>
          </w:p>
        </w:tc>
        <w:tc>
          <w:tcPr>
            <w:tcW w:w="1072" w:type="dxa"/>
            <w:shd w:val="clear" w:color="auto" w:fill="auto"/>
            <w:vAlign w:val="center"/>
          </w:tcPr>
          <w:p w14:paraId="7378C1A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冷凝管</w:t>
            </w:r>
          </w:p>
        </w:tc>
        <w:tc>
          <w:tcPr>
            <w:tcW w:w="4897" w:type="dxa"/>
            <w:shd w:val="clear" w:color="auto" w:fill="auto"/>
            <w:vAlign w:val="center"/>
          </w:tcPr>
          <w:p w14:paraId="7AAA1A8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300mm±10mm，透明硼硅玻璃制，直形，管径均匀，应有防滑脱沟槽</w:t>
            </w:r>
          </w:p>
        </w:tc>
        <w:tc>
          <w:tcPr>
            <w:tcW w:w="462" w:type="dxa"/>
            <w:shd w:val="clear" w:color="auto" w:fill="auto"/>
            <w:vAlign w:val="center"/>
          </w:tcPr>
          <w:p w14:paraId="6AC7A3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07EB65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6C9FB1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vAlign w:val="center"/>
          </w:tcPr>
          <w:p w14:paraId="456311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2749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C0E52D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131</w:t>
            </w:r>
          </w:p>
        </w:tc>
        <w:tc>
          <w:tcPr>
            <w:tcW w:w="1072" w:type="dxa"/>
            <w:shd w:val="clear" w:color="auto" w:fill="auto"/>
            <w:vAlign w:val="center"/>
          </w:tcPr>
          <w:p w14:paraId="0C8CEEA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冷凝管</w:t>
            </w:r>
          </w:p>
        </w:tc>
        <w:tc>
          <w:tcPr>
            <w:tcW w:w="4897" w:type="dxa"/>
            <w:shd w:val="clear" w:color="auto" w:fill="auto"/>
            <w:vAlign w:val="center"/>
          </w:tcPr>
          <w:p w14:paraId="15AD444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300mm±10mm，透明硼硅玻璃制，球形</w:t>
            </w:r>
          </w:p>
        </w:tc>
        <w:tc>
          <w:tcPr>
            <w:tcW w:w="462" w:type="dxa"/>
            <w:shd w:val="clear" w:color="auto" w:fill="auto"/>
            <w:vAlign w:val="center"/>
          </w:tcPr>
          <w:p w14:paraId="332050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79BEEA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2C248F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w:t>
            </w:r>
          </w:p>
        </w:tc>
        <w:tc>
          <w:tcPr>
            <w:tcW w:w="1489" w:type="dxa"/>
            <w:shd w:val="clear" w:color="auto" w:fill="auto"/>
            <w:vAlign w:val="center"/>
          </w:tcPr>
          <w:p w14:paraId="11A2A2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w:t>
            </w:r>
          </w:p>
        </w:tc>
      </w:tr>
      <w:tr w14:paraId="108A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FF32EE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132</w:t>
            </w:r>
          </w:p>
        </w:tc>
        <w:tc>
          <w:tcPr>
            <w:tcW w:w="1072" w:type="dxa"/>
            <w:shd w:val="clear" w:color="auto" w:fill="auto"/>
            <w:vAlign w:val="center"/>
          </w:tcPr>
          <w:p w14:paraId="3F5C01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牛角管</w:t>
            </w:r>
          </w:p>
        </w:tc>
        <w:tc>
          <w:tcPr>
            <w:tcW w:w="4897" w:type="dxa"/>
            <w:shd w:val="clear" w:color="auto" w:fill="auto"/>
            <w:vAlign w:val="center"/>
          </w:tcPr>
          <w:p w14:paraId="47A9F01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Φ18mmX150mm，弯形，1mm≤尖嘴处壁厚≤2mm</w:t>
            </w:r>
          </w:p>
        </w:tc>
        <w:tc>
          <w:tcPr>
            <w:tcW w:w="462" w:type="dxa"/>
            <w:shd w:val="clear" w:color="auto" w:fill="auto"/>
            <w:vAlign w:val="center"/>
          </w:tcPr>
          <w:p w14:paraId="5D6B65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7C231C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6A14AA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35E796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r>
      <w:tr w14:paraId="0FA9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8F2820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133</w:t>
            </w:r>
          </w:p>
        </w:tc>
        <w:tc>
          <w:tcPr>
            <w:tcW w:w="1072" w:type="dxa"/>
            <w:shd w:val="clear" w:color="auto" w:fill="auto"/>
            <w:vAlign w:val="center"/>
          </w:tcPr>
          <w:p w14:paraId="4A72EB1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漏斗</w:t>
            </w:r>
          </w:p>
        </w:tc>
        <w:tc>
          <w:tcPr>
            <w:tcW w:w="4897" w:type="dxa"/>
            <w:shd w:val="clear" w:color="auto" w:fill="auto"/>
            <w:vAlign w:val="center"/>
          </w:tcPr>
          <w:p w14:paraId="35B25D3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60mm，滤碗为夹角60°的圆锥形，管的尾端磨成约45°角</w:t>
            </w:r>
          </w:p>
        </w:tc>
        <w:tc>
          <w:tcPr>
            <w:tcW w:w="462" w:type="dxa"/>
            <w:shd w:val="clear" w:color="auto" w:fill="auto"/>
            <w:vAlign w:val="center"/>
          </w:tcPr>
          <w:p w14:paraId="16AF3B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B8CAD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3EE305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265115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405C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6D6CF1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134</w:t>
            </w:r>
          </w:p>
        </w:tc>
        <w:tc>
          <w:tcPr>
            <w:tcW w:w="1072" w:type="dxa"/>
            <w:shd w:val="clear" w:color="auto" w:fill="auto"/>
            <w:vAlign w:val="center"/>
          </w:tcPr>
          <w:p w14:paraId="59D497C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漏斗</w:t>
            </w:r>
          </w:p>
        </w:tc>
        <w:tc>
          <w:tcPr>
            <w:tcW w:w="4897" w:type="dxa"/>
            <w:shd w:val="clear" w:color="auto" w:fill="auto"/>
            <w:vAlign w:val="center"/>
          </w:tcPr>
          <w:p w14:paraId="4BD06E8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90mm，滤碗为夹角60°的圆锥形，管的尾端磨成约45°角</w:t>
            </w:r>
          </w:p>
        </w:tc>
        <w:tc>
          <w:tcPr>
            <w:tcW w:w="462" w:type="dxa"/>
            <w:shd w:val="clear" w:color="auto" w:fill="auto"/>
            <w:vAlign w:val="center"/>
          </w:tcPr>
          <w:p w14:paraId="162C65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0450E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345AE1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1D8632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r>
      <w:tr w14:paraId="5054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7DAB78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135</w:t>
            </w:r>
          </w:p>
        </w:tc>
        <w:tc>
          <w:tcPr>
            <w:tcW w:w="1072" w:type="dxa"/>
            <w:shd w:val="clear" w:color="auto" w:fill="auto"/>
            <w:vAlign w:val="center"/>
          </w:tcPr>
          <w:p w14:paraId="0CBFA3B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安全漏斗</w:t>
            </w:r>
          </w:p>
        </w:tc>
        <w:tc>
          <w:tcPr>
            <w:tcW w:w="4897" w:type="dxa"/>
            <w:shd w:val="clear" w:color="auto" w:fill="auto"/>
            <w:vAlign w:val="center"/>
          </w:tcPr>
          <w:p w14:paraId="2EF9608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直形，径长300mm，上口直径40mm±3mm,玻璃壁厚度适中</w:t>
            </w:r>
          </w:p>
        </w:tc>
        <w:tc>
          <w:tcPr>
            <w:tcW w:w="462" w:type="dxa"/>
            <w:shd w:val="clear" w:color="auto" w:fill="auto"/>
            <w:vAlign w:val="center"/>
          </w:tcPr>
          <w:p w14:paraId="2FF7FC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798A0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048" w:type="dxa"/>
            <w:shd w:val="clear" w:color="auto" w:fill="auto"/>
            <w:vAlign w:val="center"/>
          </w:tcPr>
          <w:p w14:paraId="155BA4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vAlign w:val="center"/>
          </w:tcPr>
          <w:p w14:paraId="77D563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22B4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947B9B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136</w:t>
            </w:r>
          </w:p>
        </w:tc>
        <w:tc>
          <w:tcPr>
            <w:tcW w:w="1072" w:type="dxa"/>
            <w:shd w:val="clear" w:color="auto" w:fill="auto"/>
            <w:vAlign w:val="center"/>
          </w:tcPr>
          <w:p w14:paraId="2FAC91B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安全漏斗</w:t>
            </w:r>
          </w:p>
        </w:tc>
        <w:tc>
          <w:tcPr>
            <w:tcW w:w="4897" w:type="dxa"/>
            <w:shd w:val="clear" w:color="auto" w:fill="auto"/>
            <w:vAlign w:val="center"/>
          </w:tcPr>
          <w:p w14:paraId="0A5F43C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双球，球径高度、直径一致，双球应位于环管中部，应无明显偏斜</w:t>
            </w:r>
          </w:p>
        </w:tc>
        <w:tc>
          <w:tcPr>
            <w:tcW w:w="462" w:type="dxa"/>
            <w:shd w:val="clear" w:color="auto" w:fill="auto"/>
            <w:vAlign w:val="center"/>
          </w:tcPr>
          <w:p w14:paraId="03B897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B9B60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72DE85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vAlign w:val="center"/>
          </w:tcPr>
          <w:p w14:paraId="5DC67C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r>
      <w:tr w14:paraId="7828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376710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137</w:t>
            </w:r>
          </w:p>
        </w:tc>
        <w:tc>
          <w:tcPr>
            <w:tcW w:w="1072" w:type="dxa"/>
            <w:shd w:val="clear" w:color="auto" w:fill="auto"/>
            <w:vAlign w:val="center"/>
          </w:tcPr>
          <w:p w14:paraId="21DA527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分液漏斗</w:t>
            </w:r>
          </w:p>
        </w:tc>
        <w:tc>
          <w:tcPr>
            <w:tcW w:w="4897" w:type="dxa"/>
            <w:shd w:val="clear" w:color="auto" w:fill="auto"/>
            <w:vAlign w:val="center"/>
          </w:tcPr>
          <w:p w14:paraId="4F995E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锥型，100mL，瓶塞应有凹槽，瓶口有气孔</w:t>
            </w:r>
          </w:p>
        </w:tc>
        <w:tc>
          <w:tcPr>
            <w:tcW w:w="462" w:type="dxa"/>
            <w:shd w:val="clear" w:color="auto" w:fill="auto"/>
            <w:vAlign w:val="center"/>
          </w:tcPr>
          <w:p w14:paraId="49BD61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15402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0EFEAB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vAlign w:val="center"/>
          </w:tcPr>
          <w:p w14:paraId="5AFEB3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3D5B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2486FE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138</w:t>
            </w:r>
          </w:p>
        </w:tc>
        <w:tc>
          <w:tcPr>
            <w:tcW w:w="1072" w:type="dxa"/>
            <w:shd w:val="clear" w:color="auto" w:fill="auto"/>
            <w:vAlign w:val="center"/>
          </w:tcPr>
          <w:p w14:paraId="6FF91A8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分液漏斗</w:t>
            </w:r>
          </w:p>
        </w:tc>
        <w:tc>
          <w:tcPr>
            <w:tcW w:w="4897" w:type="dxa"/>
            <w:shd w:val="clear" w:color="auto" w:fill="auto"/>
            <w:vAlign w:val="center"/>
          </w:tcPr>
          <w:p w14:paraId="427B765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球型，50mL，瓶塞应有凹槽，瓶口有气孔</w:t>
            </w:r>
          </w:p>
        </w:tc>
        <w:tc>
          <w:tcPr>
            <w:tcW w:w="462" w:type="dxa"/>
            <w:shd w:val="clear" w:color="auto" w:fill="auto"/>
            <w:vAlign w:val="center"/>
          </w:tcPr>
          <w:p w14:paraId="15771A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540A4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6BE904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vAlign w:val="center"/>
          </w:tcPr>
          <w:p w14:paraId="65710F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36B5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2C777F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139</w:t>
            </w:r>
          </w:p>
        </w:tc>
        <w:tc>
          <w:tcPr>
            <w:tcW w:w="1072" w:type="dxa"/>
            <w:shd w:val="clear" w:color="auto" w:fill="auto"/>
            <w:vAlign w:val="center"/>
          </w:tcPr>
          <w:p w14:paraId="3953344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三通连接管</w:t>
            </w:r>
          </w:p>
        </w:tc>
        <w:tc>
          <w:tcPr>
            <w:tcW w:w="4897" w:type="dxa"/>
            <w:shd w:val="clear" w:color="auto" w:fill="auto"/>
            <w:vAlign w:val="center"/>
          </w:tcPr>
          <w:p w14:paraId="4808411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T形，Φ7mm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Φ8mm,连接完好，管口应作打磨或烧结处理</w:t>
            </w:r>
          </w:p>
        </w:tc>
        <w:tc>
          <w:tcPr>
            <w:tcW w:w="462" w:type="dxa"/>
            <w:shd w:val="clear" w:color="auto" w:fill="auto"/>
            <w:vAlign w:val="center"/>
          </w:tcPr>
          <w:p w14:paraId="7FB5BE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A5C5E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449F33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2A8476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r>
      <w:tr w14:paraId="17A9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849949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140</w:t>
            </w:r>
          </w:p>
        </w:tc>
        <w:tc>
          <w:tcPr>
            <w:tcW w:w="1072" w:type="dxa"/>
            <w:shd w:val="clear" w:color="auto" w:fill="auto"/>
            <w:vAlign w:val="center"/>
          </w:tcPr>
          <w:p w14:paraId="69D77DD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三通连接管</w:t>
            </w:r>
          </w:p>
        </w:tc>
        <w:tc>
          <w:tcPr>
            <w:tcW w:w="4897" w:type="dxa"/>
            <w:shd w:val="clear" w:color="auto" w:fill="auto"/>
            <w:vAlign w:val="center"/>
          </w:tcPr>
          <w:p w14:paraId="0B027D8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Y形，Φ7mm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Φ8mm,连接完好，管口应作打磨或烧结处理</w:t>
            </w:r>
          </w:p>
        </w:tc>
        <w:tc>
          <w:tcPr>
            <w:tcW w:w="462" w:type="dxa"/>
            <w:shd w:val="clear" w:color="auto" w:fill="auto"/>
            <w:vAlign w:val="center"/>
          </w:tcPr>
          <w:p w14:paraId="7996DC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BA7D4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609624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7B08B2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r>
      <w:tr w14:paraId="4297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9F26FC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141</w:t>
            </w:r>
          </w:p>
        </w:tc>
        <w:tc>
          <w:tcPr>
            <w:tcW w:w="1072" w:type="dxa"/>
            <w:shd w:val="clear" w:color="auto" w:fill="auto"/>
            <w:vAlign w:val="center"/>
          </w:tcPr>
          <w:p w14:paraId="7A61D75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滴管</w:t>
            </w:r>
          </w:p>
        </w:tc>
        <w:tc>
          <w:tcPr>
            <w:tcW w:w="4897" w:type="dxa"/>
            <w:shd w:val="clear" w:color="auto" w:fill="auto"/>
            <w:vAlign w:val="center"/>
          </w:tcPr>
          <w:p w14:paraId="32821B2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100mm，直形,滴管尖嘴口径1mm,上端有防滑脱翻口,翻口处直径比滴管直径略多1mm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2mm</w:t>
            </w:r>
          </w:p>
        </w:tc>
        <w:tc>
          <w:tcPr>
            <w:tcW w:w="462" w:type="dxa"/>
            <w:shd w:val="clear" w:color="auto" w:fill="auto"/>
            <w:vAlign w:val="center"/>
          </w:tcPr>
          <w:p w14:paraId="4458CD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1DCDF77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019C39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6166DF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0685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AD77BE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142</w:t>
            </w:r>
          </w:p>
        </w:tc>
        <w:tc>
          <w:tcPr>
            <w:tcW w:w="1072" w:type="dxa"/>
            <w:shd w:val="clear" w:color="auto" w:fill="auto"/>
            <w:vAlign w:val="center"/>
          </w:tcPr>
          <w:p w14:paraId="47B8AB3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滴管</w:t>
            </w:r>
          </w:p>
        </w:tc>
        <w:tc>
          <w:tcPr>
            <w:tcW w:w="4897" w:type="dxa"/>
            <w:shd w:val="clear" w:color="auto" w:fill="auto"/>
            <w:vAlign w:val="center"/>
          </w:tcPr>
          <w:p w14:paraId="128CA76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150mm，直形,滴管尖嘴口径1mm,上端有防滑脱翻口,翻口处直径比滴管直径略多1mm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2mm</w:t>
            </w:r>
          </w:p>
        </w:tc>
        <w:tc>
          <w:tcPr>
            <w:tcW w:w="462" w:type="dxa"/>
            <w:shd w:val="clear" w:color="auto" w:fill="auto"/>
            <w:vAlign w:val="center"/>
          </w:tcPr>
          <w:p w14:paraId="38FF1F7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2E67EF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6449B9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7B6255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0FA2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21D5B1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143</w:t>
            </w:r>
          </w:p>
        </w:tc>
        <w:tc>
          <w:tcPr>
            <w:tcW w:w="1072" w:type="dxa"/>
            <w:shd w:val="clear" w:color="auto" w:fill="auto"/>
            <w:vAlign w:val="center"/>
          </w:tcPr>
          <w:p w14:paraId="4B3D9BD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离心管</w:t>
            </w:r>
          </w:p>
        </w:tc>
        <w:tc>
          <w:tcPr>
            <w:tcW w:w="4897" w:type="dxa"/>
            <w:shd w:val="clear" w:color="auto" w:fill="auto"/>
            <w:vAlign w:val="center"/>
          </w:tcPr>
          <w:p w14:paraId="158F557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10mL，硼硅酸盐玻璃制</w:t>
            </w:r>
          </w:p>
        </w:tc>
        <w:tc>
          <w:tcPr>
            <w:tcW w:w="462" w:type="dxa"/>
            <w:shd w:val="clear" w:color="auto" w:fill="auto"/>
            <w:vAlign w:val="center"/>
          </w:tcPr>
          <w:p w14:paraId="36CE03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1860A7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vAlign w:val="center"/>
          </w:tcPr>
          <w:p w14:paraId="4EFBBC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2A796E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0276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40B787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144</w:t>
            </w:r>
          </w:p>
        </w:tc>
        <w:tc>
          <w:tcPr>
            <w:tcW w:w="1072" w:type="dxa"/>
            <w:shd w:val="clear" w:color="auto" w:fill="auto"/>
            <w:vAlign w:val="center"/>
          </w:tcPr>
          <w:p w14:paraId="271957C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干燥管</w:t>
            </w:r>
          </w:p>
        </w:tc>
        <w:tc>
          <w:tcPr>
            <w:tcW w:w="4897" w:type="dxa"/>
            <w:shd w:val="clear" w:color="auto" w:fill="auto"/>
            <w:vAlign w:val="center"/>
          </w:tcPr>
          <w:p w14:paraId="1249526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145mm,直形单球，硼硅酸盐玻璃制,球应厚薄均匀</w:t>
            </w:r>
          </w:p>
        </w:tc>
        <w:tc>
          <w:tcPr>
            <w:tcW w:w="462" w:type="dxa"/>
            <w:shd w:val="clear" w:color="auto" w:fill="auto"/>
            <w:vAlign w:val="center"/>
          </w:tcPr>
          <w:p w14:paraId="21E9E1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24818C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18EB2D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vAlign w:val="center"/>
          </w:tcPr>
          <w:p w14:paraId="114440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1BE3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99931B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145</w:t>
            </w:r>
          </w:p>
        </w:tc>
        <w:tc>
          <w:tcPr>
            <w:tcW w:w="1072" w:type="dxa"/>
            <w:shd w:val="clear" w:color="auto" w:fill="auto"/>
            <w:vAlign w:val="center"/>
          </w:tcPr>
          <w:p w14:paraId="7515D3A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干燥管</w:t>
            </w:r>
          </w:p>
        </w:tc>
        <w:tc>
          <w:tcPr>
            <w:tcW w:w="4897" w:type="dxa"/>
            <w:shd w:val="clear" w:color="auto" w:fill="auto"/>
            <w:vAlign w:val="center"/>
          </w:tcPr>
          <w:p w14:paraId="6165ED7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U型，Φ15mmX150mm，硼硅酸盐玻璃制,两管应平行，管口高度误差不大于5mm</w:t>
            </w:r>
          </w:p>
        </w:tc>
        <w:tc>
          <w:tcPr>
            <w:tcW w:w="462" w:type="dxa"/>
            <w:shd w:val="clear" w:color="auto" w:fill="auto"/>
            <w:vAlign w:val="center"/>
          </w:tcPr>
          <w:p w14:paraId="1E5487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2BEDE1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FE2D5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1C163B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6481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4B2762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146</w:t>
            </w:r>
          </w:p>
        </w:tc>
        <w:tc>
          <w:tcPr>
            <w:tcW w:w="1072" w:type="dxa"/>
            <w:shd w:val="clear" w:color="auto" w:fill="auto"/>
            <w:vAlign w:val="center"/>
          </w:tcPr>
          <w:p w14:paraId="4D6BBD6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干燥管</w:t>
            </w:r>
          </w:p>
        </w:tc>
        <w:tc>
          <w:tcPr>
            <w:tcW w:w="4897" w:type="dxa"/>
            <w:shd w:val="clear" w:color="auto" w:fill="auto"/>
            <w:vAlign w:val="center"/>
          </w:tcPr>
          <w:p w14:paraId="394E600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U型，具支，Φ15mmX150mm，硼硅酸盐玻璃制,两管应平行，管口高度误差不大于5mm</w:t>
            </w:r>
          </w:p>
        </w:tc>
        <w:tc>
          <w:tcPr>
            <w:tcW w:w="462" w:type="dxa"/>
            <w:shd w:val="clear" w:color="auto" w:fill="auto"/>
            <w:vAlign w:val="center"/>
          </w:tcPr>
          <w:p w14:paraId="0EC6C2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7A1476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vAlign w:val="center"/>
          </w:tcPr>
          <w:p w14:paraId="7E137F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vAlign w:val="center"/>
          </w:tcPr>
          <w:p w14:paraId="4D2020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1D1A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5983CB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147</w:t>
            </w:r>
          </w:p>
        </w:tc>
        <w:tc>
          <w:tcPr>
            <w:tcW w:w="1072" w:type="dxa"/>
            <w:shd w:val="clear" w:color="auto" w:fill="auto"/>
            <w:vAlign w:val="center"/>
          </w:tcPr>
          <w:p w14:paraId="4C5EB94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干燥管</w:t>
            </w:r>
          </w:p>
        </w:tc>
        <w:tc>
          <w:tcPr>
            <w:tcW w:w="4897" w:type="dxa"/>
            <w:shd w:val="clear" w:color="auto" w:fill="auto"/>
            <w:vAlign w:val="center"/>
          </w:tcPr>
          <w:p w14:paraId="68F6055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U型，Φ20mmX200mm，硼硅酸盐玻璃制,两管应平行，管口高度误差不大于5mm</w:t>
            </w:r>
          </w:p>
        </w:tc>
        <w:tc>
          <w:tcPr>
            <w:tcW w:w="462" w:type="dxa"/>
            <w:shd w:val="clear" w:color="auto" w:fill="auto"/>
            <w:vAlign w:val="center"/>
          </w:tcPr>
          <w:p w14:paraId="41370D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7813AA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vAlign w:val="center"/>
          </w:tcPr>
          <w:p w14:paraId="2592A3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vAlign w:val="center"/>
          </w:tcPr>
          <w:p w14:paraId="05A16E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w:t>
            </w:r>
          </w:p>
        </w:tc>
      </w:tr>
      <w:tr w14:paraId="354C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3025EB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148</w:t>
            </w:r>
          </w:p>
        </w:tc>
        <w:tc>
          <w:tcPr>
            <w:tcW w:w="1072" w:type="dxa"/>
            <w:shd w:val="clear" w:color="auto" w:fill="auto"/>
            <w:vAlign w:val="center"/>
          </w:tcPr>
          <w:p w14:paraId="2CF7BF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干燥塔</w:t>
            </w:r>
          </w:p>
        </w:tc>
        <w:tc>
          <w:tcPr>
            <w:tcW w:w="4897" w:type="dxa"/>
            <w:shd w:val="clear" w:color="auto" w:fill="auto"/>
            <w:vAlign w:val="center"/>
          </w:tcPr>
          <w:p w14:paraId="3784614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250mL，硼硅酸盐玻璃制</w:t>
            </w:r>
          </w:p>
        </w:tc>
        <w:tc>
          <w:tcPr>
            <w:tcW w:w="462" w:type="dxa"/>
            <w:shd w:val="clear" w:color="auto" w:fill="auto"/>
            <w:vAlign w:val="center"/>
          </w:tcPr>
          <w:p w14:paraId="6C9589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FB7E6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0D0840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489" w:type="dxa"/>
            <w:shd w:val="clear" w:color="auto" w:fill="auto"/>
            <w:vAlign w:val="center"/>
          </w:tcPr>
          <w:p w14:paraId="10AF6F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r>
      <w:tr w14:paraId="065A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0060C6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149</w:t>
            </w:r>
          </w:p>
        </w:tc>
        <w:tc>
          <w:tcPr>
            <w:tcW w:w="1072" w:type="dxa"/>
            <w:shd w:val="clear" w:color="auto" w:fill="auto"/>
            <w:vAlign w:val="center"/>
          </w:tcPr>
          <w:p w14:paraId="4317A2F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比色管</w:t>
            </w:r>
          </w:p>
        </w:tc>
        <w:tc>
          <w:tcPr>
            <w:tcW w:w="4897" w:type="dxa"/>
            <w:shd w:val="clear" w:color="auto" w:fill="auto"/>
            <w:vAlign w:val="center"/>
          </w:tcPr>
          <w:p w14:paraId="7CD3B0B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25mL，硼硅酸盐玻璃制</w:t>
            </w:r>
          </w:p>
        </w:tc>
        <w:tc>
          <w:tcPr>
            <w:tcW w:w="462" w:type="dxa"/>
            <w:shd w:val="clear" w:color="auto" w:fill="auto"/>
            <w:vAlign w:val="center"/>
          </w:tcPr>
          <w:p w14:paraId="603099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437CD4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w:t>
            </w:r>
          </w:p>
        </w:tc>
        <w:tc>
          <w:tcPr>
            <w:tcW w:w="1048" w:type="dxa"/>
            <w:shd w:val="clear" w:color="auto" w:fill="auto"/>
            <w:vAlign w:val="center"/>
          </w:tcPr>
          <w:p w14:paraId="26F23E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vAlign w:val="center"/>
          </w:tcPr>
          <w:p w14:paraId="3662C6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702</w:t>
            </w:r>
          </w:p>
        </w:tc>
      </w:tr>
      <w:tr w14:paraId="08B5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EC11ED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150</w:t>
            </w:r>
          </w:p>
        </w:tc>
        <w:tc>
          <w:tcPr>
            <w:tcW w:w="1072" w:type="dxa"/>
            <w:shd w:val="clear" w:color="auto" w:fill="auto"/>
            <w:vAlign w:val="center"/>
          </w:tcPr>
          <w:p w14:paraId="31C8154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玻璃活塞</w:t>
            </w:r>
          </w:p>
        </w:tc>
        <w:tc>
          <w:tcPr>
            <w:tcW w:w="4897" w:type="dxa"/>
            <w:shd w:val="clear" w:color="auto" w:fill="auto"/>
            <w:vAlign w:val="center"/>
          </w:tcPr>
          <w:p w14:paraId="63E577C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直形，吻合良好，不漏气，不漏液</w:t>
            </w:r>
          </w:p>
        </w:tc>
        <w:tc>
          <w:tcPr>
            <w:tcW w:w="462" w:type="dxa"/>
            <w:shd w:val="clear" w:color="auto" w:fill="auto"/>
            <w:vAlign w:val="center"/>
          </w:tcPr>
          <w:p w14:paraId="7531A4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0C856D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75D836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c>
          <w:tcPr>
            <w:tcW w:w="1489" w:type="dxa"/>
            <w:shd w:val="clear" w:color="auto" w:fill="auto"/>
            <w:vAlign w:val="center"/>
          </w:tcPr>
          <w:p w14:paraId="02A17F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132</w:t>
            </w:r>
          </w:p>
        </w:tc>
      </w:tr>
      <w:tr w14:paraId="3F3C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E07EDD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151</w:t>
            </w:r>
          </w:p>
        </w:tc>
        <w:tc>
          <w:tcPr>
            <w:tcW w:w="1072" w:type="dxa"/>
            <w:shd w:val="clear" w:color="auto" w:fill="auto"/>
            <w:vAlign w:val="center"/>
          </w:tcPr>
          <w:p w14:paraId="513B435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玻璃活塞</w:t>
            </w:r>
          </w:p>
        </w:tc>
        <w:tc>
          <w:tcPr>
            <w:tcW w:w="4897" w:type="dxa"/>
            <w:shd w:val="clear" w:color="auto" w:fill="auto"/>
            <w:vAlign w:val="center"/>
          </w:tcPr>
          <w:p w14:paraId="6992EB5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T形，吻合良好，不漏气，不漏液</w:t>
            </w:r>
          </w:p>
        </w:tc>
        <w:tc>
          <w:tcPr>
            <w:tcW w:w="462" w:type="dxa"/>
            <w:shd w:val="clear" w:color="auto" w:fill="auto"/>
            <w:vAlign w:val="center"/>
          </w:tcPr>
          <w:p w14:paraId="445A81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5F2CCD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54E199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w:t>
            </w:r>
          </w:p>
        </w:tc>
        <w:tc>
          <w:tcPr>
            <w:tcW w:w="1489" w:type="dxa"/>
            <w:shd w:val="clear" w:color="auto" w:fill="auto"/>
            <w:vAlign w:val="center"/>
          </w:tcPr>
          <w:p w14:paraId="6DD27E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68</w:t>
            </w:r>
          </w:p>
        </w:tc>
      </w:tr>
      <w:tr w14:paraId="70A5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A51BA6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152</w:t>
            </w:r>
          </w:p>
        </w:tc>
        <w:tc>
          <w:tcPr>
            <w:tcW w:w="1072" w:type="dxa"/>
            <w:shd w:val="clear" w:color="auto" w:fill="auto"/>
            <w:vAlign w:val="center"/>
          </w:tcPr>
          <w:p w14:paraId="4C6997B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圆水槽</w:t>
            </w:r>
          </w:p>
        </w:tc>
        <w:tc>
          <w:tcPr>
            <w:tcW w:w="4897" w:type="dxa"/>
            <w:shd w:val="clear" w:color="auto" w:fill="auto"/>
            <w:vAlign w:val="center"/>
          </w:tcPr>
          <w:p w14:paraId="09ED9F6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Φ210mmX100mm，水槽底部应平整，不应凸底，壁厚和底厚应均匀，口部端面应平整，边和口应圆滑</w:t>
            </w:r>
          </w:p>
        </w:tc>
        <w:tc>
          <w:tcPr>
            <w:tcW w:w="462" w:type="dxa"/>
            <w:shd w:val="clear" w:color="auto" w:fill="auto"/>
            <w:vAlign w:val="center"/>
          </w:tcPr>
          <w:p w14:paraId="7C08B8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5A301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098AB2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w:t>
            </w:r>
          </w:p>
        </w:tc>
        <w:tc>
          <w:tcPr>
            <w:tcW w:w="1489" w:type="dxa"/>
            <w:shd w:val="clear" w:color="auto" w:fill="auto"/>
            <w:vAlign w:val="center"/>
          </w:tcPr>
          <w:p w14:paraId="28F596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w:t>
            </w:r>
          </w:p>
        </w:tc>
      </w:tr>
      <w:tr w14:paraId="17AD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9C6178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153</w:t>
            </w:r>
          </w:p>
        </w:tc>
        <w:tc>
          <w:tcPr>
            <w:tcW w:w="1072" w:type="dxa"/>
            <w:shd w:val="clear" w:color="auto" w:fill="auto"/>
            <w:vAlign w:val="center"/>
          </w:tcPr>
          <w:p w14:paraId="0F81161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圆水槽</w:t>
            </w:r>
          </w:p>
        </w:tc>
        <w:tc>
          <w:tcPr>
            <w:tcW w:w="4897" w:type="dxa"/>
            <w:shd w:val="clear" w:color="auto" w:fill="auto"/>
            <w:vAlign w:val="center"/>
          </w:tcPr>
          <w:p w14:paraId="663A5DB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Φ270mmX140mm，水槽底部应平整，不应凸底，壁厚和底厚应均匀，口部端面应平整，边和口应圆滑</w:t>
            </w:r>
          </w:p>
        </w:tc>
        <w:tc>
          <w:tcPr>
            <w:tcW w:w="462" w:type="dxa"/>
            <w:shd w:val="clear" w:color="auto" w:fill="auto"/>
            <w:vAlign w:val="center"/>
          </w:tcPr>
          <w:p w14:paraId="6829B64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343A8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vAlign w:val="center"/>
          </w:tcPr>
          <w:p w14:paraId="7594B8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56</w:t>
            </w:r>
          </w:p>
        </w:tc>
        <w:tc>
          <w:tcPr>
            <w:tcW w:w="1489" w:type="dxa"/>
            <w:shd w:val="clear" w:color="auto" w:fill="auto"/>
            <w:vAlign w:val="center"/>
          </w:tcPr>
          <w:p w14:paraId="656967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224</w:t>
            </w:r>
          </w:p>
        </w:tc>
      </w:tr>
      <w:tr w14:paraId="2C13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0B9DF1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154</w:t>
            </w:r>
          </w:p>
        </w:tc>
        <w:tc>
          <w:tcPr>
            <w:tcW w:w="1072" w:type="dxa"/>
            <w:shd w:val="clear" w:color="auto" w:fill="auto"/>
            <w:vAlign w:val="center"/>
          </w:tcPr>
          <w:p w14:paraId="25AF6F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钴玻璃片</w:t>
            </w:r>
          </w:p>
        </w:tc>
        <w:tc>
          <w:tcPr>
            <w:tcW w:w="4897" w:type="dxa"/>
            <w:shd w:val="clear" w:color="auto" w:fill="auto"/>
            <w:vAlign w:val="center"/>
          </w:tcPr>
          <w:p w14:paraId="565F448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钴玻璃片</w:t>
            </w:r>
          </w:p>
        </w:tc>
        <w:tc>
          <w:tcPr>
            <w:tcW w:w="462" w:type="dxa"/>
            <w:shd w:val="clear" w:color="auto" w:fill="auto"/>
            <w:vAlign w:val="center"/>
          </w:tcPr>
          <w:p w14:paraId="1FD60F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20C04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221AE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712B7A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4D68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3E065E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155</w:t>
            </w:r>
          </w:p>
        </w:tc>
        <w:tc>
          <w:tcPr>
            <w:tcW w:w="1072" w:type="dxa"/>
            <w:shd w:val="clear" w:color="auto" w:fill="auto"/>
            <w:vAlign w:val="center"/>
          </w:tcPr>
          <w:p w14:paraId="02B206D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结晶皿</w:t>
            </w:r>
          </w:p>
        </w:tc>
        <w:tc>
          <w:tcPr>
            <w:tcW w:w="4897" w:type="dxa"/>
            <w:shd w:val="clear" w:color="auto" w:fill="auto"/>
            <w:vAlign w:val="center"/>
          </w:tcPr>
          <w:p w14:paraId="02BC46E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90mm,平底，无色硼硅玻璃制</w:t>
            </w:r>
          </w:p>
        </w:tc>
        <w:tc>
          <w:tcPr>
            <w:tcW w:w="462" w:type="dxa"/>
            <w:shd w:val="clear" w:color="auto" w:fill="auto"/>
            <w:vAlign w:val="center"/>
          </w:tcPr>
          <w:p w14:paraId="0BF826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9E896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7ADB73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vAlign w:val="center"/>
          </w:tcPr>
          <w:p w14:paraId="4FF036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r>
      <w:tr w14:paraId="413A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2AC28B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156</w:t>
            </w:r>
          </w:p>
        </w:tc>
        <w:tc>
          <w:tcPr>
            <w:tcW w:w="1072" w:type="dxa"/>
            <w:shd w:val="clear" w:color="auto" w:fill="auto"/>
            <w:vAlign w:val="center"/>
          </w:tcPr>
          <w:p w14:paraId="11A2094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表面皿</w:t>
            </w:r>
          </w:p>
        </w:tc>
        <w:tc>
          <w:tcPr>
            <w:tcW w:w="4897" w:type="dxa"/>
            <w:shd w:val="clear" w:color="auto" w:fill="auto"/>
            <w:vAlign w:val="center"/>
          </w:tcPr>
          <w:p w14:paraId="104A059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60mm，无色硼硅玻璃制</w:t>
            </w:r>
          </w:p>
        </w:tc>
        <w:tc>
          <w:tcPr>
            <w:tcW w:w="462" w:type="dxa"/>
            <w:shd w:val="clear" w:color="auto" w:fill="auto"/>
            <w:vAlign w:val="center"/>
          </w:tcPr>
          <w:p w14:paraId="02C538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3215D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121D29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03C1E9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3DA8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05CE0C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157</w:t>
            </w:r>
          </w:p>
        </w:tc>
        <w:tc>
          <w:tcPr>
            <w:tcW w:w="1072" w:type="dxa"/>
            <w:shd w:val="clear" w:color="auto" w:fill="auto"/>
            <w:vAlign w:val="center"/>
          </w:tcPr>
          <w:p w14:paraId="362913F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表面皿</w:t>
            </w:r>
          </w:p>
        </w:tc>
        <w:tc>
          <w:tcPr>
            <w:tcW w:w="4897" w:type="dxa"/>
            <w:shd w:val="clear" w:color="auto" w:fill="auto"/>
            <w:vAlign w:val="center"/>
          </w:tcPr>
          <w:p w14:paraId="60EF5EA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100mm，无色硼硅玻璃制</w:t>
            </w:r>
          </w:p>
        </w:tc>
        <w:tc>
          <w:tcPr>
            <w:tcW w:w="462" w:type="dxa"/>
            <w:shd w:val="clear" w:color="auto" w:fill="auto"/>
            <w:vAlign w:val="center"/>
          </w:tcPr>
          <w:p w14:paraId="5A0F96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31122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vAlign w:val="center"/>
          </w:tcPr>
          <w:p w14:paraId="635A0E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10F262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r>
      <w:tr w14:paraId="1319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C91087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158</w:t>
            </w:r>
          </w:p>
        </w:tc>
        <w:tc>
          <w:tcPr>
            <w:tcW w:w="1072" w:type="dxa"/>
            <w:shd w:val="clear" w:color="auto" w:fill="auto"/>
            <w:vAlign w:val="center"/>
          </w:tcPr>
          <w:p w14:paraId="32FDB3F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坩埚</w:t>
            </w:r>
          </w:p>
        </w:tc>
        <w:tc>
          <w:tcPr>
            <w:tcW w:w="4897" w:type="dxa"/>
            <w:shd w:val="clear" w:color="auto" w:fill="auto"/>
            <w:vAlign w:val="center"/>
          </w:tcPr>
          <w:p w14:paraId="49EDC73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瓷制，30mL,耐热≥1200℃,内外壁光滑，外壁涂釉，配有坩埚盖</w:t>
            </w:r>
          </w:p>
        </w:tc>
        <w:tc>
          <w:tcPr>
            <w:tcW w:w="462" w:type="dxa"/>
            <w:shd w:val="clear" w:color="auto" w:fill="auto"/>
            <w:vAlign w:val="center"/>
          </w:tcPr>
          <w:p w14:paraId="41FFB9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A78A8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1DFF2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1778DF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6745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DD8BDF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159</w:t>
            </w:r>
          </w:p>
        </w:tc>
        <w:tc>
          <w:tcPr>
            <w:tcW w:w="1072" w:type="dxa"/>
            <w:shd w:val="clear" w:color="auto" w:fill="auto"/>
            <w:vAlign w:val="center"/>
          </w:tcPr>
          <w:p w14:paraId="0EFC318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坩埚钳</w:t>
            </w:r>
          </w:p>
        </w:tc>
        <w:tc>
          <w:tcPr>
            <w:tcW w:w="4897" w:type="dxa"/>
            <w:shd w:val="clear" w:color="auto" w:fill="auto"/>
            <w:vAlign w:val="center"/>
          </w:tcPr>
          <w:p w14:paraId="7C04D37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200mm,钢制，中间弯曲部分内径应在2cm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3cm</w:t>
            </w:r>
          </w:p>
        </w:tc>
        <w:tc>
          <w:tcPr>
            <w:tcW w:w="462" w:type="dxa"/>
            <w:shd w:val="clear" w:color="auto" w:fill="auto"/>
            <w:vAlign w:val="center"/>
          </w:tcPr>
          <w:p w14:paraId="603285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D3C56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ECDCD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185DF3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149A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FF0486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160</w:t>
            </w:r>
          </w:p>
        </w:tc>
        <w:tc>
          <w:tcPr>
            <w:tcW w:w="1072" w:type="dxa"/>
            <w:shd w:val="clear" w:color="auto" w:fill="auto"/>
            <w:vAlign w:val="center"/>
          </w:tcPr>
          <w:p w14:paraId="7016478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烧杯夹</w:t>
            </w:r>
          </w:p>
        </w:tc>
        <w:tc>
          <w:tcPr>
            <w:tcW w:w="4897" w:type="dxa"/>
            <w:shd w:val="clear" w:color="auto" w:fill="auto"/>
            <w:vAlign w:val="center"/>
          </w:tcPr>
          <w:p w14:paraId="21C2AAD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钢制或不锈钢制,夹持部位应有橡胶保护套,避免与玻璃烧杯直接接触</w:t>
            </w:r>
          </w:p>
        </w:tc>
        <w:tc>
          <w:tcPr>
            <w:tcW w:w="462" w:type="dxa"/>
            <w:shd w:val="clear" w:color="auto" w:fill="auto"/>
            <w:vAlign w:val="center"/>
          </w:tcPr>
          <w:p w14:paraId="44208E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00434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vAlign w:val="center"/>
          </w:tcPr>
          <w:p w14:paraId="2C62C5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6439B3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7763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E4E45B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161</w:t>
            </w:r>
          </w:p>
        </w:tc>
        <w:tc>
          <w:tcPr>
            <w:tcW w:w="1072" w:type="dxa"/>
            <w:shd w:val="clear" w:color="auto" w:fill="auto"/>
            <w:vAlign w:val="center"/>
          </w:tcPr>
          <w:p w14:paraId="2BD61C6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试管夹</w:t>
            </w:r>
          </w:p>
        </w:tc>
        <w:tc>
          <w:tcPr>
            <w:tcW w:w="4897" w:type="dxa"/>
            <w:shd w:val="clear" w:color="auto" w:fill="auto"/>
            <w:vAlign w:val="center"/>
          </w:tcPr>
          <w:p w14:paraId="500BA25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木制或者竹制，长度≥200mm,宽度约20mm,厚度约20mm。试管夹闭口缝≤1mm,开口距离≥25mm。毡块粘接牢固，试管夹弹簧作防锈处理。试管夹持部位圆弧内径≤15mm</w:t>
            </w:r>
          </w:p>
        </w:tc>
        <w:tc>
          <w:tcPr>
            <w:tcW w:w="462" w:type="dxa"/>
            <w:shd w:val="clear" w:color="auto" w:fill="auto"/>
            <w:vAlign w:val="center"/>
          </w:tcPr>
          <w:p w14:paraId="695F82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025F5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1B472B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144D5F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73F4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66D28E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162</w:t>
            </w:r>
          </w:p>
        </w:tc>
        <w:tc>
          <w:tcPr>
            <w:tcW w:w="1072" w:type="dxa"/>
            <w:shd w:val="clear" w:color="auto" w:fill="auto"/>
            <w:vAlign w:val="center"/>
          </w:tcPr>
          <w:p w14:paraId="14C6AF7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止水皮管夹</w:t>
            </w:r>
          </w:p>
        </w:tc>
        <w:tc>
          <w:tcPr>
            <w:tcW w:w="4897" w:type="dxa"/>
            <w:shd w:val="clear" w:color="auto" w:fill="auto"/>
            <w:vAlign w:val="center"/>
          </w:tcPr>
          <w:p w14:paraId="254511C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Φ3mm钢丝制成，作防锈处理，夹持角度≥60°,弹性好，不漏液</w:t>
            </w:r>
          </w:p>
        </w:tc>
        <w:tc>
          <w:tcPr>
            <w:tcW w:w="462" w:type="dxa"/>
            <w:shd w:val="clear" w:color="auto" w:fill="auto"/>
            <w:vAlign w:val="center"/>
          </w:tcPr>
          <w:p w14:paraId="65C82B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B35F1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6F6C4E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290D07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6208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891A87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163</w:t>
            </w:r>
          </w:p>
        </w:tc>
        <w:tc>
          <w:tcPr>
            <w:tcW w:w="1072" w:type="dxa"/>
            <w:shd w:val="clear" w:color="auto" w:fill="auto"/>
            <w:vAlign w:val="center"/>
          </w:tcPr>
          <w:p w14:paraId="26F9DA1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螺旋皮管夹</w:t>
            </w:r>
          </w:p>
        </w:tc>
        <w:tc>
          <w:tcPr>
            <w:tcW w:w="4897" w:type="dxa"/>
            <w:shd w:val="clear" w:color="auto" w:fill="auto"/>
            <w:vAlign w:val="center"/>
          </w:tcPr>
          <w:p w14:paraId="5A3088E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由支架管和带压板的螺杆等组成。外形尺寸约为33mmX20mmX8mm,旋转方便，不易变形，压板厚度≥1mm</w:t>
            </w:r>
          </w:p>
        </w:tc>
        <w:tc>
          <w:tcPr>
            <w:tcW w:w="462" w:type="dxa"/>
            <w:shd w:val="clear" w:color="auto" w:fill="auto"/>
            <w:vAlign w:val="center"/>
          </w:tcPr>
          <w:p w14:paraId="130123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DB5B2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2E8D8F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07C9C1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r>
      <w:tr w14:paraId="7CA3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9A9513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164</w:t>
            </w:r>
          </w:p>
        </w:tc>
        <w:tc>
          <w:tcPr>
            <w:tcW w:w="1072" w:type="dxa"/>
            <w:shd w:val="clear" w:color="auto" w:fill="auto"/>
            <w:vAlign w:val="center"/>
          </w:tcPr>
          <w:p w14:paraId="3F9D8D8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陶土网</w:t>
            </w:r>
          </w:p>
        </w:tc>
        <w:tc>
          <w:tcPr>
            <w:tcW w:w="4897" w:type="dxa"/>
            <w:shd w:val="clear" w:color="auto" w:fill="auto"/>
            <w:vAlign w:val="center"/>
          </w:tcPr>
          <w:p w14:paraId="1A4AAEF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金属网尺寸≥125 mm×125 mm,耐火材料为 陶土,功能等同于石棉网</w:t>
            </w:r>
          </w:p>
        </w:tc>
        <w:tc>
          <w:tcPr>
            <w:tcW w:w="462" w:type="dxa"/>
            <w:shd w:val="clear" w:color="auto" w:fill="auto"/>
            <w:vAlign w:val="center"/>
          </w:tcPr>
          <w:p w14:paraId="3E26DB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3AF3B38">
            <w:pPr>
              <w:widowControl/>
              <w:jc w:val="right"/>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247FD2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56CC74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30BA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A39A59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165</w:t>
            </w:r>
          </w:p>
        </w:tc>
        <w:tc>
          <w:tcPr>
            <w:tcW w:w="1072" w:type="dxa"/>
            <w:shd w:val="clear" w:color="auto" w:fill="auto"/>
            <w:vAlign w:val="center"/>
          </w:tcPr>
          <w:p w14:paraId="0092ED5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二连球</w:t>
            </w:r>
          </w:p>
        </w:tc>
        <w:tc>
          <w:tcPr>
            <w:tcW w:w="4897" w:type="dxa"/>
            <w:shd w:val="clear" w:color="auto" w:fill="auto"/>
            <w:vAlign w:val="center"/>
          </w:tcPr>
          <w:p w14:paraId="1FA73D9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二连球</w:t>
            </w:r>
          </w:p>
        </w:tc>
        <w:tc>
          <w:tcPr>
            <w:tcW w:w="462" w:type="dxa"/>
            <w:shd w:val="clear" w:color="auto" w:fill="auto"/>
            <w:vAlign w:val="center"/>
          </w:tcPr>
          <w:p w14:paraId="6DF31C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29870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4D1B81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489" w:type="dxa"/>
            <w:shd w:val="clear" w:color="auto" w:fill="auto"/>
            <w:vAlign w:val="center"/>
          </w:tcPr>
          <w:p w14:paraId="334673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r>
      <w:tr w14:paraId="2C04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B34D13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166</w:t>
            </w:r>
          </w:p>
        </w:tc>
        <w:tc>
          <w:tcPr>
            <w:tcW w:w="1072" w:type="dxa"/>
            <w:shd w:val="clear" w:color="auto" w:fill="auto"/>
            <w:vAlign w:val="center"/>
          </w:tcPr>
          <w:p w14:paraId="644B276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燃烧匙</w:t>
            </w:r>
          </w:p>
        </w:tc>
        <w:tc>
          <w:tcPr>
            <w:tcW w:w="4897" w:type="dxa"/>
            <w:shd w:val="clear" w:color="auto" w:fill="auto"/>
            <w:vAlign w:val="center"/>
          </w:tcPr>
          <w:p w14:paraId="3234C24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铜勺，勺直径18mm,深10mm,铁柄，柄长300mm,长柄和铜勺连接稳定结实</w:t>
            </w:r>
          </w:p>
        </w:tc>
        <w:tc>
          <w:tcPr>
            <w:tcW w:w="462" w:type="dxa"/>
            <w:shd w:val="clear" w:color="auto" w:fill="auto"/>
            <w:vAlign w:val="center"/>
          </w:tcPr>
          <w:p w14:paraId="2D0E59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A7D8B4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D54B8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164339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09F7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6F3334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167</w:t>
            </w:r>
          </w:p>
        </w:tc>
        <w:tc>
          <w:tcPr>
            <w:tcW w:w="1072" w:type="dxa"/>
            <w:shd w:val="clear" w:color="auto" w:fill="auto"/>
            <w:vAlign w:val="center"/>
          </w:tcPr>
          <w:p w14:paraId="2B02600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药匙</w:t>
            </w:r>
          </w:p>
        </w:tc>
        <w:tc>
          <w:tcPr>
            <w:tcW w:w="4897" w:type="dxa"/>
            <w:shd w:val="clear" w:color="auto" w:fill="auto"/>
            <w:vAlign w:val="center"/>
          </w:tcPr>
          <w:p w14:paraId="152A48A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中号13.5cm,带小勺，材质可选金属、牛角、塑料</w:t>
            </w:r>
          </w:p>
        </w:tc>
        <w:tc>
          <w:tcPr>
            <w:tcW w:w="462" w:type="dxa"/>
            <w:shd w:val="clear" w:color="auto" w:fill="auto"/>
            <w:vAlign w:val="center"/>
          </w:tcPr>
          <w:p w14:paraId="123208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47495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278FF74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590E05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1050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51684A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168</w:t>
            </w:r>
          </w:p>
        </w:tc>
        <w:tc>
          <w:tcPr>
            <w:tcW w:w="1072" w:type="dxa"/>
            <w:shd w:val="clear" w:color="auto" w:fill="auto"/>
            <w:vAlign w:val="center"/>
          </w:tcPr>
          <w:p w14:paraId="2BEB3C7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玻璃管</w:t>
            </w:r>
          </w:p>
        </w:tc>
        <w:tc>
          <w:tcPr>
            <w:tcW w:w="4897" w:type="dxa"/>
            <w:shd w:val="clear" w:color="auto" w:fill="auto"/>
            <w:vAlign w:val="center"/>
          </w:tcPr>
          <w:p w14:paraId="7A7BF74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Φ5mm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Φ6mm，透明钠钙玻璃制,管口应打磨或烧结,避免划伤事故</w:t>
            </w:r>
          </w:p>
        </w:tc>
        <w:tc>
          <w:tcPr>
            <w:tcW w:w="462" w:type="dxa"/>
            <w:shd w:val="clear" w:color="auto" w:fill="auto"/>
            <w:vAlign w:val="center"/>
          </w:tcPr>
          <w:p w14:paraId="00CB1C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千克</w:t>
            </w:r>
          </w:p>
        </w:tc>
        <w:tc>
          <w:tcPr>
            <w:tcW w:w="605" w:type="dxa"/>
            <w:shd w:val="clear" w:color="auto" w:fill="auto"/>
            <w:vAlign w:val="center"/>
          </w:tcPr>
          <w:p w14:paraId="0B1C46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56D223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vAlign w:val="center"/>
          </w:tcPr>
          <w:p w14:paraId="569AEB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w:t>
            </w:r>
          </w:p>
        </w:tc>
      </w:tr>
      <w:tr w14:paraId="4B38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1D91B4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169</w:t>
            </w:r>
          </w:p>
        </w:tc>
        <w:tc>
          <w:tcPr>
            <w:tcW w:w="1072" w:type="dxa"/>
            <w:shd w:val="clear" w:color="auto" w:fill="auto"/>
            <w:vAlign w:val="center"/>
          </w:tcPr>
          <w:p w14:paraId="00F7127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玻璃管</w:t>
            </w:r>
          </w:p>
        </w:tc>
        <w:tc>
          <w:tcPr>
            <w:tcW w:w="4897" w:type="dxa"/>
            <w:shd w:val="clear" w:color="auto" w:fill="auto"/>
            <w:vAlign w:val="center"/>
          </w:tcPr>
          <w:p w14:paraId="218BF2C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Φ8mm，透明钠钙玻璃制,管口应打磨或烧结,避免划伤事故</w:t>
            </w:r>
          </w:p>
        </w:tc>
        <w:tc>
          <w:tcPr>
            <w:tcW w:w="462" w:type="dxa"/>
            <w:shd w:val="clear" w:color="auto" w:fill="auto"/>
            <w:vAlign w:val="center"/>
          </w:tcPr>
          <w:p w14:paraId="10EE09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千克</w:t>
            </w:r>
          </w:p>
        </w:tc>
        <w:tc>
          <w:tcPr>
            <w:tcW w:w="605" w:type="dxa"/>
            <w:shd w:val="clear" w:color="auto" w:fill="auto"/>
            <w:vAlign w:val="center"/>
          </w:tcPr>
          <w:p w14:paraId="16EFE7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vAlign w:val="center"/>
          </w:tcPr>
          <w:p w14:paraId="0C8B5A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vAlign w:val="center"/>
          </w:tcPr>
          <w:p w14:paraId="5919BB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84</w:t>
            </w:r>
          </w:p>
        </w:tc>
      </w:tr>
      <w:tr w14:paraId="0DF7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8A1B6A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170</w:t>
            </w:r>
          </w:p>
        </w:tc>
        <w:tc>
          <w:tcPr>
            <w:tcW w:w="1072" w:type="dxa"/>
            <w:shd w:val="clear" w:color="auto" w:fill="auto"/>
            <w:vAlign w:val="center"/>
          </w:tcPr>
          <w:p w14:paraId="4EE938C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玻璃弯管</w:t>
            </w:r>
          </w:p>
        </w:tc>
        <w:tc>
          <w:tcPr>
            <w:tcW w:w="4897" w:type="dxa"/>
            <w:shd w:val="clear" w:color="auto" w:fill="auto"/>
            <w:vAlign w:val="center"/>
          </w:tcPr>
          <w:p w14:paraId="6434EE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Φ8mm，一端长度为6cm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7cm,另一端长度约20cm,形状为锐角、直角和钝角,管口应打磨或烧结,避免划伤事故</w:t>
            </w:r>
          </w:p>
        </w:tc>
        <w:tc>
          <w:tcPr>
            <w:tcW w:w="462" w:type="dxa"/>
            <w:shd w:val="clear" w:color="auto" w:fill="auto"/>
            <w:vAlign w:val="center"/>
          </w:tcPr>
          <w:p w14:paraId="5DA629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vAlign w:val="center"/>
          </w:tcPr>
          <w:p w14:paraId="4AA181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3100E9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0B1A60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5ECD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A3AB23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171</w:t>
            </w:r>
          </w:p>
        </w:tc>
        <w:tc>
          <w:tcPr>
            <w:tcW w:w="1072" w:type="dxa"/>
            <w:shd w:val="clear" w:color="auto" w:fill="auto"/>
            <w:vAlign w:val="center"/>
          </w:tcPr>
          <w:p w14:paraId="68D4E2E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玻璃棒</w:t>
            </w:r>
          </w:p>
        </w:tc>
        <w:tc>
          <w:tcPr>
            <w:tcW w:w="4897" w:type="dxa"/>
            <w:shd w:val="clear" w:color="auto" w:fill="auto"/>
            <w:vAlign w:val="center"/>
          </w:tcPr>
          <w:p w14:paraId="4A11340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Φ5mm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Φ6mm，粗细均匀,两端烧结使其光滑</w:t>
            </w:r>
          </w:p>
        </w:tc>
        <w:tc>
          <w:tcPr>
            <w:tcW w:w="462" w:type="dxa"/>
            <w:shd w:val="clear" w:color="auto" w:fill="auto"/>
            <w:vAlign w:val="center"/>
          </w:tcPr>
          <w:p w14:paraId="110592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vAlign w:val="center"/>
          </w:tcPr>
          <w:p w14:paraId="1DE2C2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c>
          <w:tcPr>
            <w:tcW w:w="1048" w:type="dxa"/>
            <w:shd w:val="clear" w:color="auto" w:fill="auto"/>
            <w:vAlign w:val="center"/>
          </w:tcPr>
          <w:p w14:paraId="1F5EB6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vAlign w:val="center"/>
          </w:tcPr>
          <w:p w14:paraId="0F94E9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1320</w:t>
            </w:r>
          </w:p>
        </w:tc>
      </w:tr>
      <w:tr w14:paraId="202C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95AE2F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172</w:t>
            </w:r>
          </w:p>
        </w:tc>
        <w:tc>
          <w:tcPr>
            <w:tcW w:w="1072" w:type="dxa"/>
            <w:shd w:val="clear" w:color="auto" w:fill="auto"/>
            <w:vAlign w:val="center"/>
          </w:tcPr>
          <w:p w14:paraId="7EC1F98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玻璃棒</w:t>
            </w:r>
          </w:p>
        </w:tc>
        <w:tc>
          <w:tcPr>
            <w:tcW w:w="4897" w:type="dxa"/>
            <w:shd w:val="clear" w:color="auto" w:fill="auto"/>
            <w:vAlign w:val="center"/>
          </w:tcPr>
          <w:p w14:paraId="728E2A5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Φ8mm，粗细均匀,两端烧结使其光滑</w:t>
            </w:r>
          </w:p>
        </w:tc>
        <w:tc>
          <w:tcPr>
            <w:tcW w:w="462" w:type="dxa"/>
            <w:shd w:val="clear" w:color="auto" w:fill="auto"/>
            <w:vAlign w:val="center"/>
          </w:tcPr>
          <w:p w14:paraId="52FB79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vAlign w:val="center"/>
          </w:tcPr>
          <w:p w14:paraId="147746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c>
          <w:tcPr>
            <w:tcW w:w="1048" w:type="dxa"/>
            <w:shd w:val="clear" w:color="auto" w:fill="auto"/>
            <w:vAlign w:val="center"/>
          </w:tcPr>
          <w:p w14:paraId="3EE3EA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c>
          <w:tcPr>
            <w:tcW w:w="1489" w:type="dxa"/>
            <w:shd w:val="clear" w:color="auto" w:fill="auto"/>
            <w:vAlign w:val="center"/>
          </w:tcPr>
          <w:p w14:paraId="48A294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1920</w:t>
            </w:r>
          </w:p>
        </w:tc>
      </w:tr>
      <w:tr w14:paraId="26FB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C77F1C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173</w:t>
            </w:r>
          </w:p>
        </w:tc>
        <w:tc>
          <w:tcPr>
            <w:tcW w:w="1072" w:type="dxa"/>
            <w:shd w:val="clear" w:color="auto" w:fill="auto"/>
            <w:vAlign w:val="center"/>
          </w:tcPr>
          <w:p w14:paraId="508240E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橡胶塞</w:t>
            </w:r>
          </w:p>
        </w:tc>
        <w:tc>
          <w:tcPr>
            <w:tcW w:w="4897" w:type="dxa"/>
            <w:shd w:val="clear" w:color="auto" w:fill="auto"/>
            <w:vAlign w:val="center"/>
          </w:tcPr>
          <w:p w14:paraId="30006BA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000、00、0</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10号，白色,质地均匀</w:t>
            </w:r>
          </w:p>
        </w:tc>
        <w:tc>
          <w:tcPr>
            <w:tcW w:w="462" w:type="dxa"/>
            <w:shd w:val="clear" w:color="auto" w:fill="auto"/>
            <w:vAlign w:val="center"/>
          </w:tcPr>
          <w:p w14:paraId="1B2DE2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千克</w:t>
            </w:r>
          </w:p>
        </w:tc>
        <w:tc>
          <w:tcPr>
            <w:tcW w:w="605" w:type="dxa"/>
            <w:shd w:val="clear" w:color="auto" w:fill="auto"/>
            <w:vAlign w:val="center"/>
          </w:tcPr>
          <w:p w14:paraId="4A58CD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048" w:type="dxa"/>
            <w:shd w:val="clear" w:color="auto" w:fill="auto"/>
            <w:vAlign w:val="center"/>
          </w:tcPr>
          <w:p w14:paraId="4BC814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vAlign w:val="center"/>
          </w:tcPr>
          <w:p w14:paraId="55C2A3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280</w:t>
            </w:r>
          </w:p>
        </w:tc>
      </w:tr>
      <w:tr w14:paraId="4994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6A1FD4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174</w:t>
            </w:r>
          </w:p>
        </w:tc>
        <w:tc>
          <w:tcPr>
            <w:tcW w:w="1072" w:type="dxa"/>
            <w:shd w:val="clear" w:color="auto" w:fill="auto"/>
            <w:vAlign w:val="center"/>
          </w:tcPr>
          <w:p w14:paraId="0F7DD47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橡胶管</w:t>
            </w:r>
          </w:p>
        </w:tc>
        <w:tc>
          <w:tcPr>
            <w:tcW w:w="4897" w:type="dxa"/>
            <w:shd w:val="clear" w:color="auto" w:fill="auto"/>
            <w:vAlign w:val="center"/>
          </w:tcPr>
          <w:p w14:paraId="694C02D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外径9mm,内径6mm，乳白色,具有耐油、耐酸碱、耐热、耐压等特性</w:t>
            </w:r>
          </w:p>
        </w:tc>
        <w:tc>
          <w:tcPr>
            <w:tcW w:w="462" w:type="dxa"/>
            <w:shd w:val="clear" w:color="auto" w:fill="auto"/>
            <w:vAlign w:val="center"/>
          </w:tcPr>
          <w:p w14:paraId="2415BB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m</w:t>
            </w:r>
          </w:p>
        </w:tc>
        <w:tc>
          <w:tcPr>
            <w:tcW w:w="605" w:type="dxa"/>
            <w:shd w:val="clear" w:color="auto" w:fill="auto"/>
            <w:vAlign w:val="center"/>
          </w:tcPr>
          <w:p w14:paraId="70C291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048" w:type="dxa"/>
            <w:shd w:val="clear" w:color="auto" w:fill="auto"/>
            <w:vAlign w:val="center"/>
          </w:tcPr>
          <w:p w14:paraId="7347EE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vAlign w:val="center"/>
          </w:tcPr>
          <w:p w14:paraId="29840A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1344</w:t>
            </w:r>
          </w:p>
        </w:tc>
      </w:tr>
      <w:tr w14:paraId="28D8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786999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175</w:t>
            </w:r>
          </w:p>
        </w:tc>
        <w:tc>
          <w:tcPr>
            <w:tcW w:w="1072" w:type="dxa"/>
            <w:shd w:val="clear" w:color="auto" w:fill="auto"/>
            <w:vAlign w:val="center"/>
          </w:tcPr>
          <w:p w14:paraId="61BF1AA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乳胶管</w:t>
            </w:r>
          </w:p>
        </w:tc>
        <w:tc>
          <w:tcPr>
            <w:tcW w:w="4897" w:type="dxa"/>
            <w:shd w:val="clear" w:color="auto" w:fill="auto"/>
            <w:vAlign w:val="center"/>
          </w:tcPr>
          <w:p w14:paraId="7B6D9E7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外径6mm,内径4mm，弹力好,拉力范围可在自身的6倍,回弹力100%</w:t>
            </w:r>
          </w:p>
        </w:tc>
        <w:tc>
          <w:tcPr>
            <w:tcW w:w="462" w:type="dxa"/>
            <w:shd w:val="clear" w:color="auto" w:fill="auto"/>
            <w:vAlign w:val="center"/>
          </w:tcPr>
          <w:p w14:paraId="3764AD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m</w:t>
            </w:r>
          </w:p>
        </w:tc>
        <w:tc>
          <w:tcPr>
            <w:tcW w:w="605" w:type="dxa"/>
            <w:shd w:val="clear" w:color="auto" w:fill="auto"/>
            <w:vAlign w:val="center"/>
          </w:tcPr>
          <w:p w14:paraId="2C6757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048" w:type="dxa"/>
            <w:shd w:val="clear" w:color="auto" w:fill="auto"/>
            <w:vAlign w:val="center"/>
          </w:tcPr>
          <w:p w14:paraId="139E70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4058C7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0AD3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505DB2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176</w:t>
            </w:r>
          </w:p>
        </w:tc>
        <w:tc>
          <w:tcPr>
            <w:tcW w:w="1072" w:type="dxa"/>
            <w:shd w:val="clear" w:color="auto" w:fill="auto"/>
            <w:vAlign w:val="center"/>
          </w:tcPr>
          <w:p w14:paraId="4CB524C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乳胶管</w:t>
            </w:r>
          </w:p>
        </w:tc>
        <w:tc>
          <w:tcPr>
            <w:tcW w:w="4897" w:type="dxa"/>
            <w:shd w:val="clear" w:color="auto" w:fill="auto"/>
            <w:vAlign w:val="center"/>
          </w:tcPr>
          <w:p w14:paraId="5C500C2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外径7mm,内径5mm，弹力好,拉力范围可在自身的6倍,回弹力100%</w:t>
            </w:r>
          </w:p>
        </w:tc>
        <w:tc>
          <w:tcPr>
            <w:tcW w:w="462" w:type="dxa"/>
            <w:shd w:val="clear" w:color="auto" w:fill="auto"/>
            <w:vAlign w:val="center"/>
          </w:tcPr>
          <w:p w14:paraId="05EF20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m</w:t>
            </w:r>
          </w:p>
        </w:tc>
        <w:tc>
          <w:tcPr>
            <w:tcW w:w="605" w:type="dxa"/>
            <w:shd w:val="clear" w:color="auto" w:fill="auto"/>
            <w:vAlign w:val="center"/>
          </w:tcPr>
          <w:p w14:paraId="41C4F4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048" w:type="dxa"/>
            <w:shd w:val="clear" w:color="auto" w:fill="auto"/>
            <w:vAlign w:val="center"/>
          </w:tcPr>
          <w:p w14:paraId="3BD905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vAlign w:val="center"/>
          </w:tcPr>
          <w:p w14:paraId="0FAA14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288</w:t>
            </w:r>
          </w:p>
        </w:tc>
      </w:tr>
      <w:tr w14:paraId="0D21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CC8788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177</w:t>
            </w:r>
          </w:p>
        </w:tc>
        <w:tc>
          <w:tcPr>
            <w:tcW w:w="1072" w:type="dxa"/>
            <w:shd w:val="clear" w:color="auto" w:fill="auto"/>
            <w:vAlign w:val="center"/>
          </w:tcPr>
          <w:p w14:paraId="11C5ECE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乳胶管</w:t>
            </w:r>
          </w:p>
        </w:tc>
        <w:tc>
          <w:tcPr>
            <w:tcW w:w="4897" w:type="dxa"/>
            <w:shd w:val="clear" w:color="auto" w:fill="auto"/>
            <w:vAlign w:val="center"/>
          </w:tcPr>
          <w:p w14:paraId="711E236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外径9mm,内径6mm，弹力好,拉力范围可在自身的6倍,回弹力100%</w:t>
            </w:r>
          </w:p>
        </w:tc>
        <w:tc>
          <w:tcPr>
            <w:tcW w:w="462" w:type="dxa"/>
            <w:shd w:val="clear" w:color="auto" w:fill="auto"/>
            <w:vAlign w:val="center"/>
          </w:tcPr>
          <w:p w14:paraId="2C41C7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m</w:t>
            </w:r>
          </w:p>
        </w:tc>
        <w:tc>
          <w:tcPr>
            <w:tcW w:w="605" w:type="dxa"/>
            <w:shd w:val="clear" w:color="auto" w:fill="auto"/>
            <w:vAlign w:val="center"/>
          </w:tcPr>
          <w:p w14:paraId="72893E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048" w:type="dxa"/>
            <w:shd w:val="clear" w:color="auto" w:fill="auto"/>
            <w:vAlign w:val="center"/>
          </w:tcPr>
          <w:p w14:paraId="161D82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vAlign w:val="center"/>
          </w:tcPr>
          <w:p w14:paraId="051837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384</w:t>
            </w:r>
          </w:p>
        </w:tc>
      </w:tr>
      <w:tr w14:paraId="147A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A7EE84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178</w:t>
            </w:r>
          </w:p>
        </w:tc>
        <w:tc>
          <w:tcPr>
            <w:tcW w:w="1072" w:type="dxa"/>
            <w:shd w:val="clear" w:color="auto" w:fill="auto"/>
            <w:vAlign w:val="center"/>
          </w:tcPr>
          <w:p w14:paraId="01A2A97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洗耳球</w:t>
            </w:r>
          </w:p>
        </w:tc>
        <w:tc>
          <w:tcPr>
            <w:tcW w:w="4897" w:type="dxa"/>
            <w:shd w:val="clear" w:color="auto" w:fill="auto"/>
            <w:vAlign w:val="center"/>
          </w:tcPr>
          <w:p w14:paraId="584D003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60mL，橡胶材质</w:t>
            </w:r>
          </w:p>
        </w:tc>
        <w:tc>
          <w:tcPr>
            <w:tcW w:w="462" w:type="dxa"/>
            <w:shd w:val="clear" w:color="auto" w:fill="auto"/>
            <w:vAlign w:val="center"/>
          </w:tcPr>
          <w:p w14:paraId="1D0F30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AC76B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7F80FB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1234F3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105</w:t>
            </w:r>
          </w:p>
        </w:tc>
      </w:tr>
      <w:tr w14:paraId="78D2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4D1861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179</w:t>
            </w:r>
          </w:p>
        </w:tc>
        <w:tc>
          <w:tcPr>
            <w:tcW w:w="1072" w:type="dxa"/>
            <w:shd w:val="clear" w:color="auto" w:fill="auto"/>
            <w:vAlign w:val="center"/>
          </w:tcPr>
          <w:p w14:paraId="651135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试管刷</w:t>
            </w:r>
          </w:p>
        </w:tc>
        <w:tc>
          <w:tcPr>
            <w:tcW w:w="4897" w:type="dxa"/>
            <w:shd w:val="clear" w:color="auto" w:fill="auto"/>
            <w:vAlign w:val="center"/>
          </w:tcPr>
          <w:p w14:paraId="6035F5B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直径12mm，手持部分顶端应为带环状,顶部要有刷丝,铁丝不可外露</w:t>
            </w:r>
          </w:p>
        </w:tc>
        <w:tc>
          <w:tcPr>
            <w:tcW w:w="462" w:type="dxa"/>
            <w:shd w:val="clear" w:color="auto" w:fill="auto"/>
            <w:vAlign w:val="center"/>
          </w:tcPr>
          <w:p w14:paraId="111FDF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ECCD9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63C8C9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28F277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6B84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EB3F79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180</w:t>
            </w:r>
          </w:p>
        </w:tc>
        <w:tc>
          <w:tcPr>
            <w:tcW w:w="1072" w:type="dxa"/>
            <w:shd w:val="clear" w:color="auto" w:fill="auto"/>
            <w:vAlign w:val="center"/>
          </w:tcPr>
          <w:p w14:paraId="192E492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试管刷</w:t>
            </w:r>
          </w:p>
        </w:tc>
        <w:tc>
          <w:tcPr>
            <w:tcW w:w="4897" w:type="dxa"/>
            <w:shd w:val="clear" w:color="auto" w:fill="auto"/>
            <w:vAlign w:val="center"/>
          </w:tcPr>
          <w:p w14:paraId="1FBA1DB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直径18mm，手持部分顶端应为带环状,顶部要有刷丝,铁丝不可外露</w:t>
            </w:r>
          </w:p>
        </w:tc>
        <w:tc>
          <w:tcPr>
            <w:tcW w:w="462" w:type="dxa"/>
            <w:shd w:val="clear" w:color="auto" w:fill="auto"/>
            <w:vAlign w:val="center"/>
          </w:tcPr>
          <w:p w14:paraId="4212AB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13ECC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41437E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556A56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4897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438230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181</w:t>
            </w:r>
          </w:p>
        </w:tc>
        <w:tc>
          <w:tcPr>
            <w:tcW w:w="1072" w:type="dxa"/>
            <w:shd w:val="clear" w:color="auto" w:fill="auto"/>
            <w:vAlign w:val="center"/>
          </w:tcPr>
          <w:p w14:paraId="38A41CC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试管刷</w:t>
            </w:r>
          </w:p>
        </w:tc>
        <w:tc>
          <w:tcPr>
            <w:tcW w:w="4897" w:type="dxa"/>
            <w:shd w:val="clear" w:color="auto" w:fill="auto"/>
            <w:vAlign w:val="center"/>
          </w:tcPr>
          <w:p w14:paraId="0AF1E83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直径32mm，手持部分顶端应为带环状,顶部要有刷丝,铁丝不可外露</w:t>
            </w:r>
          </w:p>
        </w:tc>
        <w:tc>
          <w:tcPr>
            <w:tcW w:w="462" w:type="dxa"/>
            <w:shd w:val="clear" w:color="auto" w:fill="auto"/>
            <w:vAlign w:val="center"/>
          </w:tcPr>
          <w:p w14:paraId="7D65AC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09542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392794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3E7925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148F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9EF346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182</w:t>
            </w:r>
          </w:p>
        </w:tc>
        <w:tc>
          <w:tcPr>
            <w:tcW w:w="1072" w:type="dxa"/>
            <w:shd w:val="clear" w:color="auto" w:fill="auto"/>
            <w:vAlign w:val="center"/>
          </w:tcPr>
          <w:p w14:paraId="38BA11F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烧瓶刷</w:t>
            </w:r>
          </w:p>
        </w:tc>
        <w:tc>
          <w:tcPr>
            <w:tcW w:w="4897" w:type="dxa"/>
            <w:shd w:val="clear" w:color="auto" w:fill="auto"/>
            <w:vAlign w:val="center"/>
          </w:tcPr>
          <w:p w14:paraId="5550BDB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250mL烧瓶用，手持部分顶端应为环状,顶部要有刷丝,铁丝不可外露</w:t>
            </w:r>
          </w:p>
        </w:tc>
        <w:tc>
          <w:tcPr>
            <w:tcW w:w="462" w:type="dxa"/>
            <w:shd w:val="clear" w:color="auto" w:fill="auto"/>
            <w:vAlign w:val="center"/>
          </w:tcPr>
          <w:p w14:paraId="158B3F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A0FA4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651695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2E6931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45</w:t>
            </w:r>
          </w:p>
        </w:tc>
      </w:tr>
      <w:tr w14:paraId="0D57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DE361C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183</w:t>
            </w:r>
          </w:p>
        </w:tc>
        <w:tc>
          <w:tcPr>
            <w:tcW w:w="1072" w:type="dxa"/>
            <w:shd w:val="clear" w:color="auto" w:fill="auto"/>
            <w:vAlign w:val="center"/>
          </w:tcPr>
          <w:p w14:paraId="472C2C8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烧瓶刷</w:t>
            </w:r>
          </w:p>
        </w:tc>
        <w:tc>
          <w:tcPr>
            <w:tcW w:w="4897" w:type="dxa"/>
            <w:shd w:val="clear" w:color="auto" w:fill="auto"/>
            <w:vAlign w:val="center"/>
          </w:tcPr>
          <w:p w14:paraId="04B4E0E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500mL烧瓶用，手持部分顶端应为环状,顶部要有刷丝,铁丝不可外露</w:t>
            </w:r>
          </w:p>
        </w:tc>
        <w:tc>
          <w:tcPr>
            <w:tcW w:w="462" w:type="dxa"/>
            <w:shd w:val="clear" w:color="auto" w:fill="auto"/>
            <w:vAlign w:val="center"/>
          </w:tcPr>
          <w:p w14:paraId="2A25D2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80AEE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26649E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7D1799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33EB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8C2EB9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184</w:t>
            </w:r>
          </w:p>
        </w:tc>
        <w:tc>
          <w:tcPr>
            <w:tcW w:w="1072" w:type="dxa"/>
            <w:shd w:val="clear" w:color="auto" w:fill="auto"/>
            <w:vAlign w:val="center"/>
          </w:tcPr>
          <w:p w14:paraId="18D5BEE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滴定管刷</w:t>
            </w:r>
          </w:p>
        </w:tc>
        <w:tc>
          <w:tcPr>
            <w:tcW w:w="4897" w:type="dxa"/>
            <w:shd w:val="clear" w:color="auto" w:fill="auto"/>
            <w:vAlign w:val="center"/>
          </w:tcPr>
          <w:p w14:paraId="5B0967B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手持部分顶端应为环状，顶部要有刷丝，铁丝不可外露</w:t>
            </w:r>
          </w:p>
        </w:tc>
        <w:tc>
          <w:tcPr>
            <w:tcW w:w="462" w:type="dxa"/>
            <w:shd w:val="clear" w:color="auto" w:fill="auto"/>
            <w:vAlign w:val="center"/>
          </w:tcPr>
          <w:p w14:paraId="12DD33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B00E8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7CDE24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7135B1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09E3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9E622B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185</w:t>
            </w:r>
          </w:p>
        </w:tc>
        <w:tc>
          <w:tcPr>
            <w:tcW w:w="1072" w:type="dxa"/>
            <w:shd w:val="clear" w:color="auto" w:fill="auto"/>
            <w:vAlign w:val="center"/>
          </w:tcPr>
          <w:p w14:paraId="6CCF0EB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研钵</w:t>
            </w:r>
          </w:p>
        </w:tc>
        <w:tc>
          <w:tcPr>
            <w:tcW w:w="4897" w:type="dxa"/>
            <w:shd w:val="clear" w:color="auto" w:fill="auto"/>
            <w:vAlign w:val="center"/>
          </w:tcPr>
          <w:p w14:paraId="5E735CF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瓷或玻璃制，60mm，配有研杵,内部粗糙便于研磨,外部光滑</w:t>
            </w:r>
          </w:p>
        </w:tc>
        <w:tc>
          <w:tcPr>
            <w:tcW w:w="462" w:type="dxa"/>
            <w:shd w:val="clear" w:color="auto" w:fill="auto"/>
            <w:vAlign w:val="center"/>
          </w:tcPr>
          <w:p w14:paraId="0AC240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928C7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0C83D0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37D1E2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75</w:t>
            </w:r>
          </w:p>
        </w:tc>
      </w:tr>
      <w:tr w14:paraId="637C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2F4E0C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186</w:t>
            </w:r>
          </w:p>
        </w:tc>
        <w:tc>
          <w:tcPr>
            <w:tcW w:w="1072" w:type="dxa"/>
            <w:shd w:val="clear" w:color="auto" w:fill="auto"/>
            <w:vAlign w:val="center"/>
          </w:tcPr>
          <w:p w14:paraId="075FC45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研钵</w:t>
            </w:r>
          </w:p>
        </w:tc>
        <w:tc>
          <w:tcPr>
            <w:tcW w:w="4897" w:type="dxa"/>
            <w:shd w:val="clear" w:color="auto" w:fill="auto"/>
            <w:vAlign w:val="center"/>
          </w:tcPr>
          <w:p w14:paraId="7FFC81E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瓷或玻璃制，100mm，配有研杵,内部粗糙便于研磨,外部光滑</w:t>
            </w:r>
          </w:p>
        </w:tc>
        <w:tc>
          <w:tcPr>
            <w:tcW w:w="462" w:type="dxa"/>
            <w:shd w:val="clear" w:color="auto" w:fill="auto"/>
            <w:vAlign w:val="center"/>
          </w:tcPr>
          <w:p w14:paraId="151101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86C02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72A6CB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vAlign w:val="center"/>
          </w:tcPr>
          <w:p w14:paraId="03EAD8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r>
      <w:tr w14:paraId="097A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B443F9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187</w:t>
            </w:r>
          </w:p>
        </w:tc>
        <w:tc>
          <w:tcPr>
            <w:tcW w:w="1072" w:type="dxa"/>
            <w:shd w:val="clear" w:color="auto" w:fill="auto"/>
            <w:vAlign w:val="center"/>
          </w:tcPr>
          <w:p w14:paraId="1449918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蒸发皿</w:t>
            </w:r>
          </w:p>
        </w:tc>
        <w:tc>
          <w:tcPr>
            <w:tcW w:w="4897" w:type="dxa"/>
            <w:shd w:val="clear" w:color="auto" w:fill="auto"/>
            <w:vAlign w:val="center"/>
          </w:tcPr>
          <w:p w14:paraId="655FB41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瓷制，60mm，耐受温度≥800℃</w:t>
            </w:r>
          </w:p>
        </w:tc>
        <w:tc>
          <w:tcPr>
            <w:tcW w:w="462" w:type="dxa"/>
            <w:shd w:val="clear" w:color="auto" w:fill="auto"/>
            <w:vAlign w:val="center"/>
          </w:tcPr>
          <w:p w14:paraId="238BBE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31721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695B6A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731F0E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0EA4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354AB3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188</w:t>
            </w:r>
          </w:p>
        </w:tc>
        <w:tc>
          <w:tcPr>
            <w:tcW w:w="1072" w:type="dxa"/>
            <w:shd w:val="clear" w:color="auto" w:fill="auto"/>
            <w:vAlign w:val="center"/>
          </w:tcPr>
          <w:p w14:paraId="52384AB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蒸发皿</w:t>
            </w:r>
          </w:p>
        </w:tc>
        <w:tc>
          <w:tcPr>
            <w:tcW w:w="4897" w:type="dxa"/>
            <w:shd w:val="clear" w:color="auto" w:fill="auto"/>
            <w:vAlign w:val="center"/>
          </w:tcPr>
          <w:p w14:paraId="54975F7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瓷制，120mm，耐受温度≥800℃</w:t>
            </w:r>
          </w:p>
        </w:tc>
        <w:tc>
          <w:tcPr>
            <w:tcW w:w="462" w:type="dxa"/>
            <w:shd w:val="clear" w:color="auto" w:fill="auto"/>
            <w:vAlign w:val="center"/>
          </w:tcPr>
          <w:p w14:paraId="4E3644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2E62E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239DAA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72A067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4934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59B0A1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189</w:t>
            </w:r>
          </w:p>
        </w:tc>
        <w:tc>
          <w:tcPr>
            <w:tcW w:w="1072" w:type="dxa"/>
            <w:shd w:val="clear" w:color="auto" w:fill="auto"/>
            <w:vAlign w:val="center"/>
          </w:tcPr>
          <w:p w14:paraId="07DEB1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反应板</w:t>
            </w:r>
          </w:p>
        </w:tc>
        <w:tc>
          <w:tcPr>
            <w:tcW w:w="4897" w:type="dxa"/>
            <w:shd w:val="clear" w:color="auto" w:fill="auto"/>
            <w:vAlign w:val="center"/>
          </w:tcPr>
          <w:p w14:paraId="0543CEF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白色陶瓷，6孔，表面有釉层，不会发生溶液渗透</w:t>
            </w:r>
          </w:p>
        </w:tc>
        <w:tc>
          <w:tcPr>
            <w:tcW w:w="462" w:type="dxa"/>
            <w:shd w:val="clear" w:color="auto" w:fill="auto"/>
            <w:vAlign w:val="center"/>
          </w:tcPr>
          <w:p w14:paraId="156833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97A3DB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419EEC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08E4B6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47C4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4F2FB0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190</w:t>
            </w:r>
          </w:p>
        </w:tc>
        <w:tc>
          <w:tcPr>
            <w:tcW w:w="1072" w:type="dxa"/>
            <w:shd w:val="clear" w:color="auto" w:fill="auto"/>
            <w:vAlign w:val="center"/>
          </w:tcPr>
          <w:p w14:paraId="7894F83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井穴板</w:t>
            </w:r>
          </w:p>
        </w:tc>
        <w:tc>
          <w:tcPr>
            <w:tcW w:w="4897" w:type="dxa"/>
            <w:shd w:val="clear" w:color="auto" w:fill="auto"/>
            <w:vAlign w:val="center"/>
          </w:tcPr>
          <w:p w14:paraId="0603F49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透明塑料，9孔，每孔0.7mL,环保材料，可以重复使用</w:t>
            </w:r>
          </w:p>
        </w:tc>
        <w:tc>
          <w:tcPr>
            <w:tcW w:w="462" w:type="dxa"/>
            <w:shd w:val="clear" w:color="auto" w:fill="auto"/>
            <w:vAlign w:val="center"/>
          </w:tcPr>
          <w:p w14:paraId="60CAC9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E9E37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76C459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65995E5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2D0B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C5E6C0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191</w:t>
            </w:r>
          </w:p>
        </w:tc>
        <w:tc>
          <w:tcPr>
            <w:tcW w:w="1072" w:type="dxa"/>
            <w:shd w:val="clear" w:color="auto" w:fill="auto"/>
            <w:vAlign w:val="center"/>
          </w:tcPr>
          <w:p w14:paraId="2D624BA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井穴板</w:t>
            </w:r>
          </w:p>
        </w:tc>
        <w:tc>
          <w:tcPr>
            <w:tcW w:w="4897" w:type="dxa"/>
            <w:shd w:val="clear" w:color="auto" w:fill="auto"/>
            <w:vAlign w:val="center"/>
          </w:tcPr>
          <w:p w14:paraId="2EFC8DE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透明塑料，6孔，每孔5mL,配6个双导气管的井穴塞，可以重复使用</w:t>
            </w:r>
          </w:p>
        </w:tc>
        <w:tc>
          <w:tcPr>
            <w:tcW w:w="462" w:type="dxa"/>
            <w:shd w:val="clear" w:color="auto" w:fill="auto"/>
            <w:vAlign w:val="center"/>
          </w:tcPr>
          <w:p w14:paraId="29DD6B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E6592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09ADAF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6725B7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1217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8304FD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192</w:t>
            </w:r>
          </w:p>
        </w:tc>
        <w:tc>
          <w:tcPr>
            <w:tcW w:w="1072" w:type="dxa"/>
            <w:shd w:val="clear" w:color="auto" w:fill="auto"/>
            <w:vAlign w:val="center"/>
          </w:tcPr>
          <w:p w14:paraId="30736B7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塑料多用滴管</w:t>
            </w:r>
          </w:p>
        </w:tc>
        <w:tc>
          <w:tcPr>
            <w:tcW w:w="4897" w:type="dxa"/>
            <w:shd w:val="clear" w:color="auto" w:fill="auto"/>
            <w:vAlign w:val="center"/>
          </w:tcPr>
          <w:p w14:paraId="56EF240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弹性圆筒形吸泡和一根Φ1mmX120mm的径管连接而成，容积4mL,弹性好</w:t>
            </w:r>
          </w:p>
        </w:tc>
        <w:tc>
          <w:tcPr>
            <w:tcW w:w="462" w:type="dxa"/>
            <w:shd w:val="clear" w:color="auto" w:fill="auto"/>
            <w:vAlign w:val="center"/>
          </w:tcPr>
          <w:p w14:paraId="2F44F7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03D512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c>
          <w:tcPr>
            <w:tcW w:w="1048" w:type="dxa"/>
            <w:shd w:val="clear" w:color="auto" w:fill="auto"/>
            <w:vAlign w:val="center"/>
          </w:tcPr>
          <w:p w14:paraId="2028F7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0.5</w:t>
            </w:r>
          </w:p>
        </w:tc>
        <w:tc>
          <w:tcPr>
            <w:tcW w:w="1489" w:type="dxa"/>
            <w:shd w:val="clear" w:color="auto" w:fill="auto"/>
            <w:vAlign w:val="center"/>
          </w:tcPr>
          <w:p w14:paraId="5EB2F2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4D74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1197D1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193</w:t>
            </w:r>
          </w:p>
        </w:tc>
        <w:tc>
          <w:tcPr>
            <w:tcW w:w="1072" w:type="dxa"/>
            <w:shd w:val="clear" w:color="auto" w:fill="auto"/>
            <w:vAlign w:val="center"/>
          </w:tcPr>
          <w:p w14:paraId="39E0060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塑料洗瓶</w:t>
            </w:r>
          </w:p>
        </w:tc>
        <w:tc>
          <w:tcPr>
            <w:tcW w:w="4897" w:type="dxa"/>
            <w:shd w:val="clear" w:color="auto" w:fill="auto"/>
            <w:vAlign w:val="center"/>
          </w:tcPr>
          <w:p w14:paraId="62537F3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250mL或500mL,水嘴略向下倾斜，口径1mm~2mm,瓶口紧实不漏气</w:t>
            </w:r>
          </w:p>
        </w:tc>
        <w:tc>
          <w:tcPr>
            <w:tcW w:w="462" w:type="dxa"/>
            <w:shd w:val="clear" w:color="auto" w:fill="auto"/>
            <w:vAlign w:val="center"/>
          </w:tcPr>
          <w:p w14:paraId="3843A6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6615B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30006D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1B8161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64F3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720324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194</w:t>
            </w:r>
          </w:p>
        </w:tc>
        <w:tc>
          <w:tcPr>
            <w:tcW w:w="1072" w:type="dxa"/>
            <w:shd w:val="clear" w:color="auto" w:fill="auto"/>
            <w:vAlign w:val="center"/>
          </w:tcPr>
          <w:p w14:paraId="7936358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透明塑料水槽</w:t>
            </w:r>
          </w:p>
        </w:tc>
        <w:tc>
          <w:tcPr>
            <w:tcW w:w="4897" w:type="dxa"/>
            <w:shd w:val="clear" w:color="auto" w:fill="auto"/>
            <w:vAlign w:val="center"/>
          </w:tcPr>
          <w:p w14:paraId="2FB10E9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250mmX180mmX100mm</w:t>
            </w:r>
          </w:p>
        </w:tc>
        <w:tc>
          <w:tcPr>
            <w:tcW w:w="462" w:type="dxa"/>
            <w:shd w:val="clear" w:color="auto" w:fill="auto"/>
            <w:vAlign w:val="center"/>
          </w:tcPr>
          <w:p w14:paraId="368931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84F71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2ACDBCD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vAlign w:val="center"/>
          </w:tcPr>
          <w:p w14:paraId="31D21E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390</w:t>
            </w:r>
          </w:p>
        </w:tc>
      </w:tr>
      <w:tr w14:paraId="7E1F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30B480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195</w:t>
            </w:r>
          </w:p>
        </w:tc>
        <w:tc>
          <w:tcPr>
            <w:tcW w:w="1072" w:type="dxa"/>
            <w:shd w:val="clear" w:color="auto" w:fill="auto"/>
            <w:vAlign w:val="center"/>
          </w:tcPr>
          <w:p w14:paraId="12D8066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集气瓶挂扣器</w:t>
            </w:r>
          </w:p>
        </w:tc>
        <w:tc>
          <w:tcPr>
            <w:tcW w:w="4897" w:type="dxa"/>
            <w:shd w:val="clear" w:color="auto" w:fill="auto"/>
            <w:vAlign w:val="center"/>
          </w:tcPr>
          <w:p w14:paraId="047A2B4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适合125mL集气瓶，塑料制</w:t>
            </w:r>
          </w:p>
        </w:tc>
        <w:tc>
          <w:tcPr>
            <w:tcW w:w="462" w:type="dxa"/>
            <w:shd w:val="clear" w:color="auto" w:fill="auto"/>
            <w:vAlign w:val="center"/>
          </w:tcPr>
          <w:p w14:paraId="5DDB33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D5E7C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6CDD72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c>
          <w:tcPr>
            <w:tcW w:w="1489" w:type="dxa"/>
            <w:shd w:val="clear" w:color="auto" w:fill="auto"/>
            <w:vAlign w:val="center"/>
          </w:tcPr>
          <w:p w14:paraId="067629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510</w:t>
            </w:r>
          </w:p>
        </w:tc>
      </w:tr>
      <w:tr w14:paraId="2AE5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5CA10F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196</w:t>
            </w:r>
          </w:p>
        </w:tc>
        <w:tc>
          <w:tcPr>
            <w:tcW w:w="1072" w:type="dxa"/>
            <w:shd w:val="clear" w:color="auto" w:fill="auto"/>
            <w:vAlign w:val="center"/>
          </w:tcPr>
          <w:p w14:paraId="53F8CDA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集气瓶挂扣器</w:t>
            </w:r>
          </w:p>
        </w:tc>
        <w:tc>
          <w:tcPr>
            <w:tcW w:w="4897" w:type="dxa"/>
            <w:shd w:val="clear" w:color="auto" w:fill="auto"/>
            <w:vAlign w:val="center"/>
          </w:tcPr>
          <w:p w14:paraId="0AF78E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适合250mL集气瓶，塑料制</w:t>
            </w:r>
          </w:p>
        </w:tc>
        <w:tc>
          <w:tcPr>
            <w:tcW w:w="462" w:type="dxa"/>
            <w:shd w:val="clear" w:color="auto" w:fill="auto"/>
            <w:vAlign w:val="center"/>
          </w:tcPr>
          <w:p w14:paraId="5614AD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24591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71EEFE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vAlign w:val="center"/>
          </w:tcPr>
          <w:p w14:paraId="789FF0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108</w:t>
            </w:r>
          </w:p>
        </w:tc>
      </w:tr>
      <w:tr w14:paraId="0670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84E6BF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197</w:t>
            </w:r>
          </w:p>
        </w:tc>
        <w:tc>
          <w:tcPr>
            <w:tcW w:w="1072" w:type="dxa"/>
            <w:shd w:val="clear" w:color="auto" w:fill="auto"/>
            <w:vAlign w:val="center"/>
          </w:tcPr>
          <w:p w14:paraId="03918B4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铂丝</w:t>
            </w:r>
          </w:p>
        </w:tc>
        <w:tc>
          <w:tcPr>
            <w:tcW w:w="4897" w:type="dxa"/>
            <w:shd w:val="clear" w:color="auto" w:fill="auto"/>
            <w:vAlign w:val="center"/>
          </w:tcPr>
          <w:p w14:paraId="0199B9E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Φ0.5mmX50mm；具金属柄，可拆卸</w:t>
            </w:r>
          </w:p>
        </w:tc>
        <w:tc>
          <w:tcPr>
            <w:tcW w:w="462" w:type="dxa"/>
            <w:shd w:val="clear" w:color="auto" w:fill="auto"/>
            <w:vAlign w:val="center"/>
          </w:tcPr>
          <w:p w14:paraId="017D9D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4B1D59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400E26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171</w:t>
            </w:r>
          </w:p>
        </w:tc>
        <w:tc>
          <w:tcPr>
            <w:tcW w:w="1489" w:type="dxa"/>
            <w:shd w:val="clear" w:color="auto" w:fill="auto"/>
            <w:vAlign w:val="center"/>
          </w:tcPr>
          <w:p w14:paraId="79E5F8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342</w:t>
            </w:r>
          </w:p>
        </w:tc>
      </w:tr>
      <w:tr w14:paraId="2EFA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2E5A9F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198</w:t>
            </w:r>
          </w:p>
        </w:tc>
        <w:tc>
          <w:tcPr>
            <w:tcW w:w="1072" w:type="dxa"/>
            <w:shd w:val="clear" w:color="auto" w:fill="auto"/>
            <w:vAlign w:val="center"/>
          </w:tcPr>
          <w:p w14:paraId="5FB5255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水浴锅</w:t>
            </w:r>
          </w:p>
        </w:tc>
        <w:tc>
          <w:tcPr>
            <w:tcW w:w="4897" w:type="dxa"/>
            <w:shd w:val="clear" w:color="auto" w:fill="auto"/>
            <w:vAlign w:val="center"/>
          </w:tcPr>
          <w:p w14:paraId="4365790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铜制</w:t>
            </w:r>
          </w:p>
        </w:tc>
        <w:tc>
          <w:tcPr>
            <w:tcW w:w="462" w:type="dxa"/>
            <w:shd w:val="clear" w:color="auto" w:fill="auto"/>
            <w:vAlign w:val="center"/>
          </w:tcPr>
          <w:p w14:paraId="26E1E5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337E4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246A0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141</w:t>
            </w:r>
          </w:p>
        </w:tc>
        <w:tc>
          <w:tcPr>
            <w:tcW w:w="1489" w:type="dxa"/>
            <w:shd w:val="clear" w:color="auto" w:fill="auto"/>
            <w:vAlign w:val="center"/>
          </w:tcPr>
          <w:p w14:paraId="7A79D5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141</w:t>
            </w:r>
          </w:p>
        </w:tc>
      </w:tr>
      <w:tr w14:paraId="2BF7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F52234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199</w:t>
            </w:r>
          </w:p>
        </w:tc>
        <w:tc>
          <w:tcPr>
            <w:tcW w:w="1072" w:type="dxa"/>
            <w:shd w:val="clear" w:color="auto" w:fill="auto"/>
            <w:vAlign w:val="center"/>
          </w:tcPr>
          <w:p w14:paraId="6D2039A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酒精喷灯</w:t>
            </w:r>
          </w:p>
        </w:tc>
        <w:tc>
          <w:tcPr>
            <w:tcW w:w="4897" w:type="dxa"/>
            <w:shd w:val="clear" w:color="auto" w:fill="auto"/>
            <w:vAlign w:val="center"/>
          </w:tcPr>
          <w:p w14:paraId="085093D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座式，铜制，壶体容积≥300mL,火焰温度≥1000℃</w:t>
            </w:r>
          </w:p>
        </w:tc>
        <w:tc>
          <w:tcPr>
            <w:tcW w:w="462" w:type="dxa"/>
            <w:shd w:val="clear" w:color="auto" w:fill="auto"/>
            <w:vAlign w:val="center"/>
          </w:tcPr>
          <w:p w14:paraId="164530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76EB0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6C6B3C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109</w:t>
            </w:r>
          </w:p>
        </w:tc>
        <w:tc>
          <w:tcPr>
            <w:tcW w:w="1489" w:type="dxa"/>
            <w:shd w:val="clear" w:color="auto" w:fill="auto"/>
            <w:vAlign w:val="center"/>
          </w:tcPr>
          <w:p w14:paraId="68FF79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218</w:t>
            </w:r>
          </w:p>
        </w:tc>
      </w:tr>
      <w:tr w14:paraId="3916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C9C4B3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200</w:t>
            </w:r>
          </w:p>
        </w:tc>
        <w:tc>
          <w:tcPr>
            <w:tcW w:w="1072" w:type="dxa"/>
            <w:shd w:val="clear" w:color="auto" w:fill="auto"/>
            <w:vAlign w:val="center"/>
          </w:tcPr>
          <w:p w14:paraId="72FE2D0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储气装置</w:t>
            </w:r>
          </w:p>
        </w:tc>
        <w:tc>
          <w:tcPr>
            <w:tcW w:w="4897" w:type="dxa"/>
            <w:shd w:val="clear" w:color="auto" w:fill="auto"/>
            <w:vAlign w:val="center"/>
          </w:tcPr>
          <w:p w14:paraId="1C11902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容积≥2L</w:t>
            </w:r>
          </w:p>
        </w:tc>
        <w:tc>
          <w:tcPr>
            <w:tcW w:w="462" w:type="dxa"/>
            <w:shd w:val="clear" w:color="auto" w:fill="auto"/>
            <w:vAlign w:val="center"/>
          </w:tcPr>
          <w:p w14:paraId="68D2F2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7FB82C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57923E3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122</w:t>
            </w:r>
          </w:p>
        </w:tc>
        <w:tc>
          <w:tcPr>
            <w:tcW w:w="1489" w:type="dxa"/>
            <w:shd w:val="clear" w:color="auto" w:fill="auto"/>
            <w:vAlign w:val="center"/>
          </w:tcPr>
          <w:p w14:paraId="206AB7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244</w:t>
            </w:r>
          </w:p>
        </w:tc>
      </w:tr>
      <w:tr w14:paraId="0134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2B3996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201</w:t>
            </w:r>
          </w:p>
        </w:tc>
        <w:tc>
          <w:tcPr>
            <w:tcW w:w="1072" w:type="dxa"/>
            <w:shd w:val="clear" w:color="auto" w:fill="auto"/>
            <w:vAlign w:val="center"/>
          </w:tcPr>
          <w:p w14:paraId="5F11FB8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铝条</w:t>
            </w:r>
          </w:p>
        </w:tc>
        <w:tc>
          <w:tcPr>
            <w:tcW w:w="4897" w:type="dxa"/>
            <w:shd w:val="clear" w:color="auto" w:fill="auto"/>
            <w:vAlign w:val="center"/>
          </w:tcPr>
          <w:p w14:paraId="4FEA8F4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vAlign w:val="center"/>
          </w:tcPr>
          <w:p w14:paraId="74887E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vAlign w:val="center"/>
          </w:tcPr>
          <w:p w14:paraId="3367D6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c>
          <w:tcPr>
            <w:tcW w:w="1048" w:type="dxa"/>
            <w:shd w:val="clear" w:color="auto" w:fill="auto"/>
            <w:vAlign w:val="center"/>
          </w:tcPr>
          <w:p w14:paraId="31A916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0.2</w:t>
            </w:r>
          </w:p>
        </w:tc>
        <w:tc>
          <w:tcPr>
            <w:tcW w:w="1489" w:type="dxa"/>
            <w:shd w:val="clear" w:color="auto" w:fill="auto"/>
            <w:vAlign w:val="center"/>
          </w:tcPr>
          <w:p w14:paraId="3ECE08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7022B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F51A54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202</w:t>
            </w:r>
          </w:p>
        </w:tc>
        <w:tc>
          <w:tcPr>
            <w:tcW w:w="1072" w:type="dxa"/>
            <w:shd w:val="clear" w:color="auto" w:fill="auto"/>
            <w:vAlign w:val="center"/>
          </w:tcPr>
          <w:p w14:paraId="0A3E6BA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铝片</w:t>
            </w:r>
          </w:p>
        </w:tc>
        <w:tc>
          <w:tcPr>
            <w:tcW w:w="4897" w:type="dxa"/>
            <w:shd w:val="clear" w:color="auto" w:fill="auto"/>
            <w:vAlign w:val="center"/>
          </w:tcPr>
          <w:p w14:paraId="17B41F2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vAlign w:val="center"/>
          </w:tcPr>
          <w:p w14:paraId="741C44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vAlign w:val="center"/>
          </w:tcPr>
          <w:p w14:paraId="7B82B5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c>
          <w:tcPr>
            <w:tcW w:w="1048" w:type="dxa"/>
            <w:shd w:val="clear" w:color="auto" w:fill="auto"/>
            <w:vAlign w:val="center"/>
          </w:tcPr>
          <w:p w14:paraId="608A17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0.2</w:t>
            </w:r>
          </w:p>
        </w:tc>
        <w:tc>
          <w:tcPr>
            <w:tcW w:w="1489" w:type="dxa"/>
            <w:shd w:val="clear" w:color="auto" w:fill="auto"/>
            <w:vAlign w:val="center"/>
          </w:tcPr>
          <w:p w14:paraId="2CAC7C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4809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EB9CB7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203</w:t>
            </w:r>
          </w:p>
        </w:tc>
        <w:tc>
          <w:tcPr>
            <w:tcW w:w="1072" w:type="dxa"/>
            <w:shd w:val="clear" w:color="auto" w:fill="auto"/>
            <w:vAlign w:val="center"/>
          </w:tcPr>
          <w:p w14:paraId="38C0A14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铝箔</w:t>
            </w:r>
          </w:p>
        </w:tc>
        <w:tc>
          <w:tcPr>
            <w:tcW w:w="4897" w:type="dxa"/>
            <w:shd w:val="clear" w:color="auto" w:fill="auto"/>
            <w:vAlign w:val="center"/>
          </w:tcPr>
          <w:p w14:paraId="50F7E80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vAlign w:val="center"/>
          </w:tcPr>
          <w:p w14:paraId="518E0A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vAlign w:val="center"/>
          </w:tcPr>
          <w:p w14:paraId="51395B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206BFE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6A0E77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51A9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1BDFBC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204</w:t>
            </w:r>
          </w:p>
        </w:tc>
        <w:tc>
          <w:tcPr>
            <w:tcW w:w="1072" w:type="dxa"/>
            <w:shd w:val="clear" w:color="auto" w:fill="auto"/>
            <w:vAlign w:val="center"/>
          </w:tcPr>
          <w:p w14:paraId="107035C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锌片（锌花）</w:t>
            </w:r>
          </w:p>
        </w:tc>
        <w:tc>
          <w:tcPr>
            <w:tcW w:w="4897" w:type="dxa"/>
            <w:shd w:val="clear" w:color="auto" w:fill="auto"/>
            <w:vAlign w:val="center"/>
          </w:tcPr>
          <w:p w14:paraId="3BCB767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vAlign w:val="center"/>
          </w:tcPr>
          <w:p w14:paraId="078BCF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vAlign w:val="center"/>
          </w:tcPr>
          <w:p w14:paraId="19B2A3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1200</w:t>
            </w:r>
          </w:p>
        </w:tc>
        <w:tc>
          <w:tcPr>
            <w:tcW w:w="1048" w:type="dxa"/>
            <w:shd w:val="clear" w:color="auto" w:fill="auto"/>
            <w:vAlign w:val="center"/>
          </w:tcPr>
          <w:p w14:paraId="75412C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0.2</w:t>
            </w:r>
          </w:p>
        </w:tc>
        <w:tc>
          <w:tcPr>
            <w:tcW w:w="1489" w:type="dxa"/>
            <w:shd w:val="clear" w:color="auto" w:fill="auto"/>
            <w:vAlign w:val="center"/>
          </w:tcPr>
          <w:p w14:paraId="6044FC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7333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DB0BBC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205</w:t>
            </w:r>
          </w:p>
        </w:tc>
        <w:tc>
          <w:tcPr>
            <w:tcW w:w="1072" w:type="dxa"/>
            <w:shd w:val="clear" w:color="auto" w:fill="auto"/>
            <w:vAlign w:val="center"/>
          </w:tcPr>
          <w:p w14:paraId="302092E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锌粒</w:t>
            </w:r>
          </w:p>
        </w:tc>
        <w:tc>
          <w:tcPr>
            <w:tcW w:w="4897" w:type="dxa"/>
            <w:shd w:val="clear" w:color="auto" w:fill="auto"/>
            <w:vAlign w:val="center"/>
          </w:tcPr>
          <w:p w14:paraId="6CB0075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vAlign w:val="center"/>
          </w:tcPr>
          <w:p w14:paraId="3815D4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vAlign w:val="center"/>
          </w:tcPr>
          <w:p w14:paraId="3884C6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c>
          <w:tcPr>
            <w:tcW w:w="1048" w:type="dxa"/>
            <w:shd w:val="clear" w:color="auto" w:fill="auto"/>
            <w:vAlign w:val="center"/>
          </w:tcPr>
          <w:p w14:paraId="58CD69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0.2</w:t>
            </w:r>
          </w:p>
        </w:tc>
        <w:tc>
          <w:tcPr>
            <w:tcW w:w="1489" w:type="dxa"/>
            <w:shd w:val="clear" w:color="auto" w:fill="auto"/>
            <w:vAlign w:val="center"/>
          </w:tcPr>
          <w:p w14:paraId="5B44A3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26D8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9D4D7D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206</w:t>
            </w:r>
          </w:p>
        </w:tc>
        <w:tc>
          <w:tcPr>
            <w:tcW w:w="1072" w:type="dxa"/>
            <w:shd w:val="clear" w:color="auto" w:fill="auto"/>
            <w:vAlign w:val="center"/>
          </w:tcPr>
          <w:p w14:paraId="1567F40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铁片</w:t>
            </w:r>
          </w:p>
        </w:tc>
        <w:tc>
          <w:tcPr>
            <w:tcW w:w="4897" w:type="dxa"/>
            <w:shd w:val="clear" w:color="auto" w:fill="auto"/>
            <w:vAlign w:val="center"/>
          </w:tcPr>
          <w:p w14:paraId="500A2DA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vAlign w:val="center"/>
          </w:tcPr>
          <w:p w14:paraId="318629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vAlign w:val="center"/>
          </w:tcPr>
          <w:p w14:paraId="02F1DD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600</w:t>
            </w:r>
          </w:p>
        </w:tc>
        <w:tc>
          <w:tcPr>
            <w:tcW w:w="1048" w:type="dxa"/>
            <w:shd w:val="clear" w:color="auto" w:fill="auto"/>
            <w:vAlign w:val="center"/>
          </w:tcPr>
          <w:p w14:paraId="13CE29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0.1</w:t>
            </w:r>
          </w:p>
        </w:tc>
        <w:tc>
          <w:tcPr>
            <w:tcW w:w="1489" w:type="dxa"/>
            <w:shd w:val="clear" w:color="auto" w:fill="auto"/>
            <w:vAlign w:val="center"/>
          </w:tcPr>
          <w:p w14:paraId="6714DF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7620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F2D34A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207</w:t>
            </w:r>
          </w:p>
        </w:tc>
        <w:tc>
          <w:tcPr>
            <w:tcW w:w="1072" w:type="dxa"/>
            <w:shd w:val="clear" w:color="auto" w:fill="auto"/>
            <w:vAlign w:val="center"/>
          </w:tcPr>
          <w:p w14:paraId="644AA15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铁丝</w:t>
            </w:r>
          </w:p>
        </w:tc>
        <w:tc>
          <w:tcPr>
            <w:tcW w:w="4897" w:type="dxa"/>
            <w:shd w:val="clear" w:color="auto" w:fill="auto"/>
            <w:vAlign w:val="center"/>
          </w:tcPr>
          <w:p w14:paraId="1E1BA3C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直径≤2mm</w:t>
            </w:r>
          </w:p>
        </w:tc>
        <w:tc>
          <w:tcPr>
            <w:tcW w:w="462" w:type="dxa"/>
            <w:shd w:val="clear" w:color="auto" w:fill="auto"/>
            <w:vAlign w:val="center"/>
          </w:tcPr>
          <w:p w14:paraId="2566CC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vAlign w:val="center"/>
          </w:tcPr>
          <w:p w14:paraId="73C8E7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600</w:t>
            </w:r>
          </w:p>
        </w:tc>
        <w:tc>
          <w:tcPr>
            <w:tcW w:w="1048" w:type="dxa"/>
            <w:shd w:val="clear" w:color="auto" w:fill="auto"/>
            <w:vAlign w:val="center"/>
          </w:tcPr>
          <w:p w14:paraId="7D6D4F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0.1</w:t>
            </w:r>
          </w:p>
        </w:tc>
        <w:tc>
          <w:tcPr>
            <w:tcW w:w="1489" w:type="dxa"/>
            <w:shd w:val="clear" w:color="auto" w:fill="auto"/>
            <w:vAlign w:val="center"/>
          </w:tcPr>
          <w:p w14:paraId="65868E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2870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CA4C21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208</w:t>
            </w:r>
          </w:p>
        </w:tc>
        <w:tc>
          <w:tcPr>
            <w:tcW w:w="1072" w:type="dxa"/>
            <w:shd w:val="clear" w:color="auto" w:fill="auto"/>
            <w:vAlign w:val="center"/>
          </w:tcPr>
          <w:p w14:paraId="37B772D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紫铜片</w:t>
            </w:r>
          </w:p>
        </w:tc>
        <w:tc>
          <w:tcPr>
            <w:tcW w:w="4897" w:type="dxa"/>
            <w:shd w:val="clear" w:color="auto" w:fill="auto"/>
            <w:vAlign w:val="center"/>
          </w:tcPr>
          <w:p w14:paraId="13BD13D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vAlign w:val="center"/>
          </w:tcPr>
          <w:p w14:paraId="57B018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vAlign w:val="center"/>
          </w:tcPr>
          <w:p w14:paraId="199DFD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1200</w:t>
            </w:r>
          </w:p>
        </w:tc>
        <w:tc>
          <w:tcPr>
            <w:tcW w:w="1048" w:type="dxa"/>
            <w:shd w:val="clear" w:color="auto" w:fill="auto"/>
            <w:vAlign w:val="center"/>
          </w:tcPr>
          <w:p w14:paraId="5D1C8D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0.3</w:t>
            </w:r>
          </w:p>
        </w:tc>
        <w:tc>
          <w:tcPr>
            <w:tcW w:w="1489" w:type="dxa"/>
            <w:shd w:val="clear" w:color="auto" w:fill="auto"/>
            <w:vAlign w:val="center"/>
          </w:tcPr>
          <w:p w14:paraId="2B7451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548F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B2C2C5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209</w:t>
            </w:r>
          </w:p>
        </w:tc>
        <w:tc>
          <w:tcPr>
            <w:tcW w:w="1072" w:type="dxa"/>
            <w:shd w:val="clear" w:color="auto" w:fill="auto"/>
            <w:vAlign w:val="center"/>
          </w:tcPr>
          <w:p w14:paraId="68ADC81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铜丝</w:t>
            </w:r>
          </w:p>
        </w:tc>
        <w:tc>
          <w:tcPr>
            <w:tcW w:w="4897" w:type="dxa"/>
            <w:shd w:val="clear" w:color="auto" w:fill="auto"/>
            <w:vAlign w:val="center"/>
          </w:tcPr>
          <w:p w14:paraId="6DE1128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vAlign w:val="center"/>
          </w:tcPr>
          <w:p w14:paraId="6E8FF9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vAlign w:val="center"/>
          </w:tcPr>
          <w:p w14:paraId="245E53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1200</w:t>
            </w:r>
          </w:p>
        </w:tc>
        <w:tc>
          <w:tcPr>
            <w:tcW w:w="1048" w:type="dxa"/>
            <w:shd w:val="clear" w:color="auto" w:fill="auto"/>
            <w:vAlign w:val="center"/>
          </w:tcPr>
          <w:p w14:paraId="51BA2D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6E7689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1200</w:t>
            </w:r>
          </w:p>
        </w:tc>
      </w:tr>
      <w:tr w14:paraId="19F9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3AFAEE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210</w:t>
            </w:r>
          </w:p>
        </w:tc>
        <w:tc>
          <w:tcPr>
            <w:tcW w:w="1072" w:type="dxa"/>
            <w:shd w:val="clear" w:color="auto" w:fill="auto"/>
            <w:vAlign w:val="center"/>
          </w:tcPr>
          <w:p w14:paraId="25D6542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计算机</w:t>
            </w:r>
          </w:p>
        </w:tc>
        <w:tc>
          <w:tcPr>
            <w:tcW w:w="4897" w:type="dxa"/>
            <w:shd w:val="clear" w:color="auto" w:fill="auto"/>
            <w:vAlign w:val="center"/>
          </w:tcPr>
          <w:p w14:paraId="2A67FDE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便携式，配套数据采集器、传感器使用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1、≥i5-10210U(1.6 GHz/6 MB/四核)；</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2、14.0'FHD(1920X1080) IPS高清防眩屏；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3、≥8G DDR4 2666MHz(1根)内存；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4、≥128G PCIe NVMe+1TB；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5、≥AMD R530 GDDR5 2G独立显卡；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6、指纹识别；</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7、720P 高清摄像头；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8、802.11AC 2x2 wifi(RT)+蓝牙5.0；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9、3芯 41whr长寿命锂电池；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10、正版Win10 HB 64位(简体中文版)；</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11、一年保修；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12、配包、鼠标。</w:t>
            </w:r>
          </w:p>
        </w:tc>
        <w:tc>
          <w:tcPr>
            <w:tcW w:w="462" w:type="dxa"/>
            <w:shd w:val="clear" w:color="auto" w:fill="auto"/>
            <w:vAlign w:val="center"/>
          </w:tcPr>
          <w:p w14:paraId="7284E3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6F1302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vAlign w:val="center"/>
          </w:tcPr>
          <w:p w14:paraId="475CB6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c>
          <w:tcPr>
            <w:tcW w:w="1489" w:type="dxa"/>
            <w:shd w:val="clear" w:color="auto" w:fill="auto"/>
            <w:vAlign w:val="center"/>
          </w:tcPr>
          <w:p w14:paraId="4AD9A0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55000</w:t>
            </w:r>
          </w:p>
        </w:tc>
      </w:tr>
      <w:tr w14:paraId="148E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0A844A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211</w:t>
            </w:r>
          </w:p>
        </w:tc>
        <w:tc>
          <w:tcPr>
            <w:tcW w:w="1072" w:type="dxa"/>
            <w:shd w:val="clear" w:color="auto" w:fill="auto"/>
            <w:vAlign w:val="center"/>
          </w:tcPr>
          <w:p w14:paraId="525D8FF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实验数据采集处理软件</w:t>
            </w:r>
          </w:p>
        </w:tc>
        <w:tc>
          <w:tcPr>
            <w:tcW w:w="4897" w:type="dxa"/>
            <w:shd w:val="clear" w:color="auto" w:fill="auto"/>
            <w:vAlign w:val="center"/>
          </w:tcPr>
          <w:p w14:paraId="6A69729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简体中文界面，数据采集器接入计算机后能自动识别数据采集器及其状态，实时显示实验数据或曲线，具备多种对实验数据与图线的数据处理与分析工具，实验数据可导出为表格或文本格式</w:t>
            </w:r>
          </w:p>
        </w:tc>
        <w:tc>
          <w:tcPr>
            <w:tcW w:w="462" w:type="dxa"/>
            <w:shd w:val="clear" w:color="auto" w:fill="auto"/>
            <w:vAlign w:val="center"/>
          </w:tcPr>
          <w:p w14:paraId="6A5CF6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0B6C2D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vAlign w:val="center"/>
          </w:tcPr>
          <w:p w14:paraId="5013FE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1125</w:t>
            </w:r>
          </w:p>
        </w:tc>
        <w:tc>
          <w:tcPr>
            <w:tcW w:w="1489" w:type="dxa"/>
            <w:shd w:val="clear" w:color="auto" w:fill="auto"/>
            <w:vAlign w:val="center"/>
          </w:tcPr>
          <w:p w14:paraId="2A081E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12375</w:t>
            </w:r>
          </w:p>
        </w:tc>
      </w:tr>
      <w:tr w14:paraId="651F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7BCD12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212</w:t>
            </w:r>
          </w:p>
        </w:tc>
        <w:tc>
          <w:tcPr>
            <w:tcW w:w="1072" w:type="dxa"/>
            <w:shd w:val="clear" w:color="auto" w:fill="auto"/>
            <w:vAlign w:val="center"/>
          </w:tcPr>
          <w:p w14:paraId="11AF92C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数据采集器</w:t>
            </w:r>
          </w:p>
        </w:tc>
        <w:tc>
          <w:tcPr>
            <w:tcW w:w="4897" w:type="dxa"/>
            <w:shd w:val="clear" w:color="auto" w:fill="auto"/>
            <w:vAlign w:val="center"/>
          </w:tcPr>
          <w:p w14:paraId="179E306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实时无延时采样频率32kHz；分辨率12bit；快速启动/关机功能，保证采集效率；与计算机USB接口通讯或无线通讯，支持有线连接的四通道并行数据采集；可脱机使用，无需连接电脑直接进行数据采集和数据分析</w:t>
            </w:r>
          </w:p>
        </w:tc>
        <w:tc>
          <w:tcPr>
            <w:tcW w:w="462" w:type="dxa"/>
            <w:shd w:val="clear" w:color="auto" w:fill="auto"/>
            <w:vAlign w:val="center"/>
          </w:tcPr>
          <w:p w14:paraId="2AB30E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324E50B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vAlign w:val="center"/>
          </w:tcPr>
          <w:p w14:paraId="017C20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2950</w:t>
            </w:r>
          </w:p>
        </w:tc>
        <w:tc>
          <w:tcPr>
            <w:tcW w:w="1489" w:type="dxa"/>
            <w:shd w:val="clear" w:color="auto" w:fill="auto"/>
            <w:vAlign w:val="center"/>
          </w:tcPr>
          <w:p w14:paraId="11F0FC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32450</w:t>
            </w:r>
          </w:p>
        </w:tc>
      </w:tr>
      <w:tr w14:paraId="4209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248A95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213</w:t>
            </w:r>
          </w:p>
        </w:tc>
        <w:tc>
          <w:tcPr>
            <w:tcW w:w="1072" w:type="dxa"/>
            <w:shd w:val="clear" w:color="auto" w:fill="auto"/>
            <w:vAlign w:val="center"/>
          </w:tcPr>
          <w:p w14:paraId="68961C9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温度传感器</w:t>
            </w:r>
          </w:p>
        </w:tc>
        <w:tc>
          <w:tcPr>
            <w:tcW w:w="4897" w:type="dxa"/>
            <w:shd w:val="clear" w:color="auto" w:fill="auto"/>
            <w:vAlign w:val="center"/>
          </w:tcPr>
          <w:p w14:paraId="61D2C11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量程：-40℃~125℃，分度：0.01℃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3.电池：内置大容量锂离子电池，可通过内置的USB接口对锂离子电池进行充电；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5.配备不锈钢探头，强度高，耐久性好，稳定性强；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6.功能：应用于与温度或温度变化有关的各类实验。</w:t>
            </w:r>
          </w:p>
        </w:tc>
        <w:tc>
          <w:tcPr>
            <w:tcW w:w="462" w:type="dxa"/>
            <w:shd w:val="clear" w:color="auto" w:fill="auto"/>
            <w:vAlign w:val="center"/>
          </w:tcPr>
          <w:p w14:paraId="6D4758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651E77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vAlign w:val="center"/>
          </w:tcPr>
          <w:p w14:paraId="5CE09F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665</w:t>
            </w:r>
          </w:p>
        </w:tc>
        <w:tc>
          <w:tcPr>
            <w:tcW w:w="1489" w:type="dxa"/>
            <w:shd w:val="clear" w:color="auto" w:fill="auto"/>
            <w:vAlign w:val="center"/>
          </w:tcPr>
          <w:p w14:paraId="306231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7315</w:t>
            </w:r>
          </w:p>
        </w:tc>
      </w:tr>
      <w:tr w14:paraId="3C50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659669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214</w:t>
            </w:r>
          </w:p>
        </w:tc>
        <w:tc>
          <w:tcPr>
            <w:tcW w:w="1072" w:type="dxa"/>
            <w:shd w:val="clear" w:color="auto" w:fill="auto"/>
            <w:vAlign w:val="center"/>
          </w:tcPr>
          <w:p w14:paraId="2EC0F2F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气体压强传感器</w:t>
            </w:r>
          </w:p>
        </w:tc>
        <w:tc>
          <w:tcPr>
            <w:tcW w:w="4897" w:type="dxa"/>
            <w:shd w:val="clear" w:color="auto" w:fill="auto"/>
            <w:vAlign w:val="center"/>
          </w:tcPr>
          <w:p w14:paraId="3B36A8B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量程：0kPa～700kPa分度：0.01kPa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3.电池：内置大容量锂离子电池，可通过内置的USB接口对锂离子电池进行充电；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5.功能：用于与气体压力有关的各类实验。</w:t>
            </w:r>
          </w:p>
        </w:tc>
        <w:tc>
          <w:tcPr>
            <w:tcW w:w="462" w:type="dxa"/>
            <w:shd w:val="clear" w:color="auto" w:fill="auto"/>
            <w:vAlign w:val="center"/>
          </w:tcPr>
          <w:p w14:paraId="3AF3D9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37DC01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vAlign w:val="center"/>
          </w:tcPr>
          <w:p w14:paraId="0E43A2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1290</w:t>
            </w:r>
          </w:p>
        </w:tc>
        <w:tc>
          <w:tcPr>
            <w:tcW w:w="1489" w:type="dxa"/>
            <w:shd w:val="clear" w:color="auto" w:fill="auto"/>
            <w:vAlign w:val="center"/>
          </w:tcPr>
          <w:p w14:paraId="53C80A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14190</w:t>
            </w:r>
          </w:p>
        </w:tc>
      </w:tr>
      <w:tr w14:paraId="2AEF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FA7B5A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215</w:t>
            </w:r>
          </w:p>
        </w:tc>
        <w:tc>
          <w:tcPr>
            <w:tcW w:w="1072" w:type="dxa"/>
            <w:shd w:val="clear" w:color="auto" w:fill="auto"/>
            <w:vAlign w:val="center"/>
          </w:tcPr>
          <w:p w14:paraId="0FF06C5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pH传感器</w:t>
            </w:r>
          </w:p>
        </w:tc>
        <w:tc>
          <w:tcPr>
            <w:tcW w:w="4897" w:type="dxa"/>
            <w:shd w:val="clear" w:color="auto" w:fill="auto"/>
            <w:vAlign w:val="center"/>
          </w:tcPr>
          <w:p w14:paraId="1577E5C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量程：0～14  分度：0.01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3.电池：内置大容量锂离子电池，可通过内置的USB接口对锂离子电池进行充电；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5.功能：用于测定溶液酸碱度以及与之相关的各类实验。</w:t>
            </w:r>
          </w:p>
        </w:tc>
        <w:tc>
          <w:tcPr>
            <w:tcW w:w="462" w:type="dxa"/>
            <w:shd w:val="clear" w:color="auto" w:fill="auto"/>
            <w:vAlign w:val="center"/>
          </w:tcPr>
          <w:p w14:paraId="33B787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22D3ED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vAlign w:val="center"/>
          </w:tcPr>
          <w:p w14:paraId="373A78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1625</w:t>
            </w:r>
          </w:p>
        </w:tc>
        <w:tc>
          <w:tcPr>
            <w:tcW w:w="1489" w:type="dxa"/>
            <w:shd w:val="clear" w:color="auto" w:fill="auto"/>
            <w:vAlign w:val="center"/>
          </w:tcPr>
          <w:p w14:paraId="591C3A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17875</w:t>
            </w:r>
          </w:p>
        </w:tc>
      </w:tr>
      <w:tr w14:paraId="12EA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B1FB3D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216</w:t>
            </w:r>
          </w:p>
        </w:tc>
        <w:tc>
          <w:tcPr>
            <w:tcW w:w="1072" w:type="dxa"/>
            <w:shd w:val="clear" w:color="auto" w:fill="auto"/>
            <w:vAlign w:val="center"/>
          </w:tcPr>
          <w:p w14:paraId="1A425FA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电流传感器</w:t>
            </w:r>
          </w:p>
        </w:tc>
        <w:tc>
          <w:tcPr>
            <w:tcW w:w="4897" w:type="dxa"/>
            <w:shd w:val="clear" w:color="auto" w:fill="auto"/>
            <w:vAlign w:val="center"/>
          </w:tcPr>
          <w:p w14:paraId="7F5C2D6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量程：±0.6A；分辨力：0.31mA；误差：±0.31mA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量程：±10A；分辨力：4.9mA；误差：±4.9mA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3.电池：内置大容量锂离子电池，通过内置USB接口充电；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5.可分别支持Android、windows系统；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6.屏幕要求具备电量提示和连接状态提示功能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7.功能：用于与微小电流有关的实验。</w:t>
            </w:r>
          </w:p>
        </w:tc>
        <w:tc>
          <w:tcPr>
            <w:tcW w:w="462" w:type="dxa"/>
            <w:shd w:val="clear" w:color="auto" w:fill="auto"/>
            <w:vAlign w:val="center"/>
          </w:tcPr>
          <w:p w14:paraId="0E46E14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503D02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vAlign w:val="center"/>
          </w:tcPr>
          <w:p w14:paraId="4FA48A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585</w:t>
            </w:r>
          </w:p>
        </w:tc>
        <w:tc>
          <w:tcPr>
            <w:tcW w:w="1489" w:type="dxa"/>
            <w:shd w:val="clear" w:color="auto" w:fill="auto"/>
            <w:vAlign w:val="center"/>
          </w:tcPr>
          <w:p w14:paraId="766B71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6435</w:t>
            </w:r>
          </w:p>
        </w:tc>
      </w:tr>
      <w:tr w14:paraId="2B00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6B6706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217</w:t>
            </w:r>
          </w:p>
        </w:tc>
        <w:tc>
          <w:tcPr>
            <w:tcW w:w="1072" w:type="dxa"/>
            <w:shd w:val="clear" w:color="auto" w:fill="auto"/>
            <w:vAlign w:val="center"/>
          </w:tcPr>
          <w:p w14:paraId="3003C29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放电反应实验仪</w:t>
            </w:r>
          </w:p>
        </w:tc>
        <w:tc>
          <w:tcPr>
            <w:tcW w:w="4897" w:type="dxa"/>
            <w:shd w:val="clear" w:color="auto" w:fill="auto"/>
            <w:vAlign w:val="center"/>
          </w:tcPr>
          <w:p w14:paraId="1B4CEF2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产品由主机、高压连接导线、放电瓶等组成。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1.主机外壳采用塑料注塑成型，尺寸：200mm×175mm×70mm，带支撑架。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2.放电瓶为玻璃制，透明，直径66mm，内装放电针。</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3.使用电源：AC220V。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4.放电间距：小于10mm。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5.连续工作时间：大于10min。</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6.功耗小于30W。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7.通电2min之内即有氮气与氧气反应的现象。</w:t>
            </w:r>
          </w:p>
        </w:tc>
        <w:tc>
          <w:tcPr>
            <w:tcW w:w="462" w:type="dxa"/>
            <w:shd w:val="clear" w:color="auto" w:fill="auto"/>
            <w:vAlign w:val="center"/>
          </w:tcPr>
          <w:p w14:paraId="717F6B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405B7A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107FE4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515</w:t>
            </w:r>
          </w:p>
        </w:tc>
        <w:tc>
          <w:tcPr>
            <w:tcW w:w="1489" w:type="dxa"/>
            <w:shd w:val="clear" w:color="auto" w:fill="auto"/>
            <w:vAlign w:val="center"/>
          </w:tcPr>
          <w:p w14:paraId="156050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515</w:t>
            </w:r>
          </w:p>
        </w:tc>
      </w:tr>
      <w:tr w14:paraId="443A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4EE526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218</w:t>
            </w:r>
          </w:p>
        </w:tc>
        <w:tc>
          <w:tcPr>
            <w:tcW w:w="1072" w:type="dxa"/>
            <w:shd w:val="clear" w:color="auto" w:fill="auto"/>
            <w:vAlign w:val="center"/>
          </w:tcPr>
          <w:p w14:paraId="05DC091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中和热测定仪</w:t>
            </w:r>
          </w:p>
        </w:tc>
        <w:tc>
          <w:tcPr>
            <w:tcW w:w="4897" w:type="dxa"/>
            <w:shd w:val="clear" w:color="auto" w:fill="auto"/>
            <w:vAlign w:val="center"/>
          </w:tcPr>
          <w:p w14:paraId="6554AE3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又称简易量热计，包括反应容器、温度计、环形玻璃搅拌棒。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由外筒、内筒、隔离泡沫、搅拌器、温度计及上盖组成。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1.外筒为塑料制，直径98mm、高98mm。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2.内筒为铝制，直径60mm，深73mm。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3.搅拌器为直径2mm的铝丝绕制而成，附手柄套。</w:t>
            </w:r>
          </w:p>
        </w:tc>
        <w:tc>
          <w:tcPr>
            <w:tcW w:w="462" w:type="dxa"/>
            <w:shd w:val="clear" w:color="auto" w:fill="auto"/>
            <w:vAlign w:val="center"/>
          </w:tcPr>
          <w:p w14:paraId="7CAD24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196090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288D2B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73</w:t>
            </w:r>
          </w:p>
        </w:tc>
        <w:tc>
          <w:tcPr>
            <w:tcW w:w="1489" w:type="dxa"/>
            <w:shd w:val="clear" w:color="auto" w:fill="auto"/>
            <w:vAlign w:val="center"/>
          </w:tcPr>
          <w:p w14:paraId="4AC6B5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2190</w:t>
            </w:r>
          </w:p>
        </w:tc>
      </w:tr>
      <w:tr w14:paraId="64A6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19B424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219</w:t>
            </w:r>
          </w:p>
        </w:tc>
        <w:tc>
          <w:tcPr>
            <w:tcW w:w="1072" w:type="dxa"/>
            <w:shd w:val="clear" w:color="auto" w:fill="auto"/>
            <w:vAlign w:val="center"/>
          </w:tcPr>
          <w:p w14:paraId="0C4A7C6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原电池实验器</w:t>
            </w:r>
          </w:p>
        </w:tc>
        <w:tc>
          <w:tcPr>
            <w:tcW w:w="4897" w:type="dxa"/>
            <w:shd w:val="clear" w:color="auto" w:fill="auto"/>
            <w:vAlign w:val="center"/>
          </w:tcPr>
          <w:p w14:paraId="20944B4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包括缸体、带固定接线柱和电极夹的缸体盖板、铜电极板、锌电极板、铁电极板、碳棒、发光二极管、导线等</w:t>
            </w:r>
          </w:p>
        </w:tc>
        <w:tc>
          <w:tcPr>
            <w:tcW w:w="462" w:type="dxa"/>
            <w:shd w:val="clear" w:color="auto" w:fill="auto"/>
            <w:vAlign w:val="center"/>
          </w:tcPr>
          <w:p w14:paraId="74178E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6B22E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3CB7FF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w:t>
            </w:r>
          </w:p>
        </w:tc>
        <w:tc>
          <w:tcPr>
            <w:tcW w:w="1489" w:type="dxa"/>
            <w:shd w:val="clear" w:color="auto" w:fill="auto"/>
            <w:vAlign w:val="center"/>
          </w:tcPr>
          <w:p w14:paraId="79D467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780</w:t>
            </w:r>
          </w:p>
        </w:tc>
      </w:tr>
      <w:tr w14:paraId="00F1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DE236D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220</w:t>
            </w:r>
          </w:p>
        </w:tc>
        <w:tc>
          <w:tcPr>
            <w:tcW w:w="1072" w:type="dxa"/>
            <w:shd w:val="clear" w:color="auto" w:fill="auto"/>
            <w:vAlign w:val="center"/>
          </w:tcPr>
          <w:p w14:paraId="4A5F043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氢燃料电池实验器</w:t>
            </w:r>
          </w:p>
        </w:tc>
        <w:tc>
          <w:tcPr>
            <w:tcW w:w="4897" w:type="dxa"/>
            <w:shd w:val="clear" w:color="auto" w:fill="auto"/>
            <w:vAlign w:val="center"/>
          </w:tcPr>
          <w:p w14:paraId="3A32771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仪器由塑料支架、氢燃料电池、导管、制氢瓶、制氢剂、电流表、电压表、电机、风叶等组成。膜电极不小于15mm×15mm。</w:t>
            </w:r>
          </w:p>
        </w:tc>
        <w:tc>
          <w:tcPr>
            <w:tcW w:w="462" w:type="dxa"/>
            <w:shd w:val="clear" w:color="auto" w:fill="auto"/>
            <w:vAlign w:val="center"/>
          </w:tcPr>
          <w:p w14:paraId="3D0FB2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E4E2F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387EC3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124</w:t>
            </w:r>
          </w:p>
        </w:tc>
        <w:tc>
          <w:tcPr>
            <w:tcW w:w="1489" w:type="dxa"/>
            <w:shd w:val="clear" w:color="auto" w:fill="auto"/>
            <w:vAlign w:val="center"/>
          </w:tcPr>
          <w:p w14:paraId="721A95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3720</w:t>
            </w:r>
          </w:p>
        </w:tc>
      </w:tr>
      <w:tr w14:paraId="4924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restart"/>
            <w:shd w:val="clear" w:color="auto" w:fill="auto"/>
            <w:vAlign w:val="center"/>
          </w:tcPr>
          <w:p w14:paraId="42E334E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221</w:t>
            </w:r>
          </w:p>
        </w:tc>
        <w:tc>
          <w:tcPr>
            <w:tcW w:w="1072" w:type="dxa"/>
            <w:vMerge w:val="restart"/>
            <w:shd w:val="clear" w:color="auto" w:fill="auto"/>
            <w:vAlign w:val="center"/>
          </w:tcPr>
          <w:p w14:paraId="217135E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二氧化氮球</w:t>
            </w:r>
          </w:p>
        </w:tc>
        <w:tc>
          <w:tcPr>
            <w:tcW w:w="4897" w:type="dxa"/>
            <w:shd w:val="clear" w:color="auto" w:fill="auto"/>
            <w:vAlign w:val="center"/>
          </w:tcPr>
          <w:p w14:paraId="0F2E5FE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玻璃制品。</w:t>
            </w:r>
          </w:p>
        </w:tc>
        <w:tc>
          <w:tcPr>
            <w:tcW w:w="462" w:type="dxa"/>
            <w:vMerge w:val="restart"/>
            <w:shd w:val="clear" w:color="auto" w:fill="auto"/>
            <w:vAlign w:val="center"/>
          </w:tcPr>
          <w:p w14:paraId="0122BB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vMerge w:val="restart"/>
            <w:shd w:val="clear" w:color="auto" w:fill="auto"/>
            <w:vAlign w:val="center"/>
          </w:tcPr>
          <w:p w14:paraId="2C84A9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vMerge w:val="restart"/>
            <w:shd w:val="clear" w:color="auto" w:fill="auto"/>
            <w:vAlign w:val="center"/>
          </w:tcPr>
          <w:p w14:paraId="785E5B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vMerge w:val="restart"/>
            <w:shd w:val="clear" w:color="auto" w:fill="auto"/>
            <w:vAlign w:val="center"/>
          </w:tcPr>
          <w:p w14:paraId="56F326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330</w:t>
            </w:r>
          </w:p>
        </w:tc>
      </w:tr>
      <w:tr w14:paraId="5650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234239F0">
            <w:pPr>
              <w:jc w:val="center"/>
              <w:rPr>
                <w:rFonts w:ascii="宋体" w:hAnsi="宋体" w:cs="宋体"/>
                <w:kern w:val="0"/>
                <w:sz w:val="22"/>
              </w:rPr>
            </w:pPr>
          </w:p>
        </w:tc>
        <w:tc>
          <w:tcPr>
            <w:tcW w:w="1072" w:type="dxa"/>
            <w:vMerge w:val="continue"/>
            <w:shd w:val="clear" w:color="auto" w:fill="auto"/>
            <w:vAlign w:val="center"/>
          </w:tcPr>
          <w:p w14:paraId="3EB57ED5">
            <w:pPr>
              <w:jc w:val="left"/>
              <w:rPr>
                <w:rFonts w:ascii="宋体" w:hAnsi="宋体" w:cs="宋体"/>
                <w:kern w:val="0"/>
                <w:sz w:val="22"/>
              </w:rPr>
            </w:pPr>
          </w:p>
        </w:tc>
        <w:tc>
          <w:tcPr>
            <w:tcW w:w="4897" w:type="dxa"/>
            <w:shd w:val="clear" w:color="auto" w:fill="auto"/>
            <w:vAlign w:val="center"/>
          </w:tcPr>
          <w:p w14:paraId="53CF98A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1.双球，成U型，内封NO2和N2O4，即二氧化氮和四氧化二氮混合气体。</w:t>
            </w:r>
          </w:p>
        </w:tc>
        <w:tc>
          <w:tcPr>
            <w:tcW w:w="462" w:type="dxa"/>
            <w:vMerge w:val="continue"/>
            <w:shd w:val="clear" w:color="auto" w:fill="auto"/>
            <w:vAlign w:val="center"/>
          </w:tcPr>
          <w:p w14:paraId="5E1F3DDD">
            <w:pPr>
              <w:jc w:val="center"/>
              <w:rPr>
                <w:rFonts w:ascii="宋体" w:hAnsi="宋体" w:cs="宋体"/>
                <w:kern w:val="0"/>
                <w:sz w:val="22"/>
              </w:rPr>
            </w:pPr>
          </w:p>
        </w:tc>
        <w:tc>
          <w:tcPr>
            <w:tcW w:w="605" w:type="dxa"/>
            <w:vMerge w:val="continue"/>
            <w:shd w:val="clear" w:color="auto" w:fill="auto"/>
            <w:vAlign w:val="center"/>
          </w:tcPr>
          <w:p w14:paraId="6F953E45">
            <w:pPr>
              <w:jc w:val="center"/>
              <w:rPr>
                <w:rFonts w:ascii="宋体" w:hAnsi="宋体" w:cs="宋体"/>
                <w:kern w:val="0"/>
                <w:sz w:val="22"/>
              </w:rPr>
            </w:pPr>
          </w:p>
        </w:tc>
        <w:tc>
          <w:tcPr>
            <w:tcW w:w="1048" w:type="dxa"/>
            <w:vMerge w:val="continue"/>
            <w:shd w:val="clear" w:color="auto" w:fill="auto"/>
            <w:vAlign w:val="center"/>
          </w:tcPr>
          <w:p w14:paraId="4B82C7FD">
            <w:pPr>
              <w:jc w:val="center"/>
              <w:rPr>
                <w:rFonts w:ascii="宋体" w:hAnsi="宋体" w:cs="宋体"/>
                <w:kern w:val="0"/>
                <w:sz w:val="22"/>
              </w:rPr>
            </w:pPr>
          </w:p>
        </w:tc>
        <w:tc>
          <w:tcPr>
            <w:tcW w:w="1489" w:type="dxa"/>
            <w:vMerge w:val="continue"/>
            <w:shd w:val="clear" w:color="auto" w:fill="auto"/>
            <w:vAlign w:val="center"/>
          </w:tcPr>
          <w:p w14:paraId="733F168A">
            <w:pPr>
              <w:jc w:val="center"/>
              <w:rPr>
                <w:rFonts w:ascii="宋体" w:hAnsi="宋体" w:cs="宋体"/>
                <w:kern w:val="0"/>
                <w:sz w:val="22"/>
              </w:rPr>
            </w:pPr>
          </w:p>
        </w:tc>
      </w:tr>
      <w:tr w14:paraId="0F21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6E15E666">
            <w:pPr>
              <w:jc w:val="center"/>
              <w:rPr>
                <w:rFonts w:ascii="宋体" w:hAnsi="宋体" w:cs="宋体"/>
                <w:kern w:val="0"/>
                <w:sz w:val="22"/>
              </w:rPr>
            </w:pPr>
          </w:p>
        </w:tc>
        <w:tc>
          <w:tcPr>
            <w:tcW w:w="1072" w:type="dxa"/>
            <w:vMerge w:val="continue"/>
            <w:shd w:val="clear" w:color="auto" w:fill="auto"/>
            <w:vAlign w:val="center"/>
          </w:tcPr>
          <w:p w14:paraId="5934DA2E">
            <w:pPr>
              <w:jc w:val="left"/>
              <w:rPr>
                <w:rFonts w:ascii="宋体" w:hAnsi="宋体" w:cs="宋体"/>
                <w:kern w:val="0"/>
                <w:sz w:val="22"/>
              </w:rPr>
            </w:pPr>
          </w:p>
        </w:tc>
        <w:tc>
          <w:tcPr>
            <w:tcW w:w="4897" w:type="dxa"/>
            <w:shd w:val="clear" w:color="auto" w:fill="auto"/>
            <w:vAlign w:val="center"/>
          </w:tcPr>
          <w:p w14:paraId="5BA2EBC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2.球体直径约28mm。</w:t>
            </w:r>
          </w:p>
        </w:tc>
        <w:tc>
          <w:tcPr>
            <w:tcW w:w="462" w:type="dxa"/>
            <w:vMerge w:val="continue"/>
            <w:shd w:val="clear" w:color="auto" w:fill="auto"/>
            <w:vAlign w:val="center"/>
          </w:tcPr>
          <w:p w14:paraId="143B2B2D">
            <w:pPr>
              <w:jc w:val="center"/>
              <w:rPr>
                <w:rFonts w:ascii="宋体" w:hAnsi="宋体" w:cs="宋体"/>
                <w:kern w:val="0"/>
                <w:sz w:val="22"/>
              </w:rPr>
            </w:pPr>
          </w:p>
        </w:tc>
        <w:tc>
          <w:tcPr>
            <w:tcW w:w="605" w:type="dxa"/>
            <w:vMerge w:val="continue"/>
            <w:shd w:val="clear" w:color="auto" w:fill="auto"/>
            <w:vAlign w:val="center"/>
          </w:tcPr>
          <w:p w14:paraId="3CF40B94">
            <w:pPr>
              <w:jc w:val="center"/>
              <w:rPr>
                <w:rFonts w:ascii="宋体" w:hAnsi="宋体" w:cs="宋体"/>
                <w:kern w:val="0"/>
                <w:sz w:val="22"/>
              </w:rPr>
            </w:pPr>
          </w:p>
        </w:tc>
        <w:tc>
          <w:tcPr>
            <w:tcW w:w="1048" w:type="dxa"/>
            <w:vMerge w:val="continue"/>
            <w:shd w:val="clear" w:color="auto" w:fill="auto"/>
            <w:vAlign w:val="center"/>
          </w:tcPr>
          <w:p w14:paraId="796D0960">
            <w:pPr>
              <w:jc w:val="center"/>
              <w:rPr>
                <w:rFonts w:ascii="宋体" w:hAnsi="宋体" w:cs="宋体"/>
                <w:kern w:val="0"/>
                <w:sz w:val="22"/>
              </w:rPr>
            </w:pPr>
          </w:p>
        </w:tc>
        <w:tc>
          <w:tcPr>
            <w:tcW w:w="1489" w:type="dxa"/>
            <w:vMerge w:val="continue"/>
            <w:shd w:val="clear" w:color="auto" w:fill="auto"/>
            <w:vAlign w:val="center"/>
          </w:tcPr>
          <w:p w14:paraId="670D9531">
            <w:pPr>
              <w:jc w:val="center"/>
              <w:rPr>
                <w:rFonts w:ascii="宋体" w:hAnsi="宋体" w:cs="宋体"/>
                <w:kern w:val="0"/>
                <w:sz w:val="22"/>
              </w:rPr>
            </w:pPr>
          </w:p>
        </w:tc>
      </w:tr>
      <w:tr w14:paraId="2370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242EC0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222</w:t>
            </w:r>
          </w:p>
        </w:tc>
        <w:tc>
          <w:tcPr>
            <w:tcW w:w="1072" w:type="dxa"/>
            <w:shd w:val="clear" w:color="auto" w:fill="auto"/>
            <w:vAlign w:val="center"/>
          </w:tcPr>
          <w:p w14:paraId="2C649AC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溶液导电演示器</w:t>
            </w:r>
          </w:p>
        </w:tc>
        <w:tc>
          <w:tcPr>
            <w:tcW w:w="4897" w:type="dxa"/>
            <w:shd w:val="clear" w:color="auto" w:fill="auto"/>
            <w:vAlign w:val="center"/>
          </w:tcPr>
          <w:p w14:paraId="2A92E23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电表式，10mA,DC6V,串联电位器1kΩ电阻560Ω。五组溶液同时比较，1X7开关（其中一档校准）,采用不锈钢或石墨电极</w:t>
            </w:r>
          </w:p>
        </w:tc>
        <w:tc>
          <w:tcPr>
            <w:tcW w:w="462" w:type="dxa"/>
            <w:shd w:val="clear" w:color="auto" w:fill="auto"/>
            <w:vAlign w:val="center"/>
          </w:tcPr>
          <w:p w14:paraId="5FFE3A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3715CE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A93AA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421</w:t>
            </w:r>
          </w:p>
        </w:tc>
        <w:tc>
          <w:tcPr>
            <w:tcW w:w="1489" w:type="dxa"/>
            <w:shd w:val="clear" w:color="auto" w:fill="auto"/>
            <w:vAlign w:val="center"/>
          </w:tcPr>
          <w:p w14:paraId="6E03D0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421</w:t>
            </w:r>
          </w:p>
        </w:tc>
      </w:tr>
      <w:tr w14:paraId="67EC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CF8660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223</w:t>
            </w:r>
          </w:p>
        </w:tc>
        <w:tc>
          <w:tcPr>
            <w:tcW w:w="1072" w:type="dxa"/>
            <w:shd w:val="clear" w:color="auto" w:fill="auto"/>
            <w:vAlign w:val="center"/>
          </w:tcPr>
          <w:p w14:paraId="206F872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教师用分子结构模型</w:t>
            </w:r>
          </w:p>
        </w:tc>
        <w:tc>
          <w:tcPr>
            <w:tcW w:w="4897" w:type="dxa"/>
            <w:shd w:val="clear" w:color="auto" w:fill="auto"/>
            <w:vAlign w:val="center"/>
          </w:tcPr>
          <w:p w14:paraId="71A147E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球棍式，氢原子球直径不小于30mm,其他原子球直径不小于40mm</w:t>
            </w:r>
          </w:p>
        </w:tc>
        <w:tc>
          <w:tcPr>
            <w:tcW w:w="462" w:type="dxa"/>
            <w:shd w:val="clear" w:color="auto" w:fill="auto"/>
            <w:vAlign w:val="center"/>
          </w:tcPr>
          <w:p w14:paraId="535117A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69044E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vAlign w:val="center"/>
          </w:tcPr>
          <w:p w14:paraId="654D54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322</w:t>
            </w:r>
          </w:p>
        </w:tc>
        <w:tc>
          <w:tcPr>
            <w:tcW w:w="1489" w:type="dxa"/>
            <w:shd w:val="clear" w:color="auto" w:fill="auto"/>
            <w:vAlign w:val="center"/>
          </w:tcPr>
          <w:p w14:paraId="62B229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966</w:t>
            </w:r>
          </w:p>
        </w:tc>
      </w:tr>
      <w:tr w14:paraId="1A59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868BBC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224</w:t>
            </w:r>
          </w:p>
        </w:tc>
        <w:tc>
          <w:tcPr>
            <w:tcW w:w="1072" w:type="dxa"/>
            <w:shd w:val="clear" w:color="auto" w:fill="auto"/>
            <w:vAlign w:val="center"/>
          </w:tcPr>
          <w:p w14:paraId="34F9A40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教师用分子结构模型</w:t>
            </w:r>
          </w:p>
        </w:tc>
        <w:tc>
          <w:tcPr>
            <w:tcW w:w="4897" w:type="dxa"/>
            <w:shd w:val="clear" w:color="auto" w:fill="auto"/>
            <w:vAlign w:val="center"/>
          </w:tcPr>
          <w:p w14:paraId="68158FD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空间充填式</w:t>
            </w:r>
          </w:p>
        </w:tc>
        <w:tc>
          <w:tcPr>
            <w:tcW w:w="462" w:type="dxa"/>
            <w:shd w:val="clear" w:color="auto" w:fill="auto"/>
            <w:vAlign w:val="center"/>
          </w:tcPr>
          <w:p w14:paraId="1E3CA8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180850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vAlign w:val="center"/>
          </w:tcPr>
          <w:p w14:paraId="11F394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223</w:t>
            </w:r>
          </w:p>
        </w:tc>
        <w:tc>
          <w:tcPr>
            <w:tcW w:w="1489" w:type="dxa"/>
            <w:shd w:val="clear" w:color="auto" w:fill="auto"/>
            <w:vAlign w:val="center"/>
          </w:tcPr>
          <w:p w14:paraId="48A26D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669</w:t>
            </w:r>
          </w:p>
        </w:tc>
      </w:tr>
      <w:tr w14:paraId="1532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AA9385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225</w:t>
            </w:r>
          </w:p>
        </w:tc>
        <w:tc>
          <w:tcPr>
            <w:tcW w:w="1072" w:type="dxa"/>
            <w:shd w:val="clear" w:color="auto" w:fill="auto"/>
            <w:vAlign w:val="center"/>
          </w:tcPr>
          <w:p w14:paraId="78E4342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学生用分子结构模型</w:t>
            </w:r>
          </w:p>
        </w:tc>
        <w:tc>
          <w:tcPr>
            <w:tcW w:w="4897" w:type="dxa"/>
            <w:shd w:val="clear" w:color="auto" w:fill="auto"/>
            <w:vAlign w:val="center"/>
          </w:tcPr>
          <w:p w14:paraId="65B0C8D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球棍式，氢原子球直径不小于17mm,其他原子球直径不小于25mm</w:t>
            </w:r>
          </w:p>
        </w:tc>
        <w:tc>
          <w:tcPr>
            <w:tcW w:w="462" w:type="dxa"/>
            <w:shd w:val="clear" w:color="auto" w:fill="auto"/>
            <w:vAlign w:val="center"/>
          </w:tcPr>
          <w:p w14:paraId="4A163E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526B25AE">
            <w:pPr>
              <w:widowControl/>
              <w:jc w:val="right"/>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739158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149</w:t>
            </w:r>
          </w:p>
        </w:tc>
        <w:tc>
          <w:tcPr>
            <w:tcW w:w="1489" w:type="dxa"/>
            <w:shd w:val="clear" w:color="auto" w:fill="auto"/>
            <w:vAlign w:val="center"/>
          </w:tcPr>
          <w:p w14:paraId="29F774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4470</w:t>
            </w:r>
          </w:p>
        </w:tc>
      </w:tr>
      <w:tr w14:paraId="6FBC9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F932A2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226</w:t>
            </w:r>
          </w:p>
        </w:tc>
        <w:tc>
          <w:tcPr>
            <w:tcW w:w="1072" w:type="dxa"/>
            <w:shd w:val="clear" w:color="auto" w:fill="auto"/>
            <w:vAlign w:val="center"/>
          </w:tcPr>
          <w:p w14:paraId="5BC6360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光化学实验显示器</w:t>
            </w:r>
          </w:p>
        </w:tc>
        <w:tc>
          <w:tcPr>
            <w:tcW w:w="4897" w:type="dxa"/>
            <w:shd w:val="clear" w:color="auto" w:fill="auto"/>
            <w:vAlign w:val="center"/>
          </w:tcPr>
          <w:p w14:paraId="5E14568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能演示甲烷与氯气的反应</w:t>
            </w:r>
          </w:p>
        </w:tc>
        <w:tc>
          <w:tcPr>
            <w:tcW w:w="462" w:type="dxa"/>
            <w:shd w:val="clear" w:color="auto" w:fill="auto"/>
            <w:vAlign w:val="center"/>
          </w:tcPr>
          <w:p w14:paraId="4D496A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148817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43EC2A4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242</w:t>
            </w:r>
          </w:p>
        </w:tc>
        <w:tc>
          <w:tcPr>
            <w:tcW w:w="1489" w:type="dxa"/>
            <w:shd w:val="clear" w:color="auto" w:fill="auto"/>
            <w:vAlign w:val="center"/>
          </w:tcPr>
          <w:p w14:paraId="561E9EB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242</w:t>
            </w:r>
          </w:p>
        </w:tc>
      </w:tr>
      <w:tr w14:paraId="09DF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092071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227</w:t>
            </w:r>
          </w:p>
        </w:tc>
        <w:tc>
          <w:tcPr>
            <w:tcW w:w="1072" w:type="dxa"/>
            <w:shd w:val="clear" w:color="auto" w:fill="auto"/>
            <w:vAlign w:val="center"/>
          </w:tcPr>
          <w:p w14:paraId="6D2600E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有机高分子材料标本</w:t>
            </w:r>
          </w:p>
        </w:tc>
        <w:tc>
          <w:tcPr>
            <w:tcW w:w="4897" w:type="dxa"/>
            <w:shd w:val="clear" w:color="auto" w:fill="auto"/>
            <w:vAlign w:val="center"/>
          </w:tcPr>
          <w:p w14:paraId="65FD5CB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包括但不局限于聚乙烯、聚氯乙烯、聚苯乙烯、聚四氟乙烯、聚甲基丙烯酸甲酯、酚醛树脂、涤纶、尼龙、芳纶、顺丁橡胶、离子交换膜、可降解材料等</w:t>
            </w:r>
          </w:p>
        </w:tc>
        <w:tc>
          <w:tcPr>
            <w:tcW w:w="462" w:type="dxa"/>
            <w:shd w:val="clear" w:color="auto" w:fill="auto"/>
            <w:vAlign w:val="center"/>
          </w:tcPr>
          <w:p w14:paraId="43DA6D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2DBA3B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C85DC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w:t>
            </w:r>
          </w:p>
        </w:tc>
        <w:tc>
          <w:tcPr>
            <w:tcW w:w="1489" w:type="dxa"/>
            <w:shd w:val="clear" w:color="auto" w:fill="auto"/>
            <w:vAlign w:val="center"/>
          </w:tcPr>
          <w:p w14:paraId="167B0E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w:t>
            </w:r>
          </w:p>
        </w:tc>
      </w:tr>
      <w:tr w14:paraId="5ADA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334E83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228</w:t>
            </w:r>
          </w:p>
        </w:tc>
        <w:tc>
          <w:tcPr>
            <w:tcW w:w="1072" w:type="dxa"/>
            <w:shd w:val="clear" w:color="auto" w:fill="auto"/>
            <w:vAlign w:val="center"/>
          </w:tcPr>
          <w:p w14:paraId="7FBE856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价层电子对互斥模型</w:t>
            </w:r>
          </w:p>
        </w:tc>
        <w:tc>
          <w:tcPr>
            <w:tcW w:w="4897" w:type="dxa"/>
            <w:shd w:val="clear" w:color="auto" w:fill="auto"/>
            <w:vAlign w:val="center"/>
          </w:tcPr>
          <w:p w14:paraId="4B10124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CO2、SO2、CO3</w:t>
            </w:r>
            <w:r>
              <w:rPr>
                <w:rFonts w:hint="eastAsia" w:ascii="宋体" w:hAnsi="宋体" w:cs="宋体"/>
                <w:color w:val="000000"/>
                <w:kern w:val="0"/>
                <w:sz w:val="22"/>
                <w:szCs w:val="22"/>
                <w:vertAlign w:val="superscript"/>
                <w:lang w:bidi="ar"/>
              </w:rPr>
              <w:t>2-</w:t>
            </w:r>
            <w:r>
              <w:rPr>
                <w:rFonts w:hint="eastAsia" w:ascii="宋体" w:hAnsi="宋体" w:cs="宋体"/>
                <w:color w:val="000000"/>
                <w:kern w:val="0"/>
                <w:sz w:val="22"/>
                <w:szCs w:val="22"/>
                <w:lang w:bidi="ar"/>
              </w:rPr>
              <w:t>、H2O、SO3、NH3、CH4</w:t>
            </w:r>
          </w:p>
        </w:tc>
        <w:tc>
          <w:tcPr>
            <w:tcW w:w="462" w:type="dxa"/>
            <w:shd w:val="clear" w:color="auto" w:fill="auto"/>
            <w:vAlign w:val="center"/>
          </w:tcPr>
          <w:p w14:paraId="429972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vAlign w:val="center"/>
          </w:tcPr>
          <w:p w14:paraId="13C5A5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205D2E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380</w:t>
            </w:r>
          </w:p>
        </w:tc>
        <w:tc>
          <w:tcPr>
            <w:tcW w:w="1489" w:type="dxa"/>
            <w:shd w:val="clear" w:color="auto" w:fill="auto"/>
            <w:vAlign w:val="center"/>
          </w:tcPr>
          <w:p w14:paraId="31DBDD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380</w:t>
            </w:r>
          </w:p>
        </w:tc>
      </w:tr>
      <w:tr w14:paraId="3F9D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9F3605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229</w:t>
            </w:r>
          </w:p>
        </w:tc>
        <w:tc>
          <w:tcPr>
            <w:tcW w:w="1072" w:type="dxa"/>
            <w:shd w:val="clear" w:color="auto" w:fill="auto"/>
            <w:vAlign w:val="center"/>
          </w:tcPr>
          <w:p w14:paraId="28C4336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金属晶体结构模型</w:t>
            </w:r>
          </w:p>
        </w:tc>
        <w:tc>
          <w:tcPr>
            <w:tcW w:w="4897" w:type="dxa"/>
            <w:shd w:val="clear" w:color="auto" w:fill="auto"/>
            <w:vAlign w:val="center"/>
          </w:tcPr>
          <w:p w14:paraId="09F43CE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包括但不局限于Cu、Na、Zn等，球直径不小于30mm，可通过创客方式自制</w:t>
            </w:r>
          </w:p>
        </w:tc>
        <w:tc>
          <w:tcPr>
            <w:tcW w:w="462" w:type="dxa"/>
            <w:shd w:val="clear" w:color="auto" w:fill="auto"/>
            <w:vAlign w:val="center"/>
          </w:tcPr>
          <w:p w14:paraId="79D024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41032B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31B29E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447</w:t>
            </w:r>
          </w:p>
        </w:tc>
        <w:tc>
          <w:tcPr>
            <w:tcW w:w="1489" w:type="dxa"/>
            <w:shd w:val="clear" w:color="auto" w:fill="auto"/>
            <w:vAlign w:val="center"/>
          </w:tcPr>
          <w:p w14:paraId="2C6BD3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447</w:t>
            </w:r>
          </w:p>
        </w:tc>
      </w:tr>
      <w:tr w14:paraId="6EBF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A632F4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230</w:t>
            </w:r>
          </w:p>
        </w:tc>
        <w:tc>
          <w:tcPr>
            <w:tcW w:w="1072" w:type="dxa"/>
            <w:shd w:val="clear" w:color="auto" w:fill="auto"/>
            <w:vAlign w:val="center"/>
          </w:tcPr>
          <w:p w14:paraId="3A19A3D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离子晶体结构模型</w:t>
            </w:r>
          </w:p>
        </w:tc>
        <w:tc>
          <w:tcPr>
            <w:tcW w:w="4897" w:type="dxa"/>
            <w:shd w:val="clear" w:color="auto" w:fill="auto"/>
            <w:vAlign w:val="center"/>
          </w:tcPr>
          <w:p w14:paraId="04AE476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包括但不局限于氯化钠、氯化铯等，球直径不小于30mm，可通过创客方式自制</w:t>
            </w:r>
          </w:p>
        </w:tc>
        <w:tc>
          <w:tcPr>
            <w:tcW w:w="462" w:type="dxa"/>
            <w:shd w:val="clear" w:color="auto" w:fill="auto"/>
            <w:vAlign w:val="center"/>
          </w:tcPr>
          <w:p w14:paraId="2CF69A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0B81D2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0E7BEF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624</w:t>
            </w:r>
          </w:p>
        </w:tc>
        <w:tc>
          <w:tcPr>
            <w:tcW w:w="1489" w:type="dxa"/>
            <w:shd w:val="clear" w:color="auto" w:fill="auto"/>
            <w:vAlign w:val="center"/>
          </w:tcPr>
          <w:p w14:paraId="439CBB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624</w:t>
            </w:r>
          </w:p>
        </w:tc>
      </w:tr>
      <w:tr w14:paraId="4CCE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457F50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231</w:t>
            </w:r>
          </w:p>
        </w:tc>
        <w:tc>
          <w:tcPr>
            <w:tcW w:w="1072" w:type="dxa"/>
            <w:shd w:val="clear" w:color="auto" w:fill="auto"/>
            <w:vAlign w:val="center"/>
          </w:tcPr>
          <w:p w14:paraId="4D5F368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共价晶体结构模型</w:t>
            </w:r>
          </w:p>
        </w:tc>
        <w:tc>
          <w:tcPr>
            <w:tcW w:w="4897" w:type="dxa"/>
            <w:shd w:val="clear" w:color="auto" w:fill="auto"/>
            <w:vAlign w:val="center"/>
          </w:tcPr>
          <w:p w14:paraId="58BC9D7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包括但不局限于金刚石、二氧化硅等，球直径不小于30mm，可通过创客方式自制</w:t>
            </w:r>
          </w:p>
        </w:tc>
        <w:tc>
          <w:tcPr>
            <w:tcW w:w="462" w:type="dxa"/>
            <w:shd w:val="clear" w:color="auto" w:fill="auto"/>
            <w:vAlign w:val="center"/>
          </w:tcPr>
          <w:p w14:paraId="56F264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2C13F1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143734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583</w:t>
            </w:r>
          </w:p>
        </w:tc>
        <w:tc>
          <w:tcPr>
            <w:tcW w:w="1489" w:type="dxa"/>
            <w:shd w:val="clear" w:color="auto" w:fill="auto"/>
            <w:vAlign w:val="center"/>
          </w:tcPr>
          <w:p w14:paraId="24F457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583</w:t>
            </w:r>
          </w:p>
        </w:tc>
      </w:tr>
      <w:tr w14:paraId="645C5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5B343E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232</w:t>
            </w:r>
          </w:p>
        </w:tc>
        <w:tc>
          <w:tcPr>
            <w:tcW w:w="1072" w:type="dxa"/>
            <w:shd w:val="clear" w:color="auto" w:fill="auto"/>
            <w:vAlign w:val="center"/>
          </w:tcPr>
          <w:p w14:paraId="3941862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分子晶体结构模型</w:t>
            </w:r>
          </w:p>
        </w:tc>
        <w:tc>
          <w:tcPr>
            <w:tcW w:w="4897" w:type="dxa"/>
            <w:shd w:val="clear" w:color="auto" w:fill="auto"/>
            <w:vAlign w:val="center"/>
          </w:tcPr>
          <w:p w14:paraId="21C57D9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包括但不局限于C60、冰、干冰、碘、天然气水合物等，球直径不小于30mm，可通过创客方式自制</w:t>
            </w:r>
          </w:p>
        </w:tc>
        <w:tc>
          <w:tcPr>
            <w:tcW w:w="462" w:type="dxa"/>
            <w:shd w:val="clear" w:color="auto" w:fill="auto"/>
            <w:vAlign w:val="center"/>
          </w:tcPr>
          <w:p w14:paraId="306EB1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219DC5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3CB8A0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1723</w:t>
            </w:r>
          </w:p>
        </w:tc>
        <w:tc>
          <w:tcPr>
            <w:tcW w:w="1489" w:type="dxa"/>
            <w:shd w:val="clear" w:color="auto" w:fill="auto"/>
            <w:vAlign w:val="center"/>
          </w:tcPr>
          <w:p w14:paraId="11EDA1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1723</w:t>
            </w:r>
          </w:p>
        </w:tc>
      </w:tr>
      <w:tr w14:paraId="697A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4F4951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233</w:t>
            </w:r>
          </w:p>
        </w:tc>
        <w:tc>
          <w:tcPr>
            <w:tcW w:w="1072" w:type="dxa"/>
            <w:shd w:val="clear" w:color="auto" w:fill="auto"/>
            <w:vAlign w:val="center"/>
          </w:tcPr>
          <w:p w14:paraId="7607ED8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混合型晶体结构模型</w:t>
            </w:r>
          </w:p>
        </w:tc>
        <w:tc>
          <w:tcPr>
            <w:tcW w:w="4897" w:type="dxa"/>
            <w:shd w:val="clear" w:color="auto" w:fill="auto"/>
            <w:vAlign w:val="center"/>
          </w:tcPr>
          <w:p w14:paraId="292FC53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石墨，球直径不小于30mm，可通过创客方式自制</w:t>
            </w:r>
          </w:p>
        </w:tc>
        <w:tc>
          <w:tcPr>
            <w:tcW w:w="462" w:type="dxa"/>
            <w:shd w:val="clear" w:color="auto" w:fill="auto"/>
            <w:vAlign w:val="center"/>
          </w:tcPr>
          <w:p w14:paraId="28AD5D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1DEC53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0E57D9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199</w:t>
            </w:r>
          </w:p>
        </w:tc>
        <w:tc>
          <w:tcPr>
            <w:tcW w:w="1489" w:type="dxa"/>
            <w:shd w:val="clear" w:color="auto" w:fill="auto"/>
            <w:vAlign w:val="center"/>
          </w:tcPr>
          <w:p w14:paraId="5B410C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199</w:t>
            </w:r>
          </w:p>
        </w:tc>
      </w:tr>
      <w:tr w14:paraId="1691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DC9115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234</w:t>
            </w:r>
          </w:p>
        </w:tc>
        <w:tc>
          <w:tcPr>
            <w:tcW w:w="1072" w:type="dxa"/>
            <w:shd w:val="clear" w:color="auto" w:fill="auto"/>
            <w:vAlign w:val="center"/>
          </w:tcPr>
          <w:p w14:paraId="15AB89A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晶体标本</w:t>
            </w:r>
          </w:p>
        </w:tc>
        <w:tc>
          <w:tcPr>
            <w:tcW w:w="4897" w:type="dxa"/>
            <w:shd w:val="clear" w:color="auto" w:fill="auto"/>
            <w:vAlign w:val="center"/>
          </w:tcPr>
          <w:p w14:paraId="70CDA5D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包括但不局限于氯化钠、硫磺、碘、高锰酸钾、胆矾等</w:t>
            </w:r>
          </w:p>
        </w:tc>
        <w:tc>
          <w:tcPr>
            <w:tcW w:w="462" w:type="dxa"/>
            <w:shd w:val="clear" w:color="auto" w:fill="auto"/>
            <w:vAlign w:val="center"/>
          </w:tcPr>
          <w:p w14:paraId="1C5FE3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vAlign w:val="center"/>
          </w:tcPr>
          <w:p w14:paraId="25A685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006EAC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w:t>
            </w:r>
          </w:p>
        </w:tc>
        <w:tc>
          <w:tcPr>
            <w:tcW w:w="1489" w:type="dxa"/>
            <w:shd w:val="clear" w:color="auto" w:fill="auto"/>
            <w:vAlign w:val="center"/>
          </w:tcPr>
          <w:p w14:paraId="30E32F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w:t>
            </w:r>
          </w:p>
        </w:tc>
      </w:tr>
      <w:tr w14:paraId="7C4A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5BF853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235</w:t>
            </w:r>
          </w:p>
        </w:tc>
        <w:tc>
          <w:tcPr>
            <w:tcW w:w="1072" w:type="dxa"/>
            <w:shd w:val="clear" w:color="auto" w:fill="auto"/>
            <w:vAlign w:val="center"/>
          </w:tcPr>
          <w:p w14:paraId="2F66301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非晶体标本</w:t>
            </w:r>
          </w:p>
        </w:tc>
        <w:tc>
          <w:tcPr>
            <w:tcW w:w="4897" w:type="dxa"/>
            <w:shd w:val="clear" w:color="auto" w:fill="auto"/>
            <w:vAlign w:val="center"/>
          </w:tcPr>
          <w:p w14:paraId="7E4EA3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包括但不局限于玻璃、炭黑等</w:t>
            </w:r>
          </w:p>
        </w:tc>
        <w:tc>
          <w:tcPr>
            <w:tcW w:w="462" w:type="dxa"/>
            <w:shd w:val="clear" w:color="auto" w:fill="auto"/>
            <w:vAlign w:val="center"/>
          </w:tcPr>
          <w:p w14:paraId="29F21F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vAlign w:val="center"/>
          </w:tcPr>
          <w:p w14:paraId="48B4D1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BCBD1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w:t>
            </w:r>
          </w:p>
        </w:tc>
        <w:tc>
          <w:tcPr>
            <w:tcW w:w="1489" w:type="dxa"/>
            <w:shd w:val="clear" w:color="auto" w:fill="auto"/>
            <w:vAlign w:val="center"/>
          </w:tcPr>
          <w:p w14:paraId="35403B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w:t>
            </w:r>
          </w:p>
        </w:tc>
      </w:tr>
      <w:tr w14:paraId="4A3A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0E3DEA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236</w:t>
            </w:r>
          </w:p>
        </w:tc>
        <w:tc>
          <w:tcPr>
            <w:tcW w:w="1072" w:type="dxa"/>
            <w:shd w:val="clear" w:color="auto" w:fill="auto"/>
            <w:vAlign w:val="center"/>
          </w:tcPr>
          <w:p w14:paraId="50E2552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金属矿物标本</w:t>
            </w:r>
          </w:p>
        </w:tc>
        <w:tc>
          <w:tcPr>
            <w:tcW w:w="4897" w:type="dxa"/>
            <w:shd w:val="clear" w:color="auto" w:fill="auto"/>
            <w:vAlign w:val="center"/>
          </w:tcPr>
          <w:p w14:paraId="15E9D63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包括但不局限于蓝宝石、红宝石、萤石、刚玉、黄玉、正长石、磷灰石、方解石、石膏（生、熟）、滑石、孔雀石、云母等</w:t>
            </w:r>
          </w:p>
        </w:tc>
        <w:tc>
          <w:tcPr>
            <w:tcW w:w="462" w:type="dxa"/>
            <w:shd w:val="clear" w:color="auto" w:fill="auto"/>
            <w:vAlign w:val="center"/>
          </w:tcPr>
          <w:p w14:paraId="46CBF1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vAlign w:val="center"/>
          </w:tcPr>
          <w:p w14:paraId="18F87B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0FA1B0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c>
          <w:tcPr>
            <w:tcW w:w="1489" w:type="dxa"/>
            <w:shd w:val="clear" w:color="auto" w:fill="auto"/>
            <w:vAlign w:val="center"/>
          </w:tcPr>
          <w:p w14:paraId="48FDC3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r>
      <w:tr w14:paraId="2E14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2D34DF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237</w:t>
            </w:r>
          </w:p>
        </w:tc>
        <w:tc>
          <w:tcPr>
            <w:tcW w:w="1072" w:type="dxa"/>
            <w:shd w:val="clear" w:color="auto" w:fill="auto"/>
            <w:vAlign w:val="center"/>
          </w:tcPr>
          <w:p w14:paraId="0F63C29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非金属矿物标本</w:t>
            </w:r>
          </w:p>
        </w:tc>
        <w:tc>
          <w:tcPr>
            <w:tcW w:w="4897" w:type="dxa"/>
            <w:shd w:val="clear" w:color="auto" w:fill="auto"/>
            <w:vAlign w:val="center"/>
          </w:tcPr>
          <w:p w14:paraId="012D195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包括但不局限于玛瑙、水晶、金刚石、金刚砂等</w:t>
            </w:r>
          </w:p>
        </w:tc>
        <w:tc>
          <w:tcPr>
            <w:tcW w:w="462" w:type="dxa"/>
            <w:shd w:val="clear" w:color="auto" w:fill="auto"/>
            <w:vAlign w:val="center"/>
          </w:tcPr>
          <w:p w14:paraId="3A31C3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vAlign w:val="center"/>
          </w:tcPr>
          <w:p w14:paraId="22165B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4EB451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c>
          <w:tcPr>
            <w:tcW w:w="1489" w:type="dxa"/>
            <w:shd w:val="clear" w:color="auto" w:fill="auto"/>
            <w:vAlign w:val="center"/>
          </w:tcPr>
          <w:p w14:paraId="76AEE1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r>
      <w:tr w14:paraId="7C12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BC0882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238</w:t>
            </w:r>
          </w:p>
        </w:tc>
        <w:tc>
          <w:tcPr>
            <w:tcW w:w="1072" w:type="dxa"/>
            <w:shd w:val="clear" w:color="auto" w:fill="auto"/>
            <w:vAlign w:val="center"/>
          </w:tcPr>
          <w:p w14:paraId="043534D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沸腾焙烧炉模型</w:t>
            </w:r>
          </w:p>
        </w:tc>
        <w:tc>
          <w:tcPr>
            <w:tcW w:w="4897" w:type="dxa"/>
            <w:shd w:val="clear" w:color="auto" w:fill="auto"/>
            <w:vAlign w:val="center"/>
          </w:tcPr>
          <w:p w14:paraId="0839C83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模型高度≥500mm,放大风帽高度≥120mm，主要结构应用标签注明,标注应准确、清晰、牢固。各部件位置正确、连接牢固,不得因正常震动、碰触而开裂、松脱</w:t>
            </w:r>
          </w:p>
        </w:tc>
        <w:tc>
          <w:tcPr>
            <w:tcW w:w="462" w:type="dxa"/>
            <w:shd w:val="clear" w:color="auto" w:fill="auto"/>
            <w:vAlign w:val="center"/>
          </w:tcPr>
          <w:p w14:paraId="2BC1EB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497BFB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345C32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225</w:t>
            </w:r>
          </w:p>
        </w:tc>
        <w:tc>
          <w:tcPr>
            <w:tcW w:w="1489" w:type="dxa"/>
            <w:shd w:val="clear" w:color="auto" w:fill="auto"/>
            <w:vAlign w:val="center"/>
          </w:tcPr>
          <w:p w14:paraId="50021C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225</w:t>
            </w:r>
          </w:p>
        </w:tc>
      </w:tr>
      <w:tr w14:paraId="06F7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563DE4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239</w:t>
            </w:r>
          </w:p>
        </w:tc>
        <w:tc>
          <w:tcPr>
            <w:tcW w:w="1072" w:type="dxa"/>
            <w:shd w:val="clear" w:color="auto" w:fill="auto"/>
            <w:vAlign w:val="center"/>
          </w:tcPr>
          <w:p w14:paraId="13536E9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硫酸接触室模型</w:t>
            </w:r>
          </w:p>
        </w:tc>
        <w:tc>
          <w:tcPr>
            <w:tcW w:w="4897" w:type="dxa"/>
            <w:shd w:val="clear" w:color="auto" w:fill="auto"/>
            <w:vAlign w:val="center"/>
          </w:tcPr>
          <w:p w14:paraId="02C54E4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模型高度≥500mm,直径≥200mm，主要结构应用标签注明,标注应准确、清晰、牢固。各部件位置正确、连接牢固,不得因正常震动、碰触而开裂、松脱</w:t>
            </w:r>
          </w:p>
        </w:tc>
        <w:tc>
          <w:tcPr>
            <w:tcW w:w="462" w:type="dxa"/>
            <w:shd w:val="clear" w:color="auto" w:fill="auto"/>
            <w:vAlign w:val="center"/>
          </w:tcPr>
          <w:p w14:paraId="6658A3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718932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376044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225</w:t>
            </w:r>
          </w:p>
        </w:tc>
        <w:tc>
          <w:tcPr>
            <w:tcW w:w="1489" w:type="dxa"/>
            <w:shd w:val="clear" w:color="auto" w:fill="auto"/>
            <w:vAlign w:val="center"/>
          </w:tcPr>
          <w:p w14:paraId="032394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225</w:t>
            </w:r>
          </w:p>
        </w:tc>
      </w:tr>
      <w:tr w14:paraId="74A4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DDBEB1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240</w:t>
            </w:r>
          </w:p>
        </w:tc>
        <w:tc>
          <w:tcPr>
            <w:tcW w:w="1072" w:type="dxa"/>
            <w:shd w:val="clear" w:color="auto" w:fill="auto"/>
            <w:vAlign w:val="center"/>
          </w:tcPr>
          <w:p w14:paraId="28D6DD8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氨合成塔模型</w:t>
            </w:r>
          </w:p>
        </w:tc>
        <w:tc>
          <w:tcPr>
            <w:tcW w:w="4897" w:type="dxa"/>
            <w:shd w:val="clear" w:color="auto" w:fill="auto"/>
            <w:vAlign w:val="center"/>
          </w:tcPr>
          <w:p w14:paraId="55FDBBF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模型高度引800≥mm,直径≥120mm，主要结构应用标签注明,标注应准确、清晰、牢固。各部件位置正确、连接牢固,不得因正常震动、碰触而开裂、松脱</w:t>
            </w:r>
          </w:p>
        </w:tc>
        <w:tc>
          <w:tcPr>
            <w:tcW w:w="462" w:type="dxa"/>
            <w:shd w:val="clear" w:color="auto" w:fill="auto"/>
            <w:vAlign w:val="center"/>
          </w:tcPr>
          <w:p w14:paraId="0221D6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6728A3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1D281F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257</w:t>
            </w:r>
          </w:p>
        </w:tc>
        <w:tc>
          <w:tcPr>
            <w:tcW w:w="1489" w:type="dxa"/>
            <w:shd w:val="clear" w:color="auto" w:fill="auto"/>
            <w:vAlign w:val="center"/>
          </w:tcPr>
          <w:p w14:paraId="2754A0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257</w:t>
            </w:r>
          </w:p>
        </w:tc>
      </w:tr>
      <w:tr w14:paraId="72C7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88291B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241</w:t>
            </w:r>
          </w:p>
        </w:tc>
        <w:tc>
          <w:tcPr>
            <w:tcW w:w="1072" w:type="dxa"/>
            <w:shd w:val="clear" w:color="auto" w:fill="auto"/>
            <w:vAlign w:val="center"/>
          </w:tcPr>
          <w:p w14:paraId="741E349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炼铁高炉模型</w:t>
            </w:r>
          </w:p>
        </w:tc>
        <w:tc>
          <w:tcPr>
            <w:tcW w:w="4897" w:type="dxa"/>
            <w:shd w:val="clear" w:color="auto" w:fill="auto"/>
            <w:vAlign w:val="center"/>
          </w:tcPr>
          <w:p w14:paraId="45D537E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模型高度≥650mm</w:t>
            </w:r>
          </w:p>
        </w:tc>
        <w:tc>
          <w:tcPr>
            <w:tcW w:w="462" w:type="dxa"/>
            <w:shd w:val="clear" w:color="auto" w:fill="auto"/>
            <w:vAlign w:val="center"/>
          </w:tcPr>
          <w:p w14:paraId="1FCECD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5BB131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37C134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239</w:t>
            </w:r>
          </w:p>
        </w:tc>
        <w:tc>
          <w:tcPr>
            <w:tcW w:w="1489" w:type="dxa"/>
            <w:shd w:val="clear" w:color="auto" w:fill="auto"/>
            <w:vAlign w:val="center"/>
          </w:tcPr>
          <w:p w14:paraId="0A0EBF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239</w:t>
            </w:r>
          </w:p>
        </w:tc>
      </w:tr>
      <w:tr w14:paraId="5C12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1C36D3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242</w:t>
            </w:r>
          </w:p>
        </w:tc>
        <w:tc>
          <w:tcPr>
            <w:tcW w:w="1072" w:type="dxa"/>
            <w:shd w:val="clear" w:color="auto" w:fill="auto"/>
            <w:vAlign w:val="center"/>
          </w:tcPr>
          <w:p w14:paraId="7141988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仪器柜</w:t>
            </w:r>
          </w:p>
        </w:tc>
        <w:tc>
          <w:tcPr>
            <w:tcW w:w="4897" w:type="dxa"/>
            <w:shd w:val="clear" w:color="auto" w:fill="auto"/>
          </w:tcPr>
          <w:p w14:paraId="7C85E3EF">
            <w:pPr>
              <w:widowControl/>
              <w:jc w:val="left"/>
              <w:textAlignment w:val="top"/>
              <w:rPr>
                <w:rFonts w:ascii="宋体" w:hAnsi="宋体" w:cs="宋体"/>
                <w:kern w:val="0"/>
                <w:sz w:val="22"/>
              </w:rPr>
            </w:pPr>
            <w:r>
              <w:rPr>
                <w:rFonts w:hint="eastAsia" w:ascii="宋体" w:hAnsi="宋体" w:cs="宋体"/>
                <w:color w:val="000000"/>
                <w:kern w:val="0"/>
                <w:sz w:val="22"/>
                <w:szCs w:val="22"/>
                <w:lang w:bidi="ar"/>
              </w:rPr>
              <w:t>1．规格：≥1000*500*1850mm；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2．用料：不小于0.8mm厚优质钢板，经酸洗磷化处理，采用聚酯粉末涂料静电喷涂，内侧涂层厚度不低于0.1mm，颜色灰白，表面涂层不脱落。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3．结构：共分六层(可调)；上下搁板各为三层；对开玻璃门，玻璃厚度≥3mm。</w:t>
            </w:r>
          </w:p>
        </w:tc>
        <w:tc>
          <w:tcPr>
            <w:tcW w:w="462" w:type="dxa"/>
            <w:shd w:val="clear" w:color="auto" w:fill="auto"/>
            <w:vAlign w:val="center"/>
          </w:tcPr>
          <w:p w14:paraId="378647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56387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048" w:type="dxa"/>
            <w:shd w:val="clear" w:color="auto" w:fill="auto"/>
            <w:vAlign w:val="center"/>
          </w:tcPr>
          <w:p w14:paraId="465F2E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1000</w:t>
            </w:r>
          </w:p>
        </w:tc>
        <w:tc>
          <w:tcPr>
            <w:tcW w:w="1489" w:type="dxa"/>
            <w:shd w:val="clear" w:color="auto" w:fill="auto"/>
            <w:vAlign w:val="center"/>
          </w:tcPr>
          <w:p w14:paraId="4C89C3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r>
      <w:tr w14:paraId="2BB1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622" w:type="dxa"/>
            <w:gridSpan w:val="3"/>
            <w:shd w:val="clear" w:color="auto" w:fill="auto"/>
            <w:vAlign w:val="center"/>
          </w:tcPr>
          <w:p w14:paraId="3F297BFA">
            <w:pPr>
              <w:widowControl/>
              <w:jc w:val="left"/>
              <w:textAlignment w:val="center"/>
              <w:rPr>
                <w:rFonts w:ascii="宋体" w:hAnsi="宋体" w:cs="宋体"/>
                <w:kern w:val="0"/>
                <w:sz w:val="22"/>
              </w:rPr>
            </w:pPr>
            <w:r>
              <w:rPr>
                <w:rFonts w:hint="eastAsia" w:ascii="宋体" w:hAnsi="宋体" w:cs="宋体"/>
                <w:b/>
                <w:bCs/>
                <w:kern w:val="0"/>
                <w:sz w:val="22"/>
              </w:rPr>
              <w:t>五、化学普通实验室（学科器材）(2间)，以下为单间配置</w:t>
            </w:r>
          </w:p>
        </w:tc>
        <w:tc>
          <w:tcPr>
            <w:tcW w:w="462" w:type="dxa"/>
            <w:shd w:val="clear" w:color="auto" w:fill="auto"/>
            <w:vAlign w:val="center"/>
          </w:tcPr>
          <w:p w14:paraId="358601FC">
            <w:pPr>
              <w:widowControl/>
              <w:jc w:val="center"/>
              <w:textAlignment w:val="center"/>
              <w:rPr>
                <w:rFonts w:ascii="宋体" w:hAnsi="宋体" w:cs="宋体"/>
                <w:kern w:val="0"/>
                <w:sz w:val="22"/>
              </w:rPr>
            </w:pPr>
          </w:p>
        </w:tc>
        <w:tc>
          <w:tcPr>
            <w:tcW w:w="605" w:type="dxa"/>
            <w:shd w:val="clear" w:color="auto" w:fill="auto"/>
            <w:vAlign w:val="center"/>
          </w:tcPr>
          <w:p w14:paraId="7106E40E">
            <w:pPr>
              <w:widowControl/>
              <w:jc w:val="center"/>
              <w:textAlignment w:val="center"/>
              <w:rPr>
                <w:rFonts w:ascii="宋体" w:hAnsi="宋体" w:cs="宋体"/>
                <w:kern w:val="0"/>
                <w:sz w:val="22"/>
              </w:rPr>
            </w:pPr>
          </w:p>
        </w:tc>
        <w:tc>
          <w:tcPr>
            <w:tcW w:w="1048" w:type="dxa"/>
            <w:shd w:val="clear" w:color="auto" w:fill="auto"/>
            <w:vAlign w:val="center"/>
          </w:tcPr>
          <w:p w14:paraId="3067E02D">
            <w:pPr>
              <w:widowControl/>
              <w:jc w:val="center"/>
              <w:textAlignment w:val="center"/>
              <w:rPr>
                <w:rFonts w:ascii="宋体" w:hAnsi="宋体" w:cs="宋体"/>
                <w:kern w:val="0"/>
                <w:sz w:val="22"/>
              </w:rPr>
            </w:pPr>
          </w:p>
        </w:tc>
        <w:tc>
          <w:tcPr>
            <w:tcW w:w="1489" w:type="dxa"/>
            <w:shd w:val="clear" w:color="auto" w:fill="auto"/>
            <w:vAlign w:val="center"/>
          </w:tcPr>
          <w:p w14:paraId="1C0FF830">
            <w:pPr>
              <w:widowControl/>
              <w:jc w:val="center"/>
              <w:textAlignment w:val="center"/>
              <w:rPr>
                <w:rFonts w:ascii="宋体" w:hAnsi="宋体" w:cs="宋体"/>
                <w:kern w:val="0"/>
                <w:sz w:val="22"/>
              </w:rPr>
            </w:pPr>
          </w:p>
        </w:tc>
      </w:tr>
      <w:tr w14:paraId="499D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469DA9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w:t>
            </w:r>
          </w:p>
        </w:tc>
        <w:tc>
          <w:tcPr>
            <w:tcW w:w="1072" w:type="dxa"/>
            <w:shd w:val="clear" w:color="auto" w:fill="auto"/>
            <w:vAlign w:val="center"/>
          </w:tcPr>
          <w:p w14:paraId="2BF2948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计算机</w:t>
            </w:r>
          </w:p>
        </w:tc>
        <w:tc>
          <w:tcPr>
            <w:tcW w:w="4897" w:type="dxa"/>
            <w:shd w:val="clear" w:color="auto" w:fill="auto"/>
            <w:vAlign w:val="center"/>
          </w:tcPr>
          <w:p w14:paraId="14393DE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台式机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一、硬件配置（不得低于以下配置参数，可高于）：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▲1.CPU:第12代英特尔酷睿6核I5-12500同类或以上处理器，最高睿频：4.2GHz，12M三级缓存；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▲2.主板：英特尔600系列芯片组同类或以上主板，带BIOS自动控制的可变速CPU风扇，配备智能散热系统包括由BIOS管理的智能风扇通过对机箱内部的温度感应来调节风扇速度，有效的降低噪音的同时高效散热功能；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3.扩展插槽： 1个PCIe x1，1个PCIe x16，1个PCI；</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▲4.内存：16G DDR4 2933，2个DIMM插槽，最高支持128G内存,支持双通道内存；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5.端口和接口：前置1个麦克风/耳机组合插孔，5个USB 3.1 Gen 1；后置1个HDMI， 1个音频输入，1个音频输出，1个麦克风输入，1个RJ-45，1个VGA，2个USB 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▲6.硬盘：本次配置原厂1TB SSD M.2 PL固态硬盘，支持混合双硬盘；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▲7.显卡：Intel UHD Graphics 750高性能同类或以上集成显卡， HDMI+VGA支持双屏屏幕1080P分辨率输出；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8.网络接口：集成千兆网卡10/100/1000M以太网卡；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9.电源：采用要求电源额定300W高效白金级高效率热插拔电源模块，支持睿能技术，噪音优化；兼容市场主流电源.完美适配；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10.键盘/鼠标：原厂同品牌标准键盘和鼠标；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▲11.机箱：前置电源开关, 内置2W扬声器/0.6mm厚精钢防辐射机箱，不大于17L机箱（宽度小于等于18CM）；适配电脑桌尺寸；显示器23.8”英寸宽屏LED IPS背光液晶显示器，最高分辨率≥1920*1080；通过蓝光危害试验，最大可降低70%蓝光危害辐照度值。</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▲二、软件要求：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1.操作系统：出厂预装Windows10正版操作系统。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原厂网络同传管理功能：支持同一硬盘上支持同时安装24个操作系统；在同一硬盘上同时支持40个分区（包括启动分区和数据分区）；支持可由任意一台主机发起网络拷贝、增量拷贝和临时部署；网络传输速度标值：千兆网卡：1GB-7GB/Min；支持断点续传功能：支持多种情况的断点续传功能；支持网络故障定位：支持网络故障定位，便于排查；支持在局域网内分组管理；支持硬盘容量差异网络拷贝；支持6秒内的物理掉线(断路)可自动恢复；支持网络传输数据加密；网络克隆维护：在局域网络内一次可传输250台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三、配置正版管理终端系统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 系统支持全中文界面，B/S架构，管理员只需通过浏览器登录控制中心，即可对系统进p行管理；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 客户端支持WindowsXP、Windows 7、Windows 8、Windows 10、Windows2003、Windows2008、Windows2012等32位/64位微软操作系统，同时应支持Centos、Redhat、Ubuntu等Linux操作系统以及中标麒麟、银河麒麟等国产操作系统；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▲3.客户端安装后占用小于30MB存储资源，病毒库小于3MB，日常内存占用小于10MB，有效节省PC或Server资源；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4.支持本地上传客户端升级包或https/ftp远端同步方式更新客户端，可根据不同网络环境提供在线获取和隔离网获取相应工具；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▲5.支持单个或多个客户端不同管理中心的平滑迁移，迁移过程自动完成，无需手动添加客户端；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6.控制中心支持全网、分组、标签等方式指定某些客户端定制特殊策略，特殊策略包括文件实时监控、恶意行为监控、下载保护、系统加固、软件安装拦截、浏览器保护、黑客入侵拦截、恶意网站拦截等；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7.支持网络准入功能，支持标准802.1x协议，通过与支持该协议的交换机联动，实现有线局域网网络准入；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▲8.支持敏感数据防泄漏，支持敏感信息检查，针对终端存储的word、pdf、Excel、文本文件等进行全盘关键字检查，对含有制定关键字的文档进行禁止发送、禁止打印、禁止拷贝等管控；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▲9.要求对流行病毒的检测能力必须超过98%的检出率，超过98%的清除率，小于0.1%的误报率；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 支持对webshell后门进行扫描检测 , webshell后门库数量大于90000条；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▲11.支持非法外联监控，实时检测内部网络用户通过调制解调器、ADSL、双网卡等任意连接设备非法外联互联网行为，支持报警、断开网络、自动重启等管控措施；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12.支持终端防火墙功能，支持包括但不限于通过协议（TCP、UDP、ICMP、IGMP、GGP、PUP、IDP、ND、ESP、AH、RDP、GRE、SKIP、RAW），端口号，IP地址、进出口方向等控制规则对终端进行防护，从网络层保护终端安全；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 须有正版序列号，支持电话查询真伪；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 投标时提供所竞标产品的节能产品认证证书扫描件（加盖供应商公章）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四、服务及保修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原厂五年有限保修（鼠标键盘1年），365天全年无休。具备微信、QQ等即时通讯群组服务能力，提供自助查询、驱动自动下载、在线技术支持、维修单进度查询等自助售后功能，中标后须提供产品生产厂家官网截图证明（包含官网链接、服务平台微信二维码、功能模块简单介绍、微信服务平台关注流程指引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2.所投产品为商用节能认证产品、环境标志产品产品。供货时提供3年7x24售后支持服务证明，提供原厂基础安装服务。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3.供货时提供防雷击检测报告及证书扫描件证明。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4.为了证明产品可靠性，供货时提供国家认可的第三方检测机构出具的认证产品相关证书。</w:t>
            </w:r>
          </w:p>
        </w:tc>
        <w:tc>
          <w:tcPr>
            <w:tcW w:w="462" w:type="dxa"/>
            <w:shd w:val="clear" w:color="auto" w:fill="auto"/>
            <w:noWrap/>
            <w:vAlign w:val="center"/>
          </w:tcPr>
          <w:p w14:paraId="7307F9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3F944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CD659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c>
          <w:tcPr>
            <w:tcW w:w="1489" w:type="dxa"/>
            <w:shd w:val="clear" w:color="auto" w:fill="auto"/>
            <w:noWrap/>
            <w:vAlign w:val="center"/>
          </w:tcPr>
          <w:p w14:paraId="26313A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r>
      <w:tr w14:paraId="729D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791F6B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w:t>
            </w:r>
          </w:p>
        </w:tc>
        <w:tc>
          <w:tcPr>
            <w:tcW w:w="1072" w:type="dxa"/>
            <w:shd w:val="clear" w:color="auto" w:fill="auto"/>
            <w:vAlign w:val="center"/>
          </w:tcPr>
          <w:p w14:paraId="75B319A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危险化学品储存柜</w:t>
            </w:r>
          </w:p>
        </w:tc>
        <w:tc>
          <w:tcPr>
            <w:tcW w:w="4897" w:type="dxa"/>
            <w:shd w:val="clear" w:color="auto" w:fill="auto"/>
            <w:vAlign w:val="center"/>
          </w:tcPr>
          <w:p w14:paraId="72EC24E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900mmX510mmX1200mm,，柜整体为两层防火钢板构造，壳体全部采用1.2mm优质冷轧钢板，柜底采用2.0mm冷轧钢板，柜体内胆采用pp板，柜底配有可调风阀，柜体的底板中部有直径为10mm的漏液孔，柜体底部设有高度为160mm的黄沙挡板，最下层留有120mm厚的黄沙填埋腔，柜底装有4个直径是60mm的移动钢轮，前轮后有2个手动调节螺杆，柜中有3个三层阶梯式活动隔板并附有pp板，下层隔板边沿镶有护栏，护栏中间嵌有红黄蓝警示标志，柜子顶部中间带有风机出风口，电源电压220V，控制开关位于柜体右上角，柜门上安装有电子密码锁和机械锁（双锁结构）。防火，防盗，防腐蚀。</w:t>
            </w:r>
          </w:p>
        </w:tc>
        <w:tc>
          <w:tcPr>
            <w:tcW w:w="462" w:type="dxa"/>
            <w:shd w:val="clear" w:color="auto" w:fill="auto"/>
            <w:noWrap/>
            <w:vAlign w:val="center"/>
          </w:tcPr>
          <w:p w14:paraId="6851DC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7731E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671C7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3860</w:t>
            </w:r>
          </w:p>
        </w:tc>
        <w:tc>
          <w:tcPr>
            <w:tcW w:w="1489" w:type="dxa"/>
            <w:shd w:val="clear" w:color="auto" w:fill="auto"/>
            <w:noWrap/>
            <w:vAlign w:val="center"/>
          </w:tcPr>
          <w:p w14:paraId="55F9FE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3860</w:t>
            </w:r>
          </w:p>
        </w:tc>
      </w:tr>
      <w:tr w14:paraId="5D92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DD19B1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w:t>
            </w:r>
          </w:p>
        </w:tc>
        <w:tc>
          <w:tcPr>
            <w:tcW w:w="1072" w:type="dxa"/>
            <w:shd w:val="clear" w:color="auto" w:fill="auto"/>
            <w:vAlign w:val="center"/>
          </w:tcPr>
          <w:p w14:paraId="0D37466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危险化学品储存柜</w:t>
            </w:r>
          </w:p>
        </w:tc>
        <w:tc>
          <w:tcPr>
            <w:tcW w:w="4897" w:type="dxa"/>
            <w:shd w:val="clear" w:color="auto" w:fill="auto"/>
            <w:vAlign w:val="center"/>
          </w:tcPr>
          <w:p w14:paraId="1C93B13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900mmX510mmX1840mm,规格：900×500×1840mm，柜整体为两层防火钢板构造，壳体全部采用1.2mm优质冷轧钢板，柜底采用2.0mm冷轧钢板，柜体内胆采用pp板，柜底配有可调风阀，柜体的底板中部有直径为10mm的漏液孔，柜体底部设有高度为160mm的黄沙挡板，最下层留有120mm厚的黄沙填埋腔，柜底装有4个直径是60mm的移动钢轮，前轮后有2个手动调节螺杆，柜中有3个三层阶梯式活动隔板并附有pp板，下层隔板边沿镶有护栏，护栏中间嵌有红黄蓝警示标志，柜子顶部中间带有风机出风口，电源电压220V，控制开关位于柜体右上角，柜门上安装有电子密码锁和机械锁（双锁结构）。防火，防盗，防腐蚀。</w:t>
            </w:r>
          </w:p>
        </w:tc>
        <w:tc>
          <w:tcPr>
            <w:tcW w:w="462" w:type="dxa"/>
            <w:shd w:val="clear" w:color="auto" w:fill="auto"/>
            <w:noWrap/>
            <w:vAlign w:val="center"/>
          </w:tcPr>
          <w:p w14:paraId="690314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645AE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A32CA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5510</w:t>
            </w:r>
          </w:p>
        </w:tc>
        <w:tc>
          <w:tcPr>
            <w:tcW w:w="1489" w:type="dxa"/>
            <w:shd w:val="clear" w:color="auto" w:fill="auto"/>
            <w:noWrap/>
            <w:vAlign w:val="center"/>
          </w:tcPr>
          <w:p w14:paraId="799B80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5510</w:t>
            </w:r>
          </w:p>
        </w:tc>
      </w:tr>
      <w:tr w14:paraId="70F3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A13B1A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w:t>
            </w:r>
          </w:p>
        </w:tc>
        <w:tc>
          <w:tcPr>
            <w:tcW w:w="1072" w:type="dxa"/>
            <w:shd w:val="clear" w:color="auto" w:fill="auto"/>
            <w:vAlign w:val="center"/>
          </w:tcPr>
          <w:p w14:paraId="70924B9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紧急喷淋器</w:t>
            </w:r>
          </w:p>
        </w:tc>
        <w:tc>
          <w:tcPr>
            <w:tcW w:w="4897" w:type="dxa"/>
            <w:shd w:val="clear" w:color="auto" w:fill="auto"/>
            <w:vAlign w:val="center"/>
          </w:tcPr>
          <w:p w14:paraId="376B0BD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不锈钢材质，喷淋流量120L/min</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180L/min</w:t>
            </w:r>
          </w:p>
        </w:tc>
        <w:tc>
          <w:tcPr>
            <w:tcW w:w="462" w:type="dxa"/>
            <w:shd w:val="clear" w:color="auto" w:fill="auto"/>
            <w:noWrap/>
            <w:vAlign w:val="center"/>
          </w:tcPr>
          <w:p w14:paraId="20B125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6FEFB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F09B4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2145</w:t>
            </w:r>
          </w:p>
        </w:tc>
        <w:tc>
          <w:tcPr>
            <w:tcW w:w="1489" w:type="dxa"/>
            <w:shd w:val="clear" w:color="auto" w:fill="auto"/>
            <w:noWrap/>
            <w:vAlign w:val="center"/>
          </w:tcPr>
          <w:p w14:paraId="7252E3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2145</w:t>
            </w:r>
          </w:p>
        </w:tc>
      </w:tr>
      <w:tr w14:paraId="2483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BC7B09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w:t>
            </w:r>
          </w:p>
        </w:tc>
        <w:tc>
          <w:tcPr>
            <w:tcW w:w="1072" w:type="dxa"/>
            <w:shd w:val="clear" w:color="auto" w:fill="auto"/>
            <w:vAlign w:val="center"/>
          </w:tcPr>
          <w:p w14:paraId="06CE408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灭火毯</w:t>
            </w:r>
          </w:p>
        </w:tc>
        <w:tc>
          <w:tcPr>
            <w:tcW w:w="4897" w:type="dxa"/>
            <w:shd w:val="clear" w:color="auto" w:fill="auto"/>
            <w:vAlign w:val="center"/>
          </w:tcPr>
          <w:p w14:paraId="318DA92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玻璃纤维材质，1200mmX1800mm</w:t>
            </w:r>
          </w:p>
        </w:tc>
        <w:tc>
          <w:tcPr>
            <w:tcW w:w="462" w:type="dxa"/>
            <w:shd w:val="clear" w:color="auto" w:fill="auto"/>
            <w:noWrap/>
            <w:vAlign w:val="center"/>
          </w:tcPr>
          <w:p w14:paraId="229EDC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noWrap/>
            <w:vAlign w:val="center"/>
          </w:tcPr>
          <w:p w14:paraId="4371FE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074D63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135</w:t>
            </w:r>
          </w:p>
        </w:tc>
        <w:tc>
          <w:tcPr>
            <w:tcW w:w="1489" w:type="dxa"/>
            <w:shd w:val="clear" w:color="auto" w:fill="auto"/>
            <w:noWrap/>
            <w:vAlign w:val="center"/>
          </w:tcPr>
          <w:p w14:paraId="3EE64F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270</w:t>
            </w:r>
          </w:p>
        </w:tc>
      </w:tr>
      <w:tr w14:paraId="46B2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352904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w:t>
            </w:r>
          </w:p>
        </w:tc>
        <w:tc>
          <w:tcPr>
            <w:tcW w:w="1072" w:type="dxa"/>
            <w:shd w:val="clear" w:color="auto" w:fill="auto"/>
            <w:vAlign w:val="center"/>
          </w:tcPr>
          <w:p w14:paraId="7176AE3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实验服</w:t>
            </w:r>
          </w:p>
        </w:tc>
        <w:tc>
          <w:tcPr>
            <w:tcW w:w="4897" w:type="dxa"/>
            <w:shd w:val="clear" w:color="auto" w:fill="auto"/>
            <w:vAlign w:val="center"/>
          </w:tcPr>
          <w:p w14:paraId="71056DE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可分为大、中、小号</w:t>
            </w:r>
          </w:p>
        </w:tc>
        <w:tc>
          <w:tcPr>
            <w:tcW w:w="462" w:type="dxa"/>
            <w:shd w:val="clear" w:color="auto" w:fill="auto"/>
            <w:noWrap/>
            <w:vAlign w:val="center"/>
          </w:tcPr>
          <w:p w14:paraId="785745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noWrap/>
            <w:vAlign w:val="center"/>
          </w:tcPr>
          <w:p w14:paraId="47109F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3BFFC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53</w:t>
            </w:r>
          </w:p>
        </w:tc>
        <w:tc>
          <w:tcPr>
            <w:tcW w:w="1489" w:type="dxa"/>
            <w:shd w:val="clear" w:color="auto" w:fill="auto"/>
            <w:noWrap/>
            <w:vAlign w:val="center"/>
          </w:tcPr>
          <w:p w14:paraId="574D2C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3180</w:t>
            </w:r>
          </w:p>
        </w:tc>
      </w:tr>
      <w:tr w14:paraId="6BF3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6E5DEB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w:t>
            </w:r>
          </w:p>
        </w:tc>
        <w:tc>
          <w:tcPr>
            <w:tcW w:w="1072" w:type="dxa"/>
            <w:shd w:val="clear" w:color="auto" w:fill="auto"/>
            <w:vAlign w:val="center"/>
          </w:tcPr>
          <w:p w14:paraId="4B9DE1D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护目镜</w:t>
            </w:r>
          </w:p>
        </w:tc>
        <w:tc>
          <w:tcPr>
            <w:tcW w:w="4897" w:type="dxa"/>
            <w:shd w:val="clear" w:color="auto" w:fill="auto"/>
            <w:vAlign w:val="center"/>
          </w:tcPr>
          <w:p w14:paraId="02ED699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封闭型，耐酸碱，抗冲击，耐磨，便于清洗</w:t>
            </w:r>
          </w:p>
        </w:tc>
        <w:tc>
          <w:tcPr>
            <w:tcW w:w="462" w:type="dxa"/>
            <w:shd w:val="clear" w:color="auto" w:fill="auto"/>
            <w:noWrap/>
            <w:vAlign w:val="center"/>
          </w:tcPr>
          <w:p w14:paraId="68F7BA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2BD0C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29A18A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355DD6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37F5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035F37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w:t>
            </w:r>
          </w:p>
        </w:tc>
        <w:tc>
          <w:tcPr>
            <w:tcW w:w="1072" w:type="dxa"/>
            <w:shd w:val="clear" w:color="auto" w:fill="auto"/>
            <w:vAlign w:val="center"/>
          </w:tcPr>
          <w:p w14:paraId="30C92B2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化学实验废水处理装置</w:t>
            </w:r>
          </w:p>
        </w:tc>
        <w:tc>
          <w:tcPr>
            <w:tcW w:w="4897" w:type="dxa"/>
            <w:shd w:val="clear" w:color="auto" w:fill="auto"/>
            <w:vAlign w:val="center"/>
          </w:tcPr>
          <w:p w14:paraId="3089C06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主体透明，兼作教学使用，能进行pH测试、酸碱废液中和、重金属离子凝聚和过滤，能处理中学常见无机化学废液，同时可以通过仪器内的活性炭吸附少量混入的有机物。应配备适量的凝聚剂和助凝剂，至少应配备更换用活性炭包2个。处理量≥6L/次</w:t>
            </w:r>
          </w:p>
        </w:tc>
        <w:tc>
          <w:tcPr>
            <w:tcW w:w="462" w:type="dxa"/>
            <w:shd w:val="clear" w:color="auto" w:fill="auto"/>
            <w:noWrap/>
            <w:vAlign w:val="center"/>
          </w:tcPr>
          <w:p w14:paraId="2FA7F9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5A1A9C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9E0A9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1465</w:t>
            </w:r>
          </w:p>
        </w:tc>
        <w:tc>
          <w:tcPr>
            <w:tcW w:w="1489" w:type="dxa"/>
            <w:shd w:val="clear" w:color="auto" w:fill="auto"/>
            <w:noWrap/>
            <w:vAlign w:val="center"/>
          </w:tcPr>
          <w:p w14:paraId="4AC663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1465</w:t>
            </w:r>
          </w:p>
        </w:tc>
      </w:tr>
      <w:tr w14:paraId="59DC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351E52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w:t>
            </w:r>
          </w:p>
        </w:tc>
        <w:tc>
          <w:tcPr>
            <w:tcW w:w="1072" w:type="dxa"/>
            <w:shd w:val="clear" w:color="auto" w:fill="auto"/>
            <w:vAlign w:val="center"/>
          </w:tcPr>
          <w:p w14:paraId="57D0FEE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废液分类回收桶</w:t>
            </w:r>
          </w:p>
        </w:tc>
        <w:tc>
          <w:tcPr>
            <w:tcW w:w="4897" w:type="dxa"/>
            <w:shd w:val="clear" w:color="auto" w:fill="auto"/>
            <w:vAlign w:val="center"/>
          </w:tcPr>
          <w:p w14:paraId="07CEE54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塑料制，25L</w:t>
            </w:r>
          </w:p>
        </w:tc>
        <w:tc>
          <w:tcPr>
            <w:tcW w:w="462" w:type="dxa"/>
            <w:shd w:val="clear" w:color="auto" w:fill="auto"/>
            <w:noWrap/>
            <w:vAlign w:val="center"/>
          </w:tcPr>
          <w:p w14:paraId="273F22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C25C6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102C66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noWrap/>
            <w:vAlign w:val="center"/>
          </w:tcPr>
          <w:p w14:paraId="1268CF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r>
      <w:tr w14:paraId="57F1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9E7B1F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w:t>
            </w:r>
          </w:p>
        </w:tc>
        <w:tc>
          <w:tcPr>
            <w:tcW w:w="1072" w:type="dxa"/>
            <w:shd w:val="clear" w:color="auto" w:fill="auto"/>
            <w:vAlign w:val="center"/>
          </w:tcPr>
          <w:p w14:paraId="78A3257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电加热器</w:t>
            </w:r>
          </w:p>
        </w:tc>
        <w:tc>
          <w:tcPr>
            <w:tcW w:w="4897" w:type="dxa"/>
            <w:shd w:val="clear" w:color="auto" w:fill="auto"/>
            <w:vAlign w:val="center"/>
          </w:tcPr>
          <w:p w14:paraId="25E17D8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密封式、方形结构。</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1、额定电压AC220V±5％50Hz＋5,消耗功率1000W。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2、加热盘直径150mm。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3、温控旋扭控制温度，指示灯显示加热。</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4、外形尺寸：210×210×50(mm)。</w:t>
            </w:r>
          </w:p>
        </w:tc>
        <w:tc>
          <w:tcPr>
            <w:tcW w:w="462" w:type="dxa"/>
            <w:shd w:val="clear" w:color="auto" w:fill="auto"/>
            <w:noWrap/>
            <w:vAlign w:val="center"/>
          </w:tcPr>
          <w:p w14:paraId="5698A3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8B592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8BE6C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c>
          <w:tcPr>
            <w:tcW w:w="1489" w:type="dxa"/>
            <w:shd w:val="clear" w:color="auto" w:fill="auto"/>
            <w:noWrap/>
            <w:vAlign w:val="center"/>
          </w:tcPr>
          <w:p w14:paraId="2C5870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r>
      <w:tr w14:paraId="1AB6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518506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w:t>
            </w:r>
          </w:p>
        </w:tc>
        <w:tc>
          <w:tcPr>
            <w:tcW w:w="1072" w:type="dxa"/>
            <w:shd w:val="clear" w:color="auto" w:fill="auto"/>
            <w:vAlign w:val="center"/>
          </w:tcPr>
          <w:p w14:paraId="70D2304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列管式烘干器</w:t>
            </w:r>
          </w:p>
        </w:tc>
        <w:tc>
          <w:tcPr>
            <w:tcW w:w="4897" w:type="dxa"/>
            <w:shd w:val="clear" w:color="auto" w:fill="auto"/>
            <w:vAlign w:val="center"/>
          </w:tcPr>
          <w:p w14:paraId="4A93D77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由外壳、不少于13支通风管、电源线、发热器、风扇等组成。通风管用外径12mm的金属管制作，管壁厚≥2mm,长度185mm,每支通风管上均布10个直径5mm的通气孔。功率≥250W,绝缘电阻大于100MΩ</w:t>
            </w:r>
          </w:p>
        </w:tc>
        <w:tc>
          <w:tcPr>
            <w:tcW w:w="462" w:type="dxa"/>
            <w:shd w:val="clear" w:color="auto" w:fill="auto"/>
            <w:noWrap/>
            <w:vAlign w:val="center"/>
          </w:tcPr>
          <w:p w14:paraId="24BE7D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AF0AF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E9638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412</w:t>
            </w:r>
          </w:p>
        </w:tc>
        <w:tc>
          <w:tcPr>
            <w:tcW w:w="1489" w:type="dxa"/>
            <w:shd w:val="clear" w:color="auto" w:fill="auto"/>
            <w:noWrap/>
            <w:vAlign w:val="center"/>
          </w:tcPr>
          <w:p w14:paraId="240624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412</w:t>
            </w:r>
          </w:p>
        </w:tc>
      </w:tr>
      <w:tr w14:paraId="0A5D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647F2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w:t>
            </w:r>
          </w:p>
        </w:tc>
        <w:tc>
          <w:tcPr>
            <w:tcW w:w="1072" w:type="dxa"/>
            <w:shd w:val="clear" w:color="auto" w:fill="auto"/>
            <w:vAlign w:val="center"/>
          </w:tcPr>
          <w:p w14:paraId="2C6DD6B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烘干箱</w:t>
            </w:r>
          </w:p>
        </w:tc>
        <w:tc>
          <w:tcPr>
            <w:tcW w:w="4897" w:type="dxa"/>
            <w:shd w:val="clear" w:color="auto" w:fill="auto"/>
            <w:vAlign w:val="center"/>
          </w:tcPr>
          <w:p w14:paraId="0CD2765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电热鼓风型,最高工作温度为250℃,温度波动度限值为±1.0℃,箱体内有隔板,内部容积≥350mmX350mmX350mm</w:t>
            </w:r>
          </w:p>
        </w:tc>
        <w:tc>
          <w:tcPr>
            <w:tcW w:w="462" w:type="dxa"/>
            <w:shd w:val="clear" w:color="auto" w:fill="auto"/>
            <w:noWrap/>
            <w:vAlign w:val="center"/>
          </w:tcPr>
          <w:p w14:paraId="011264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9A7A4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F5CB0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1540</w:t>
            </w:r>
          </w:p>
        </w:tc>
        <w:tc>
          <w:tcPr>
            <w:tcW w:w="1489" w:type="dxa"/>
            <w:shd w:val="clear" w:color="auto" w:fill="auto"/>
            <w:noWrap/>
            <w:vAlign w:val="center"/>
          </w:tcPr>
          <w:p w14:paraId="51FDA2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1540</w:t>
            </w:r>
          </w:p>
        </w:tc>
      </w:tr>
      <w:tr w14:paraId="2ED8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808D8B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w:t>
            </w:r>
          </w:p>
        </w:tc>
        <w:tc>
          <w:tcPr>
            <w:tcW w:w="1072" w:type="dxa"/>
            <w:shd w:val="clear" w:color="auto" w:fill="auto"/>
            <w:vAlign w:val="center"/>
          </w:tcPr>
          <w:p w14:paraId="166E25C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教学电源</w:t>
            </w:r>
          </w:p>
        </w:tc>
        <w:tc>
          <w:tcPr>
            <w:tcW w:w="4897" w:type="dxa"/>
            <w:shd w:val="clear" w:color="auto" w:fill="auto"/>
            <w:vAlign w:val="center"/>
          </w:tcPr>
          <w:p w14:paraId="1AABA8C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交流2V</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12V,5A,每2V一档；直流1.5V</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12V,2A,分为1.5V、3V、4.5V、6V、9V、12V,共6档</w:t>
            </w:r>
          </w:p>
        </w:tc>
        <w:tc>
          <w:tcPr>
            <w:tcW w:w="462" w:type="dxa"/>
            <w:shd w:val="clear" w:color="auto" w:fill="auto"/>
            <w:noWrap/>
            <w:vAlign w:val="center"/>
          </w:tcPr>
          <w:p w14:paraId="46765B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45AF26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B5FD2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332</w:t>
            </w:r>
          </w:p>
        </w:tc>
        <w:tc>
          <w:tcPr>
            <w:tcW w:w="1489" w:type="dxa"/>
            <w:shd w:val="clear" w:color="auto" w:fill="auto"/>
            <w:noWrap/>
            <w:vAlign w:val="center"/>
          </w:tcPr>
          <w:p w14:paraId="561641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332</w:t>
            </w:r>
          </w:p>
        </w:tc>
      </w:tr>
      <w:tr w14:paraId="48BF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01B907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w:t>
            </w:r>
          </w:p>
        </w:tc>
        <w:tc>
          <w:tcPr>
            <w:tcW w:w="1072" w:type="dxa"/>
            <w:shd w:val="clear" w:color="auto" w:fill="auto"/>
            <w:vAlign w:val="center"/>
          </w:tcPr>
          <w:p w14:paraId="2C80DD6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仪器车</w:t>
            </w:r>
          </w:p>
        </w:tc>
        <w:tc>
          <w:tcPr>
            <w:tcW w:w="4897" w:type="dxa"/>
            <w:shd w:val="clear" w:color="auto" w:fill="auto"/>
            <w:vAlign w:val="center"/>
          </w:tcPr>
          <w:p w14:paraId="66BA5B2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600mmX400mmX800mm,不锈钢材质，至少两层，各层带可拆卸护栏，总载重≥60kg</w:t>
            </w:r>
          </w:p>
        </w:tc>
        <w:tc>
          <w:tcPr>
            <w:tcW w:w="462" w:type="dxa"/>
            <w:shd w:val="clear" w:color="auto" w:fill="auto"/>
            <w:noWrap/>
            <w:vAlign w:val="center"/>
          </w:tcPr>
          <w:p w14:paraId="1648FE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辆</w:t>
            </w:r>
          </w:p>
        </w:tc>
        <w:tc>
          <w:tcPr>
            <w:tcW w:w="605" w:type="dxa"/>
            <w:shd w:val="clear" w:color="auto" w:fill="auto"/>
            <w:noWrap/>
            <w:vAlign w:val="center"/>
          </w:tcPr>
          <w:p w14:paraId="096017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466161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576</w:t>
            </w:r>
          </w:p>
        </w:tc>
        <w:tc>
          <w:tcPr>
            <w:tcW w:w="1489" w:type="dxa"/>
            <w:shd w:val="clear" w:color="auto" w:fill="auto"/>
            <w:noWrap/>
            <w:vAlign w:val="center"/>
          </w:tcPr>
          <w:p w14:paraId="20F3EC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1728</w:t>
            </w:r>
          </w:p>
        </w:tc>
      </w:tr>
      <w:tr w14:paraId="4B02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973F2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w:t>
            </w:r>
          </w:p>
        </w:tc>
        <w:tc>
          <w:tcPr>
            <w:tcW w:w="1072" w:type="dxa"/>
            <w:shd w:val="clear" w:color="auto" w:fill="auto"/>
            <w:vAlign w:val="center"/>
          </w:tcPr>
          <w:p w14:paraId="0B5F105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试剂瓶托盘</w:t>
            </w:r>
          </w:p>
        </w:tc>
        <w:tc>
          <w:tcPr>
            <w:tcW w:w="4897" w:type="dxa"/>
            <w:shd w:val="clear" w:color="auto" w:fill="auto"/>
            <w:vAlign w:val="center"/>
          </w:tcPr>
          <w:p w14:paraId="5902AA9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搪瓷材质，内沿≥400mmX290mmX50mm</w:t>
            </w:r>
          </w:p>
        </w:tc>
        <w:tc>
          <w:tcPr>
            <w:tcW w:w="462" w:type="dxa"/>
            <w:shd w:val="clear" w:color="auto" w:fill="auto"/>
            <w:noWrap/>
            <w:vAlign w:val="center"/>
          </w:tcPr>
          <w:p w14:paraId="5657BD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F07CC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c>
          <w:tcPr>
            <w:tcW w:w="1048" w:type="dxa"/>
            <w:shd w:val="clear" w:color="auto" w:fill="auto"/>
            <w:noWrap/>
            <w:vAlign w:val="center"/>
          </w:tcPr>
          <w:p w14:paraId="6934D4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41</w:t>
            </w:r>
          </w:p>
        </w:tc>
        <w:tc>
          <w:tcPr>
            <w:tcW w:w="1489" w:type="dxa"/>
            <w:shd w:val="clear" w:color="auto" w:fill="auto"/>
            <w:noWrap/>
            <w:vAlign w:val="center"/>
          </w:tcPr>
          <w:p w14:paraId="2AD867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4920</w:t>
            </w:r>
          </w:p>
        </w:tc>
      </w:tr>
      <w:tr w14:paraId="4CE1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2196FE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w:t>
            </w:r>
          </w:p>
        </w:tc>
        <w:tc>
          <w:tcPr>
            <w:tcW w:w="1072" w:type="dxa"/>
            <w:shd w:val="clear" w:color="auto" w:fill="auto"/>
            <w:vAlign w:val="center"/>
          </w:tcPr>
          <w:p w14:paraId="64E7FF3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实验用品提篮</w:t>
            </w:r>
          </w:p>
        </w:tc>
        <w:tc>
          <w:tcPr>
            <w:tcW w:w="4897" w:type="dxa"/>
            <w:shd w:val="clear" w:color="auto" w:fill="auto"/>
            <w:vAlign w:val="center"/>
          </w:tcPr>
          <w:p w14:paraId="333791B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木制，配有提手，490mmX360mmX290mm</w:t>
            </w:r>
          </w:p>
        </w:tc>
        <w:tc>
          <w:tcPr>
            <w:tcW w:w="462" w:type="dxa"/>
            <w:shd w:val="clear" w:color="auto" w:fill="auto"/>
            <w:noWrap/>
            <w:vAlign w:val="center"/>
          </w:tcPr>
          <w:p w14:paraId="75DDE9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D4294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5E3B77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237</w:t>
            </w:r>
          </w:p>
        </w:tc>
        <w:tc>
          <w:tcPr>
            <w:tcW w:w="1489" w:type="dxa"/>
            <w:shd w:val="clear" w:color="auto" w:fill="auto"/>
            <w:noWrap/>
            <w:vAlign w:val="center"/>
          </w:tcPr>
          <w:p w14:paraId="2A5D00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711</w:t>
            </w:r>
          </w:p>
        </w:tc>
      </w:tr>
      <w:tr w14:paraId="28EC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2D4F1F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w:t>
            </w:r>
          </w:p>
        </w:tc>
        <w:tc>
          <w:tcPr>
            <w:tcW w:w="1072" w:type="dxa"/>
            <w:shd w:val="clear" w:color="auto" w:fill="auto"/>
            <w:vAlign w:val="center"/>
          </w:tcPr>
          <w:p w14:paraId="6E526D7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一字螺丝刀</w:t>
            </w:r>
          </w:p>
        </w:tc>
        <w:tc>
          <w:tcPr>
            <w:tcW w:w="4897" w:type="dxa"/>
            <w:shd w:val="clear" w:color="auto" w:fill="auto"/>
            <w:vAlign w:val="center"/>
          </w:tcPr>
          <w:p w14:paraId="6B3E29A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Φ6mm,长150mm,工作端带磁性</w:t>
            </w:r>
          </w:p>
        </w:tc>
        <w:tc>
          <w:tcPr>
            <w:tcW w:w="462" w:type="dxa"/>
            <w:shd w:val="clear" w:color="auto" w:fill="auto"/>
            <w:noWrap/>
            <w:vAlign w:val="center"/>
          </w:tcPr>
          <w:p w14:paraId="4AD0A0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0B55D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8CACB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66E98D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6D7F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4EF0D9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w:t>
            </w:r>
          </w:p>
        </w:tc>
        <w:tc>
          <w:tcPr>
            <w:tcW w:w="1072" w:type="dxa"/>
            <w:shd w:val="clear" w:color="auto" w:fill="auto"/>
            <w:vAlign w:val="center"/>
          </w:tcPr>
          <w:p w14:paraId="01E8692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十字螺丝刀</w:t>
            </w:r>
          </w:p>
        </w:tc>
        <w:tc>
          <w:tcPr>
            <w:tcW w:w="4897" w:type="dxa"/>
            <w:shd w:val="clear" w:color="auto" w:fill="auto"/>
            <w:vAlign w:val="center"/>
          </w:tcPr>
          <w:p w14:paraId="4C1742E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Φ6mm,长150mm,工作端带磁性</w:t>
            </w:r>
          </w:p>
        </w:tc>
        <w:tc>
          <w:tcPr>
            <w:tcW w:w="462" w:type="dxa"/>
            <w:shd w:val="clear" w:color="auto" w:fill="auto"/>
            <w:noWrap/>
            <w:vAlign w:val="center"/>
          </w:tcPr>
          <w:p w14:paraId="336E7F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311191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9F49A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07E815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4CDA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C64CC2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w:t>
            </w:r>
          </w:p>
        </w:tc>
        <w:tc>
          <w:tcPr>
            <w:tcW w:w="1072" w:type="dxa"/>
            <w:shd w:val="clear" w:color="auto" w:fill="auto"/>
            <w:vAlign w:val="center"/>
          </w:tcPr>
          <w:p w14:paraId="01F85C1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钢丝钳</w:t>
            </w:r>
          </w:p>
        </w:tc>
        <w:tc>
          <w:tcPr>
            <w:tcW w:w="4897" w:type="dxa"/>
            <w:shd w:val="clear" w:color="auto" w:fill="auto"/>
            <w:vAlign w:val="center"/>
          </w:tcPr>
          <w:p w14:paraId="2FF2B8F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规格：160mm，抗弯强度1120 N，扭力矩15 N·m，15°；剪切性能Φ16 mm钢丝，580 N；夹持面硬度不低于44HRC；PVC环保手柄，在不大于18 N的力作用下撑开角度不小于22°</w:t>
            </w:r>
          </w:p>
        </w:tc>
        <w:tc>
          <w:tcPr>
            <w:tcW w:w="462" w:type="dxa"/>
            <w:shd w:val="clear" w:color="auto" w:fill="auto"/>
            <w:noWrap/>
            <w:vAlign w:val="center"/>
          </w:tcPr>
          <w:p w14:paraId="0DAF0C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0F84B4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10B03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c>
          <w:tcPr>
            <w:tcW w:w="1489" w:type="dxa"/>
            <w:shd w:val="clear" w:color="auto" w:fill="auto"/>
            <w:noWrap/>
            <w:vAlign w:val="center"/>
          </w:tcPr>
          <w:p w14:paraId="4E9BDF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r>
      <w:tr w14:paraId="0074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3BE1C9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w:t>
            </w:r>
          </w:p>
        </w:tc>
        <w:tc>
          <w:tcPr>
            <w:tcW w:w="1072" w:type="dxa"/>
            <w:shd w:val="clear" w:color="auto" w:fill="auto"/>
            <w:vAlign w:val="center"/>
          </w:tcPr>
          <w:p w14:paraId="0F5C3D2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钢锤</w:t>
            </w:r>
          </w:p>
        </w:tc>
        <w:tc>
          <w:tcPr>
            <w:tcW w:w="4897" w:type="dxa"/>
            <w:shd w:val="clear" w:color="auto" w:fill="auto"/>
            <w:vAlign w:val="center"/>
          </w:tcPr>
          <w:p w14:paraId="60A2C8A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0.25kg,羊角锤</w:t>
            </w:r>
          </w:p>
        </w:tc>
        <w:tc>
          <w:tcPr>
            <w:tcW w:w="462" w:type="dxa"/>
            <w:shd w:val="clear" w:color="auto" w:fill="auto"/>
            <w:noWrap/>
            <w:vAlign w:val="center"/>
          </w:tcPr>
          <w:p w14:paraId="5FF86D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587DA4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71250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noWrap/>
            <w:vAlign w:val="center"/>
          </w:tcPr>
          <w:p w14:paraId="44B8CB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r>
      <w:tr w14:paraId="1096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DA259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w:t>
            </w:r>
          </w:p>
        </w:tc>
        <w:tc>
          <w:tcPr>
            <w:tcW w:w="1072" w:type="dxa"/>
            <w:shd w:val="clear" w:color="auto" w:fill="auto"/>
            <w:vAlign w:val="center"/>
          </w:tcPr>
          <w:p w14:paraId="05E1446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三角锉</w:t>
            </w:r>
          </w:p>
        </w:tc>
        <w:tc>
          <w:tcPr>
            <w:tcW w:w="4897" w:type="dxa"/>
            <w:shd w:val="clear" w:color="auto" w:fill="auto"/>
            <w:vAlign w:val="center"/>
          </w:tcPr>
          <w:p w14:paraId="2E0A4FB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250mm,带柄</w:t>
            </w:r>
          </w:p>
        </w:tc>
        <w:tc>
          <w:tcPr>
            <w:tcW w:w="462" w:type="dxa"/>
            <w:shd w:val="clear" w:color="auto" w:fill="auto"/>
            <w:noWrap/>
            <w:vAlign w:val="center"/>
          </w:tcPr>
          <w:p w14:paraId="5CA0E9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42438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C86F9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012C03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r>
      <w:tr w14:paraId="7E92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426DED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w:t>
            </w:r>
          </w:p>
        </w:tc>
        <w:tc>
          <w:tcPr>
            <w:tcW w:w="1072" w:type="dxa"/>
            <w:shd w:val="clear" w:color="auto" w:fill="auto"/>
            <w:vAlign w:val="center"/>
          </w:tcPr>
          <w:p w14:paraId="623F9B6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民用剪刀</w:t>
            </w:r>
          </w:p>
        </w:tc>
        <w:tc>
          <w:tcPr>
            <w:tcW w:w="4897" w:type="dxa"/>
            <w:shd w:val="clear" w:color="auto" w:fill="auto"/>
            <w:vAlign w:val="center"/>
          </w:tcPr>
          <w:p w14:paraId="3D3AD1C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3号，150mm,A型</w:t>
            </w:r>
          </w:p>
        </w:tc>
        <w:tc>
          <w:tcPr>
            <w:tcW w:w="462" w:type="dxa"/>
            <w:shd w:val="clear" w:color="auto" w:fill="auto"/>
            <w:noWrap/>
            <w:vAlign w:val="center"/>
          </w:tcPr>
          <w:p w14:paraId="148F40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56A83E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0F6888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38465E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47B7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8EE4B9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w:t>
            </w:r>
          </w:p>
        </w:tc>
        <w:tc>
          <w:tcPr>
            <w:tcW w:w="1072" w:type="dxa"/>
            <w:shd w:val="clear" w:color="auto" w:fill="auto"/>
            <w:vAlign w:val="center"/>
          </w:tcPr>
          <w:p w14:paraId="48D5B58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打孔器</w:t>
            </w:r>
          </w:p>
        </w:tc>
        <w:tc>
          <w:tcPr>
            <w:tcW w:w="4897" w:type="dxa"/>
            <w:shd w:val="clear" w:color="auto" w:fill="auto"/>
            <w:vAlign w:val="center"/>
          </w:tcPr>
          <w:p w14:paraId="49A2745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刀口式,材质为不锈钢管、钢管或黄铜管,每组不少于4支,外径分别为9mm、8mm、7mm、6mm,并配一支带柄金属通扦</w:t>
            </w:r>
          </w:p>
        </w:tc>
        <w:tc>
          <w:tcPr>
            <w:tcW w:w="462" w:type="dxa"/>
            <w:shd w:val="clear" w:color="auto" w:fill="auto"/>
            <w:noWrap/>
            <w:vAlign w:val="center"/>
          </w:tcPr>
          <w:p w14:paraId="78569F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2E282C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562F95D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7A952BA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0058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D42121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24</w:t>
            </w:r>
          </w:p>
        </w:tc>
        <w:tc>
          <w:tcPr>
            <w:tcW w:w="1072" w:type="dxa"/>
            <w:shd w:val="clear" w:color="auto" w:fill="auto"/>
            <w:vAlign w:val="center"/>
          </w:tcPr>
          <w:p w14:paraId="1ABBFB2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打孔夹板</w:t>
            </w:r>
          </w:p>
        </w:tc>
        <w:tc>
          <w:tcPr>
            <w:tcW w:w="4897" w:type="dxa"/>
            <w:shd w:val="clear" w:color="auto" w:fill="auto"/>
            <w:vAlign w:val="center"/>
          </w:tcPr>
          <w:p w14:paraId="389FE7D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硬木或硬塑料制</w:t>
            </w:r>
          </w:p>
        </w:tc>
        <w:tc>
          <w:tcPr>
            <w:tcW w:w="462" w:type="dxa"/>
            <w:shd w:val="clear" w:color="auto" w:fill="auto"/>
            <w:noWrap/>
            <w:vAlign w:val="center"/>
          </w:tcPr>
          <w:p w14:paraId="698E95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E12B9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F7237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noWrap/>
            <w:vAlign w:val="center"/>
          </w:tcPr>
          <w:p w14:paraId="6BD909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r>
      <w:tr w14:paraId="3D97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08BBF6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25</w:t>
            </w:r>
          </w:p>
        </w:tc>
        <w:tc>
          <w:tcPr>
            <w:tcW w:w="1072" w:type="dxa"/>
            <w:shd w:val="clear" w:color="auto" w:fill="auto"/>
            <w:vAlign w:val="center"/>
          </w:tcPr>
          <w:p w14:paraId="6C3B968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打孔器刮刀</w:t>
            </w:r>
          </w:p>
        </w:tc>
        <w:tc>
          <w:tcPr>
            <w:tcW w:w="4897" w:type="dxa"/>
            <w:shd w:val="clear" w:color="auto" w:fill="auto"/>
            <w:vAlign w:val="center"/>
          </w:tcPr>
          <w:p w14:paraId="450BCBA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刮刀宜用65M板制成，表面热处理，55HRC</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60HRC,总长为70mm±0.5mm,宽14.5mm±0.1mm,厚1.8mm±0.5mm,刀口角度宜为60°±5°,锋刃＜0.1mm</w:t>
            </w:r>
          </w:p>
        </w:tc>
        <w:tc>
          <w:tcPr>
            <w:tcW w:w="462" w:type="dxa"/>
            <w:shd w:val="clear" w:color="auto" w:fill="auto"/>
            <w:noWrap/>
            <w:vAlign w:val="center"/>
          </w:tcPr>
          <w:p w14:paraId="708FDE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A461D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EF2C2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5212FD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68A6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D5847E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26</w:t>
            </w:r>
          </w:p>
        </w:tc>
        <w:tc>
          <w:tcPr>
            <w:tcW w:w="1072" w:type="dxa"/>
            <w:shd w:val="clear" w:color="auto" w:fill="auto"/>
            <w:vAlign w:val="center"/>
          </w:tcPr>
          <w:p w14:paraId="3ECC2D2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电动钻孔器</w:t>
            </w:r>
          </w:p>
        </w:tc>
        <w:tc>
          <w:tcPr>
            <w:tcW w:w="4897" w:type="dxa"/>
            <w:shd w:val="clear" w:color="auto" w:fill="auto"/>
            <w:vAlign w:val="center"/>
          </w:tcPr>
          <w:p w14:paraId="39EC49B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钻头可拆卸,应配有2个以上不同孔径的钻头</w:t>
            </w:r>
          </w:p>
        </w:tc>
        <w:tc>
          <w:tcPr>
            <w:tcW w:w="462" w:type="dxa"/>
            <w:shd w:val="clear" w:color="auto" w:fill="auto"/>
            <w:noWrap/>
            <w:vAlign w:val="center"/>
          </w:tcPr>
          <w:p w14:paraId="38D3EB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4ED7D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5F5B7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1405</w:t>
            </w:r>
          </w:p>
        </w:tc>
        <w:tc>
          <w:tcPr>
            <w:tcW w:w="1489" w:type="dxa"/>
            <w:shd w:val="clear" w:color="auto" w:fill="auto"/>
            <w:noWrap/>
            <w:vAlign w:val="center"/>
          </w:tcPr>
          <w:p w14:paraId="0E8D95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1405</w:t>
            </w:r>
          </w:p>
        </w:tc>
      </w:tr>
      <w:tr w14:paraId="6086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D42CF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27</w:t>
            </w:r>
          </w:p>
        </w:tc>
        <w:tc>
          <w:tcPr>
            <w:tcW w:w="1072" w:type="dxa"/>
            <w:shd w:val="clear" w:color="auto" w:fill="auto"/>
            <w:vAlign w:val="center"/>
          </w:tcPr>
          <w:p w14:paraId="19CCF4F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托盘天平</w:t>
            </w:r>
          </w:p>
        </w:tc>
        <w:tc>
          <w:tcPr>
            <w:tcW w:w="4897" w:type="dxa"/>
            <w:shd w:val="clear" w:color="auto" w:fill="auto"/>
            <w:vAlign w:val="center"/>
          </w:tcPr>
          <w:p w14:paraId="66DE72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1.最大称量100g，分度值0.1g,标尺称量0-5g。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2.底座为金属冲压件,表面喷塑。</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3．横梁，支架，盘托架为金属制，表面镀铬。</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4．刀子为钢制，双向调节螺母。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5.双托盘，托盘为塑胶制成，附件：四等砝码一套，塑料镊子一把，专用塑料砝码盒一个，各种砝码定位放置。</w:t>
            </w:r>
          </w:p>
        </w:tc>
        <w:tc>
          <w:tcPr>
            <w:tcW w:w="462" w:type="dxa"/>
            <w:shd w:val="clear" w:color="auto" w:fill="auto"/>
            <w:noWrap/>
            <w:vAlign w:val="center"/>
          </w:tcPr>
          <w:p w14:paraId="7ED32A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0602B0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3045EA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65</w:t>
            </w:r>
          </w:p>
        </w:tc>
        <w:tc>
          <w:tcPr>
            <w:tcW w:w="1489" w:type="dxa"/>
            <w:shd w:val="clear" w:color="auto" w:fill="auto"/>
            <w:noWrap/>
            <w:vAlign w:val="center"/>
          </w:tcPr>
          <w:p w14:paraId="0535157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1950</w:t>
            </w:r>
          </w:p>
        </w:tc>
      </w:tr>
      <w:tr w14:paraId="72A3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871803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28</w:t>
            </w:r>
          </w:p>
        </w:tc>
        <w:tc>
          <w:tcPr>
            <w:tcW w:w="1072" w:type="dxa"/>
            <w:shd w:val="clear" w:color="auto" w:fill="auto"/>
            <w:vAlign w:val="center"/>
          </w:tcPr>
          <w:p w14:paraId="554FE77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托盘天平</w:t>
            </w:r>
          </w:p>
        </w:tc>
        <w:tc>
          <w:tcPr>
            <w:tcW w:w="4897" w:type="dxa"/>
            <w:shd w:val="clear" w:color="auto" w:fill="auto"/>
            <w:vAlign w:val="center"/>
          </w:tcPr>
          <w:p w14:paraId="756E956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1.最大称量500g，分度值0.5g,标尺称量0-5g。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2.底座为金属冲压件,表面喷塑。</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3．横梁，支架，盘托架为金属制，表面镀铬。</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4．刀子为钢制，双向调节螺母。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5.双托盘，托盘为塑胶制成，附件：四等砝码一套，塑料镊子一把，专用塑料砝码盒一个，各种砝码定位放置。</w:t>
            </w:r>
          </w:p>
        </w:tc>
        <w:tc>
          <w:tcPr>
            <w:tcW w:w="462" w:type="dxa"/>
            <w:shd w:val="clear" w:color="auto" w:fill="auto"/>
            <w:noWrap/>
            <w:vAlign w:val="center"/>
          </w:tcPr>
          <w:p w14:paraId="2E6618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DB8C5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47C3C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95</w:t>
            </w:r>
          </w:p>
        </w:tc>
        <w:tc>
          <w:tcPr>
            <w:tcW w:w="1489" w:type="dxa"/>
            <w:shd w:val="clear" w:color="auto" w:fill="auto"/>
            <w:noWrap/>
            <w:vAlign w:val="center"/>
          </w:tcPr>
          <w:p w14:paraId="3D25EA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95</w:t>
            </w:r>
          </w:p>
        </w:tc>
      </w:tr>
      <w:tr w14:paraId="575B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E3320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29</w:t>
            </w:r>
          </w:p>
        </w:tc>
        <w:tc>
          <w:tcPr>
            <w:tcW w:w="1072" w:type="dxa"/>
            <w:shd w:val="clear" w:color="auto" w:fill="auto"/>
            <w:vAlign w:val="center"/>
          </w:tcPr>
          <w:p w14:paraId="0E02A26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电子天平</w:t>
            </w:r>
          </w:p>
        </w:tc>
        <w:tc>
          <w:tcPr>
            <w:tcW w:w="4897" w:type="dxa"/>
            <w:shd w:val="clear" w:color="auto" w:fill="auto"/>
            <w:vAlign w:val="center"/>
          </w:tcPr>
          <w:p w14:paraId="161C8F2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1、量程1000g。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2、读数精度：0.1g。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3、采用高精度应变式称量传感器。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4、自动外置砝码校准，标配砝码操作简便。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5、可拆卸式方形透明防风罩。</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6、数码显示。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7、具有超载保护及去皮，计数等功能。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8、产品应符合JJG1036-2008《电子天平》。</w:t>
            </w:r>
          </w:p>
        </w:tc>
        <w:tc>
          <w:tcPr>
            <w:tcW w:w="462" w:type="dxa"/>
            <w:shd w:val="clear" w:color="auto" w:fill="auto"/>
            <w:noWrap/>
            <w:vAlign w:val="center"/>
          </w:tcPr>
          <w:p w14:paraId="60AB8C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03333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7591B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302</w:t>
            </w:r>
          </w:p>
        </w:tc>
        <w:tc>
          <w:tcPr>
            <w:tcW w:w="1489" w:type="dxa"/>
            <w:shd w:val="clear" w:color="auto" w:fill="auto"/>
            <w:noWrap/>
            <w:vAlign w:val="center"/>
          </w:tcPr>
          <w:p w14:paraId="706E6D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302</w:t>
            </w:r>
          </w:p>
        </w:tc>
      </w:tr>
      <w:tr w14:paraId="1CB9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75B286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30</w:t>
            </w:r>
          </w:p>
        </w:tc>
        <w:tc>
          <w:tcPr>
            <w:tcW w:w="1072" w:type="dxa"/>
            <w:shd w:val="clear" w:color="auto" w:fill="auto"/>
            <w:vAlign w:val="center"/>
          </w:tcPr>
          <w:p w14:paraId="2F29E2B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红液温度计</w:t>
            </w:r>
          </w:p>
        </w:tc>
        <w:tc>
          <w:tcPr>
            <w:tcW w:w="4897" w:type="dxa"/>
            <w:shd w:val="clear" w:color="auto" w:fill="auto"/>
            <w:vAlign w:val="center"/>
          </w:tcPr>
          <w:p w14:paraId="74EB648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0℃-100℃,分度值1℃,示值误差＜1.5℃</w:t>
            </w:r>
          </w:p>
        </w:tc>
        <w:tc>
          <w:tcPr>
            <w:tcW w:w="462" w:type="dxa"/>
            <w:shd w:val="clear" w:color="auto" w:fill="auto"/>
            <w:noWrap/>
            <w:vAlign w:val="center"/>
          </w:tcPr>
          <w:p w14:paraId="057BF4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7F54E1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765378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7B3AE0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34D5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077B5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31</w:t>
            </w:r>
          </w:p>
        </w:tc>
        <w:tc>
          <w:tcPr>
            <w:tcW w:w="1072" w:type="dxa"/>
            <w:shd w:val="clear" w:color="auto" w:fill="auto"/>
            <w:vAlign w:val="center"/>
          </w:tcPr>
          <w:p w14:paraId="5014A5C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水银温度计</w:t>
            </w:r>
          </w:p>
        </w:tc>
        <w:tc>
          <w:tcPr>
            <w:tcW w:w="4897" w:type="dxa"/>
            <w:shd w:val="clear" w:color="auto" w:fill="auto"/>
            <w:vAlign w:val="center"/>
          </w:tcPr>
          <w:p w14:paraId="4329B5D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0℃~200℃,分度值1℃,示值误差＜0.5℃，有保护套</w:t>
            </w:r>
          </w:p>
        </w:tc>
        <w:tc>
          <w:tcPr>
            <w:tcW w:w="462" w:type="dxa"/>
            <w:shd w:val="clear" w:color="auto" w:fill="auto"/>
            <w:noWrap/>
            <w:vAlign w:val="center"/>
          </w:tcPr>
          <w:p w14:paraId="3230CE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157180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E6E74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2E84B9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r>
      <w:tr w14:paraId="679F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AC3C32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32</w:t>
            </w:r>
          </w:p>
        </w:tc>
        <w:tc>
          <w:tcPr>
            <w:tcW w:w="1072" w:type="dxa"/>
            <w:shd w:val="clear" w:color="auto" w:fill="auto"/>
            <w:vAlign w:val="center"/>
          </w:tcPr>
          <w:p w14:paraId="4322E9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电子秒表</w:t>
            </w:r>
          </w:p>
        </w:tc>
        <w:tc>
          <w:tcPr>
            <w:tcW w:w="4897" w:type="dxa"/>
            <w:shd w:val="clear" w:color="auto" w:fill="auto"/>
            <w:vAlign w:val="center"/>
          </w:tcPr>
          <w:p w14:paraId="2D56DDA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0.1s</w:t>
            </w:r>
          </w:p>
        </w:tc>
        <w:tc>
          <w:tcPr>
            <w:tcW w:w="462" w:type="dxa"/>
            <w:shd w:val="clear" w:color="auto" w:fill="auto"/>
            <w:noWrap/>
            <w:vAlign w:val="center"/>
          </w:tcPr>
          <w:p w14:paraId="78810A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98C40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495F6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w:t>
            </w:r>
          </w:p>
        </w:tc>
        <w:tc>
          <w:tcPr>
            <w:tcW w:w="1489" w:type="dxa"/>
            <w:shd w:val="clear" w:color="auto" w:fill="auto"/>
            <w:noWrap/>
            <w:vAlign w:val="center"/>
          </w:tcPr>
          <w:p w14:paraId="681423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780</w:t>
            </w:r>
          </w:p>
        </w:tc>
      </w:tr>
      <w:tr w14:paraId="7FCC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0127D6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33</w:t>
            </w:r>
          </w:p>
        </w:tc>
        <w:tc>
          <w:tcPr>
            <w:tcW w:w="1072" w:type="dxa"/>
            <w:shd w:val="clear" w:color="auto" w:fill="auto"/>
            <w:vAlign w:val="center"/>
          </w:tcPr>
          <w:p w14:paraId="60627E8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多用电表</w:t>
            </w:r>
          </w:p>
        </w:tc>
        <w:tc>
          <w:tcPr>
            <w:tcW w:w="4897" w:type="dxa"/>
            <w:shd w:val="clear" w:color="auto" w:fill="auto"/>
            <w:vAlign w:val="center"/>
          </w:tcPr>
          <w:p w14:paraId="3D9C3F1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1.MF-47型，内磁表头。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直流电流：0～5～50～500mA,10A；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直流电压：0～0.25～0.5～10～50～250～500～1000V；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直流电阻：X1～X10K；</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交流电压：0～10～50～250～500～1000V；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3.温度测试：-10～150℃，电容：0.01～100000μf；电感：20～1000H；音频电平：-10～+22db；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4.表笔1套。</w:t>
            </w:r>
          </w:p>
        </w:tc>
        <w:tc>
          <w:tcPr>
            <w:tcW w:w="462" w:type="dxa"/>
            <w:shd w:val="clear" w:color="auto" w:fill="auto"/>
            <w:noWrap/>
            <w:vAlign w:val="center"/>
          </w:tcPr>
          <w:p w14:paraId="2E2DDC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306878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2D404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110</w:t>
            </w:r>
          </w:p>
        </w:tc>
        <w:tc>
          <w:tcPr>
            <w:tcW w:w="1489" w:type="dxa"/>
            <w:shd w:val="clear" w:color="auto" w:fill="auto"/>
            <w:noWrap/>
            <w:vAlign w:val="center"/>
          </w:tcPr>
          <w:p w14:paraId="0ABFEB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110</w:t>
            </w:r>
          </w:p>
        </w:tc>
      </w:tr>
      <w:tr w14:paraId="3CC9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C95182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34</w:t>
            </w:r>
          </w:p>
        </w:tc>
        <w:tc>
          <w:tcPr>
            <w:tcW w:w="1072" w:type="dxa"/>
            <w:shd w:val="clear" w:color="auto" w:fill="auto"/>
            <w:vAlign w:val="center"/>
          </w:tcPr>
          <w:p w14:paraId="5ECD28E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直流电流表</w:t>
            </w:r>
          </w:p>
        </w:tc>
        <w:tc>
          <w:tcPr>
            <w:tcW w:w="4897" w:type="dxa"/>
            <w:shd w:val="clear" w:color="auto" w:fill="auto"/>
            <w:vAlign w:val="center"/>
          </w:tcPr>
          <w:p w14:paraId="7FA7D6D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产品由测量机构、外壳等组成。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1.指示面板与水平面成45度夹角。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2.测量范围：（-0.2A~0~0.6A）（-1~0~3A）。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3.仪表准确度等级：2.5级。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4.对外界磁场的防御等级为Ⅲ级。</w:t>
            </w:r>
          </w:p>
        </w:tc>
        <w:tc>
          <w:tcPr>
            <w:tcW w:w="462" w:type="dxa"/>
            <w:shd w:val="clear" w:color="auto" w:fill="auto"/>
            <w:noWrap/>
            <w:vAlign w:val="center"/>
          </w:tcPr>
          <w:p w14:paraId="64EB33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2E3122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2E0020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37</w:t>
            </w:r>
          </w:p>
        </w:tc>
        <w:tc>
          <w:tcPr>
            <w:tcW w:w="1489" w:type="dxa"/>
            <w:shd w:val="clear" w:color="auto" w:fill="auto"/>
            <w:noWrap/>
            <w:vAlign w:val="center"/>
          </w:tcPr>
          <w:p w14:paraId="55E7E8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555</w:t>
            </w:r>
          </w:p>
        </w:tc>
      </w:tr>
      <w:tr w14:paraId="4DE2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711750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35</w:t>
            </w:r>
          </w:p>
        </w:tc>
        <w:tc>
          <w:tcPr>
            <w:tcW w:w="1072" w:type="dxa"/>
            <w:shd w:val="clear" w:color="auto" w:fill="auto"/>
            <w:vAlign w:val="center"/>
          </w:tcPr>
          <w:p w14:paraId="63C2977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灵敏电流计</w:t>
            </w:r>
          </w:p>
        </w:tc>
        <w:tc>
          <w:tcPr>
            <w:tcW w:w="4897" w:type="dxa"/>
            <w:shd w:val="clear" w:color="auto" w:fill="auto"/>
            <w:vAlign w:val="center"/>
          </w:tcPr>
          <w:p w14:paraId="3B39332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产品由测量机构、外壳等组成。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1.指示面板与水平面成45度夹角。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2.测量范围：±300μA内阻。</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3.仪表准确度等级：2.5级。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4.对外界磁场的防御等级为Ⅲ级。</w:t>
            </w:r>
          </w:p>
        </w:tc>
        <w:tc>
          <w:tcPr>
            <w:tcW w:w="462" w:type="dxa"/>
            <w:shd w:val="clear" w:color="auto" w:fill="auto"/>
            <w:noWrap/>
            <w:vAlign w:val="center"/>
          </w:tcPr>
          <w:p w14:paraId="1C6C3C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F4F6D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253592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c>
          <w:tcPr>
            <w:tcW w:w="1489" w:type="dxa"/>
            <w:shd w:val="clear" w:color="auto" w:fill="auto"/>
            <w:noWrap/>
            <w:vAlign w:val="center"/>
          </w:tcPr>
          <w:p w14:paraId="134B61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630</w:t>
            </w:r>
          </w:p>
        </w:tc>
      </w:tr>
      <w:tr w14:paraId="5744A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1F370D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36</w:t>
            </w:r>
          </w:p>
        </w:tc>
        <w:tc>
          <w:tcPr>
            <w:tcW w:w="1072" w:type="dxa"/>
            <w:shd w:val="clear" w:color="auto" w:fill="auto"/>
            <w:vAlign w:val="center"/>
          </w:tcPr>
          <w:p w14:paraId="433C801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演示电流电压表</w:t>
            </w:r>
          </w:p>
        </w:tc>
        <w:tc>
          <w:tcPr>
            <w:tcW w:w="4897" w:type="dxa"/>
            <w:shd w:val="clear" w:color="auto" w:fill="auto"/>
            <w:vAlign w:val="center"/>
          </w:tcPr>
          <w:p w14:paraId="030A844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中演示电流电压表为指针式内磁结构，具有使用方便，性能稳定、安全可靠、演示直观等优点。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1.十四档测量量程，供教学演示实验中作检流计，测量直流电流、直流电压、交流电流、交流电压等之用。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DCA:-500μA-0-+500μA，0-10-100mA-1-5A；DCV：0-5-10V；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ACA:0-10-100mA-1-5A；ACV:0-10-50-250V；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3.基本误差：±2.5%；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4.阻尼时间：≤6S；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5.重量：1Kg；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6.规格300×270×115mm；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7.准确度等级：2.5级。</w:t>
            </w:r>
          </w:p>
        </w:tc>
        <w:tc>
          <w:tcPr>
            <w:tcW w:w="462" w:type="dxa"/>
            <w:shd w:val="clear" w:color="auto" w:fill="auto"/>
            <w:noWrap/>
            <w:vAlign w:val="center"/>
          </w:tcPr>
          <w:p w14:paraId="4580E7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D50B3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BF39C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631</w:t>
            </w:r>
          </w:p>
        </w:tc>
        <w:tc>
          <w:tcPr>
            <w:tcW w:w="1489" w:type="dxa"/>
            <w:shd w:val="clear" w:color="auto" w:fill="auto"/>
            <w:noWrap/>
            <w:vAlign w:val="center"/>
          </w:tcPr>
          <w:p w14:paraId="6BD7F7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631</w:t>
            </w:r>
          </w:p>
        </w:tc>
      </w:tr>
      <w:tr w14:paraId="28811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0BD9D2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37</w:t>
            </w:r>
          </w:p>
        </w:tc>
        <w:tc>
          <w:tcPr>
            <w:tcW w:w="1072" w:type="dxa"/>
            <w:shd w:val="clear" w:color="auto" w:fill="auto"/>
            <w:vAlign w:val="center"/>
          </w:tcPr>
          <w:p w14:paraId="05423B8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酸度计</w:t>
            </w:r>
          </w:p>
        </w:tc>
        <w:tc>
          <w:tcPr>
            <w:tcW w:w="4897" w:type="dxa"/>
            <w:shd w:val="clear" w:color="auto" w:fill="auto"/>
            <w:vAlign w:val="center"/>
          </w:tcPr>
          <w:p w14:paraId="58F3896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笔式，pH测量范围0</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14,分辨力0.1,读数清晰，有自动关机节电模式，配校准试剂</w:t>
            </w:r>
          </w:p>
        </w:tc>
        <w:tc>
          <w:tcPr>
            <w:tcW w:w="462" w:type="dxa"/>
            <w:shd w:val="clear" w:color="auto" w:fill="auto"/>
            <w:noWrap/>
            <w:vAlign w:val="center"/>
          </w:tcPr>
          <w:p w14:paraId="11EA4E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64E297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63EAC0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81</w:t>
            </w:r>
          </w:p>
        </w:tc>
        <w:tc>
          <w:tcPr>
            <w:tcW w:w="1489" w:type="dxa"/>
            <w:shd w:val="clear" w:color="auto" w:fill="auto"/>
            <w:noWrap/>
            <w:vAlign w:val="center"/>
          </w:tcPr>
          <w:p w14:paraId="3FDD51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1215</w:t>
            </w:r>
          </w:p>
        </w:tc>
      </w:tr>
      <w:tr w14:paraId="4D88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AD421A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38</w:t>
            </w:r>
          </w:p>
        </w:tc>
        <w:tc>
          <w:tcPr>
            <w:tcW w:w="1072" w:type="dxa"/>
            <w:shd w:val="clear" w:color="auto" w:fill="auto"/>
            <w:vAlign w:val="center"/>
          </w:tcPr>
          <w:p w14:paraId="371B0B2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教学支架</w:t>
            </w:r>
          </w:p>
        </w:tc>
        <w:tc>
          <w:tcPr>
            <w:tcW w:w="4897" w:type="dxa"/>
            <w:shd w:val="clear" w:color="auto" w:fill="auto"/>
            <w:vAlign w:val="center"/>
          </w:tcPr>
          <w:p w14:paraId="2388E0E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包括方形座,立杆,平行夹,垂直夹两个,烧瓶夹,大铁环,小铁环,吊杆。重心稳定不晃动,烧瓶夹内侧应有缓压层</w:t>
            </w:r>
          </w:p>
        </w:tc>
        <w:tc>
          <w:tcPr>
            <w:tcW w:w="462" w:type="dxa"/>
            <w:shd w:val="clear" w:color="auto" w:fill="auto"/>
            <w:noWrap/>
            <w:vAlign w:val="center"/>
          </w:tcPr>
          <w:p w14:paraId="55295E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2F28B5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47D9F7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83</w:t>
            </w:r>
          </w:p>
        </w:tc>
        <w:tc>
          <w:tcPr>
            <w:tcW w:w="1489" w:type="dxa"/>
            <w:shd w:val="clear" w:color="auto" w:fill="auto"/>
            <w:noWrap/>
            <w:vAlign w:val="center"/>
          </w:tcPr>
          <w:p w14:paraId="0FE7DF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2490</w:t>
            </w:r>
          </w:p>
        </w:tc>
      </w:tr>
      <w:tr w14:paraId="35DD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B363E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39</w:t>
            </w:r>
          </w:p>
        </w:tc>
        <w:tc>
          <w:tcPr>
            <w:tcW w:w="1072" w:type="dxa"/>
            <w:shd w:val="clear" w:color="auto" w:fill="auto"/>
            <w:vAlign w:val="center"/>
          </w:tcPr>
          <w:p w14:paraId="370D10A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三脚架</w:t>
            </w:r>
          </w:p>
        </w:tc>
        <w:tc>
          <w:tcPr>
            <w:tcW w:w="4897" w:type="dxa"/>
            <w:shd w:val="clear" w:color="auto" w:fill="auto"/>
            <w:vAlign w:val="center"/>
          </w:tcPr>
          <w:p w14:paraId="0B45A2A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铁制，环内径75mm,高150mm</w:t>
            </w:r>
          </w:p>
        </w:tc>
        <w:tc>
          <w:tcPr>
            <w:tcW w:w="462" w:type="dxa"/>
            <w:shd w:val="clear" w:color="auto" w:fill="auto"/>
            <w:noWrap/>
            <w:vAlign w:val="center"/>
          </w:tcPr>
          <w:p w14:paraId="097EB1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C7C73D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2D75C9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1ACFED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2E3C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918146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40</w:t>
            </w:r>
          </w:p>
        </w:tc>
        <w:tc>
          <w:tcPr>
            <w:tcW w:w="1072" w:type="dxa"/>
            <w:shd w:val="clear" w:color="auto" w:fill="auto"/>
            <w:vAlign w:val="center"/>
          </w:tcPr>
          <w:p w14:paraId="4BD45CF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泥三角</w:t>
            </w:r>
          </w:p>
        </w:tc>
        <w:tc>
          <w:tcPr>
            <w:tcW w:w="4897" w:type="dxa"/>
            <w:shd w:val="clear" w:color="auto" w:fill="auto"/>
            <w:vAlign w:val="center"/>
          </w:tcPr>
          <w:p w14:paraId="2CFF082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陶制或者瓷制,内径应保证稳定支撑30mm坩埚</w:t>
            </w:r>
          </w:p>
        </w:tc>
        <w:tc>
          <w:tcPr>
            <w:tcW w:w="462" w:type="dxa"/>
            <w:shd w:val="clear" w:color="auto" w:fill="auto"/>
            <w:noWrap/>
            <w:vAlign w:val="center"/>
          </w:tcPr>
          <w:p w14:paraId="4EE8C8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364FF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4BC3A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241AAB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7CF1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39E90A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41</w:t>
            </w:r>
          </w:p>
        </w:tc>
        <w:tc>
          <w:tcPr>
            <w:tcW w:w="1072" w:type="dxa"/>
            <w:shd w:val="clear" w:color="auto" w:fill="auto"/>
            <w:vAlign w:val="center"/>
          </w:tcPr>
          <w:p w14:paraId="0520928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试管架</w:t>
            </w:r>
          </w:p>
        </w:tc>
        <w:tc>
          <w:tcPr>
            <w:tcW w:w="4897" w:type="dxa"/>
            <w:shd w:val="clear" w:color="auto" w:fill="auto"/>
            <w:vAlign w:val="center"/>
          </w:tcPr>
          <w:p w14:paraId="4DA193B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木制或塑料制，8孔，孔径21mm,立柱粘结牢固</w:t>
            </w:r>
          </w:p>
        </w:tc>
        <w:tc>
          <w:tcPr>
            <w:tcW w:w="462" w:type="dxa"/>
            <w:shd w:val="clear" w:color="auto" w:fill="auto"/>
            <w:noWrap/>
            <w:vAlign w:val="center"/>
          </w:tcPr>
          <w:p w14:paraId="4AADA5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2C387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222C9D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24A22E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390</w:t>
            </w:r>
          </w:p>
        </w:tc>
      </w:tr>
      <w:tr w14:paraId="0CB9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1645C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42</w:t>
            </w:r>
          </w:p>
        </w:tc>
        <w:tc>
          <w:tcPr>
            <w:tcW w:w="1072" w:type="dxa"/>
            <w:shd w:val="clear" w:color="auto" w:fill="auto"/>
            <w:vAlign w:val="center"/>
          </w:tcPr>
          <w:p w14:paraId="2480124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试管架</w:t>
            </w:r>
          </w:p>
        </w:tc>
        <w:tc>
          <w:tcPr>
            <w:tcW w:w="4897" w:type="dxa"/>
            <w:shd w:val="clear" w:color="auto" w:fill="auto"/>
            <w:vAlign w:val="center"/>
          </w:tcPr>
          <w:p w14:paraId="6049001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木制或塑料制,8孔,孔径25mm</w:t>
            </w:r>
          </w:p>
        </w:tc>
        <w:tc>
          <w:tcPr>
            <w:tcW w:w="462" w:type="dxa"/>
            <w:shd w:val="clear" w:color="auto" w:fill="auto"/>
            <w:noWrap/>
            <w:vAlign w:val="center"/>
          </w:tcPr>
          <w:p w14:paraId="6B960A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61863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20B218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6B67EB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56</w:t>
            </w:r>
          </w:p>
        </w:tc>
      </w:tr>
      <w:tr w14:paraId="472D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A9DF1E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43</w:t>
            </w:r>
          </w:p>
        </w:tc>
        <w:tc>
          <w:tcPr>
            <w:tcW w:w="1072" w:type="dxa"/>
            <w:shd w:val="clear" w:color="auto" w:fill="auto"/>
            <w:vAlign w:val="center"/>
          </w:tcPr>
          <w:p w14:paraId="2855311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试管架</w:t>
            </w:r>
          </w:p>
        </w:tc>
        <w:tc>
          <w:tcPr>
            <w:tcW w:w="4897" w:type="dxa"/>
            <w:shd w:val="clear" w:color="auto" w:fill="auto"/>
            <w:vAlign w:val="center"/>
          </w:tcPr>
          <w:p w14:paraId="6748E57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木制或塑料制,8孔,孔径35mm</w:t>
            </w:r>
          </w:p>
        </w:tc>
        <w:tc>
          <w:tcPr>
            <w:tcW w:w="462" w:type="dxa"/>
            <w:shd w:val="clear" w:color="auto" w:fill="auto"/>
            <w:noWrap/>
            <w:vAlign w:val="center"/>
          </w:tcPr>
          <w:p w14:paraId="7298FE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257D6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2ECF9D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c>
          <w:tcPr>
            <w:tcW w:w="1489" w:type="dxa"/>
            <w:shd w:val="clear" w:color="auto" w:fill="auto"/>
            <w:noWrap/>
            <w:vAlign w:val="center"/>
          </w:tcPr>
          <w:p w14:paraId="6DE361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68</w:t>
            </w:r>
          </w:p>
        </w:tc>
      </w:tr>
      <w:tr w14:paraId="2CC1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90DEDC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44</w:t>
            </w:r>
          </w:p>
        </w:tc>
        <w:tc>
          <w:tcPr>
            <w:tcW w:w="1072" w:type="dxa"/>
            <w:shd w:val="clear" w:color="auto" w:fill="auto"/>
            <w:vAlign w:val="center"/>
          </w:tcPr>
          <w:p w14:paraId="36687EE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漏斗架</w:t>
            </w:r>
          </w:p>
        </w:tc>
        <w:tc>
          <w:tcPr>
            <w:tcW w:w="4897" w:type="dxa"/>
            <w:shd w:val="clear" w:color="auto" w:fill="auto"/>
            <w:vAlign w:val="center"/>
          </w:tcPr>
          <w:p w14:paraId="61D85A6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木制或塑料制</w:t>
            </w:r>
          </w:p>
        </w:tc>
        <w:tc>
          <w:tcPr>
            <w:tcW w:w="462" w:type="dxa"/>
            <w:shd w:val="clear" w:color="auto" w:fill="auto"/>
            <w:noWrap/>
            <w:vAlign w:val="center"/>
          </w:tcPr>
          <w:p w14:paraId="4411D5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B394B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02279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259052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2158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2A12F5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45</w:t>
            </w:r>
          </w:p>
        </w:tc>
        <w:tc>
          <w:tcPr>
            <w:tcW w:w="1072" w:type="dxa"/>
            <w:shd w:val="clear" w:color="auto" w:fill="auto"/>
            <w:vAlign w:val="center"/>
          </w:tcPr>
          <w:p w14:paraId="4CA2540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滴定台</w:t>
            </w:r>
          </w:p>
        </w:tc>
        <w:tc>
          <w:tcPr>
            <w:tcW w:w="4897" w:type="dxa"/>
            <w:shd w:val="clear" w:color="auto" w:fill="auto"/>
            <w:vAlign w:val="center"/>
          </w:tcPr>
          <w:p w14:paraId="0A7E839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人造石或大理石白色台面,重心稳定不晃动,底部有四个橡胶垫脚</w:t>
            </w:r>
          </w:p>
        </w:tc>
        <w:tc>
          <w:tcPr>
            <w:tcW w:w="462" w:type="dxa"/>
            <w:shd w:val="clear" w:color="auto" w:fill="auto"/>
            <w:noWrap/>
            <w:vAlign w:val="center"/>
          </w:tcPr>
          <w:p w14:paraId="3289D7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D2969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8B123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31</w:t>
            </w:r>
          </w:p>
        </w:tc>
        <w:tc>
          <w:tcPr>
            <w:tcW w:w="1489" w:type="dxa"/>
            <w:shd w:val="clear" w:color="auto" w:fill="auto"/>
            <w:noWrap/>
            <w:vAlign w:val="center"/>
          </w:tcPr>
          <w:p w14:paraId="6EB142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930</w:t>
            </w:r>
          </w:p>
        </w:tc>
      </w:tr>
      <w:tr w14:paraId="4913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C13FD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46</w:t>
            </w:r>
          </w:p>
        </w:tc>
        <w:tc>
          <w:tcPr>
            <w:tcW w:w="1072" w:type="dxa"/>
            <w:shd w:val="clear" w:color="auto" w:fill="auto"/>
            <w:vAlign w:val="center"/>
          </w:tcPr>
          <w:p w14:paraId="20BBDB5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滴定夹</w:t>
            </w:r>
          </w:p>
        </w:tc>
        <w:tc>
          <w:tcPr>
            <w:tcW w:w="4897" w:type="dxa"/>
            <w:shd w:val="clear" w:color="auto" w:fill="auto"/>
            <w:vAlign w:val="center"/>
          </w:tcPr>
          <w:p w14:paraId="61DACBE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铝制,加持部位有防滑脱凹槽</w:t>
            </w:r>
          </w:p>
        </w:tc>
        <w:tc>
          <w:tcPr>
            <w:tcW w:w="462" w:type="dxa"/>
            <w:shd w:val="clear" w:color="auto" w:fill="auto"/>
            <w:noWrap/>
            <w:vAlign w:val="center"/>
          </w:tcPr>
          <w:p w14:paraId="21CD76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24E73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76BE99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09241A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5735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29EDA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47</w:t>
            </w:r>
          </w:p>
        </w:tc>
        <w:tc>
          <w:tcPr>
            <w:tcW w:w="1072" w:type="dxa"/>
            <w:shd w:val="clear" w:color="auto" w:fill="auto"/>
            <w:vAlign w:val="center"/>
          </w:tcPr>
          <w:p w14:paraId="4A8FAED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多用滴管架</w:t>
            </w:r>
          </w:p>
        </w:tc>
        <w:tc>
          <w:tcPr>
            <w:tcW w:w="4897" w:type="dxa"/>
            <w:shd w:val="clear" w:color="auto" w:fill="auto"/>
            <w:vAlign w:val="center"/>
          </w:tcPr>
          <w:p w14:paraId="053308E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塑料制,底部有圆形凹槽</w:t>
            </w:r>
          </w:p>
        </w:tc>
        <w:tc>
          <w:tcPr>
            <w:tcW w:w="462" w:type="dxa"/>
            <w:shd w:val="clear" w:color="auto" w:fill="auto"/>
            <w:noWrap/>
            <w:vAlign w:val="center"/>
          </w:tcPr>
          <w:p w14:paraId="11EA6D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971D5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4F2538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6200E3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4925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9D86CF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48</w:t>
            </w:r>
          </w:p>
        </w:tc>
        <w:tc>
          <w:tcPr>
            <w:tcW w:w="1072" w:type="dxa"/>
            <w:shd w:val="clear" w:color="auto" w:fill="auto"/>
            <w:vAlign w:val="center"/>
          </w:tcPr>
          <w:p w14:paraId="3ED9ADE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移液管架</w:t>
            </w:r>
          </w:p>
        </w:tc>
        <w:tc>
          <w:tcPr>
            <w:tcW w:w="4897" w:type="dxa"/>
            <w:shd w:val="clear" w:color="auto" w:fill="auto"/>
            <w:vAlign w:val="center"/>
          </w:tcPr>
          <w:p w14:paraId="3FF247A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塑料制</w:t>
            </w:r>
          </w:p>
        </w:tc>
        <w:tc>
          <w:tcPr>
            <w:tcW w:w="462" w:type="dxa"/>
            <w:shd w:val="clear" w:color="auto" w:fill="auto"/>
            <w:noWrap/>
            <w:vAlign w:val="center"/>
          </w:tcPr>
          <w:p w14:paraId="4CB36A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9F71C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81DAB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74</w:t>
            </w:r>
          </w:p>
        </w:tc>
        <w:tc>
          <w:tcPr>
            <w:tcW w:w="1489" w:type="dxa"/>
            <w:shd w:val="clear" w:color="auto" w:fill="auto"/>
            <w:noWrap/>
            <w:vAlign w:val="center"/>
          </w:tcPr>
          <w:p w14:paraId="654953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1110</w:t>
            </w:r>
          </w:p>
        </w:tc>
      </w:tr>
      <w:tr w14:paraId="7B0B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E0C82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49</w:t>
            </w:r>
          </w:p>
        </w:tc>
        <w:tc>
          <w:tcPr>
            <w:tcW w:w="1072" w:type="dxa"/>
            <w:shd w:val="clear" w:color="auto" w:fill="auto"/>
            <w:vAlign w:val="center"/>
          </w:tcPr>
          <w:p w14:paraId="226A60F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比色管架</w:t>
            </w:r>
          </w:p>
        </w:tc>
        <w:tc>
          <w:tcPr>
            <w:tcW w:w="4897" w:type="dxa"/>
            <w:shd w:val="clear" w:color="auto" w:fill="auto"/>
            <w:vAlign w:val="center"/>
          </w:tcPr>
          <w:p w14:paraId="6615FE4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塑料制,6孔</w:t>
            </w:r>
          </w:p>
        </w:tc>
        <w:tc>
          <w:tcPr>
            <w:tcW w:w="462" w:type="dxa"/>
            <w:shd w:val="clear" w:color="auto" w:fill="auto"/>
            <w:noWrap/>
            <w:vAlign w:val="center"/>
          </w:tcPr>
          <w:p w14:paraId="74C8C5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55C2B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C0329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62</w:t>
            </w:r>
          </w:p>
        </w:tc>
        <w:tc>
          <w:tcPr>
            <w:tcW w:w="1489" w:type="dxa"/>
            <w:shd w:val="clear" w:color="auto" w:fill="auto"/>
            <w:noWrap/>
            <w:vAlign w:val="center"/>
          </w:tcPr>
          <w:p w14:paraId="306703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930</w:t>
            </w:r>
          </w:p>
        </w:tc>
      </w:tr>
      <w:tr w14:paraId="4E8E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0FBE12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50</w:t>
            </w:r>
          </w:p>
        </w:tc>
        <w:tc>
          <w:tcPr>
            <w:tcW w:w="1072" w:type="dxa"/>
            <w:shd w:val="clear" w:color="auto" w:fill="auto"/>
            <w:vAlign w:val="center"/>
          </w:tcPr>
          <w:p w14:paraId="59FA47B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升降台</w:t>
            </w:r>
          </w:p>
        </w:tc>
        <w:tc>
          <w:tcPr>
            <w:tcW w:w="4897" w:type="dxa"/>
            <w:shd w:val="clear" w:color="auto" w:fill="auto"/>
            <w:vAlign w:val="center"/>
          </w:tcPr>
          <w:p w14:paraId="719D7B6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1、产品由上面板、下面板、旋转轴、手轮等组成。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2、升降范围不小于150mm，载重量不小于10kg。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3、工作台面：上面板150mm×150mm，下底板180mm×180mm。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4、上下面板均采用厚不小于1mm的冷轧板冲压成型，成型厚度约8mm，表面烤黑漆。其它金属表面均电镀处理。</w:t>
            </w:r>
          </w:p>
        </w:tc>
        <w:tc>
          <w:tcPr>
            <w:tcW w:w="462" w:type="dxa"/>
            <w:shd w:val="clear" w:color="auto" w:fill="auto"/>
            <w:noWrap/>
            <w:vAlign w:val="center"/>
          </w:tcPr>
          <w:p w14:paraId="419376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13DCD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4AFDC5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182</w:t>
            </w:r>
          </w:p>
        </w:tc>
        <w:tc>
          <w:tcPr>
            <w:tcW w:w="1489" w:type="dxa"/>
            <w:shd w:val="clear" w:color="auto" w:fill="auto"/>
            <w:noWrap/>
            <w:vAlign w:val="center"/>
          </w:tcPr>
          <w:p w14:paraId="048DCA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5460</w:t>
            </w:r>
          </w:p>
        </w:tc>
      </w:tr>
      <w:tr w14:paraId="18EC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1D0F9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51</w:t>
            </w:r>
          </w:p>
        </w:tc>
        <w:tc>
          <w:tcPr>
            <w:tcW w:w="1072" w:type="dxa"/>
            <w:shd w:val="clear" w:color="auto" w:fill="auto"/>
            <w:vAlign w:val="center"/>
          </w:tcPr>
          <w:p w14:paraId="28ECA17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18FA811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10mL，透明钠钙玻璃制，分度线、数字和标志应完整、清晰和耐久，容积为20℃时充满量筒刻度线所容纳体积</w:t>
            </w:r>
          </w:p>
        </w:tc>
        <w:tc>
          <w:tcPr>
            <w:tcW w:w="462" w:type="dxa"/>
            <w:shd w:val="clear" w:color="auto" w:fill="auto"/>
            <w:noWrap/>
            <w:vAlign w:val="center"/>
          </w:tcPr>
          <w:p w14:paraId="5D36E7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E5586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521639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99EB7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1BB0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68A158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52</w:t>
            </w:r>
          </w:p>
        </w:tc>
        <w:tc>
          <w:tcPr>
            <w:tcW w:w="1072" w:type="dxa"/>
            <w:shd w:val="clear" w:color="auto" w:fill="auto"/>
            <w:vAlign w:val="center"/>
          </w:tcPr>
          <w:p w14:paraId="3A68E65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655A3D1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20mL，透明钠钙玻璃制，分度线、数字和标志应完整、清晰和耐久，容积为20℃时充满量筒刻度线所容纳体积</w:t>
            </w:r>
          </w:p>
        </w:tc>
        <w:tc>
          <w:tcPr>
            <w:tcW w:w="462" w:type="dxa"/>
            <w:shd w:val="clear" w:color="auto" w:fill="auto"/>
            <w:noWrap/>
            <w:vAlign w:val="center"/>
          </w:tcPr>
          <w:p w14:paraId="51E6D4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F760C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0EBF09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51ED67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285FD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C45E03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53</w:t>
            </w:r>
          </w:p>
        </w:tc>
        <w:tc>
          <w:tcPr>
            <w:tcW w:w="1072" w:type="dxa"/>
            <w:shd w:val="clear" w:color="auto" w:fill="auto"/>
            <w:vAlign w:val="center"/>
          </w:tcPr>
          <w:p w14:paraId="2FB69EC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0BF51B9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50mL，透明钠钙玻璃制，分度线、数字和标志应完整、清晰和耐久，容积为20℃时充满量筒刻度线所容纳体积</w:t>
            </w:r>
          </w:p>
        </w:tc>
        <w:tc>
          <w:tcPr>
            <w:tcW w:w="462" w:type="dxa"/>
            <w:shd w:val="clear" w:color="auto" w:fill="auto"/>
            <w:noWrap/>
            <w:vAlign w:val="center"/>
          </w:tcPr>
          <w:p w14:paraId="55315D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1DD07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776D6B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3BB4F6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75F3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095D14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54</w:t>
            </w:r>
          </w:p>
        </w:tc>
        <w:tc>
          <w:tcPr>
            <w:tcW w:w="1072" w:type="dxa"/>
            <w:shd w:val="clear" w:color="auto" w:fill="auto"/>
            <w:vAlign w:val="center"/>
          </w:tcPr>
          <w:p w14:paraId="0E8A3D1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6855E92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100mL，透明钠钙玻璃制，分度线、数字和标志应完整、清晰和耐久，容积为20℃时充满量筒刻度线所容纳体积</w:t>
            </w:r>
          </w:p>
        </w:tc>
        <w:tc>
          <w:tcPr>
            <w:tcW w:w="462" w:type="dxa"/>
            <w:shd w:val="clear" w:color="auto" w:fill="auto"/>
            <w:noWrap/>
            <w:vAlign w:val="center"/>
          </w:tcPr>
          <w:p w14:paraId="42DE6E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A30A1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66B6F8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147209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5646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C99C34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55</w:t>
            </w:r>
          </w:p>
        </w:tc>
        <w:tc>
          <w:tcPr>
            <w:tcW w:w="1072" w:type="dxa"/>
            <w:shd w:val="clear" w:color="auto" w:fill="auto"/>
            <w:vAlign w:val="center"/>
          </w:tcPr>
          <w:p w14:paraId="21E5186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6CE5848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500mL，透明钠钙玻璃制，分度线、数字和标志应完整、清晰和耐久，容积为20℃时充满量筒刻度线所容纳体积</w:t>
            </w:r>
          </w:p>
        </w:tc>
        <w:tc>
          <w:tcPr>
            <w:tcW w:w="462" w:type="dxa"/>
            <w:shd w:val="clear" w:color="auto" w:fill="auto"/>
            <w:noWrap/>
            <w:vAlign w:val="center"/>
          </w:tcPr>
          <w:p w14:paraId="3C1909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7A08F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55BA10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c>
          <w:tcPr>
            <w:tcW w:w="1489" w:type="dxa"/>
            <w:shd w:val="clear" w:color="auto" w:fill="auto"/>
            <w:noWrap/>
            <w:vAlign w:val="center"/>
          </w:tcPr>
          <w:p w14:paraId="5E0A90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58</w:t>
            </w:r>
          </w:p>
        </w:tc>
      </w:tr>
      <w:tr w14:paraId="3C09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343DDE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56</w:t>
            </w:r>
          </w:p>
        </w:tc>
        <w:tc>
          <w:tcPr>
            <w:tcW w:w="1072" w:type="dxa"/>
            <w:shd w:val="clear" w:color="auto" w:fill="auto"/>
            <w:vAlign w:val="center"/>
          </w:tcPr>
          <w:p w14:paraId="0DA43B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709569B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1000mL，透明钠钙玻璃制，分度线、数字和标志应完整、清晰和耐久，容积为20℃时充满量筒刻度线所容纳体积</w:t>
            </w:r>
          </w:p>
        </w:tc>
        <w:tc>
          <w:tcPr>
            <w:tcW w:w="462" w:type="dxa"/>
            <w:shd w:val="clear" w:color="auto" w:fill="auto"/>
            <w:noWrap/>
            <w:vAlign w:val="center"/>
          </w:tcPr>
          <w:p w14:paraId="2F04EB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AC277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417432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w:t>
            </w:r>
          </w:p>
        </w:tc>
        <w:tc>
          <w:tcPr>
            <w:tcW w:w="1489" w:type="dxa"/>
            <w:shd w:val="clear" w:color="auto" w:fill="auto"/>
            <w:noWrap/>
            <w:vAlign w:val="center"/>
          </w:tcPr>
          <w:p w14:paraId="21CFCD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92</w:t>
            </w:r>
          </w:p>
        </w:tc>
      </w:tr>
      <w:tr w14:paraId="2C2D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E818F8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57</w:t>
            </w:r>
          </w:p>
        </w:tc>
        <w:tc>
          <w:tcPr>
            <w:tcW w:w="1072" w:type="dxa"/>
            <w:shd w:val="clear" w:color="auto" w:fill="auto"/>
            <w:vAlign w:val="center"/>
          </w:tcPr>
          <w:p w14:paraId="2B6CE11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0B0463D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50mL，透明硼硅酸盐玻璃制，刻度线应清晰耐久，粗细均匀，位于和瓶底平行的平面，围绕整个瓶颈</w:t>
            </w:r>
          </w:p>
        </w:tc>
        <w:tc>
          <w:tcPr>
            <w:tcW w:w="462" w:type="dxa"/>
            <w:shd w:val="clear" w:color="auto" w:fill="auto"/>
            <w:noWrap/>
            <w:vAlign w:val="center"/>
          </w:tcPr>
          <w:p w14:paraId="4277B8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5E82E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37598E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489" w:type="dxa"/>
            <w:shd w:val="clear" w:color="auto" w:fill="auto"/>
            <w:noWrap/>
            <w:vAlign w:val="center"/>
          </w:tcPr>
          <w:p w14:paraId="01CCE30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r>
      <w:tr w14:paraId="112F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5BEC90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58</w:t>
            </w:r>
          </w:p>
        </w:tc>
        <w:tc>
          <w:tcPr>
            <w:tcW w:w="1072" w:type="dxa"/>
            <w:shd w:val="clear" w:color="auto" w:fill="auto"/>
            <w:vAlign w:val="center"/>
          </w:tcPr>
          <w:p w14:paraId="6332C87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2E415C8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100mL，透明硼硅酸盐玻璃制，刻度线应清晰耐久，粗细均匀，位于和瓶底平行的平面，围绕整个瓶颈</w:t>
            </w:r>
          </w:p>
        </w:tc>
        <w:tc>
          <w:tcPr>
            <w:tcW w:w="462" w:type="dxa"/>
            <w:shd w:val="clear" w:color="auto" w:fill="auto"/>
            <w:noWrap/>
            <w:vAlign w:val="center"/>
          </w:tcPr>
          <w:p w14:paraId="1C87F5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6EC66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5612DD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2CD20C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390</w:t>
            </w:r>
          </w:p>
        </w:tc>
      </w:tr>
      <w:tr w14:paraId="5A65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437F44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59</w:t>
            </w:r>
          </w:p>
        </w:tc>
        <w:tc>
          <w:tcPr>
            <w:tcW w:w="1072" w:type="dxa"/>
            <w:shd w:val="clear" w:color="auto" w:fill="auto"/>
            <w:vAlign w:val="center"/>
          </w:tcPr>
          <w:p w14:paraId="21A32F4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0C593E1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250mL，透明硼硅酸盐玻璃制，刻度线应清晰耐久，粗细均匀，位于和瓶底平行的平面，围绕整个瓶颈</w:t>
            </w:r>
          </w:p>
        </w:tc>
        <w:tc>
          <w:tcPr>
            <w:tcW w:w="462" w:type="dxa"/>
            <w:shd w:val="clear" w:color="auto" w:fill="auto"/>
            <w:noWrap/>
            <w:vAlign w:val="center"/>
          </w:tcPr>
          <w:p w14:paraId="56AEB7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7B0E2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27F05F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c>
          <w:tcPr>
            <w:tcW w:w="1489" w:type="dxa"/>
            <w:shd w:val="clear" w:color="auto" w:fill="auto"/>
            <w:noWrap/>
            <w:vAlign w:val="center"/>
          </w:tcPr>
          <w:p w14:paraId="4B8578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80</w:t>
            </w:r>
          </w:p>
        </w:tc>
      </w:tr>
      <w:tr w14:paraId="535F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EC9DD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60</w:t>
            </w:r>
          </w:p>
        </w:tc>
        <w:tc>
          <w:tcPr>
            <w:tcW w:w="1072" w:type="dxa"/>
            <w:shd w:val="clear" w:color="auto" w:fill="auto"/>
            <w:vAlign w:val="center"/>
          </w:tcPr>
          <w:p w14:paraId="2670A77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4AD4351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500mL，透明硼硅酸盐玻璃制，刻度线应清晰耐久，粗细均匀，位于和瓶底平行的平面，围绕整个瓶颈</w:t>
            </w:r>
          </w:p>
        </w:tc>
        <w:tc>
          <w:tcPr>
            <w:tcW w:w="462" w:type="dxa"/>
            <w:shd w:val="clear" w:color="auto" w:fill="auto"/>
            <w:noWrap/>
            <w:vAlign w:val="center"/>
          </w:tcPr>
          <w:p w14:paraId="4A05EF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0D03E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2FFB15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4E66A8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84</w:t>
            </w:r>
          </w:p>
        </w:tc>
      </w:tr>
      <w:tr w14:paraId="0E02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842981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61</w:t>
            </w:r>
          </w:p>
        </w:tc>
        <w:tc>
          <w:tcPr>
            <w:tcW w:w="1072" w:type="dxa"/>
            <w:shd w:val="clear" w:color="auto" w:fill="auto"/>
            <w:vAlign w:val="center"/>
          </w:tcPr>
          <w:p w14:paraId="4DD0FD8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659BCC3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1000mL，透明硼硅酸盐玻璃制，刻度线应清晰耐久，粗细均匀，位于和瓶底平行的平面，围绕整个瓶颈</w:t>
            </w:r>
          </w:p>
        </w:tc>
        <w:tc>
          <w:tcPr>
            <w:tcW w:w="462" w:type="dxa"/>
            <w:shd w:val="clear" w:color="auto" w:fill="auto"/>
            <w:noWrap/>
            <w:vAlign w:val="center"/>
          </w:tcPr>
          <w:p w14:paraId="24F6F4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112E4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3CC98F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489" w:type="dxa"/>
            <w:shd w:val="clear" w:color="auto" w:fill="auto"/>
            <w:noWrap/>
            <w:vAlign w:val="center"/>
          </w:tcPr>
          <w:p w14:paraId="1B9068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4AAD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9E29CB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62</w:t>
            </w:r>
          </w:p>
        </w:tc>
        <w:tc>
          <w:tcPr>
            <w:tcW w:w="1072" w:type="dxa"/>
            <w:shd w:val="clear" w:color="auto" w:fill="auto"/>
            <w:vAlign w:val="center"/>
          </w:tcPr>
          <w:p w14:paraId="25A2052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滴定管</w:t>
            </w:r>
          </w:p>
        </w:tc>
        <w:tc>
          <w:tcPr>
            <w:tcW w:w="4897" w:type="dxa"/>
            <w:shd w:val="clear" w:color="auto" w:fill="auto"/>
            <w:vAlign w:val="center"/>
          </w:tcPr>
          <w:p w14:paraId="53AD3EC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酸式，25mL，透明钠钙玻璃制，应采用刻蚀刻度，刻度清晰不易腐蚀，整数分度应为环形刻度</w:t>
            </w:r>
          </w:p>
        </w:tc>
        <w:tc>
          <w:tcPr>
            <w:tcW w:w="462" w:type="dxa"/>
            <w:shd w:val="clear" w:color="auto" w:fill="auto"/>
            <w:noWrap/>
            <w:vAlign w:val="center"/>
          </w:tcPr>
          <w:p w14:paraId="384E31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2AC675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1A9476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489" w:type="dxa"/>
            <w:shd w:val="clear" w:color="auto" w:fill="auto"/>
            <w:noWrap/>
            <w:vAlign w:val="center"/>
          </w:tcPr>
          <w:p w14:paraId="4C9D54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900</w:t>
            </w:r>
          </w:p>
        </w:tc>
      </w:tr>
      <w:tr w14:paraId="0D00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348768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63</w:t>
            </w:r>
          </w:p>
        </w:tc>
        <w:tc>
          <w:tcPr>
            <w:tcW w:w="1072" w:type="dxa"/>
            <w:shd w:val="clear" w:color="auto" w:fill="auto"/>
            <w:vAlign w:val="center"/>
          </w:tcPr>
          <w:p w14:paraId="0DF74BD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滴定管</w:t>
            </w:r>
          </w:p>
        </w:tc>
        <w:tc>
          <w:tcPr>
            <w:tcW w:w="4897" w:type="dxa"/>
            <w:shd w:val="clear" w:color="auto" w:fill="auto"/>
            <w:vAlign w:val="center"/>
          </w:tcPr>
          <w:p w14:paraId="63265A0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碱式，25mL，透明钠钙玻璃制，应采用刻蚀刻度，刻度清晰不易腐蚀，整数分度应为环形刻度</w:t>
            </w:r>
          </w:p>
        </w:tc>
        <w:tc>
          <w:tcPr>
            <w:tcW w:w="462" w:type="dxa"/>
            <w:shd w:val="clear" w:color="auto" w:fill="auto"/>
            <w:noWrap/>
            <w:vAlign w:val="center"/>
          </w:tcPr>
          <w:p w14:paraId="515933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607AE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4FB84A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6C0168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3C6C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9606EB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64</w:t>
            </w:r>
          </w:p>
        </w:tc>
        <w:tc>
          <w:tcPr>
            <w:tcW w:w="1072" w:type="dxa"/>
            <w:shd w:val="clear" w:color="auto" w:fill="auto"/>
            <w:vAlign w:val="center"/>
          </w:tcPr>
          <w:p w14:paraId="3383A87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移液管</w:t>
            </w:r>
          </w:p>
        </w:tc>
        <w:tc>
          <w:tcPr>
            <w:tcW w:w="4897" w:type="dxa"/>
            <w:shd w:val="clear" w:color="auto" w:fill="auto"/>
            <w:vAlign w:val="center"/>
          </w:tcPr>
          <w:p w14:paraId="5CE3869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1mL，透明硼硅酸盐玻璃制</w:t>
            </w:r>
          </w:p>
        </w:tc>
        <w:tc>
          <w:tcPr>
            <w:tcW w:w="462" w:type="dxa"/>
            <w:shd w:val="clear" w:color="auto" w:fill="auto"/>
            <w:noWrap/>
            <w:vAlign w:val="center"/>
          </w:tcPr>
          <w:p w14:paraId="1FB058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B5259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132B09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00AE5E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128B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D96B4D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65</w:t>
            </w:r>
          </w:p>
        </w:tc>
        <w:tc>
          <w:tcPr>
            <w:tcW w:w="1072" w:type="dxa"/>
            <w:shd w:val="clear" w:color="auto" w:fill="auto"/>
            <w:vAlign w:val="center"/>
          </w:tcPr>
          <w:p w14:paraId="09A4E05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移液管</w:t>
            </w:r>
          </w:p>
        </w:tc>
        <w:tc>
          <w:tcPr>
            <w:tcW w:w="4897" w:type="dxa"/>
            <w:shd w:val="clear" w:color="auto" w:fill="auto"/>
            <w:vAlign w:val="center"/>
          </w:tcPr>
          <w:p w14:paraId="153F5EF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2mL，透明硼硅酸盐玻璃制</w:t>
            </w:r>
          </w:p>
        </w:tc>
        <w:tc>
          <w:tcPr>
            <w:tcW w:w="462" w:type="dxa"/>
            <w:shd w:val="clear" w:color="auto" w:fill="auto"/>
            <w:noWrap/>
            <w:vAlign w:val="center"/>
          </w:tcPr>
          <w:p w14:paraId="3B2A2E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5C4B79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5677973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44F1FD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7426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AC6B71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66</w:t>
            </w:r>
          </w:p>
        </w:tc>
        <w:tc>
          <w:tcPr>
            <w:tcW w:w="1072" w:type="dxa"/>
            <w:shd w:val="clear" w:color="auto" w:fill="auto"/>
            <w:vAlign w:val="center"/>
          </w:tcPr>
          <w:p w14:paraId="3469CA8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移液管</w:t>
            </w:r>
          </w:p>
        </w:tc>
        <w:tc>
          <w:tcPr>
            <w:tcW w:w="4897" w:type="dxa"/>
            <w:shd w:val="clear" w:color="auto" w:fill="auto"/>
            <w:vAlign w:val="center"/>
          </w:tcPr>
          <w:p w14:paraId="598BCEF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5mL，透明硼硅酸盐玻璃制</w:t>
            </w:r>
          </w:p>
        </w:tc>
        <w:tc>
          <w:tcPr>
            <w:tcW w:w="462" w:type="dxa"/>
            <w:shd w:val="clear" w:color="auto" w:fill="auto"/>
            <w:noWrap/>
            <w:vAlign w:val="center"/>
          </w:tcPr>
          <w:p w14:paraId="6390F5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B2E2DB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59D8C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4822A5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105</w:t>
            </w:r>
          </w:p>
        </w:tc>
      </w:tr>
      <w:tr w14:paraId="2360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DC5F9F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67</w:t>
            </w:r>
          </w:p>
        </w:tc>
        <w:tc>
          <w:tcPr>
            <w:tcW w:w="1072" w:type="dxa"/>
            <w:shd w:val="clear" w:color="auto" w:fill="auto"/>
            <w:vAlign w:val="center"/>
          </w:tcPr>
          <w:p w14:paraId="2F13099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移液管</w:t>
            </w:r>
          </w:p>
        </w:tc>
        <w:tc>
          <w:tcPr>
            <w:tcW w:w="4897" w:type="dxa"/>
            <w:shd w:val="clear" w:color="auto" w:fill="auto"/>
            <w:vAlign w:val="center"/>
          </w:tcPr>
          <w:p w14:paraId="0863BAC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25mL，透明硼硅酸盐玻璃制</w:t>
            </w:r>
          </w:p>
        </w:tc>
        <w:tc>
          <w:tcPr>
            <w:tcW w:w="462" w:type="dxa"/>
            <w:shd w:val="clear" w:color="auto" w:fill="auto"/>
            <w:noWrap/>
            <w:vAlign w:val="center"/>
          </w:tcPr>
          <w:p w14:paraId="750029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22532C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6BEC5C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489" w:type="dxa"/>
            <w:shd w:val="clear" w:color="auto" w:fill="auto"/>
            <w:noWrap/>
            <w:vAlign w:val="center"/>
          </w:tcPr>
          <w:p w14:paraId="65AFC6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1BAA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0C3E66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68</w:t>
            </w:r>
          </w:p>
        </w:tc>
        <w:tc>
          <w:tcPr>
            <w:tcW w:w="1072" w:type="dxa"/>
            <w:shd w:val="clear" w:color="auto" w:fill="auto"/>
            <w:vAlign w:val="center"/>
          </w:tcPr>
          <w:p w14:paraId="3669EB3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1872280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Φ12mmX70mm，透明硼硅玻璃制</w:t>
            </w:r>
          </w:p>
        </w:tc>
        <w:tc>
          <w:tcPr>
            <w:tcW w:w="462" w:type="dxa"/>
            <w:shd w:val="clear" w:color="auto" w:fill="auto"/>
            <w:noWrap/>
            <w:vAlign w:val="center"/>
          </w:tcPr>
          <w:p w14:paraId="6E7656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CD221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c>
          <w:tcPr>
            <w:tcW w:w="1048" w:type="dxa"/>
            <w:shd w:val="clear" w:color="auto" w:fill="auto"/>
            <w:noWrap/>
            <w:vAlign w:val="center"/>
          </w:tcPr>
          <w:p w14:paraId="344F8D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6AF031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r>
      <w:tr w14:paraId="1E97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7D8108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69</w:t>
            </w:r>
          </w:p>
        </w:tc>
        <w:tc>
          <w:tcPr>
            <w:tcW w:w="1072" w:type="dxa"/>
            <w:shd w:val="clear" w:color="auto" w:fill="auto"/>
            <w:vAlign w:val="center"/>
          </w:tcPr>
          <w:p w14:paraId="66FECC6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57F38E1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Φ15mmX150mm，透明硼硅玻璃制</w:t>
            </w:r>
          </w:p>
        </w:tc>
        <w:tc>
          <w:tcPr>
            <w:tcW w:w="462" w:type="dxa"/>
            <w:shd w:val="clear" w:color="auto" w:fill="auto"/>
            <w:noWrap/>
            <w:vAlign w:val="center"/>
          </w:tcPr>
          <w:p w14:paraId="359DDA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03C3D1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c>
          <w:tcPr>
            <w:tcW w:w="1048" w:type="dxa"/>
            <w:shd w:val="clear" w:color="auto" w:fill="auto"/>
            <w:noWrap/>
            <w:vAlign w:val="center"/>
          </w:tcPr>
          <w:p w14:paraId="0A50FF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60685B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r>
      <w:tr w14:paraId="6108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774D01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70</w:t>
            </w:r>
          </w:p>
        </w:tc>
        <w:tc>
          <w:tcPr>
            <w:tcW w:w="1072" w:type="dxa"/>
            <w:shd w:val="clear" w:color="auto" w:fill="auto"/>
            <w:vAlign w:val="center"/>
          </w:tcPr>
          <w:p w14:paraId="175FDEA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53EE179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Φ18mmX180mm，透明硼硅玻璃制</w:t>
            </w:r>
          </w:p>
        </w:tc>
        <w:tc>
          <w:tcPr>
            <w:tcW w:w="462" w:type="dxa"/>
            <w:shd w:val="clear" w:color="auto" w:fill="auto"/>
            <w:noWrap/>
            <w:vAlign w:val="center"/>
          </w:tcPr>
          <w:p w14:paraId="700B00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711FEF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noWrap/>
            <w:vAlign w:val="center"/>
          </w:tcPr>
          <w:p w14:paraId="712AF4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17FD07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1371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5B8FF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71</w:t>
            </w:r>
          </w:p>
        </w:tc>
        <w:tc>
          <w:tcPr>
            <w:tcW w:w="1072" w:type="dxa"/>
            <w:shd w:val="clear" w:color="auto" w:fill="auto"/>
            <w:vAlign w:val="center"/>
          </w:tcPr>
          <w:p w14:paraId="3AADA0A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31F94F4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Φ20mmX200mm，透明硼硅玻璃制</w:t>
            </w:r>
          </w:p>
        </w:tc>
        <w:tc>
          <w:tcPr>
            <w:tcW w:w="462" w:type="dxa"/>
            <w:shd w:val="clear" w:color="auto" w:fill="auto"/>
            <w:noWrap/>
            <w:vAlign w:val="center"/>
          </w:tcPr>
          <w:p w14:paraId="446264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0DC8A8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65E313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536637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7DDD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748974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72</w:t>
            </w:r>
          </w:p>
        </w:tc>
        <w:tc>
          <w:tcPr>
            <w:tcW w:w="1072" w:type="dxa"/>
            <w:shd w:val="clear" w:color="auto" w:fill="auto"/>
            <w:vAlign w:val="center"/>
          </w:tcPr>
          <w:p w14:paraId="06E0444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64A733B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Φ32mmX200mm，透明硼硅玻璃制</w:t>
            </w:r>
          </w:p>
        </w:tc>
        <w:tc>
          <w:tcPr>
            <w:tcW w:w="462" w:type="dxa"/>
            <w:shd w:val="clear" w:color="auto" w:fill="auto"/>
            <w:noWrap/>
            <w:vAlign w:val="center"/>
          </w:tcPr>
          <w:p w14:paraId="7D773B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23E4F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0B8104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6F99E4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13F7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809B5B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73</w:t>
            </w:r>
          </w:p>
        </w:tc>
        <w:tc>
          <w:tcPr>
            <w:tcW w:w="1072" w:type="dxa"/>
            <w:shd w:val="clear" w:color="auto" w:fill="auto"/>
            <w:vAlign w:val="center"/>
          </w:tcPr>
          <w:p w14:paraId="178BE93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6D7FD43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Φ40mmX200mm，透明硼硅玻璃制</w:t>
            </w:r>
          </w:p>
        </w:tc>
        <w:tc>
          <w:tcPr>
            <w:tcW w:w="462" w:type="dxa"/>
            <w:shd w:val="clear" w:color="auto" w:fill="auto"/>
            <w:noWrap/>
            <w:vAlign w:val="center"/>
          </w:tcPr>
          <w:p w14:paraId="5BFD93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2A184A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00E01F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312C85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288</w:t>
            </w:r>
          </w:p>
        </w:tc>
      </w:tr>
      <w:tr w14:paraId="446C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79BFB9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74</w:t>
            </w:r>
          </w:p>
        </w:tc>
        <w:tc>
          <w:tcPr>
            <w:tcW w:w="1072" w:type="dxa"/>
            <w:shd w:val="clear" w:color="auto" w:fill="auto"/>
            <w:vAlign w:val="center"/>
          </w:tcPr>
          <w:p w14:paraId="260FD5F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具支试管</w:t>
            </w:r>
          </w:p>
        </w:tc>
        <w:tc>
          <w:tcPr>
            <w:tcW w:w="4897" w:type="dxa"/>
            <w:shd w:val="clear" w:color="auto" w:fill="auto"/>
            <w:vAlign w:val="center"/>
          </w:tcPr>
          <w:p w14:paraId="488F46F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Φ18mmX180mm，透明硼硅酸盐玻璃制，管底厚薄应均匀，支管连接应平滑牢固，不应有偏歪</w:t>
            </w:r>
          </w:p>
        </w:tc>
        <w:tc>
          <w:tcPr>
            <w:tcW w:w="462" w:type="dxa"/>
            <w:shd w:val="clear" w:color="auto" w:fill="auto"/>
            <w:noWrap/>
            <w:vAlign w:val="center"/>
          </w:tcPr>
          <w:p w14:paraId="3BA274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24B9B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048" w:type="dxa"/>
            <w:shd w:val="clear" w:color="auto" w:fill="auto"/>
            <w:noWrap/>
            <w:vAlign w:val="center"/>
          </w:tcPr>
          <w:p w14:paraId="09A3CE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6C34E6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r>
      <w:tr w14:paraId="69FB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9EEFA7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75</w:t>
            </w:r>
          </w:p>
        </w:tc>
        <w:tc>
          <w:tcPr>
            <w:tcW w:w="1072" w:type="dxa"/>
            <w:shd w:val="clear" w:color="auto" w:fill="auto"/>
            <w:vAlign w:val="center"/>
          </w:tcPr>
          <w:p w14:paraId="300C7B6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具支试管</w:t>
            </w:r>
          </w:p>
        </w:tc>
        <w:tc>
          <w:tcPr>
            <w:tcW w:w="4897" w:type="dxa"/>
            <w:shd w:val="clear" w:color="auto" w:fill="auto"/>
            <w:vAlign w:val="center"/>
          </w:tcPr>
          <w:p w14:paraId="69E7112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Φ25mmX200mm，透明硼硅酸盐玻璃制，管底厚薄应均匀，支管连接应平滑牢固，不应有偏歪</w:t>
            </w:r>
          </w:p>
        </w:tc>
        <w:tc>
          <w:tcPr>
            <w:tcW w:w="462" w:type="dxa"/>
            <w:shd w:val="clear" w:color="auto" w:fill="auto"/>
            <w:noWrap/>
            <w:vAlign w:val="center"/>
          </w:tcPr>
          <w:p w14:paraId="608922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080586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048" w:type="dxa"/>
            <w:shd w:val="clear" w:color="auto" w:fill="auto"/>
            <w:noWrap/>
            <w:vAlign w:val="center"/>
          </w:tcPr>
          <w:p w14:paraId="5701A8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759ED9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r>
      <w:tr w14:paraId="70D8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E4A1A1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76</w:t>
            </w:r>
          </w:p>
        </w:tc>
        <w:tc>
          <w:tcPr>
            <w:tcW w:w="1072" w:type="dxa"/>
            <w:shd w:val="clear" w:color="auto" w:fill="auto"/>
            <w:vAlign w:val="center"/>
          </w:tcPr>
          <w:p w14:paraId="5BD8EB0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硬质玻璃管</w:t>
            </w:r>
          </w:p>
        </w:tc>
        <w:tc>
          <w:tcPr>
            <w:tcW w:w="4897" w:type="dxa"/>
            <w:shd w:val="clear" w:color="auto" w:fill="auto"/>
            <w:vAlign w:val="center"/>
          </w:tcPr>
          <w:p w14:paraId="2BBD6E9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Φ15mmX150mm，透明硼硅酸盐玻璃制，耐热温度≥800℃,试管两端口部应卷口</w:t>
            </w:r>
          </w:p>
        </w:tc>
        <w:tc>
          <w:tcPr>
            <w:tcW w:w="462" w:type="dxa"/>
            <w:shd w:val="clear" w:color="auto" w:fill="auto"/>
            <w:noWrap/>
            <w:vAlign w:val="center"/>
          </w:tcPr>
          <w:p w14:paraId="1D488B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030EE0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6CCE76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479316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4EB0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9FBC1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77</w:t>
            </w:r>
          </w:p>
        </w:tc>
        <w:tc>
          <w:tcPr>
            <w:tcW w:w="1072" w:type="dxa"/>
            <w:shd w:val="clear" w:color="auto" w:fill="auto"/>
            <w:vAlign w:val="center"/>
          </w:tcPr>
          <w:p w14:paraId="3DFE9CB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硬质玻璃管</w:t>
            </w:r>
          </w:p>
        </w:tc>
        <w:tc>
          <w:tcPr>
            <w:tcW w:w="4897" w:type="dxa"/>
            <w:shd w:val="clear" w:color="auto" w:fill="auto"/>
            <w:vAlign w:val="center"/>
          </w:tcPr>
          <w:p w14:paraId="6BCFB9D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Φ20mmX250mm，透明硼硅酸盐玻璃制，耐热温度≥800℃,试管两端口部应卷口</w:t>
            </w:r>
          </w:p>
        </w:tc>
        <w:tc>
          <w:tcPr>
            <w:tcW w:w="462" w:type="dxa"/>
            <w:shd w:val="clear" w:color="auto" w:fill="auto"/>
            <w:noWrap/>
            <w:vAlign w:val="center"/>
          </w:tcPr>
          <w:p w14:paraId="1B19CD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7DCDC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noWrap/>
            <w:vAlign w:val="center"/>
          </w:tcPr>
          <w:p w14:paraId="7EF733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6C6DE3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3B68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003E4E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78</w:t>
            </w:r>
          </w:p>
        </w:tc>
        <w:tc>
          <w:tcPr>
            <w:tcW w:w="1072" w:type="dxa"/>
            <w:shd w:val="clear" w:color="auto" w:fill="auto"/>
            <w:vAlign w:val="center"/>
          </w:tcPr>
          <w:p w14:paraId="6070B70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5F2A440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737FF0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E4C37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1D00E3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461554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724E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1863E7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79</w:t>
            </w:r>
          </w:p>
        </w:tc>
        <w:tc>
          <w:tcPr>
            <w:tcW w:w="1072" w:type="dxa"/>
            <w:shd w:val="clear" w:color="auto" w:fill="auto"/>
            <w:vAlign w:val="center"/>
          </w:tcPr>
          <w:p w14:paraId="361775F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3D15153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6CDBB7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414A4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6F96E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0A0163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7D0A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D7ADB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80</w:t>
            </w:r>
          </w:p>
        </w:tc>
        <w:tc>
          <w:tcPr>
            <w:tcW w:w="1072" w:type="dxa"/>
            <w:shd w:val="clear" w:color="auto" w:fill="auto"/>
            <w:vAlign w:val="center"/>
          </w:tcPr>
          <w:p w14:paraId="202F606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549227F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0614BC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49DA3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0E9846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02D33E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359A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A87ED1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81</w:t>
            </w:r>
          </w:p>
        </w:tc>
        <w:tc>
          <w:tcPr>
            <w:tcW w:w="1072" w:type="dxa"/>
            <w:shd w:val="clear" w:color="auto" w:fill="auto"/>
            <w:vAlign w:val="center"/>
          </w:tcPr>
          <w:p w14:paraId="1B9E893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2C027C8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76707C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45772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39C707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236A06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650E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D76B24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82</w:t>
            </w:r>
          </w:p>
        </w:tc>
        <w:tc>
          <w:tcPr>
            <w:tcW w:w="1072" w:type="dxa"/>
            <w:shd w:val="clear" w:color="auto" w:fill="auto"/>
            <w:vAlign w:val="center"/>
          </w:tcPr>
          <w:p w14:paraId="1DA21A7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6EDD5A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3CDD78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75D6E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7657A6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1BAA08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0CBC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155407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83</w:t>
            </w:r>
          </w:p>
        </w:tc>
        <w:tc>
          <w:tcPr>
            <w:tcW w:w="1072" w:type="dxa"/>
            <w:shd w:val="clear" w:color="auto" w:fill="auto"/>
            <w:vAlign w:val="center"/>
          </w:tcPr>
          <w:p w14:paraId="3E9711B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448E5B7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2457B0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32C80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D57B0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580D2E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48F8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68346E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84</w:t>
            </w:r>
          </w:p>
        </w:tc>
        <w:tc>
          <w:tcPr>
            <w:tcW w:w="1072" w:type="dxa"/>
            <w:shd w:val="clear" w:color="auto" w:fill="auto"/>
            <w:vAlign w:val="center"/>
          </w:tcPr>
          <w:p w14:paraId="654446D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075F6D8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72FA3E7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53C4F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c>
          <w:tcPr>
            <w:tcW w:w="1048" w:type="dxa"/>
            <w:shd w:val="clear" w:color="auto" w:fill="auto"/>
            <w:noWrap/>
            <w:vAlign w:val="center"/>
          </w:tcPr>
          <w:p w14:paraId="75B63E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6B80D8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4E31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CA107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85</w:t>
            </w:r>
          </w:p>
        </w:tc>
        <w:tc>
          <w:tcPr>
            <w:tcW w:w="1072" w:type="dxa"/>
            <w:shd w:val="clear" w:color="auto" w:fill="auto"/>
            <w:vAlign w:val="center"/>
          </w:tcPr>
          <w:p w14:paraId="78E7011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5120E6D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764444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40036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073C55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c>
          <w:tcPr>
            <w:tcW w:w="1489" w:type="dxa"/>
            <w:shd w:val="clear" w:color="auto" w:fill="auto"/>
            <w:noWrap/>
            <w:vAlign w:val="center"/>
          </w:tcPr>
          <w:p w14:paraId="30A893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r>
      <w:tr w14:paraId="400B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B2605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86</w:t>
            </w:r>
          </w:p>
        </w:tc>
        <w:tc>
          <w:tcPr>
            <w:tcW w:w="1072" w:type="dxa"/>
            <w:shd w:val="clear" w:color="auto" w:fill="auto"/>
            <w:vAlign w:val="center"/>
          </w:tcPr>
          <w:p w14:paraId="66280A2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w:t>
            </w:r>
          </w:p>
        </w:tc>
        <w:tc>
          <w:tcPr>
            <w:tcW w:w="4897" w:type="dxa"/>
            <w:shd w:val="clear" w:color="auto" w:fill="auto"/>
            <w:vAlign w:val="center"/>
          </w:tcPr>
          <w:p w14:paraId="29198A3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圆底、长颈，250mL，透明硼硅酸盐玻璃制，玻璃薄厚均匀，底部应规整</w:t>
            </w:r>
          </w:p>
        </w:tc>
        <w:tc>
          <w:tcPr>
            <w:tcW w:w="462" w:type="dxa"/>
            <w:shd w:val="clear" w:color="auto" w:fill="auto"/>
            <w:noWrap/>
            <w:vAlign w:val="center"/>
          </w:tcPr>
          <w:p w14:paraId="53D89E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84C10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5930BD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3DE61D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2449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F677C7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87</w:t>
            </w:r>
          </w:p>
        </w:tc>
        <w:tc>
          <w:tcPr>
            <w:tcW w:w="1072" w:type="dxa"/>
            <w:shd w:val="clear" w:color="auto" w:fill="auto"/>
            <w:vAlign w:val="center"/>
          </w:tcPr>
          <w:p w14:paraId="101F9DA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w:t>
            </w:r>
          </w:p>
        </w:tc>
        <w:tc>
          <w:tcPr>
            <w:tcW w:w="4897" w:type="dxa"/>
            <w:shd w:val="clear" w:color="auto" w:fill="auto"/>
            <w:vAlign w:val="center"/>
          </w:tcPr>
          <w:p w14:paraId="27EFEC2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圆底，短颈，厚口250mL，透明硼硅酸盐玻璃制，玻璃薄厚均匀，底部应规整</w:t>
            </w:r>
          </w:p>
        </w:tc>
        <w:tc>
          <w:tcPr>
            <w:tcW w:w="462" w:type="dxa"/>
            <w:shd w:val="clear" w:color="auto" w:fill="auto"/>
            <w:noWrap/>
            <w:vAlign w:val="center"/>
          </w:tcPr>
          <w:p w14:paraId="3A428D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63658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0DDF52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4B62B1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216</w:t>
            </w:r>
          </w:p>
        </w:tc>
      </w:tr>
      <w:tr w14:paraId="2F5B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C5ABB5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88</w:t>
            </w:r>
          </w:p>
        </w:tc>
        <w:tc>
          <w:tcPr>
            <w:tcW w:w="1072" w:type="dxa"/>
            <w:shd w:val="clear" w:color="auto" w:fill="auto"/>
            <w:vAlign w:val="center"/>
          </w:tcPr>
          <w:p w14:paraId="7FD2176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w:t>
            </w:r>
          </w:p>
        </w:tc>
        <w:tc>
          <w:tcPr>
            <w:tcW w:w="4897" w:type="dxa"/>
            <w:shd w:val="clear" w:color="auto" w:fill="auto"/>
            <w:vAlign w:val="center"/>
          </w:tcPr>
          <w:p w14:paraId="39D7BA1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圆底，长颈，500mL,透明硼硅酸盐玻璃制，玻璃薄厚均匀，底部应规整</w:t>
            </w:r>
          </w:p>
        </w:tc>
        <w:tc>
          <w:tcPr>
            <w:tcW w:w="462" w:type="dxa"/>
            <w:shd w:val="clear" w:color="auto" w:fill="auto"/>
            <w:noWrap/>
            <w:vAlign w:val="center"/>
          </w:tcPr>
          <w:p w14:paraId="240B7D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7EB621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C1FCB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noWrap/>
            <w:vAlign w:val="center"/>
          </w:tcPr>
          <w:p w14:paraId="7ABC92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315</w:t>
            </w:r>
          </w:p>
        </w:tc>
      </w:tr>
      <w:tr w14:paraId="3567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23995E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89</w:t>
            </w:r>
          </w:p>
        </w:tc>
        <w:tc>
          <w:tcPr>
            <w:tcW w:w="1072" w:type="dxa"/>
            <w:shd w:val="clear" w:color="auto" w:fill="auto"/>
            <w:vAlign w:val="center"/>
          </w:tcPr>
          <w:p w14:paraId="5638844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w:t>
            </w:r>
          </w:p>
        </w:tc>
        <w:tc>
          <w:tcPr>
            <w:tcW w:w="4897" w:type="dxa"/>
            <w:shd w:val="clear" w:color="auto" w:fill="auto"/>
            <w:vAlign w:val="center"/>
          </w:tcPr>
          <w:p w14:paraId="51385F7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平底、长颈，250mL，透明硼硅酸盐玻璃制，平底烧瓶底部应平整，放在平台上应直立不摇晃</w:t>
            </w:r>
          </w:p>
        </w:tc>
        <w:tc>
          <w:tcPr>
            <w:tcW w:w="462" w:type="dxa"/>
            <w:shd w:val="clear" w:color="auto" w:fill="auto"/>
            <w:noWrap/>
            <w:vAlign w:val="center"/>
          </w:tcPr>
          <w:p w14:paraId="7AB2CB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82440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61B967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20C15F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7504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E4D7B8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90</w:t>
            </w:r>
          </w:p>
        </w:tc>
        <w:tc>
          <w:tcPr>
            <w:tcW w:w="1072" w:type="dxa"/>
            <w:shd w:val="clear" w:color="auto" w:fill="auto"/>
            <w:vAlign w:val="center"/>
          </w:tcPr>
          <w:p w14:paraId="0D884EF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414B508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100mL，透明硼硅酸盐玻璃制，放在平台上应直立不摇晃</w:t>
            </w:r>
          </w:p>
        </w:tc>
        <w:tc>
          <w:tcPr>
            <w:tcW w:w="462" w:type="dxa"/>
            <w:shd w:val="clear" w:color="auto" w:fill="auto"/>
            <w:noWrap/>
            <w:vAlign w:val="center"/>
          </w:tcPr>
          <w:p w14:paraId="015CED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51EE2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CEBC0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noWrap/>
            <w:vAlign w:val="center"/>
          </w:tcPr>
          <w:p w14:paraId="2B479A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330</w:t>
            </w:r>
          </w:p>
        </w:tc>
      </w:tr>
      <w:tr w14:paraId="3CF6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E2D660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91</w:t>
            </w:r>
          </w:p>
        </w:tc>
        <w:tc>
          <w:tcPr>
            <w:tcW w:w="1072" w:type="dxa"/>
            <w:shd w:val="clear" w:color="auto" w:fill="auto"/>
            <w:vAlign w:val="center"/>
          </w:tcPr>
          <w:p w14:paraId="3EB0AA0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1A76EBC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250mL，透明硼硅酸盐玻璃制，放在平台上应直立不摇晃</w:t>
            </w:r>
          </w:p>
        </w:tc>
        <w:tc>
          <w:tcPr>
            <w:tcW w:w="462" w:type="dxa"/>
            <w:shd w:val="clear" w:color="auto" w:fill="auto"/>
            <w:noWrap/>
            <w:vAlign w:val="center"/>
          </w:tcPr>
          <w:p w14:paraId="5F406E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5E6FD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98587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229EB0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234</w:t>
            </w:r>
          </w:p>
        </w:tc>
      </w:tr>
      <w:tr w14:paraId="1B343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36D50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92</w:t>
            </w:r>
          </w:p>
        </w:tc>
        <w:tc>
          <w:tcPr>
            <w:tcW w:w="1072" w:type="dxa"/>
            <w:shd w:val="clear" w:color="auto" w:fill="auto"/>
            <w:vAlign w:val="center"/>
          </w:tcPr>
          <w:p w14:paraId="54980BF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蒸馏烧瓶</w:t>
            </w:r>
          </w:p>
        </w:tc>
        <w:tc>
          <w:tcPr>
            <w:tcW w:w="4897" w:type="dxa"/>
            <w:shd w:val="clear" w:color="auto" w:fill="auto"/>
            <w:vAlign w:val="center"/>
          </w:tcPr>
          <w:p w14:paraId="6810F8E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250mL，透明硼硅酸盐玻璃制，烧瓶的颈部同一截面应该呈圆形，颈的口部不应呈锥形，并适当提高强度</w:t>
            </w:r>
          </w:p>
        </w:tc>
        <w:tc>
          <w:tcPr>
            <w:tcW w:w="462" w:type="dxa"/>
            <w:shd w:val="clear" w:color="auto" w:fill="auto"/>
            <w:noWrap/>
            <w:vAlign w:val="center"/>
          </w:tcPr>
          <w:p w14:paraId="6E2A53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8E244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4B6D8B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449ECD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450</w:t>
            </w:r>
          </w:p>
        </w:tc>
      </w:tr>
      <w:tr w14:paraId="4330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D0CBCA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93</w:t>
            </w:r>
          </w:p>
        </w:tc>
        <w:tc>
          <w:tcPr>
            <w:tcW w:w="1072" w:type="dxa"/>
            <w:shd w:val="clear" w:color="auto" w:fill="auto"/>
            <w:vAlign w:val="center"/>
          </w:tcPr>
          <w:p w14:paraId="2CAEC69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三口烧瓶</w:t>
            </w:r>
          </w:p>
        </w:tc>
        <w:tc>
          <w:tcPr>
            <w:tcW w:w="4897" w:type="dxa"/>
            <w:shd w:val="clear" w:color="auto" w:fill="auto"/>
            <w:vAlign w:val="center"/>
          </w:tcPr>
          <w:p w14:paraId="48043F0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w:t>
            </w:r>
          </w:p>
        </w:tc>
        <w:tc>
          <w:tcPr>
            <w:tcW w:w="462" w:type="dxa"/>
            <w:shd w:val="clear" w:color="auto" w:fill="auto"/>
            <w:noWrap/>
            <w:vAlign w:val="center"/>
          </w:tcPr>
          <w:p w14:paraId="65F1E8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C63CB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6B70A1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noWrap/>
            <w:vAlign w:val="center"/>
          </w:tcPr>
          <w:p w14:paraId="5AEFF8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138</w:t>
            </w:r>
          </w:p>
        </w:tc>
      </w:tr>
      <w:tr w14:paraId="554E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CE07BB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94</w:t>
            </w:r>
          </w:p>
        </w:tc>
        <w:tc>
          <w:tcPr>
            <w:tcW w:w="1072" w:type="dxa"/>
            <w:shd w:val="clear" w:color="auto" w:fill="auto"/>
            <w:vAlign w:val="center"/>
          </w:tcPr>
          <w:p w14:paraId="3AF6D64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集气瓶</w:t>
            </w:r>
          </w:p>
        </w:tc>
        <w:tc>
          <w:tcPr>
            <w:tcW w:w="4897" w:type="dxa"/>
            <w:shd w:val="clear" w:color="auto" w:fill="auto"/>
            <w:vAlign w:val="center"/>
          </w:tcPr>
          <w:p w14:paraId="2A88120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125mL，透明钠钙玻璃制，磨砂面应均匀地覆盖瓶口端面与盖板，磨砂面不应有光斑；盖板四角应倒角，四边应磨光。板与瓶口密合性应符合：盖板与瓶口充分湿润盖合后，倒提瓶体盖板在瓶口上保持30s不脱落</w:t>
            </w:r>
          </w:p>
        </w:tc>
        <w:tc>
          <w:tcPr>
            <w:tcW w:w="462" w:type="dxa"/>
            <w:shd w:val="clear" w:color="auto" w:fill="auto"/>
            <w:noWrap/>
            <w:vAlign w:val="center"/>
          </w:tcPr>
          <w:p w14:paraId="412775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1D462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noWrap/>
            <w:vAlign w:val="center"/>
          </w:tcPr>
          <w:p w14:paraId="6BCA49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4A8116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270</w:t>
            </w:r>
          </w:p>
        </w:tc>
      </w:tr>
      <w:tr w14:paraId="33C8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D8CF4F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95</w:t>
            </w:r>
          </w:p>
        </w:tc>
        <w:tc>
          <w:tcPr>
            <w:tcW w:w="1072" w:type="dxa"/>
            <w:shd w:val="clear" w:color="auto" w:fill="auto"/>
            <w:vAlign w:val="center"/>
          </w:tcPr>
          <w:p w14:paraId="339E9CB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集气瓶</w:t>
            </w:r>
          </w:p>
        </w:tc>
        <w:tc>
          <w:tcPr>
            <w:tcW w:w="4897" w:type="dxa"/>
            <w:shd w:val="clear" w:color="auto" w:fill="auto"/>
            <w:vAlign w:val="center"/>
          </w:tcPr>
          <w:p w14:paraId="66EE20E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250mL，透明钠钙玻璃制，磨砂面应均匀地覆盖瓶口端面与盖板，磨砂面不应有光斑；盖板四角应倒角，四边应磨光。板与瓶口密合性应符合：盖板与瓶口充分湿润盖合后，倒提瓶体盖板在瓶口上保持30s不脱落</w:t>
            </w:r>
          </w:p>
        </w:tc>
        <w:tc>
          <w:tcPr>
            <w:tcW w:w="462" w:type="dxa"/>
            <w:shd w:val="clear" w:color="auto" w:fill="auto"/>
            <w:noWrap/>
            <w:vAlign w:val="center"/>
          </w:tcPr>
          <w:p w14:paraId="5870CE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ABF3C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048" w:type="dxa"/>
            <w:shd w:val="clear" w:color="auto" w:fill="auto"/>
            <w:noWrap/>
            <w:vAlign w:val="center"/>
          </w:tcPr>
          <w:p w14:paraId="158E60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1217BD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082B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D5DCC7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96</w:t>
            </w:r>
          </w:p>
        </w:tc>
        <w:tc>
          <w:tcPr>
            <w:tcW w:w="1072" w:type="dxa"/>
            <w:shd w:val="clear" w:color="auto" w:fill="auto"/>
            <w:vAlign w:val="center"/>
          </w:tcPr>
          <w:p w14:paraId="5278B44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集气瓶</w:t>
            </w:r>
          </w:p>
        </w:tc>
        <w:tc>
          <w:tcPr>
            <w:tcW w:w="4897" w:type="dxa"/>
            <w:shd w:val="clear" w:color="auto" w:fill="auto"/>
            <w:vAlign w:val="center"/>
          </w:tcPr>
          <w:p w14:paraId="7BA8446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500mL，透明钠钙玻璃制，磨砂面应均匀地覆盖瓶口端面与盖板，磨砂面不应有光斑；盖板四角应倒角，四边应磨光。板与瓶口密合性应符合：盖板与瓶口充分湿润盖合后，倒提瓶体盖板在瓶口上保持30s不脱落</w:t>
            </w:r>
          </w:p>
        </w:tc>
        <w:tc>
          <w:tcPr>
            <w:tcW w:w="462" w:type="dxa"/>
            <w:shd w:val="clear" w:color="auto" w:fill="auto"/>
            <w:noWrap/>
            <w:vAlign w:val="center"/>
          </w:tcPr>
          <w:p w14:paraId="015624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0D080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39DCEA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6B17B9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31D7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FD5365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97</w:t>
            </w:r>
          </w:p>
        </w:tc>
        <w:tc>
          <w:tcPr>
            <w:tcW w:w="1072" w:type="dxa"/>
            <w:shd w:val="clear" w:color="auto" w:fill="auto"/>
            <w:vAlign w:val="center"/>
          </w:tcPr>
          <w:p w14:paraId="319353E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液封除毒气集气瓶</w:t>
            </w:r>
          </w:p>
        </w:tc>
        <w:tc>
          <w:tcPr>
            <w:tcW w:w="4897" w:type="dxa"/>
            <w:shd w:val="clear" w:color="auto" w:fill="auto"/>
            <w:vAlign w:val="center"/>
          </w:tcPr>
          <w:p w14:paraId="7C0738C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250mL，瓶口光滑，液封口深度≥1cm</w:t>
            </w:r>
          </w:p>
        </w:tc>
        <w:tc>
          <w:tcPr>
            <w:tcW w:w="462" w:type="dxa"/>
            <w:shd w:val="clear" w:color="auto" w:fill="auto"/>
            <w:noWrap/>
            <w:vAlign w:val="center"/>
          </w:tcPr>
          <w:p w14:paraId="3C1B40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C7CDC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5D25C6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w:t>
            </w:r>
          </w:p>
        </w:tc>
        <w:tc>
          <w:tcPr>
            <w:tcW w:w="1489" w:type="dxa"/>
            <w:shd w:val="clear" w:color="auto" w:fill="auto"/>
            <w:noWrap/>
            <w:vAlign w:val="center"/>
          </w:tcPr>
          <w:p w14:paraId="0D2A7B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276</w:t>
            </w:r>
          </w:p>
        </w:tc>
      </w:tr>
      <w:tr w14:paraId="73EA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4B5E94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98</w:t>
            </w:r>
          </w:p>
        </w:tc>
        <w:tc>
          <w:tcPr>
            <w:tcW w:w="1072" w:type="dxa"/>
            <w:shd w:val="clear" w:color="auto" w:fill="auto"/>
            <w:vAlign w:val="center"/>
          </w:tcPr>
          <w:p w14:paraId="71C3017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611B0BD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60mL，透明钠钙玻璃制，瓶塞与瓶口紧实，不晃动；口部应圆整光滑，底部应平整，放置平台上不应摇晃</w:t>
            </w:r>
          </w:p>
        </w:tc>
        <w:tc>
          <w:tcPr>
            <w:tcW w:w="462" w:type="dxa"/>
            <w:shd w:val="clear" w:color="auto" w:fill="auto"/>
            <w:noWrap/>
            <w:vAlign w:val="center"/>
          </w:tcPr>
          <w:p w14:paraId="65A11A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0858E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c>
          <w:tcPr>
            <w:tcW w:w="1048" w:type="dxa"/>
            <w:shd w:val="clear" w:color="auto" w:fill="auto"/>
            <w:noWrap/>
            <w:vAlign w:val="center"/>
          </w:tcPr>
          <w:p w14:paraId="4EC47C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62E485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2100</w:t>
            </w:r>
          </w:p>
        </w:tc>
      </w:tr>
      <w:tr w14:paraId="333E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C2E728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99</w:t>
            </w:r>
          </w:p>
        </w:tc>
        <w:tc>
          <w:tcPr>
            <w:tcW w:w="1072" w:type="dxa"/>
            <w:shd w:val="clear" w:color="auto" w:fill="auto"/>
            <w:vAlign w:val="center"/>
          </w:tcPr>
          <w:p w14:paraId="1CEDA44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63C4FB6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125mL，透明钠钙玻璃制，瓶塞与瓶口紧实，不晃动；口部应圆整光滑，底部应平整，放置平台上不应摇晃</w:t>
            </w:r>
          </w:p>
        </w:tc>
        <w:tc>
          <w:tcPr>
            <w:tcW w:w="462" w:type="dxa"/>
            <w:shd w:val="clear" w:color="auto" w:fill="auto"/>
            <w:noWrap/>
            <w:vAlign w:val="center"/>
          </w:tcPr>
          <w:p w14:paraId="16EDB2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7D389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495F9C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73FFB1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r>
      <w:tr w14:paraId="5F9A1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65C432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100</w:t>
            </w:r>
          </w:p>
        </w:tc>
        <w:tc>
          <w:tcPr>
            <w:tcW w:w="1072" w:type="dxa"/>
            <w:shd w:val="clear" w:color="auto" w:fill="auto"/>
            <w:vAlign w:val="center"/>
          </w:tcPr>
          <w:p w14:paraId="1C87DD8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234A085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250mL，透明钠钙玻璃制，瓶塞与瓶口紧实，不晃动；口部应圆整光滑，底部应平整，放置平台上不应摇晃</w:t>
            </w:r>
          </w:p>
        </w:tc>
        <w:tc>
          <w:tcPr>
            <w:tcW w:w="462" w:type="dxa"/>
            <w:shd w:val="clear" w:color="auto" w:fill="auto"/>
            <w:noWrap/>
            <w:vAlign w:val="center"/>
          </w:tcPr>
          <w:p w14:paraId="6A2DCC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A09BE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62D1D9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279022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216</w:t>
            </w:r>
          </w:p>
        </w:tc>
      </w:tr>
      <w:tr w14:paraId="6FEA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6C376B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101</w:t>
            </w:r>
          </w:p>
        </w:tc>
        <w:tc>
          <w:tcPr>
            <w:tcW w:w="1072" w:type="dxa"/>
            <w:shd w:val="clear" w:color="auto" w:fill="auto"/>
            <w:vAlign w:val="center"/>
          </w:tcPr>
          <w:p w14:paraId="03ADD92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3F71112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500mL，透明钠钙玻璃制，瓶塞与瓶口紧实，不晃动；口部应圆整光滑，底部应平整，放置平台上不应摇晃</w:t>
            </w:r>
          </w:p>
        </w:tc>
        <w:tc>
          <w:tcPr>
            <w:tcW w:w="462" w:type="dxa"/>
            <w:shd w:val="clear" w:color="auto" w:fill="auto"/>
            <w:noWrap/>
            <w:vAlign w:val="center"/>
          </w:tcPr>
          <w:p w14:paraId="6FACBA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08BC5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1D31249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015689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r>
      <w:tr w14:paraId="0FAD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C50447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102</w:t>
            </w:r>
          </w:p>
        </w:tc>
        <w:tc>
          <w:tcPr>
            <w:tcW w:w="1072" w:type="dxa"/>
            <w:shd w:val="clear" w:color="auto" w:fill="auto"/>
            <w:vAlign w:val="center"/>
          </w:tcPr>
          <w:p w14:paraId="4E5F57A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茶色广口瓶</w:t>
            </w:r>
          </w:p>
        </w:tc>
        <w:tc>
          <w:tcPr>
            <w:tcW w:w="4897" w:type="dxa"/>
            <w:shd w:val="clear" w:color="auto" w:fill="auto"/>
            <w:vAlign w:val="center"/>
          </w:tcPr>
          <w:p w14:paraId="3AB38ED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60mL，黄棕色钠钙玻璃制，瓶塞与瓶口紧实，不晃动；口部应圆整光滑，底部应平整，放置平台上不应摇晃</w:t>
            </w:r>
          </w:p>
        </w:tc>
        <w:tc>
          <w:tcPr>
            <w:tcW w:w="462" w:type="dxa"/>
            <w:shd w:val="clear" w:color="auto" w:fill="auto"/>
            <w:noWrap/>
            <w:vAlign w:val="center"/>
          </w:tcPr>
          <w:p w14:paraId="157CC0A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DF69C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28D08E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63F02A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41CA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F4D997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103</w:t>
            </w:r>
          </w:p>
        </w:tc>
        <w:tc>
          <w:tcPr>
            <w:tcW w:w="1072" w:type="dxa"/>
            <w:shd w:val="clear" w:color="auto" w:fill="auto"/>
            <w:vAlign w:val="center"/>
          </w:tcPr>
          <w:p w14:paraId="5F0521A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茶色广口瓶</w:t>
            </w:r>
          </w:p>
        </w:tc>
        <w:tc>
          <w:tcPr>
            <w:tcW w:w="4897" w:type="dxa"/>
            <w:shd w:val="clear" w:color="auto" w:fill="auto"/>
            <w:vAlign w:val="center"/>
          </w:tcPr>
          <w:p w14:paraId="62E9D39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125mL，黄棕色钠钙玻璃制，瓶塞与瓶口紧实，不晃动；口部应圆整光滑，底部应平整，放置平台上不应摇晃</w:t>
            </w:r>
          </w:p>
        </w:tc>
        <w:tc>
          <w:tcPr>
            <w:tcW w:w="462" w:type="dxa"/>
            <w:shd w:val="clear" w:color="auto" w:fill="auto"/>
            <w:noWrap/>
            <w:vAlign w:val="center"/>
          </w:tcPr>
          <w:p w14:paraId="3F666D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777D2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2AE1F9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3A1B3B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r>
      <w:tr w14:paraId="3067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B45452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104</w:t>
            </w:r>
          </w:p>
        </w:tc>
        <w:tc>
          <w:tcPr>
            <w:tcW w:w="1072" w:type="dxa"/>
            <w:shd w:val="clear" w:color="auto" w:fill="auto"/>
            <w:vAlign w:val="center"/>
          </w:tcPr>
          <w:p w14:paraId="4B7BBE8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茶色广口瓶</w:t>
            </w:r>
          </w:p>
        </w:tc>
        <w:tc>
          <w:tcPr>
            <w:tcW w:w="4897" w:type="dxa"/>
            <w:shd w:val="clear" w:color="auto" w:fill="auto"/>
            <w:vAlign w:val="center"/>
          </w:tcPr>
          <w:p w14:paraId="6549A34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250mL，黄棕色钠钙玻璃制，瓶塞与瓶口紧实，不晃动；口部应圆整光滑，底部应平整，放置平台上不应摇晃</w:t>
            </w:r>
          </w:p>
        </w:tc>
        <w:tc>
          <w:tcPr>
            <w:tcW w:w="462" w:type="dxa"/>
            <w:shd w:val="clear" w:color="auto" w:fill="auto"/>
            <w:noWrap/>
            <w:vAlign w:val="center"/>
          </w:tcPr>
          <w:p w14:paraId="5508B6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A4A53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206B83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578F52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3BBD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CBE616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105</w:t>
            </w:r>
          </w:p>
        </w:tc>
        <w:tc>
          <w:tcPr>
            <w:tcW w:w="1072" w:type="dxa"/>
            <w:shd w:val="clear" w:color="auto" w:fill="auto"/>
            <w:vAlign w:val="center"/>
          </w:tcPr>
          <w:p w14:paraId="7EAC7FF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3AB7149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60mL，透明钠钙玻璃制，瓶塞与瓶口紧实，不晃动；口部应圆整光滑，底部应平整，放置平台上不应摇晃</w:t>
            </w:r>
          </w:p>
        </w:tc>
        <w:tc>
          <w:tcPr>
            <w:tcW w:w="462" w:type="dxa"/>
            <w:shd w:val="clear" w:color="auto" w:fill="auto"/>
            <w:noWrap/>
            <w:vAlign w:val="center"/>
          </w:tcPr>
          <w:p w14:paraId="1C9E56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1637E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0FBE3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A4D1F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7FDF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CA4FEA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106</w:t>
            </w:r>
          </w:p>
        </w:tc>
        <w:tc>
          <w:tcPr>
            <w:tcW w:w="1072" w:type="dxa"/>
            <w:shd w:val="clear" w:color="auto" w:fill="auto"/>
            <w:vAlign w:val="center"/>
          </w:tcPr>
          <w:p w14:paraId="10C9C98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2844DB8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125mL，透明钠钙玻璃制，瓶塞与瓶口紧实，不晃动；口部应圆整光滑，底部应平整，放置平台上不应摇晃</w:t>
            </w:r>
          </w:p>
        </w:tc>
        <w:tc>
          <w:tcPr>
            <w:tcW w:w="462" w:type="dxa"/>
            <w:shd w:val="clear" w:color="auto" w:fill="auto"/>
            <w:noWrap/>
            <w:vAlign w:val="center"/>
          </w:tcPr>
          <w:p w14:paraId="74A730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CF794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c>
          <w:tcPr>
            <w:tcW w:w="1048" w:type="dxa"/>
            <w:shd w:val="clear" w:color="auto" w:fill="auto"/>
            <w:noWrap/>
            <w:vAlign w:val="center"/>
          </w:tcPr>
          <w:p w14:paraId="5100A4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20AF4B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2100</w:t>
            </w:r>
          </w:p>
        </w:tc>
      </w:tr>
      <w:tr w14:paraId="62C0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9DFFF0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107</w:t>
            </w:r>
          </w:p>
        </w:tc>
        <w:tc>
          <w:tcPr>
            <w:tcW w:w="1072" w:type="dxa"/>
            <w:shd w:val="clear" w:color="auto" w:fill="auto"/>
            <w:vAlign w:val="center"/>
          </w:tcPr>
          <w:p w14:paraId="3146E27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0769E66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250mL，透明钠钙玻璃制，瓶塞与瓶口紧实，不晃动；口部应圆整光滑，底部应平整，放置平台上不应摇晃</w:t>
            </w:r>
          </w:p>
        </w:tc>
        <w:tc>
          <w:tcPr>
            <w:tcW w:w="462" w:type="dxa"/>
            <w:shd w:val="clear" w:color="auto" w:fill="auto"/>
            <w:noWrap/>
            <w:vAlign w:val="center"/>
          </w:tcPr>
          <w:p w14:paraId="04B930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F8376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016F83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2E17D1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7CEA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6C6C34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108</w:t>
            </w:r>
          </w:p>
        </w:tc>
        <w:tc>
          <w:tcPr>
            <w:tcW w:w="1072" w:type="dxa"/>
            <w:shd w:val="clear" w:color="auto" w:fill="auto"/>
            <w:vAlign w:val="center"/>
          </w:tcPr>
          <w:p w14:paraId="623E219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049C149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500mL，透明钠钙玻璃制，瓶塞与瓶口紧实，不晃动；口部应圆整光滑，底部应平整，放置平台上不应摇晃</w:t>
            </w:r>
          </w:p>
        </w:tc>
        <w:tc>
          <w:tcPr>
            <w:tcW w:w="462" w:type="dxa"/>
            <w:shd w:val="clear" w:color="auto" w:fill="auto"/>
            <w:noWrap/>
            <w:vAlign w:val="center"/>
          </w:tcPr>
          <w:p w14:paraId="72CEEA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70818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noWrap/>
            <w:vAlign w:val="center"/>
          </w:tcPr>
          <w:p w14:paraId="5CA7AA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274E2B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108</w:t>
            </w:r>
          </w:p>
        </w:tc>
      </w:tr>
      <w:tr w14:paraId="6D07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EC46C4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109</w:t>
            </w:r>
          </w:p>
        </w:tc>
        <w:tc>
          <w:tcPr>
            <w:tcW w:w="1072" w:type="dxa"/>
            <w:shd w:val="clear" w:color="auto" w:fill="auto"/>
            <w:vAlign w:val="center"/>
          </w:tcPr>
          <w:p w14:paraId="107A395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3BF72AE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1000mL，透明钠钙玻璃制，瓶塞与瓶口紧实，不晃动；口部应圆整光滑，底部应平整，放置平台上不应摇晃</w:t>
            </w:r>
          </w:p>
        </w:tc>
        <w:tc>
          <w:tcPr>
            <w:tcW w:w="462" w:type="dxa"/>
            <w:shd w:val="clear" w:color="auto" w:fill="auto"/>
            <w:noWrap/>
            <w:vAlign w:val="center"/>
          </w:tcPr>
          <w:p w14:paraId="1436C2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3C710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noWrap/>
            <w:vAlign w:val="center"/>
          </w:tcPr>
          <w:p w14:paraId="56D5C2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618958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168</w:t>
            </w:r>
          </w:p>
        </w:tc>
      </w:tr>
      <w:tr w14:paraId="0D97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D75F95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110</w:t>
            </w:r>
          </w:p>
        </w:tc>
        <w:tc>
          <w:tcPr>
            <w:tcW w:w="1072" w:type="dxa"/>
            <w:shd w:val="clear" w:color="auto" w:fill="auto"/>
            <w:vAlign w:val="center"/>
          </w:tcPr>
          <w:p w14:paraId="11EB6D6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0FD1BAE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2500mL，透明钠钙玻璃制，瓶塞与瓶口紧实，不晃动；口部应圆整光滑，底部应平整，放置平台上不应摇晃</w:t>
            </w:r>
          </w:p>
        </w:tc>
        <w:tc>
          <w:tcPr>
            <w:tcW w:w="462" w:type="dxa"/>
            <w:shd w:val="clear" w:color="auto" w:fill="auto"/>
            <w:noWrap/>
            <w:vAlign w:val="center"/>
          </w:tcPr>
          <w:p w14:paraId="7BFAF9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64CBE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2938F1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45</w:t>
            </w:r>
          </w:p>
        </w:tc>
        <w:tc>
          <w:tcPr>
            <w:tcW w:w="1489" w:type="dxa"/>
            <w:shd w:val="clear" w:color="auto" w:fill="auto"/>
            <w:noWrap/>
            <w:vAlign w:val="center"/>
          </w:tcPr>
          <w:p w14:paraId="0885BC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2955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6AEBF3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111</w:t>
            </w:r>
          </w:p>
        </w:tc>
        <w:tc>
          <w:tcPr>
            <w:tcW w:w="1072" w:type="dxa"/>
            <w:shd w:val="clear" w:color="auto" w:fill="auto"/>
            <w:vAlign w:val="center"/>
          </w:tcPr>
          <w:p w14:paraId="78EAEB8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6759D97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60mL，黄棕色钠钙玻璃制，瓶塞与瓶口紧实，不晃动；口部应圆整光滑，底部应平整，放置平台上不应摇晃</w:t>
            </w:r>
          </w:p>
        </w:tc>
        <w:tc>
          <w:tcPr>
            <w:tcW w:w="462" w:type="dxa"/>
            <w:shd w:val="clear" w:color="auto" w:fill="auto"/>
            <w:noWrap/>
            <w:vAlign w:val="center"/>
          </w:tcPr>
          <w:p w14:paraId="7CF821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628A2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FEB31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2CC554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74AA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F95E0F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112</w:t>
            </w:r>
          </w:p>
        </w:tc>
        <w:tc>
          <w:tcPr>
            <w:tcW w:w="1072" w:type="dxa"/>
            <w:shd w:val="clear" w:color="auto" w:fill="auto"/>
            <w:vAlign w:val="center"/>
          </w:tcPr>
          <w:p w14:paraId="73E3454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70E4C84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125mL，黄棕色钠钙玻璃制，瓶塞与瓶口紧实，不晃动；口部应圆整光滑，底部应平整，放置平台上不应摇晃</w:t>
            </w:r>
          </w:p>
        </w:tc>
        <w:tc>
          <w:tcPr>
            <w:tcW w:w="462" w:type="dxa"/>
            <w:shd w:val="clear" w:color="auto" w:fill="auto"/>
            <w:noWrap/>
            <w:vAlign w:val="center"/>
          </w:tcPr>
          <w:p w14:paraId="13E4E4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F2C3F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F8F2B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629477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3648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B60747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113</w:t>
            </w:r>
          </w:p>
        </w:tc>
        <w:tc>
          <w:tcPr>
            <w:tcW w:w="1072" w:type="dxa"/>
            <w:shd w:val="clear" w:color="auto" w:fill="auto"/>
            <w:vAlign w:val="center"/>
          </w:tcPr>
          <w:p w14:paraId="4E608C0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68E925C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250mL，黄棕色钠钙玻璃制，瓶塞与瓶口紧实，不晃动；口部应圆整光滑，底部应平整，放置平台上不应摇晃</w:t>
            </w:r>
          </w:p>
        </w:tc>
        <w:tc>
          <w:tcPr>
            <w:tcW w:w="462" w:type="dxa"/>
            <w:shd w:val="clear" w:color="auto" w:fill="auto"/>
            <w:noWrap/>
            <w:vAlign w:val="center"/>
          </w:tcPr>
          <w:p w14:paraId="535C6F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C346A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noWrap/>
            <w:vAlign w:val="center"/>
          </w:tcPr>
          <w:p w14:paraId="21EF54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489" w:type="dxa"/>
            <w:shd w:val="clear" w:color="auto" w:fill="auto"/>
            <w:noWrap/>
            <w:vAlign w:val="center"/>
          </w:tcPr>
          <w:p w14:paraId="758CD1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65D2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DF7B0D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114</w:t>
            </w:r>
          </w:p>
        </w:tc>
        <w:tc>
          <w:tcPr>
            <w:tcW w:w="1072" w:type="dxa"/>
            <w:shd w:val="clear" w:color="auto" w:fill="auto"/>
            <w:vAlign w:val="center"/>
          </w:tcPr>
          <w:p w14:paraId="42489A4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76534BA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500mL，黄棕色钠钙玻璃制，瓶塞与瓶口紧实，不晃动；口部应圆整光滑，底部应平整，放置平台上不应摇晃</w:t>
            </w:r>
          </w:p>
        </w:tc>
        <w:tc>
          <w:tcPr>
            <w:tcW w:w="462" w:type="dxa"/>
            <w:shd w:val="clear" w:color="auto" w:fill="auto"/>
            <w:noWrap/>
            <w:vAlign w:val="center"/>
          </w:tcPr>
          <w:p w14:paraId="748AA9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69941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407A58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3098827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410A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57C43D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115</w:t>
            </w:r>
          </w:p>
        </w:tc>
        <w:tc>
          <w:tcPr>
            <w:tcW w:w="1072" w:type="dxa"/>
            <w:shd w:val="clear" w:color="auto" w:fill="auto"/>
            <w:vAlign w:val="center"/>
          </w:tcPr>
          <w:p w14:paraId="6B4475C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3C678D9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1000mL，黄棕色钠钙玻璃制，瓶塞与瓶口紧实，不晃动；口部应圆整光滑，底部应平整，放置平台上不应摇晃</w:t>
            </w:r>
          </w:p>
        </w:tc>
        <w:tc>
          <w:tcPr>
            <w:tcW w:w="462" w:type="dxa"/>
            <w:shd w:val="clear" w:color="auto" w:fill="auto"/>
            <w:noWrap/>
            <w:vAlign w:val="center"/>
          </w:tcPr>
          <w:p w14:paraId="6BAEBC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98B2F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BADB6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c>
          <w:tcPr>
            <w:tcW w:w="1489" w:type="dxa"/>
            <w:shd w:val="clear" w:color="auto" w:fill="auto"/>
            <w:noWrap/>
            <w:vAlign w:val="center"/>
          </w:tcPr>
          <w:p w14:paraId="3231F1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r>
      <w:tr w14:paraId="4452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DF33D9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116</w:t>
            </w:r>
          </w:p>
        </w:tc>
        <w:tc>
          <w:tcPr>
            <w:tcW w:w="1072" w:type="dxa"/>
            <w:shd w:val="clear" w:color="auto" w:fill="auto"/>
            <w:vAlign w:val="center"/>
          </w:tcPr>
          <w:p w14:paraId="078DE6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69C7FC4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2500mL，黄棕色钠钙玻璃制，瓶塞与瓶口紧实，不晃动；口部应圆整光滑，底部应平整，放置平台上不应摇晃</w:t>
            </w:r>
          </w:p>
        </w:tc>
        <w:tc>
          <w:tcPr>
            <w:tcW w:w="462" w:type="dxa"/>
            <w:shd w:val="clear" w:color="auto" w:fill="auto"/>
            <w:noWrap/>
            <w:vAlign w:val="center"/>
          </w:tcPr>
          <w:p w14:paraId="3825D2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DF77D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A95CC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53</w:t>
            </w:r>
          </w:p>
        </w:tc>
        <w:tc>
          <w:tcPr>
            <w:tcW w:w="1489" w:type="dxa"/>
            <w:shd w:val="clear" w:color="auto" w:fill="auto"/>
            <w:noWrap/>
            <w:vAlign w:val="center"/>
          </w:tcPr>
          <w:p w14:paraId="1FC785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53</w:t>
            </w:r>
          </w:p>
        </w:tc>
      </w:tr>
      <w:tr w14:paraId="3085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D5BEB6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117</w:t>
            </w:r>
          </w:p>
        </w:tc>
        <w:tc>
          <w:tcPr>
            <w:tcW w:w="1072" w:type="dxa"/>
            <w:shd w:val="clear" w:color="auto" w:fill="auto"/>
            <w:vAlign w:val="center"/>
          </w:tcPr>
          <w:p w14:paraId="6A62A67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下口瓶</w:t>
            </w:r>
          </w:p>
        </w:tc>
        <w:tc>
          <w:tcPr>
            <w:tcW w:w="4897" w:type="dxa"/>
            <w:shd w:val="clear" w:color="auto" w:fill="auto"/>
            <w:vAlign w:val="center"/>
          </w:tcPr>
          <w:p w14:paraId="6598C0C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5000mL，透明钠钙玻璃制</w:t>
            </w:r>
          </w:p>
        </w:tc>
        <w:tc>
          <w:tcPr>
            <w:tcW w:w="462" w:type="dxa"/>
            <w:shd w:val="clear" w:color="auto" w:fill="auto"/>
            <w:noWrap/>
            <w:vAlign w:val="center"/>
          </w:tcPr>
          <w:p w14:paraId="302775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4CC90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66BE09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129</w:t>
            </w:r>
          </w:p>
        </w:tc>
        <w:tc>
          <w:tcPr>
            <w:tcW w:w="1489" w:type="dxa"/>
            <w:shd w:val="clear" w:color="auto" w:fill="auto"/>
            <w:noWrap/>
            <w:vAlign w:val="center"/>
          </w:tcPr>
          <w:p w14:paraId="2387EC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258</w:t>
            </w:r>
          </w:p>
        </w:tc>
      </w:tr>
      <w:tr w14:paraId="4D5FD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DC28C8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118</w:t>
            </w:r>
          </w:p>
        </w:tc>
        <w:tc>
          <w:tcPr>
            <w:tcW w:w="1072" w:type="dxa"/>
            <w:shd w:val="clear" w:color="auto" w:fill="auto"/>
            <w:vAlign w:val="center"/>
          </w:tcPr>
          <w:p w14:paraId="4B970AF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滴瓶</w:t>
            </w:r>
          </w:p>
        </w:tc>
        <w:tc>
          <w:tcPr>
            <w:tcW w:w="4897" w:type="dxa"/>
            <w:shd w:val="clear" w:color="auto" w:fill="auto"/>
            <w:vAlign w:val="center"/>
          </w:tcPr>
          <w:p w14:paraId="7C8D58D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30mL，透明钠钙玻璃制，瓶口细磨，磨砂面应均匀细腻，滴管应附橡胶帽，吸放弹性好，开口直径6mm，与滴管口套合牢固稳定</w:t>
            </w:r>
          </w:p>
        </w:tc>
        <w:tc>
          <w:tcPr>
            <w:tcW w:w="462" w:type="dxa"/>
            <w:shd w:val="clear" w:color="auto" w:fill="auto"/>
            <w:noWrap/>
            <w:vAlign w:val="center"/>
          </w:tcPr>
          <w:p w14:paraId="5596DE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7E90B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26E15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430C0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589B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05E8C2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119</w:t>
            </w:r>
          </w:p>
        </w:tc>
        <w:tc>
          <w:tcPr>
            <w:tcW w:w="1072" w:type="dxa"/>
            <w:shd w:val="clear" w:color="auto" w:fill="auto"/>
            <w:vAlign w:val="center"/>
          </w:tcPr>
          <w:p w14:paraId="76341D3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滴瓶</w:t>
            </w:r>
          </w:p>
        </w:tc>
        <w:tc>
          <w:tcPr>
            <w:tcW w:w="4897" w:type="dxa"/>
            <w:shd w:val="clear" w:color="auto" w:fill="auto"/>
            <w:vAlign w:val="center"/>
          </w:tcPr>
          <w:p w14:paraId="4850DD6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60mL，透明钠钙玻璃制，瓶口细磨，磨砂面应均匀细腻，滴管应附橡胶帽，吸放弹性好，开口直径6mm，与滴管口套合牢固稳定</w:t>
            </w:r>
          </w:p>
        </w:tc>
        <w:tc>
          <w:tcPr>
            <w:tcW w:w="462" w:type="dxa"/>
            <w:shd w:val="clear" w:color="auto" w:fill="auto"/>
            <w:noWrap/>
            <w:vAlign w:val="center"/>
          </w:tcPr>
          <w:p w14:paraId="614ABB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B00F8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c>
          <w:tcPr>
            <w:tcW w:w="1048" w:type="dxa"/>
            <w:shd w:val="clear" w:color="auto" w:fill="auto"/>
            <w:noWrap/>
            <w:vAlign w:val="center"/>
          </w:tcPr>
          <w:p w14:paraId="3F54C8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2A7560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1440</w:t>
            </w:r>
          </w:p>
        </w:tc>
      </w:tr>
      <w:tr w14:paraId="0D33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8910CD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120</w:t>
            </w:r>
          </w:p>
        </w:tc>
        <w:tc>
          <w:tcPr>
            <w:tcW w:w="1072" w:type="dxa"/>
            <w:shd w:val="clear" w:color="auto" w:fill="auto"/>
            <w:vAlign w:val="center"/>
          </w:tcPr>
          <w:p w14:paraId="4FA6455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茶色滴瓶</w:t>
            </w:r>
          </w:p>
        </w:tc>
        <w:tc>
          <w:tcPr>
            <w:tcW w:w="4897" w:type="dxa"/>
            <w:shd w:val="clear" w:color="auto" w:fill="auto"/>
            <w:vAlign w:val="center"/>
          </w:tcPr>
          <w:p w14:paraId="38BEB4A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30mL，黄棕色钠钙玻璃制，瓶口细磨，磨砂面应均匀细腻，滴管应附橡胶帽，吸放弹性好，开口直径6mm,与滴管口套合牢固稳定</w:t>
            </w:r>
          </w:p>
        </w:tc>
        <w:tc>
          <w:tcPr>
            <w:tcW w:w="462" w:type="dxa"/>
            <w:shd w:val="clear" w:color="auto" w:fill="auto"/>
            <w:noWrap/>
            <w:vAlign w:val="center"/>
          </w:tcPr>
          <w:p w14:paraId="072659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536A3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7C2875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727CE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56A8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54C3F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121</w:t>
            </w:r>
          </w:p>
        </w:tc>
        <w:tc>
          <w:tcPr>
            <w:tcW w:w="1072" w:type="dxa"/>
            <w:shd w:val="clear" w:color="auto" w:fill="auto"/>
            <w:vAlign w:val="center"/>
          </w:tcPr>
          <w:p w14:paraId="64ED933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茶色滴瓶</w:t>
            </w:r>
          </w:p>
        </w:tc>
        <w:tc>
          <w:tcPr>
            <w:tcW w:w="4897" w:type="dxa"/>
            <w:shd w:val="clear" w:color="auto" w:fill="auto"/>
            <w:vAlign w:val="center"/>
          </w:tcPr>
          <w:p w14:paraId="0934CA2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60mL，黄棕色钠钙玻璃制，瓶口细磨，磨砂面应均匀细腻，滴管应附橡胶帽，吸放弹性好，开口直径6mm,与滴管口套合牢固稳定</w:t>
            </w:r>
          </w:p>
        </w:tc>
        <w:tc>
          <w:tcPr>
            <w:tcW w:w="462" w:type="dxa"/>
            <w:shd w:val="clear" w:color="auto" w:fill="auto"/>
            <w:noWrap/>
            <w:vAlign w:val="center"/>
          </w:tcPr>
          <w:p w14:paraId="493CA7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6FCE3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1EAB6CD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17AFF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19DC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7C3565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122</w:t>
            </w:r>
          </w:p>
        </w:tc>
        <w:tc>
          <w:tcPr>
            <w:tcW w:w="1072" w:type="dxa"/>
            <w:shd w:val="clear" w:color="auto" w:fill="auto"/>
            <w:vAlign w:val="center"/>
          </w:tcPr>
          <w:p w14:paraId="3BD4CD0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称量瓶</w:t>
            </w:r>
          </w:p>
        </w:tc>
        <w:tc>
          <w:tcPr>
            <w:tcW w:w="4897" w:type="dxa"/>
            <w:shd w:val="clear" w:color="auto" w:fill="auto"/>
            <w:vAlign w:val="center"/>
          </w:tcPr>
          <w:p w14:paraId="6DCA7BE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Φ25mmX40mm，透明硼硅酸盐玻璃制</w:t>
            </w:r>
          </w:p>
        </w:tc>
        <w:tc>
          <w:tcPr>
            <w:tcW w:w="462" w:type="dxa"/>
            <w:shd w:val="clear" w:color="auto" w:fill="auto"/>
            <w:noWrap/>
            <w:vAlign w:val="center"/>
          </w:tcPr>
          <w:p w14:paraId="0C0133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50E63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3401E5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47D38D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r>
      <w:tr w14:paraId="20E1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C82CB0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123</w:t>
            </w:r>
          </w:p>
        </w:tc>
        <w:tc>
          <w:tcPr>
            <w:tcW w:w="1072" w:type="dxa"/>
            <w:shd w:val="clear" w:color="auto" w:fill="auto"/>
            <w:vAlign w:val="center"/>
          </w:tcPr>
          <w:p w14:paraId="30B3DD0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酒精灯</w:t>
            </w:r>
          </w:p>
        </w:tc>
        <w:tc>
          <w:tcPr>
            <w:tcW w:w="4897" w:type="dxa"/>
            <w:shd w:val="clear" w:color="auto" w:fill="auto"/>
            <w:vAlign w:val="center"/>
          </w:tcPr>
          <w:p w14:paraId="7F34322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150mL,单头，透明钠钙玻璃制,无明显黄绿色。灯口应平整,瓷灯头与灯口平面间隙不应超过1.5mm。玻璃灯罩应磨口。瓷灯头应为白色,完全覆盖灯口,表面无缺陷。配置与灯口孔径相适应的整齐完整的棉线灯芯</w:t>
            </w:r>
          </w:p>
        </w:tc>
        <w:tc>
          <w:tcPr>
            <w:tcW w:w="462" w:type="dxa"/>
            <w:shd w:val="clear" w:color="auto" w:fill="auto"/>
            <w:noWrap/>
            <w:vAlign w:val="center"/>
          </w:tcPr>
          <w:p w14:paraId="107615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D26CD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7499D4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4C8838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468D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637BE2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124</w:t>
            </w:r>
          </w:p>
        </w:tc>
        <w:tc>
          <w:tcPr>
            <w:tcW w:w="1072" w:type="dxa"/>
            <w:shd w:val="clear" w:color="auto" w:fill="auto"/>
            <w:vAlign w:val="center"/>
          </w:tcPr>
          <w:p w14:paraId="2387D4B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酒精灯</w:t>
            </w:r>
          </w:p>
        </w:tc>
        <w:tc>
          <w:tcPr>
            <w:tcW w:w="4897" w:type="dxa"/>
            <w:shd w:val="clear" w:color="auto" w:fill="auto"/>
            <w:vAlign w:val="center"/>
          </w:tcPr>
          <w:p w14:paraId="2CF90AF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250mL,单头，透明钠钙玻璃制,无明显黄绿色。灯口应平整,瓷灯头与灯口平面间隙不应超过1.5mm。玻璃灯罩应磨口。瓷灯头应为白色,完全覆盖灯口,表面无缺陷。配置与灯口孔径相适应的整齐完整的棉线灯芯</w:t>
            </w:r>
          </w:p>
        </w:tc>
        <w:tc>
          <w:tcPr>
            <w:tcW w:w="462" w:type="dxa"/>
            <w:shd w:val="clear" w:color="auto" w:fill="auto"/>
            <w:noWrap/>
            <w:vAlign w:val="center"/>
          </w:tcPr>
          <w:p w14:paraId="692650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DFCE6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6A1638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7182EB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r>
      <w:tr w14:paraId="57A7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8BB216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125</w:t>
            </w:r>
          </w:p>
        </w:tc>
        <w:tc>
          <w:tcPr>
            <w:tcW w:w="1072" w:type="dxa"/>
            <w:shd w:val="clear" w:color="auto" w:fill="auto"/>
            <w:vAlign w:val="center"/>
          </w:tcPr>
          <w:p w14:paraId="4DFD4D6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酒精灯</w:t>
            </w:r>
          </w:p>
        </w:tc>
        <w:tc>
          <w:tcPr>
            <w:tcW w:w="4897" w:type="dxa"/>
            <w:shd w:val="clear" w:color="auto" w:fill="auto"/>
            <w:vAlign w:val="center"/>
          </w:tcPr>
          <w:p w14:paraId="098E375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250mL,双头，透明钠钙玻璃制,无明显黄绿色。灯口应平整,瓷灯头与灯口平面间隙不应超过1.5mm。玻璃灯罩应磨口。瓷灯头应为白色,完全覆盖灯口,表面无缺陷。配置与灯口孔径相适应的整齐完整的棉线灯芯</w:t>
            </w:r>
          </w:p>
        </w:tc>
        <w:tc>
          <w:tcPr>
            <w:tcW w:w="462" w:type="dxa"/>
            <w:shd w:val="clear" w:color="auto" w:fill="auto"/>
            <w:noWrap/>
            <w:vAlign w:val="center"/>
          </w:tcPr>
          <w:p w14:paraId="2FEEBC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4BAEE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424F24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noWrap/>
            <w:vAlign w:val="center"/>
          </w:tcPr>
          <w:p w14:paraId="713D4C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64</w:t>
            </w:r>
          </w:p>
        </w:tc>
      </w:tr>
      <w:tr w14:paraId="5B14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2C34E7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126</w:t>
            </w:r>
          </w:p>
        </w:tc>
        <w:tc>
          <w:tcPr>
            <w:tcW w:w="1072" w:type="dxa"/>
            <w:shd w:val="clear" w:color="auto" w:fill="auto"/>
            <w:vAlign w:val="center"/>
          </w:tcPr>
          <w:p w14:paraId="29A54AE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抽滤瓶</w:t>
            </w:r>
          </w:p>
        </w:tc>
        <w:tc>
          <w:tcPr>
            <w:tcW w:w="4897" w:type="dxa"/>
            <w:shd w:val="clear" w:color="auto" w:fill="auto"/>
            <w:vAlign w:val="center"/>
          </w:tcPr>
          <w:p w14:paraId="4536369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w:t>
            </w:r>
          </w:p>
        </w:tc>
        <w:tc>
          <w:tcPr>
            <w:tcW w:w="462" w:type="dxa"/>
            <w:shd w:val="clear" w:color="auto" w:fill="auto"/>
            <w:noWrap/>
            <w:vAlign w:val="center"/>
          </w:tcPr>
          <w:p w14:paraId="4BD8EF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C70DD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70DE18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w:t>
            </w:r>
          </w:p>
        </w:tc>
        <w:tc>
          <w:tcPr>
            <w:tcW w:w="1489" w:type="dxa"/>
            <w:shd w:val="clear" w:color="auto" w:fill="auto"/>
            <w:noWrap/>
            <w:vAlign w:val="center"/>
          </w:tcPr>
          <w:p w14:paraId="135C68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w:t>
            </w:r>
          </w:p>
        </w:tc>
      </w:tr>
      <w:tr w14:paraId="66A6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BF873D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127</w:t>
            </w:r>
          </w:p>
        </w:tc>
        <w:tc>
          <w:tcPr>
            <w:tcW w:w="1072" w:type="dxa"/>
            <w:shd w:val="clear" w:color="auto" w:fill="auto"/>
            <w:vAlign w:val="center"/>
          </w:tcPr>
          <w:p w14:paraId="1580E70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干燥器</w:t>
            </w:r>
          </w:p>
        </w:tc>
        <w:tc>
          <w:tcPr>
            <w:tcW w:w="4897" w:type="dxa"/>
            <w:shd w:val="clear" w:color="auto" w:fill="auto"/>
            <w:vAlign w:val="center"/>
          </w:tcPr>
          <w:p w14:paraId="0D2BF54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150mm，磨口平整,密封严实,隔板大小合适,不少于5个圆孔</w:t>
            </w:r>
          </w:p>
        </w:tc>
        <w:tc>
          <w:tcPr>
            <w:tcW w:w="462" w:type="dxa"/>
            <w:shd w:val="clear" w:color="auto" w:fill="auto"/>
            <w:noWrap/>
            <w:vAlign w:val="center"/>
          </w:tcPr>
          <w:p w14:paraId="6A6D50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EAF6E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2B2CF3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61</w:t>
            </w:r>
          </w:p>
        </w:tc>
        <w:tc>
          <w:tcPr>
            <w:tcW w:w="1489" w:type="dxa"/>
            <w:shd w:val="clear" w:color="auto" w:fill="auto"/>
            <w:noWrap/>
            <w:vAlign w:val="center"/>
          </w:tcPr>
          <w:p w14:paraId="768BA7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122</w:t>
            </w:r>
          </w:p>
        </w:tc>
      </w:tr>
      <w:tr w14:paraId="65BF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93E0ED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128</w:t>
            </w:r>
          </w:p>
        </w:tc>
        <w:tc>
          <w:tcPr>
            <w:tcW w:w="1072" w:type="dxa"/>
            <w:shd w:val="clear" w:color="auto" w:fill="auto"/>
            <w:vAlign w:val="center"/>
          </w:tcPr>
          <w:p w14:paraId="4CCC368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气体发生器</w:t>
            </w:r>
          </w:p>
        </w:tc>
        <w:tc>
          <w:tcPr>
            <w:tcW w:w="4897" w:type="dxa"/>
            <w:shd w:val="clear" w:color="auto" w:fill="auto"/>
            <w:vAlign w:val="center"/>
          </w:tcPr>
          <w:p w14:paraId="5155C75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250mL，漏斗柄与瓶身连接口内壁间隔≤2mm（单边）</w:t>
            </w:r>
          </w:p>
        </w:tc>
        <w:tc>
          <w:tcPr>
            <w:tcW w:w="462" w:type="dxa"/>
            <w:shd w:val="clear" w:color="auto" w:fill="auto"/>
            <w:noWrap/>
            <w:vAlign w:val="center"/>
          </w:tcPr>
          <w:p w14:paraId="62CE3C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CF62A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2AD756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136</w:t>
            </w:r>
          </w:p>
        </w:tc>
        <w:tc>
          <w:tcPr>
            <w:tcW w:w="1489" w:type="dxa"/>
            <w:shd w:val="clear" w:color="auto" w:fill="auto"/>
            <w:noWrap/>
            <w:vAlign w:val="center"/>
          </w:tcPr>
          <w:p w14:paraId="22139E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272</w:t>
            </w:r>
          </w:p>
        </w:tc>
      </w:tr>
      <w:tr w14:paraId="0A53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F3DA4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129</w:t>
            </w:r>
          </w:p>
        </w:tc>
        <w:tc>
          <w:tcPr>
            <w:tcW w:w="1072" w:type="dxa"/>
            <w:shd w:val="clear" w:color="auto" w:fill="auto"/>
            <w:vAlign w:val="center"/>
          </w:tcPr>
          <w:p w14:paraId="3C091E3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冷凝管</w:t>
            </w:r>
          </w:p>
        </w:tc>
        <w:tc>
          <w:tcPr>
            <w:tcW w:w="4897" w:type="dxa"/>
            <w:shd w:val="clear" w:color="auto" w:fill="auto"/>
            <w:vAlign w:val="center"/>
          </w:tcPr>
          <w:p w14:paraId="44D8468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300mm±10mm，透明硼硅玻璃制，直形，管径均匀，应有防滑脱沟槽</w:t>
            </w:r>
          </w:p>
        </w:tc>
        <w:tc>
          <w:tcPr>
            <w:tcW w:w="462" w:type="dxa"/>
            <w:shd w:val="clear" w:color="auto" w:fill="auto"/>
            <w:noWrap/>
            <w:vAlign w:val="center"/>
          </w:tcPr>
          <w:p w14:paraId="38172F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C7E20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3DA5F0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22113C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14F9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5A14BB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130</w:t>
            </w:r>
          </w:p>
        </w:tc>
        <w:tc>
          <w:tcPr>
            <w:tcW w:w="1072" w:type="dxa"/>
            <w:shd w:val="clear" w:color="auto" w:fill="auto"/>
            <w:vAlign w:val="center"/>
          </w:tcPr>
          <w:p w14:paraId="57E3342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冷凝管</w:t>
            </w:r>
          </w:p>
        </w:tc>
        <w:tc>
          <w:tcPr>
            <w:tcW w:w="4897" w:type="dxa"/>
            <w:shd w:val="clear" w:color="auto" w:fill="auto"/>
            <w:vAlign w:val="center"/>
          </w:tcPr>
          <w:p w14:paraId="42539EB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300mm±10mm，透明硼硅玻璃制，球形</w:t>
            </w:r>
          </w:p>
        </w:tc>
        <w:tc>
          <w:tcPr>
            <w:tcW w:w="462" w:type="dxa"/>
            <w:shd w:val="clear" w:color="auto" w:fill="auto"/>
            <w:noWrap/>
            <w:vAlign w:val="center"/>
          </w:tcPr>
          <w:p w14:paraId="1CFDC7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ECECF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EF1DC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w:t>
            </w:r>
          </w:p>
        </w:tc>
        <w:tc>
          <w:tcPr>
            <w:tcW w:w="1489" w:type="dxa"/>
            <w:shd w:val="clear" w:color="auto" w:fill="auto"/>
            <w:noWrap/>
            <w:vAlign w:val="center"/>
          </w:tcPr>
          <w:p w14:paraId="4FA556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w:t>
            </w:r>
          </w:p>
        </w:tc>
      </w:tr>
      <w:tr w14:paraId="5E1B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87309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131</w:t>
            </w:r>
          </w:p>
        </w:tc>
        <w:tc>
          <w:tcPr>
            <w:tcW w:w="1072" w:type="dxa"/>
            <w:shd w:val="clear" w:color="auto" w:fill="auto"/>
            <w:vAlign w:val="center"/>
          </w:tcPr>
          <w:p w14:paraId="10606D3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牛角管</w:t>
            </w:r>
          </w:p>
        </w:tc>
        <w:tc>
          <w:tcPr>
            <w:tcW w:w="4897" w:type="dxa"/>
            <w:shd w:val="clear" w:color="auto" w:fill="auto"/>
            <w:vAlign w:val="center"/>
          </w:tcPr>
          <w:p w14:paraId="5E4ADF0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Φ18mmX150mm，弯形，1mm≤尖嘴处壁厚≤2mm</w:t>
            </w:r>
          </w:p>
        </w:tc>
        <w:tc>
          <w:tcPr>
            <w:tcW w:w="462" w:type="dxa"/>
            <w:shd w:val="clear" w:color="auto" w:fill="auto"/>
            <w:noWrap/>
            <w:vAlign w:val="center"/>
          </w:tcPr>
          <w:p w14:paraId="795BCA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5167A2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0FCA0C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55FFA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r>
      <w:tr w14:paraId="1941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17EAC7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132</w:t>
            </w:r>
          </w:p>
        </w:tc>
        <w:tc>
          <w:tcPr>
            <w:tcW w:w="1072" w:type="dxa"/>
            <w:shd w:val="clear" w:color="auto" w:fill="auto"/>
            <w:vAlign w:val="center"/>
          </w:tcPr>
          <w:p w14:paraId="23AAF0E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漏斗</w:t>
            </w:r>
          </w:p>
        </w:tc>
        <w:tc>
          <w:tcPr>
            <w:tcW w:w="4897" w:type="dxa"/>
            <w:shd w:val="clear" w:color="auto" w:fill="auto"/>
            <w:vAlign w:val="center"/>
          </w:tcPr>
          <w:p w14:paraId="6FE987A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60mm，滤碗为夹角60°的圆锥形，管的尾端磨成约45°角</w:t>
            </w:r>
          </w:p>
        </w:tc>
        <w:tc>
          <w:tcPr>
            <w:tcW w:w="462" w:type="dxa"/>
            <w:shd w:val="clear" w:color="auto" w:fill="auto"/>
            <w:noWrap/>
            <w:vAlign w:val="center"/>
          </w:tcPr>
          <w:p w14:paraId="6D058C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8F46F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246BF0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5BE5C8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41D5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863D6A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133</w:t>
            </w:r>
          </w:p>
        </w:tc>
        <w:tc>
          <w:tcPr>
            <w:tcW w:w="1072" w:type="dxa"/>
            <w:shd w:val="clear" w:color="auto" w:fill="auto"/>
            <w:vAlign w:val="center"/>
          </w:tcPr>
          <w:p w14:paraId="792E81B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漏斗</w:t>
            </w:r>
          </w:p>
        </w:tc>
        <w:tc>
          <w:tcPr>
            <w:tcW w:w="4897" w:type="dxa"/>
            <w:shd w:val="clear" w:color="auto" w:fill="auto"/>
            <w:vAlign w:val="center"/>
          </w:tcPr>
          <w:p w14:paraId="0833E49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90mm，滤碗为夹角60°的圆锥形，管的尾端磨成约45°角</w:t>
            </w:r>
          </w:p>
        </w:tc>
        <w:tc>
          <w:tcPr>
            <w:tcW w:w="462" w:type="dxa"/>
            <w:shd w:val="clear" w:color="auto" w:fill="auto"/>
            <w:noWrap/>
            <w:vAlign w:val="center"/>
          </w:tcPr>
          <w:p w14:paraId="49D425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A9F56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7DB3CA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757C6F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r>
      <w:tr w14:paraId="07D1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9F66F7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134</w:t>
            </w:r>
          </w:p>
        </w:tc>
        <w:tc>
          <w:tcPr>
            <w:tcW w:w="1072" w:type="dxa"/>
            <w:shd w:val="clear" w:color="auto" w:fill="auto"/>
            <w:vAlign w:val="center"/>
          </w:tcPr>
          <w:p w14:paraId="3E1FD1F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安全漏斗</w:t>
            </w:r>
          </w:p>
        </w:tc>
        <w:tc>
          <w:tcPr>
            <w:tcW w:w="4897" w:type="dxa"/>
            <w:shd w:val="clear" w:color="auto" w:fill="auto"/>
            <w:vAlign w:val="center"/>
          </w:tcPr>
          <w:p w14:paraId="65C7F75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直形，径长300mm，上口直径40mm±3mm,玻璃壁厚度适中</w:t>
            </w:r>
          </w:p>
        </w:tc>
        <w:tc>
          <w:tcPr>
            <w:tcW w:w="462" w:type="dxa"/>
            <w:shd w:val="clear" w:color="auto" w:fill="auto"/>
            <w:noWrap/>
            <w:vAlign w:val="center"/>
          </w:tcPr>
          <w:p w14:paraId="43684D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375B8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2638CE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6C5159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49D5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60A5C7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135</w:t>
            </w:r>
          </w:p>
        </w:tc>
        <w:tc>
          <w:tcPr>
            <w:tcW w:w="1072" w:type="dxa"/>
            <w:shd w:val="clear" w:color="auto" w:fill="auto"/>
            <w:vAlign w:val="center"/>
          </w:tcPr>
          <w:p w14:paraId="268B3AB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安全漏斗</w:t>
            </w:r>
          </w:p>
        </w:tc>
        <w:tc>
          <w:tcPr>
            <w:tcW w:w="4897" w:type="dxa"/>
            <w:shd w:val="clear" w:color="auto" w:fill="auto"/>
            <w:vAlign w:val="center"/>
          </w:tcPr>
          <w:p w14:paraId="465882B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双球，球径高度、直径一致，双球应位于环管中部，应无明显偏斜</w:t>
            </w:r>
          </w:p>
        </w:tc>
        <w:tc>
          <w:tcPr>
            <w:tcW w:w="462" w:type="dxa"/>
            <w:shd w:val="clear" w:color="auto" w:fill="auto"/>
            <w:noWrap/>
            <w:vAlign w:val="center"/>
          </w:tcPr>
          <w:p w14:paraId="4C9C0A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9428D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293657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noWrap/>
            <w:vAlign w:val="center"/>
          </w:tcPr>
          <w:p w14:paraId="24D992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r>
      <w:tr w14:paraId="60BD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CB11FA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136</w:t>
            </w:r>
          </w:p>
        </w:tc>
        <w:tc>
          <w:tcPr>
            <w:tcW w:w="1072" w:type="dxa"/>
            <w:shd w:val="clear" w:color="auto" w:fill="auto"/>
            <w:vAlign w:val="center"/>
          </w:tcPr>
          <w:p w14:paraId="22190C9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分液漏斗</w:t>
            </w:r>
          </w:p>
        </w:tc>
        <w:tc>
          <w:tcPr>
            <w:tcW w:w="4897" w:type="dxa"/>
            <w:shd w:val="clear" w:color="auto" w:fill="auto"/>
            <w:vAlign w:val="center"/>
          </w:tcPr>
          <w:p w14:paraId="3605919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锥型，100mL，瓶塞应有凹槽，瓶口有气孔</w:t>
            </w:r>
          </w:p>
        </w:tc>
        <w:tc>
          <w:tcPr>
            <w:tcW w:w="462" w:type="dxa"/>
            <w:shd w:val="clear" w:color="auto" w:fill="auto"/>
            <w:noWrap/>
            <w:vAlign w:val="center"/>
          </w:tcPr>
          <w:p w14:paraId="0EAE39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CEC23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1A2BD6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noWrap/>
            <w:vAlign w:val="center"/>
          </w:tcPr>
          <w:p w14:paraId="1EDB5E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1F93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75EA0D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137</w:t>
            </w:r>
          </w:p>
        </w:tc>
        <w:tc>
          <w:tcPr>
            <w:tcW w:w="1072" w:type="dxa"/>
            <w:shd w:val="clear" w:color="auto" w:fill="auto"/>
            <w:vAlign w:val="center"/>
          </w:tcPr>
          <w:p w14:paraId="644D5E3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分液漏斗</w:t>
            </w:r>
          </w:p>
        </w:tc>
        <w:tc>
          <w:tcPr>
            <w:tcW w:w="4897" w:type="dxa"/>
            <w:shd w:val="clear" w:color="auto" w:fill="auto"/>
            <w:vAlign w:val="center"/>
          </w:tcPr>
          <w:p w14:paraId="0724B62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球型，50mL，瓶塞应有凹槽，瓶口有气孔</w:t>
            </w:r>
          </w:p>
        </w:tc>
        <w:tc>
          <w:tcPr>
            <w:tcW w:w="462" w:type="dxa"/>
            <w:shd w:val="clear" w:color="auto" w:fill="auto"/>
            <w:noWrap/>
            <w:vAlign w:val="center"/>
          </w:tcPr>
          <w:p w14:paraId="266CE3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A576D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703A6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noWrap/>
            <w:vAlign w:val="center"/>
          </w:tcPr>
          <w:p w14:paraId="72115F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3CF3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DF29C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138</w:t>
            </w:r>
          </w:p>
        </w:tc>
        <w:tc>
          <w:tcPr>
            <w:tcW w:w="1072" w:type="dxa"/>
            <w:shd w:val="clear" w:color="auto" w:fill="auto"/>
            <w:vAlign w:val="center"/>
          </w:tcPr>
          <w:p w14:paraId="0E53E0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三通连接管</w:t>
            </w:r>
          </w:p>
        </w:tc>
        <w:tc>
          <w:tcPr>
            <w:tcW w:w="4897" w:type="dxa"/>
            <w:shd w:val="clear" w:color="auto" w:fill="auto"/>
            <w:vAlign w:val="center"/>
          </w:tcPr>
          <w:p w14:paraId="42CA74F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T形，Φ7mm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Φ8mm,连接完好，管口应作打磨或烧结处理</w:t>
            </w:r>
          </w:p>
        </w:tc>
        <w:tc>
          <w:tcPr>
            <w:tcW w:w="462" w:type="dxa"/>
            <w:shd w:val="clear" w:color="auto" w:fill="auto"/>
            <w:noWrap/>
            <w:vAlign w:val="center"/>
          </w:tcPr>
          <w:p w14:paraId="6BF5B7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C8C2F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90B7C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08BC5A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r>
      <w:tr w14:paraId="56AB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CBA76E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139</w:t>
            </w:r>
          </w:p>
        </w:tc>
        <w:tc>
          <w:tcPr>
            <w:tcW w:w="1072" w:type="dxa"/>
            <w:shd w:val="clear" w:color="auto" w:fill="auto"/>
            <w:vAlign w:val="center"/>
          </w:tcPr>
          <w:p w14:paraId="48704E1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三通连接管</w:t>
            </w:r>
          </w:p>
        </w:tc>
        <w:tc>
          <w:tcPr>
            <w:tcW w:w="4897" w:type="dxa"/>
            <w:shd w:val="clear" w:color="auto" w:fill="auto"/>
            <w:vAlign w:val="center"/>
          </w:tcPr>
          <w:p w14:paraId="1771926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Y形，Φ7mm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Φ8mm,连接完好，管口应作打磨或烧结处理</w:t>
            </w:r>
          </w:p>
        </w:tc>
        <w:tc>
          <w:tcPr>
            <w:tcW w:w="462" w:type="dxa"/>
            <w:shd w:val="clear" w:color="auto" w:fill="auto"/>
            <w:noWrap/>
            <w:vAlign w:val="center"/>
          </w:tcPr>
          <w:p w14:paraId="7B0ACB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822ED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1F01E0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2616E0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r>
      <w:tr w14:paraId="35C2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C03E8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140</w:t>
            </w:r>
          </w:p>
        </w:tc>
        <w:tc>
          <w:tcPr>
            <w:tcW w:w="1072" w:type="dxa"/>
            <w:shd w:val="clear" w:color="auto" w:fill="auto"/>
            <w:vAlign w:val="center"/>
          </w:tcPr>
          <w:p w14:paraId="302B585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滴管</w:t>
            </w:r>
          </w:p>
        </w:tc>
        <w:tc>
          <w:tcPr>
            <w:tcW w:w="4897" w:type="dxa"/>
            <w:shd w:val="clear" w:color="auto" w:fill="auto"/>
            <w:vAlign w:val="center"/>
          </w:tcPr>
          <w:p w14:paraId="09E914B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100mm，直形,滴管尖嘴口径1mm,上端有防滑脱翻口,翻口处直径比滴管直径略多1mm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2mm</w:t>
            </w:r>
          </w:p>
        </w:tc>
        <w:tc>
          <w:tcPr>
            <w:tcW w:w="462" w:type="dxa"/>
            <w:shd w:val="clear" w:color="auto" w:fill="auto"/>
            <w:noWrap/>
            <w:vAlign w:val="center"/>
          </w:tcPr>
          <w:p w14:paraId="4DCB93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15DE07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01DFEF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06FD12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4463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04A36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141</w:t>
            </w:r>
          </w:p>
        </w:tc>
        <w:tc>
          <w:tcPr>
            <w:tcW w:w="1072" w:type="dxa"/>
            <w:shd w:val="clear" w:color="auto" w:fill="auto"/>
            <w:vAlign w:val="center"/>
          </w:tcPr>
          <w:p w14:paraId="06FC894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滴管</w:t>
            </w:r>
          </w:p>
        </w:tc>
        <w:tc>
          <w:tcPr>
            <w:tcW w:w="4897" w:type="dxa"/>
            <w:shd w:val="clear" w:color="auto" w:fill="auto"/>
            <w:vAlign w:val="center"/>
          </w:tcPr>
          <w:p w14:paraId="212BDFE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150mm，直形,滴管尖嘴口径1mm,上端有防滑脱翻口,翻口处直径比滴管直径略多1mm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2mm</w:t>
            </w:r>
          </w:p>
        </w:tc>
        <w:tc>
          <w:tcPr>
            <w:tcW w:w="462" w:type="dxa"/>
            <w:shd w:val="clear" w:color="auto" w:fill="auto"/>
            <w:noWrap/>
            <w:vAlign w:val="center"/>
          </w:tcPr>
          <w:p w14:paraId="2B39BA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0A3CC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06F83D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7C5E2F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06C3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20A722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142</w:t>
            </w:r>
          </w:p>
        </w:tc>
        <w:tc>
          <w:tcPr>
            <w:tcW w:w="1072" w:type="dxa"/>
            <w:shd w:val="clear" w:color="auto" w:fill="auto"/>
            <w:vAlign w:val="center"/>
          </w:tcPr>
          <w:p w14:paraId="55C9200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离心管</w:t>
            </w:r>
          </w:p>
        </w:tc>
        <w:tc>
          <w:tcPr>
            <w:tcW w:w="4897" w:type="dxa"/>
            <w:shd w:val="clear" w:color="auto" w:fill="auto"/>
            <w:vAlign w:val="center"/>
          </w:tcPr>
          <w:p w14:paraId="1FDE5D5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10mL，硼硅酸盐玻璃制</w:t>
            </w:r>
          </w:p>
        </w:tc>
        <w:tc>
          <w:tcPr>
            <w:tcW w:w="462" w:type="dxa"/>
            <w:shd w:val="clear" w:color="auto" w:fill="auto"/>
            <w:noWrap/>
            <w:vAlign w:val="center"/>
          </w:tcPr>
          <w:p w14:paraId="30AEF6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325BD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048" w:type="dxa"/>
            <w:shd w:val="clear" w:color="auto" w:fill="auto"/>
            <w:noWrap/>
            <w:vAlign w:val="center"/>
          </w:tcPr>
          <w:p w14:paraId="19ECBC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2A046C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r>
      <w:tr w14:paraId="3384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63C732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143</w:t>
            </w:r>
          </w:p>
        </w:tc>
        <w:tc>
          <w:tcPr>
            <w:tcW w:w="1072" w:type="dxa"/>
            <w:shd w:val="clear" w:color="auto" w:fill="auto"/>
            <w:vAlign w:val="center"/>
          </w:tcPr>
          <w:p w14:paraId="581B479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干燥管</w:t>
            </w:r>
          </w:p>
        </w:tc>
        <w:tc>
          <w:tcPr>
            <w:tcW w:w="4897" w:type="dxa"/>
            <w:shd w:val="clear" w:color="auto" w:fill="auto"/>
            <w:vAlign w:val="center"/>
          </w:tcPr>
          <w:p w14:paraId="29960ED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145mm,直形单球硼硅酸盐玻璃制,球应厚薄均匀</w:t>
            </w:r>
          </w:p>
        </w:tc>
        <w:tc>
          <w:tcPr>
            <w:tcW w:w="462" w:type="dxa"/>
            <w:shd w:val="clear" w:color="auto" w:fill="auto"/>
            <w:noWrap/>
            <w:vAlign w:val="center"/>
          </w:tcPr>
          <w:p w14:paraId="7CC46E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16BCE7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81053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5568E0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7786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59155C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144</w:t>
            </w:r>
          </w:p>
        </w:tc>
        <w:tc>
          <w:tcPr>
            <w:tcW w:w="1072" w:type="dxa"/>
            <w:shd w:val="clear" w:color="auto" w:fill="auto"/>
            <w:vAlign w:val="center"/>
          </w:tcPr>
          <w:p w14:paraId="639436A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干燥管</w:t>
            </w:r>
          </w:p>
        </w:tc>
        <w:tc>
          <w:tcPr>
            <w:tcW w:w="4897" w:type="dxa"/>
            <w:shd w:val="clear" w:color="auto" w:fill="auto"/>
            <w:vAlign w:val="center"/>
          </w:tcPr>
          <w:p w14:paraId="4801F85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U型，Φ15mmX150mm，硼硅酸盐玻璃制,两管应平行，管口高度误差不大于5mm</w:t>
            </w:r>
          </w:p>
        </w:tc>
        <w:tc>
          <w:tcPr>
            <w:tcW w:w="462" w:type="dxa"/>
            <w:shd w:val="clear" w:color="auto" w:fill="auto"/>
            <w:noWrap/>
            <w:vAlign w:val="center"/>
          </w:tcPr>
          <w:p w14:paraId="0EA1009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51A16D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38E5AD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E4AD2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13B5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187E1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145</w:t>
            </w:r>
          </w:p>
        </w:tc>
        <w:tc>
          <w:tcPr>
            <w:tcW w:w="1072" w:type="dxa"/>
            <w:shd w:val="clear" w:color="auto" w:fill="auto"/>
            <w:vAlign w:val="center"/>
          </w:tcPr>
          <w:p w14:paraId="0CAA011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干燥管</w:t>
            </w:r>
          </w:p>
        </w:tc>
        <w:tc>
          <w:tcPr>
            <w:tcW w:w="4897" w:type="dxa"/>
            <w:shd w:val="clear" w:color="auto" w:fill="auto"/>
            <w:vAlign w:val="center"/>
          </w:tcPr>
          <w:p w14:paraId="70F9776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U型，具支，Φ15mmX150mm，硼硅酸盐玻璃制,两管应平行，管口高度误差不大于5mm</w:t>
            </w:r>
          </w:p>
        </w:tc>
        <w:tc>
          <w:tcPr>
            <w:tcW w:w="462" w:type="dxa"/>
            <w:shd w:val="clear" w:color="auto" w:fill="auto"/>
            <w:noWrap/>
            <w:vAlign w:val="center"/>
          </w:tcPr>
          <w:p w14:paraId="2D6650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93BA2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0FD187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744199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4CB5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8E185E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146</w:t>
            </w:r>
          </w:p>
        </w:tc>
        <w:tc>
          <w:tcPr>
            <w:tcW w:w="1072" w:type="dxa"/>
            <w:shd w:val="clear" w:color="auto" w:fill="auto"/>
            <w:vAlign w:val="center"/>
          </w:tcPr>
          <w:p w14:paraId="6EDBEEB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干燥管</w:t>
            </w:r>
          </w:p>
        </w:tc>
        <w:tc>
          <w:tcPr>
            <w:tcW w:w="4897" w:type="dxa"/>
            <w:shd w:val="clear" w:color="auto" w:fill="auto"/>
            <w:vAlign w:val="center"/>
          </w:tcPr>
          <w:p w14:paraId="066130C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U型，Φ20mmX200mm，硼硅酸盐玻璃制,两管应平行，管口高度误差不大于5mm</w:t>
            </w:r>
          </w:p>
        </w:tc>
        <w:tc>
          <w:tcPr>
            <w:tcW w:w="462" w:type="dxa"/>
            <w:shd w:val="clear" w:color="auto" w:fill="auto"/>
            <w:noWrap/>
            <w:vAlign w:val="center"/>
          </w:tcPr>
          <w:p w14:paraId="599A18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07A4A2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520309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5991E2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w:t>
            </w:r>
          </w:p>
        </w:tc>
      </w:tr>
      <w:tr w14:paraId="01B5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273AF8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147</w:t>
            </w:r>
          </w:p>
        </w:tc>
        <w:tc>
          <w:tcPr>
            <w:tcW w:w="1072" w:type="dxa"/>
            <w:shd w:val="clear" w:color="auto" w:fill="auto"/>
            <w:vAlign w:val="center"/>
          </w:tcPr>
          <w:p w14:paraId="5B22EF7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干燥塔</w:t>
            </w:r>
          </w:p>
        </w:tc>
        <w:tc>
          <w:tcPr>
            <w:tcW w:w="4897" w:type="dxa"/>
            <w:shd w:val="clear" w:color="auto" w:fill="auto"/>
            <w:vAlign w:val="center"/>
          </w:tcPr>
          <w:p w14:paraId="6649A56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250mL，硼硅酸盐玻璃制</w:t>
            </w:r>
          </w:p>
        </w:tc>
        <w:tc>
          <w:tcPr>
            <w:tcW w:w="462" w:type="dxa"/>
            <w:shd w:val="clear" w:color="auto" w:fill="auto"/>
            <w:noWrap/>
            <w:vAlign w:val="center"/>
          </w:tcPr>
          <w:p w14:paraId="325C81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1D433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64C4B5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489" w:type="dxa"/>
            <w:shd w:val="clear" w:color="auto" w:fill="auto"/>
            <w:noWrap/>
            <w:vAlign w:val="center"/>
          </w:tcPr>
          <w:p w14:paraId="6979D3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r>
      <w:tr w14:paraId="4EA9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C4BA4E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148</w:t>
            </w:r>
          </w:p>
        </w:tc>
        <w:tc>
          <w:tcPr>
            <w:tcW w:w="1072" w:type="dxa"/>
            <w:shd w:val="clear" w:color="auto" w:fill="auto"/>
            <w:vAlign w:val="center"/>
          </w:tcPr>
          <w:p w14:paraId="3D023A9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比色管</w:t>
            </w:r>
          </w:p>
        </w:tc>
        <w:tc>
          <w:tcPr>
            <w:tcW w:w="4897" w:type="dxa"/>
            <w:shd w:val="clear" w:color="auto" w:fill="auto"/>
            <w:vAlign w:val="center"/>
          </w:tcPr>
          <w:p w14:paraId="198E895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25mL，硼硅酸盐玻璃制</w:t>
            </w:r>
          </w:p>
        </w:tc>
        <w:tc>
          <w:tcPr>
            <w:tcW w:w="462" w:type="dxa"/>
            <w:shd w:val="clear" w:color="auto" w:fill="auto"/>
            <w:noWrap/>
            <w:vAlign w:val="center"/>
          </w:tcPr>
          <w:p w14:paraId="0C3700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350DD1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w:t>
            </w:r>
          </w:p>
        </w:tc>
        <w:tc>
          <w:tcPr>
            <w:tcW w:w="1048" w:type="dxa"/>
            <w:shd w:val="clear" w:color="auto" w:fill="auto"/>
            <w:noWrap/>
            <w:vAlign w:val="center"/>
          </w:tcPr>
          <w:p w14:paraId="6E2CF1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4D4AEE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702</w:t>
            </w:r>
          </w:p>
        </w:tc>
      </w:tr>
      <w:tr w14:paraId="5155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AE95E6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149</w:t>
            </w:r>
          </w:p>
        </w:tc>
        <w:tc>
          <w:tcPr>
            <w:tcW w:w="1072" w:type="dxa"/>
            <w:shd w:val="clear" w:color="auto" w:fill="auto"/>
            <w:vAlign w:val="center"/>
          </w:tcPr>
          <w:p w14:paraId="75D8143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玻璃活塞</w:t>
            </w:r>
          </w:p>
        </w:tc>
        <w:tc>
          <w:tcPr>
            <w:tcW w:w="4897" w:type="dxa"/>
            <w:shd w:val="clear" w:color="auto" w:fill="auto"/>
            <w:vAlign w:val="center"/>
          </w:tcPr>
          <w:p w14:paraId="7D8DABD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直形，吻合良好，不漏气，不漏液</w:t>
            </w:r>
          </w:p>
        </w:tc>
        <w:tc>
          <w:tcPr>
            <w:tcW w:w="462" w:type="dxa"/>
            <w:shd w:val="clear" w:color="auto" w:fill="auto"/>
            <w:noWrap/>
            <w:vAlign w:val="center"/>
          </w:tcPr>
          <w:p w14:paraId="3F0774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1C1DD6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3FB913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c>
          <w:tcPr>
            <w:tcW w:w="1489" w:type="dxa"/>
            <w:shd w:val="clear" w:color="auto" w:fill="auto"/>
            <w:noWrap/>
            <w:vAlign w:val="center"/>
          </w:tcPr>
          <w:p w14:paraId="3A4056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132</w:t>
            </w:r>
          </w:p>
        </w:tc>
      </w:tr>
      <w:tr w14:paraId="116C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E67EBD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150</w:t>
            </w:r>
          </w:p>
        </w:tc>
        <w:tc>
          <w:tcPr>
            <w:tcW w:w="1072" w:type="dxa"/>
            <w:shd w:val="clear" w:color="auto" w:fill="auto"/>
            <w:vAlign w:val="center"/>
          </w:tcPr>
          <w:p w14:paraId="53D04EA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玻璃活塞</w:t>
            </w:r>
          </w:p>
        </w:tc>
        <w:tc>
          <w:tcPr>
            <w:tcW w:w="4897" w:type="dxa"/>
            <w:shd w:val="clear" w:color="auto" w:fill="auto"/>
            <w:vAlign w:val="center"/>
          </w:tcPr>
          <w:p w14:paraId="796666E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T形，吻合良好，不漏气，不漏液</w:t>
            </w:r>
          </w:p>
        </w:tc>
        <w:tc>
          <w:tcPr>
            <w:tcW w:w="462" w:type="dxa"/>
            <w:shd w:val="clear" w:color="auto" w:fill="auto"/>
            <w:noWrap/>
            <w:vAlign w:val="center"/>
          </w:tcPr>
          <w:p w14:paraId="6886D7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180088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677A3F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w:t>
            </w:r>
          </w:p>
        </w:tc>
        <w:tc>
          <w:tcPr>
            <w:tcW w:w="1489" w:type="dxa"/>
            <w:shd w:val="clear" w:color="auto" w:fill="auto"/>
            <w:noWrap/>
            <w:vAlign w:val="center"/>
          </w:tcPr>
          <w:p w14:paraId="57D495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68</w:t>
            </w:r>
          </w:p>
        </w:tc>
      </w:tr>
      <w:tr w14:paraId="473E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2FEDEB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151</w:t>
            </w:r>
          </w:p>
        </w:tc>
        <w:tc>
          <w:tcPr>
            <w:tcW w:w="1072" w:type="dxa"/>
            <w:shd w:val="clear" w:color="auto" w:fill="auto"/>
            <w:vAlign w:val="center"/>
          </w:tcPr>
          <w:p w14:paraId="56B3206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圆水槽</w:t>
            </w:r>
          </w:p>
        </w:tc>
        <w:tc>
          <w:tcPr>
            <w:tcW w:w="4897" w:type="dxa"/>
            <w:shd w:val="clear" w:color="auto" w:fill="auto"/>
            <w:vAlign w:val="center"/>
          </w:tcPr>
          <w:p w14:paraId="30EE9D9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Φ210mmX100mm，水槽底部应平整，不应凸底，壁厚和底厚应均匀，口部端面应平整，边和口应圆滑</w:t>
            </w:r>
          </w:p>
        </w:tc>
        <w:tc>
          <w:tcPr>
            <w:tcW w:w="462" w:type="dxa"/>
            <w:shd w:val="clear" w:color="auto" w:fill="auto"/>
            <w:noWrap/>
            <w:vAlign w:val="center"/>
          </w:tcPr>
          <w:p w14:paraId="4D201D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40FA6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4764ED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w:t>
            </w:r>
          </w:p>
        </w:tc>
        <w:tc>
          <w:tcPr>
            <w:tcW w:w="1489" w:type="dxa"/>
            <w:shd w:val="clear" w:color="auto" w:fill="auto"/>
            <w:noWrap/>
            <w:vAlign w:val="center"/>
          </w:tcPr>
          <w:p w14:paraId="05E898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w:t>
            </w:r>
          </w:p>
        </w:tc>
      </w:tr>
      <w:tr w14:paraId="13C0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01953B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152</w:t>
            </w:r>
          </w:p>
        </w:tc>
        <w:tc>
          <w:tcPr>
            <w:tcW w:w="1072" w:type="dxa"/>
            <w:shd w:val="clear" w:color="auto" w:fill="auto"/>
            <w:vAlign w:val="center"/>
          </w:tcPr>
          <w:p w14:paraId="26AC717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圆水槽</w:t>
            </w:r>
          </w:p>
        </w:tc>
        <w:tc>
          <w:tcPr>
            <w:tcW w:w="4897" w:type="dxa"/>
            <w:shd w:val="clear" w:color="auto" w:fill="auto"/>
            <w:vAlign w:val="center"/>
          </w:tcPr>
          <w:p w14:paraId="408A872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Φ270mmX140mm水槽底部应平整，不应凸底，壁厚和底厚应均匀，口部端面应平整，边和口应圆滑</w:t>
            </w:r>
          </w:p>
        </w:tc>
        <w:tc>
          <w:tcPr>
            <w:tcW w:w="462" w:type="dxa"/>
            <w:shd w:val="clear" w:color="auto" w:fill="auto"/>
            <w:noWrap/>
            <w:vAlign w:val="center"/>
          </w:tcPr>
          <w:p w14:paraId="1D6EB1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AA574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787AFD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56</w:t>
            </w:r>
          </w:p>
        </w:tc>
        <w:tc>
          <w:tcPr>
            <w:tcW w:w="1489" w:type="dxa"/>
            <w:shd w:val="clear" w:color="auto" w:fill="auto"/>
            <w:noWrap/>
            <w:vAlign w:val="center"/>
          </w:tcPr>
          <w:p w14:paraId="2159F9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224</w:t>
            </w:r>
          </w:p>
        </w:tc>
      </w:tr>
      <w:tr w14:paraId="45CA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D1C087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153</w:t>
            </w:r>
          </w:p>
        </w:tc>
        <w:tc>
          <w:tcPr>
            <w:tcW w:w="1072" w:type="dxa"/>
            <w:shd w:val="clear" w:color="auto" w:fill="auto"/>
            <w:vAlign w:val="center"/>
          </w:tcPr>
          <w:p w14:paraId="177D206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钴玻璃片</w:t>
            </w:r>
          </w:p>
        </w:tc>
        <w:tc>
          <w:tcPr>
            <w:tcW w:w="4897" w:type="dxa"/>
            <w:shd w:val="clear" w:color="auto" w:fill="auto"/>
            <w:vAlign w:val="center"/>
          </w:tcPr>
          <w:p w14:paraId="36502C1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钴玻璃片</w:t>
            </w:r>
          </w:p>
        </w:tc>
        <w:tc>
          <w:tcPr>
            <w:tcW w:w="462" w:type="dxa"/>
            <w:shd w:val="clear" w:color="auto" w:fill="auto"/>
            <w:noWrap/>
            <w:vAlign w:val="center"/>
          </w:tcPr>
          <w:p w14:paraId="3CB741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D4CFD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DB049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1F100C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3EAB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E3E96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154</w:t>
            </w:r>
          </w:p>
        </w:tc>
        <w:tc>
          <w:tcPr>
            <w:tcW w:w="1072" w:type="dxa"/>
            <w:shd w:val="clear" w:color="auto" w:fill="auto"/>
            <w:vAlign w:val="center"/>
          </w:tcPr>
          <w:p w14:paraId="7C7EEA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结晶皿</w:t>
            </w:r>
          </w:p>
        </w:tc>
        <w:tc>
          <w:tcPr>
            <w:tcW w:w="4897" w:type="dxa"/>
            <w:shd w:val="clear" w:color="auto" w:fill="auto"/>
            <w:vAlign w:val="center"/>
          </w:tcPr>
          <w:p w14:paraId="2C0137D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90mm,平底，无色硼硅玻璃制</w:t>
            </w:r>
          </w:p>
        </w:tc>
        <w:tc>
          <w:tcPr>
            <w:tcW w:w="462" w:type="dxa"/>
            <w:shd w:val="clear" w:color="auto" w:fill="auto"/>
            <w:noWrap/>
            <w:vAlign w:val="center"/>
          </w:tcPr>
          <w:p w14:paraId="45C763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D3996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754AE8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noWrap/>
            <w:vAlign w:val="center"/>
          </w:tcPr>
          <w:p w14:paraId="55C341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r>
      <w:tr w14:paraId="5A14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72DF4D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155</w:t>
            </w:r>
          </w:p>
        </w:tc>
        <w:tc>
          <w:tcPr>
            <w:tcW w:w="1072" w:type="dxa"/>
            <w:shd w:val="clear" w:color="auto" w:fill="auto"/>
            <w:vAlign w:val="center"/>
          </w:tcPr>
          <w:p w14:paraId="19178E3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表面皿</w:t>
            </w:r>
          </w:p>
        </w:tc>
        <w:tc>
          <w:tcPr>
            <w:tcW w:w="4897" w:type="dxa"/>
            <w:shd w:val="clear" w:color="auto" w:fill="auto"/>
            <w:vAlign w:val="center"/>
          </w:tcPr>
          <w:p w14:paraId="37B6A15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60mm，无色硼硅玻璃制</w:t>
            </w:r>
          </w:p>
        </w:tc>
        <w:tc>
          <w:tcPr>
            <w:tcW w:w="462" w:type="dxa"/>
            <w:shd w:val="clear" w:color="auto" w:fill="auto"/>
            <w:noWrap/>
            <w:vAlign w:val="center"/>
          </w:tcPr>
          <w:p w14:paraId="7458D2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E8A02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5F8F2A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125821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2FB8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F42D8B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156</w:t>
            </w:r>
          </w:p>
        </w:tc>
        <w:tc>
          <w:tcPr>
            <w:tcW w:w="1072" w:type="dxa"/>
            <w:shd w:val="clear" w:color="auto" w:fill="auto"/>
            <w:vAlign w:val="center"/>
          </w:tcPr>
          <w:p w14:paraId="2281ACE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表面皿</w:t>
            </w:r>
          </w:p>
        </w:tc>
        <w:tc>
          <w:tcPr>
            <w:tcW w:w="4897" w:type="dxa"/>
            <w:shd w:val="clear" w:color="auto" w:fill="auto"/>
            <w:vAlign w:val="center"/>
          </w:tcPr>
          <w:p w14:paraId="63D285A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100mm，无色硼硅玻璃制</w:t>
            </w:r>
          </w:p>
        </w:tc>
        <w:tc>
          <w:tcPr>
            <w:tcW w:w="462" w:type="dxa"/>
            <w:shd w:val="clear" w:color="auto" w:fill="auto"/>
            <w:noWrap/>
            <w:vAlign w:val="center"/>
          </w:tcPr>
          <w:p w14:paraId="1E5F89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21C88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2BB954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7FEC85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r>
      <w:tr w14:paraId="592A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31D35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157</w:t>
            </w:r>
          </w:p>
        </w:tc>
        <w:tc>
          <w:tcPr>
            <w:tcW w:w="1072" w:type="dxa"/>
            <w:shd w:val="clear" w:color="auto" w:fill="auto"/>
            <w:vAlign w:val="center"/>
          </w:tcPr>
          <w:p w14:paraId="5D86A22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坩埚</w:t>
            </w:r>
          </w:p>
        </w:tc>
        <w:tc>
          <w:tcPr>
            <w:tcW w:w="4897" w:type="dxa"/>
            <w:shd w:val="clear" w:color="auto" w:fill="auto"/>
            <w:vAlign w:val="center"/>
          </w:tcPr>
          <w:p w14:paraId="1107865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瓷制，30mL,耐热≥1200℃,内外壁光滑，外壁涂釉，配有坩埚盖</w:t>
            </w:r>
          </w:p>
        </w:tc>
        <w:tc>
          <w:tcPr>
            <w:tcW w:w="462" w:type="dxa"/>
            <w:shd w:val="clear" w:color="auto" w:fill="auto"/>
            <w:noWrap/>
            <w:vAlign w:val="center"/>
          </w:tcPr>
          <w:p w14:paraId="68B884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9B584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13B2B8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A527A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66B7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23248B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158</w:t>
            </w:r>
          </w:p>
        </w:tc>
        <w:tc>
          <w:tcPr>
            <w:tcW w:w="1072" w:type="dxa"/>
            <w:shd w:val="clear" w:color="auto" w:fill="auto"/>
            <w:vAlign w:val="center"/>
          </w:tcPr>
          <w:p w14:paraId="1E1BF16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坩埚钳</w:t>
            </w:r>
          </w:p>
        </w:tc>
        <w:tc>
          <w:tcPr>
            <w:tcW w:w="4897" w:type="dxa"/>
            <w:shd w:val="clear" w:color="auto" w:fill="auto"/>
            <w:vAlign w:val="center"/>
          </w:tcPr>
          <w:p w14:paraId="3109490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200mm,钢制，中间弯曲部分内径应在2cm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3cm</w:t>
            </w:r>
          </w:p>
        </w:tc>
        <w:tc>
          <w:tcPr>
            <w:tcW w:w="462" w:type="dxa"/>
            <w:shd w:val="clear" w:color="auto" w:fill="auto"/>
            <w:noWrap/>
            <w:vAlign w:val="center"/>
          </w:tcPr>
          <w:p w14:paraId="4C442D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E9331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1FD2F1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7A88A1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6FE9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C3D817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159</w:t>
            </w:r>
          </w:p>
        </w:tc>
        <w:tc>
          <w:tcPr>
            <w:tcW w:w="1072" w:type="dxa"/>
            <w:shd w:val="clear" w:color="auto" w:fill="auto"/>
            <w:vAlign w:val="center"/>
          </w:tcPr>
          <w:p w14:paraId="7E9CB4C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烧杯夹</w:t>
            </w:r>
          </w:p>
        </w:tc>
        <w:tc>
          <w:tcPr>
            <w:tcW w:w="4897" w:type="dxa"/>
            <w:shd w:val="clear" w:color="auto" w:fill="auto"/>
            <w:vAlign w:val="center"/>
          </w:tcPr>
          <w:p w14:paraId="5CCF39F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钢制或不锈钢制,夹持部位应有橡胶保护套,避免与玻璃烧杯直接接触</w:t>
            </w:r>
          </w:p>
        </w:tc>
        <w:tc>
          <w:tcPr>
            <w:tcW w:w="462" w:type="dxa"/>
            <w:shd w:val="clear" w:color="auto" w:fill="auto"/>
            <w:noWrap/>
            <w:vAlign w:val="center"/>
          </w:tcPr>
          <w:p w14:paraId="14F06B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66105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332D22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659714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4681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C93142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160</w:t>
            </w:r>
          </w:p>
        </w:tc>
        <w:tc>
          <w:tcPr>
            <w:tcW w:w="1072" w:type="dxa"/>
            <w:shd w:val="clear" w:color="auto" w:fill="auto"/>
            <w:vAlign w:val="center"/>
          </w:tcPr>
          <w:p w14:paraId="2179474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试管夹</w:t>
            </w:r>
          </w:p>
        </w:tc>
        <w:tc>
          <w:tcPr>
            <w:tcW w:w="4897" w:type="dxa"/>
            <w:shd w:val="clear" w:color="auto" w:fill="auto"/>
            <w:vAlign w:val="center"/>
          </w:tcPr>
          <w:p w14:paraId="44B1501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木制或者竹制，长度≥200mm,宽度约20mm,厚度约20mm。试管夹闭口缝≤1mm,开口距离≥25mm。毡块粘接牢固，试管夹弹簧作防锈处理。试管夹持部位圆弧内径≤15mm</w:t>
            </w:r>
          </w:p>
        </w:tc>
        <w:tc>
          <w:tcPr>
            <w:tcW w:w="462" w:type="dxa"/>
            <w:shd w:val="clear" w:color="auto" w:fill="auto"/>
            <w:noWrap/>
            <w:vAlign w:val="center"/>
          </w:tcPr>
          <w:p w14:paraId="6159F9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3D185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2800BF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3FC6BE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20A1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136DF2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161</w:t>
            </w:r>
          </w:p>
        </w:tc>
        <w:tc>
          <w:tcPr>
            <w:tcW w:w="1072" w:type="dxa"/>
            <w:shd w:val="clear" w:color="auto" w:fill="auto"/>
            <w:vAlign w:val="center"/>
          </w:tcPr>
          <w:p w14:paraId="111B1E5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止水皮管夹</w:t>
            </w:r>
          </w:p>
        </w:tc>
        <w:tc>
          <w:tcPr>
            <w:tcW w:w="4897" w:type="dxa"/>
            <w:shd w:val="clear" w:color="auto" w:fill="auto"/>
            <w:vAlign w:val="center"/>
          </w:tcPr>
          <w:p w14:paraId="5867437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Φ3mm钢丝制成，作防锈处理，夹持角度≥60°,弹性好，不漏液</w:t>
            </w:r>
          </w:p>
        </w:tc>
        <w:tc>
          <w:tcPr>
            <w:tcW w:w="462" w:type="dxa"/>
            <w:shd w:val="clear" w:color="auto" w:fill="auto"/>
            <w:noWrap/>
            <w:vAlign w:val="center"/>
          </w:tcPr>
          <w:p w14:paraId="0C9453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14D4C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7D8B10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5AFC6B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5432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CF1201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162</w:t>
            </w:r>
          </w:p>
        </w:tc>
        <w:tc>
          <w:tcPr>
            <w:tcW w:w="1072" w:type="dxa"/>
            <w:shd w:val="clear" w:color="auto" w:fill="auto"/>
            <w:vAlign w:val="center"/>
          </w:tcPr>
          <w:p w14:paraId="496889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螺旋皮管夹</w:t>
            </w:r>
          </w:p>
        </w:tc>
        <w:tc>
          <w:tcPr>
            <w:tcW w:w="4897" w:type="dxa"/>
            <w:shd w:val="clear" w:color="auto" w:fill="auto"/>
            <w:vAlign w:val="center"/>
          </w:tcPr>
          <w:p w14:paraId="4A61F6E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由支架管和带压板的螺杆等组成。外形尺寸约为33mmX20mmX8mm,旋转方便，不易变形，压板厚度≥1mm</w:t>
            </w:r>
          </w:p>
        </w:tc>
        <w:tc>
          <w:tcPr>
            <w:tcW w:w="462" w:type="dxa"/>
            <w:shd w:val="clear" w:color="auto" w:fill="auto"/>
            <w:noWrap/>
            <w:vAlign w:val="center"/>
          </w:tcPr>
          <w:p w14:paraId="2B48F6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92726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5DF963E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437AAC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r>
      <w:tr w14:paraId="7C42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790BF5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163</w:t>
            </w:r>
          </w:p>
        </w:tc>
        <w:tc>
          <w:tcPr>
            <w:tcW w:w="1072" w:type="dxa"/>
            <w:shd w:val="clear" w:color="auto" w:fill="auto"/>
            <w:vAlign w:val="center"/>
          </w:tcPr>
          <w:p w14:paraId="47087C1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陶土网</w:t>
            </w:r>
          </w:p>
        </w:tc>
        <w:tc>
          <w:tcPr>
            <w:tcW w:w="4897" w:type="dxa"/>
            <w:shd w:val="clear" w:color="auto" w:fill="auto"/>
            <w:vAlign w:val="center"/>
          </w:tcPr>
          <w:p w14:paraId="2B8C526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金属网尺寸≥125 mm×125 mm,耐火材料为 陶土,功能等同于石棉网</w:t>
            </w:r>
          </w:p>
        </w:tc>
        <w:tc>
          <w:tcPr>
            <w:tcW w:w="462" w:type="dxa"/>
            <w:shd w:val="clear" w:color="auto" w:fill="auto"/>
            <w:noWrap/>
            <w:vAlign w:val="center"/>
          </w:tcPr>
          <w:p w14:paraId="4141CBB3">
            <w:pPr>
              <w:jc w:val="center"/>
              <w:rPr>
                <w:rFonts w:ascii="宋体" w:hAnsi="宋体" w:cs="宋体"/>
                <w:kern w:val="0"/>
                <w:sz w:val="22"/>
              </w:rPr>
            </w:pPr>
          </w:p>
        </w:tc>
        <w:tc>
          <w:tcPr>
            <w:tcW w:w="605" w:type="dxa"/>
            <w:shd w:val="clear" w:color="auto" w:fill="auto"/>
            <w:noWrap/>
            <w:vAlign w:val="center"/>
          </w:tcPr>
          <w:p w14:paraId="14307828">
            <w:pPr>
              <w:widowControl/>
              <w:jc w:val="right"/>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227E60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6539FA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6922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10CA97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164</w:t>
            </w:r>
          </w:p>
        </w:tc>
        <w:tc>
          <w:tcPr>
            <w:tcW w:w="1072" w:type="dxa"/>
            <w:shd w:val="clear" w:color="auto" w:fill="auto"/>
            <w:vAlign w:val="center"/>
          </w:tcPr>
          <w:p w14:paraId="2DCDB64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二连球</w:t>
            </w:r>
          </w:p>
        </w:tc>
        <w:tc>
          <w:tcPr>
            <w:tcW w:w="4897" w:type="dxa"/>
            <w:shd w:val="clear" w:color="auto" w:fill="auto"/>
            <w:vAlign w:val="center"/>
          </w:tcPr>
          <w:p w14:paraId="47D5EA2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二连球</w:t>
            </w:r>
          </w:p>
        </w:tc>
        <w:tc>
          <w:tcPr>
            <w:tcW w:w="462" w:type="dxa"/>
            <w:shd w:val="clear" w:color="auto" w:fill="auto"/>
            <w:noWrap/>
            <w:vAlign w:val="center"/>
          </w:tcPr>
          <w:p w14:paraId="7483B9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C7F72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4048A5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489" w:type="dxa"/>
            <w:shd w:val="clear" w:color="auto" w:fill="auto"/>
            <w:noWrap/>
            <w:vAlign w:val="center"/>
          </w:tcPr>
          <w:p w14:paraId="3DFE8A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r>
      <w:tr w14:paraId="08A3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4A6170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165</w:t>
            </w:r>
          </w:p>
        </w:tc>
        <w:tc>
          <w:tcPr>
            <w:tcW w:w="1072" w:type="dxa"/>
            <w:shd w:val="clear" w:color="auto" w:fill="auto"/>
            <w:vAlign w:val="center"/>
          </w:tcPr>
          <w:p w14:paraId="22CF091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燃烧匙</w:t>
            </w:r>
          </w:p>
        </w:tc>
        <w:tc>
          <w:tcPr>
            <w:tcW w:w="4897" w:type="dxa"/>
            <w:shd w:val="clear" w:color="auto" w:fill="auto"/>
            <w:vAlign w:val="center"/>
          </w:tcPr>
          <w:p w14:paraId="7B9BA59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铜勺，勺直径18mm,深10mm,铁柄，柄长300mm,长柄和铜勺连接稳定结实</w:t>
            </w:r>
          </w:p>
        </w:tc>
        <w:tc>
          <w:tcPr>
            <w:tcW w:w="462" w:type="dxa"/>
            <w:shd w:val="clear" w:color="auto" w:fill="auto"/>
            <w:noWrap/>
            <w:vAlign w:val="center"/>
          </w:tcPr>
          <w:p w14:paraId="1D2D93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87DFF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14ADE3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6E09CA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6258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06733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166</w:t>
            </w:r>
          </w:p>
        </w:tc>
        <w:tc>
          <w:tcPr>
            <w:tcW w:w="1072" w:type="dxa"/>
            <w:shd w:val="clear" w:color="auto" w:fill="auto"/>
            <w:vAlign w:val="center"/>
          </w:tcPr>
          <w:p w14:paraId="287DB43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药匙</w:t>
            </w:r>
          </w:p>
        </w:tc>
        <w:tc>
          <w:tcPr>
            <w:tcW w:w="4897" w:type="dxa"/>
            <w:shd w:val="clear" w:color="auto" w:fill="auto"/>
            <w:vAlign w:val="center"/>
          </w:tcPr>
          <w:p w14:paraId="7978135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中号13.5cm,带小勺，材质可选金属、牛角、塑料</w:t>
            </w:r>
          </w:p>
        </w:tc>
        <w:tc>
          <w:tcPr>
            <w:tcW w:w="462" w:type="dxa"/>
            <w:shd w:val="clear" w:color="auto" w:fill="auto"/>
            <w:noWrap/>
            <w:vAlign w:val="center"/>
          </w:tcPr>
          <w:p w14:paraId="0E8A33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6E52D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011630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4B56F7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5D2F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F18838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167</w:t>
            </w:r>
          </w:p>
        </w:tc>
        <w:tc>
          <w:tcPr>
            <w:tcW w:w="1072" w:type="dxa"/>
            <w:shd w:val="clear" w:color="auto" w:fill="auto"/>
            <w:vAlign w:val="center"/>
          </w:tcPr>
          <w:p w14:paraId="1A7AC25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玻璃管</w:t>
            </w:r>
          </w:p>
        </w:tc>
        <w:tc>
          <w:tcPr>
            <w:tcW w:w="4897" w:type="dxa"/>
            <w:shd w:val="clear" w:color="auto" w:fill="auto"/>
            <w:vAlign w:val="center"/>
          </w:tcPr>
          <w:p w14:paraId="727F280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Φ5mm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Φ6mm，透明钠钙玻璃制,管口应打磨或烧结,避免划伤事故</w:t>
            </w:r>
          </w:p>
        </w:tc>
        <w:tc>
          <w:tcPr>
            <w:tcW w:w="462" w:type="dxa"/>
            <w:shd w:val="clear" w:color="auto" w:fill="auto"/>
            <w:noWrap/>
            <w:vAlign w:val="center"/>
          </w:tcPr>
          <w:p w14:paraId="133052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千克</w:t>
            </w:r>
          </w:p>
        </w:tc>
        <w:tc>
          <w:tcPr>
            <w:tcW w:w="605" w:type="dxa"/>
            <w:shd w:val="clear" w:color="auto" w:fill="auto"/>
            <w:noWrap/>
            <w:vAlign w:val="center"/>
          </w:tcPr>
          <w:p w14:paraId="3FD58D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7EB102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noWrap/>
            <w:vAlign w:val="center"/>
          </w:tcPr>
          <w:p w14:paraId="67C720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w:t>
            </w:r>
          </w:p>
        </w:tc>
      </w:tr>
      <w:tr w14:paraId="68EA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C2F8A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168</w:t>
            </w:r>
          </w:p>
        </w:tc>
        <w:tc>
          <w:tcPr>
            <w:tcW w:w="1072" w:type="dxa"/>
            <w:shd w:val="clear" w:color="auto" w:fill="auto"/>
            <w:vAlign w:val="center"/>
          </w:tcPr>
          <w:p w14:paraId="0CC9758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玻璃管</w:t>
            </w:r>
          </w:p>
        </w:tc>
        <w:tc>
          <w:tcPr>
            <w:tcW w:w="4897" w:type="dxa"/>
            <w:shd w:val="clear" w:color="auto" w:fill="auto"/>
            <w:vAlign w:val="center"/>
          </w:tcPr>
          <w:p w14:paraId="27AEC6F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Φ8mm，透明钠钙玻璃制,管口应打磨或烧结,避免划伤事故</w:t>
            </w:r>
          </w:p>
        </w:tc>
        <w:tc>
          <w:tcPr>
            <w:tcW w:w="462" w:type="dxa"/>
            <w:shd w:val="clear" w:color="auto" w:fill="auto"/>
            <w:noWrap/>
            <w:vAlign w:val="center"/>
          </w:tcPr>
          <w:p w14:paraId="7713B3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千克</w:t>
            </w:r>
          </w:p>
        </w:tc>
        <w:tc>
          <w:tcPr>
            <w:tcW w:w="605" w:type="dxa"/>
            <w:shd w:val="clear" w:color="auto" w:fill="auto"/>
            <w:noWrap/>
            <w:vAlign w:val="center"/>
          </w:tcPr>
          <w:p w14:paraId="49C920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43DE79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noWrap/>
            <w:vAlign w:val="center"/>
          </w:tcPr>
          <w:p w14:paraId="48D686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84</w:t>
            </w:r>
          </w:p>
        </w:tc>
      </w:tr>
      <w:tr w14:paraId="7486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238A76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169</w:t>
            </w:r>
          </w:p>
        </w:tc>
        <w:tc>
          <w:tcPr>
            <w:tcW w:w="1072" w:type="dxa"/>
            <w:shd w:val="clear" w:color="auto" w:fill="auto"/>
            <w:vAlign w:val="center"/>
          </w:tcPr>
          <w:p w14:paraId="227BB30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玻璃弯管</w:t>
            </w:r>
          </w:p>
        </w:tc>
        <w:tc>
          <w:tcPr>
            <w:tcW w:w="4897" w:type="dxa"/>
            <w:shd w:val="clear" w:color="auto" w:fill="auto"/>
            <w:vAlign w:val="center"/>
          </w:tcPr>
          <w:p w14:paraId="7E8FD06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Φ8mm，一端长度为6cm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7cm,另一端长度约20cm,形状为锐角、直角和钝角,管口应打磨或烧结,避免划伤事故</w:t>
            </w:r>
          </w:p>
        </w:tc>
        <w:tc>
          <w:tcPr>
            <w:tcW w:w="462" w:type="dxa"/>
            <w:shd w:val="clear" w:color="auto" w:fill="auto"/>
            <w:noWrap/>
            <w:vAlign w:val="center"/>
          </w:tcPr>
          <w:p w14:paraId="6E3A2C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48C335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03DD0F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52BB3F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1176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E39829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170</w:t>
            </w:r>
          </w:p>
        </w:tc>
        <w:tc>
          <w:tcPr>
            <w:tcW w:w="1072" w:type="dxa"/>
            <w:shd w:val="clear" w:color="auto" w:fill="auto"/>
            <w:vAlign w:val="center"/>
          </w:tcPr>
          <w:p w14:paraId="5F54957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玻璃棒</w:t>
            </w:r>
          </w:p>
        </w:tc>
        <w:tc>
          <w:tcPr>
            <w:tcW w:w="4897" w:type="dxa"/>
            <w:shd w:val="clear" w:color="auto" w:fill="auto"/>
            <w:vAlign w:val="center"/>
          </w:tcPr>
          <w:p w14:paraId="4AF75E5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Φ5mm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Φ6mm，粗细均匀,两端烧结使其光滑</w:t>
            </w:r>
          </w:p>
        </w:tc>
        <w:tc>
          <w:tcPr>
            <w:tcW w:w="462" w:type="dxa"/>
            <w:shd w:val="clear" w:color="auto" w:fill="auto"/>
            <w:noWrap/>
            <w:vAlign w:val="center"/>
          </w:tcPr>
          <w:p w14:paraId="0EEBBE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04FCB3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c>
          <w:tcPr>
            <w:tcW w:w="1048" w:type="dxa"/>
            <w:shd w:val="clear" w:color="auto" w:fill="auto"/>
            <w:noWrap/>
            <w:vAlign w:val="center"/>
          </w:tcPr>
          <w:p w14:paraId="6D7A4D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noWrap/>
            <w:vAlign w:val="center"/>
          </w:tcPr>
          <w:p w14:paraId="07E905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1320</w:t>
            </w:r>
          </w:p>
        </w:tc>
      </w:tr>
      <w:tr w14:paraId="4DB6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B491F0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171</w:t>
            </w:r>
          </w:p>
        </w:tc>
        <w:tc>
          <w:tcPr>
            <w:tcW w:w="1072" w:type="dxa"/>
            <w:shd w:val="clear" w:color="auto" w:fill="auto"/>
            <w:vAlign w:val="center"/>
          </w:tcPr>
          <w:p w14:paraId="3F395DA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玻璃棒</w:t>
            </w:r>
          </w:p>
        </w:tc>
        <w:tc>
          <w:tcPr>
            <w:tcW w:w="4897" w:type="dxa"/>
            <w:shd w:val="clear" w:color="auto" w:fill="auto"/>
            <w:vAlign w:val="center"/>
          </w:tcPr>
          <w:p w14:paraId="16CA124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Φ8mm粗细均匀,两端烧结使其光滑</w:t>
            </w:r>
          </w:p>
        </w:tc>
        <w:tc>
          <w:tcPr>
            <w:tcW w:w="462" w:type="dxa"/>
            <w:shd w:val="clear" w:color="auto" w:fill="auto"/>
            <w:noWrap/>
            <w:vAlign w:val="center"/>
          </w:tcPr>
          <w:p w14:paraId="612CF6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1507E6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c>
          <w:tcPr>
            <w:tcW w:w="1048" w:type="dxa"/>
            <w:shd w:val="clear" w:color="auto" w:fill="auto"/>
            <w:noWrap/>
            <w:vAlign w:val="center"/>
          </w:tcPr>
          <w:p w14:paraId="6B25E1F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c>
          <w:tcPr>
            <w:tcW w:w="1489" w:type="dxa"/>
            <w:shd w:val="clear" w:color="auto" w:fill="auto"/>
            <w:noWrap/>
            <w:vAlign w:val="center"/>
          </w:tcPr>
          <w:p w14:paraId="275A49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1920</w:t>
            </w:r>
          </w:p>
        </w:tc>
      </w:tr>
      <w:tr w14:paraId="073E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515E1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172</w:t>
            </w:r>
          </w:p>
        </w:tc>
        <w:tc>
          <w:tcPr>
            <w:tcW w:w="1072" w:type="dxa"/>
            <w:shd w:val="clear" w:color="auto" w:fill="auto"/>
            <w:vAlign w:val="center"/>
          </w:tcPr>
          <w:p w14:paraId="12947E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橡胶塞</w:t>
            </w:r>
          </w:p>
        </w:tc>
        <w:tc>
          <w:tcPr>
            <w:tcW w:w="4897" w:type="dxa"/>
            <w:shd w:val="clear" w:color="auto" w:fill="auto"/>
            <w:vAlign w:val="center"/>
          </w:tcPr>
          <w:p w14:paraId="65B7EB7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000、00、0</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10号，白色,质地均匀</w:t>
            </w:r>
          </w:p>
        </w:tc>
        <w:tc>
          <w:tcPr>
            <w:tcW w:w="462" w:type="dxa"/>
            <w:shd w:val="clear" w:color="auto" w:fill="auto"/>
            <w:noWrap/>
            <w:vAlign w:val="center"/>
          </w:tcPr>
          <w:p w14:paraId="5BD029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千克</w:t>
            </w:r>
          </w:p>
        </w:tc>
        <w:tc>
          <w:tcPr>
            <w:tcW w:w="605" w:type="dxa"/>
            <w:shd w:val="clear" w:color="auto" w:fill="auto"/>
            <w:noWrap/>
            <w:vAlign w:val="center"/>
          </w:tcPr>
          <w:p w14:paraId="5BC245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048" w:type="dxa"/>
            <w:shd w:val="clear" w:color="auto" w:fill="auto"/>
            <w:noWrap/>
            <w:vAlign w:val="center"/>
          </w:tcPr>
          <w:p w14:paraId="46F367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02CCD6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280</w:t>
            </w:r>
          </w:p>
        </w:tc>
      </w:tr>
      <w:tr w14:paraId="3DB9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9523EA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173</w:t>
            </w:r>
          </w:p>
        </w:tc>
        <w:tc>
          <w:tcPr>
            <w:tcW w:w="1072" w:type="dxa"/>
            <w:shd w:val="clear" w:color="auto" w:fill="auto"/>
            <w:vAlign w:val="center"/>
          </w:tcPr>
          <w:p w14:paraId="633B86D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橡胶管</w:t>
            </w:r>
          </w:p>
        </w:tc>
        <w:tc>
          <w:tcPr>
            <w:tcW w:w="4897" w:type="dxa"/>
            <w:shd w:val="clear" w:color="auto" w:fill="auto"/>
            <w:vAlign w:val="center"/>
          </w:tcPr>
          <w:p w14:paraId="7DB00D5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外径9mm,内径6mm，乳白色,具有耐油、耐酸碱、耐热、耐压等特性</w:t>
            </w:r>
          </w:p>
        </w:tc>
        <w:tc>
          <w:tcPr>
            <w:tcW w:w="462" w:type="dxa"/>
            <w:shd w:val="clear" w:color="auto" w:fill="auto"/>
            <w:noWrap/>
            <w:vAlign w:val="center"/>
          </w:tcPr>
          <w:p w14:paraId="65FBAC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m</w:t>
            </w:r>
          </w:p>
        </w:tc>
        <w:tc>
          <w:tcPr>
            <w:tcW w:w="605" w:type="dxa"/>
            <w:shd w:val="clear" w:color="auto" w:fill="auto"/>
            <w:noWrap/>
            <w:vAlign w:val="center"/>
          </w:tcPr>
          <w:p w14:paraId="0324D0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048" w:type="dxa"/>
            <w:shd w:val="clear" w:color="auto" w:fill="auto"/>
            <w:noWrap/>
            <w:vAlign w:val="center"/>
          </w:tcPr>
          <w:p w14:paraId="3666E7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24D295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1344</w:t>
            </w:r>
          </w:p>
        </w:tc>
      </w:tr>
      <w:tr w14:paraId="6651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3B1DA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174</w:t>
            </w:r>
          </w:p>
        </w:tc>
        <w:tc>
          <w:tcPr>
            <w:tcW w:w="1072" w:type="dxa"/>
            <w:shd w:val="clear" w:color="auto" w:fill="auto"/>
            <w:vAlign w:val="center"/>
          </w:tcPr>
          <w:p w14:paraId="3CEEC3D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乳胶管</w:t>
            </w:r>
          </w:p>
        </w:tc>
        <w:tc>
          <w:tcPr>
            <w:tcW w:w="4897" w:type="dxa"/>
            <w:shd w:val="clear" w:color="auto" w:fill="auto"/>
            <w:vAlign w:val="center"/>
          </w:tcPr>
          <w:p w14:paraId="2EDB5C3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外径6mm,内径4mm，弹力好,拉力范围可在自身的6倍,回弹力100%</w:t>
            </w:r>
          </w:p>
        </w:tc>
        <w:tc>
          <w:tcPr>
            <w:tcW w:w="462" w:type="dxa"/>
            <w:shd w:val="clear" w:color="auto" w:fill="auto"/>
            <w:noWrap/>
            <w:vAlign w:val="center"/>
          </w:tcPr>
          <w:p w14:paraId="306E10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m</w:t>
            </w:r>
          </w:p>
        </w:tc>
        <w:tc>
          <w:tcPr>
            <w:tcW w:w="605" w:type="dxa"/>
            <w:shd w:val="clear" w:color="auto" w:fill="auto"/>
            <w:noWrap/>
            <w:vAlign w:val="center"/>
          </w:tcPr>
          <w:p w14:paraId="097A4E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048" w:type="dxa"/>
            <w:shd w:val="clear" w:color="auto" w:fill="auto"/>
            <w:noWrap/>
            <w:vAlign w:val="center"/>
          </w:tcPr>
          <w:p w14:paraId="34177B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03EAEB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4FE2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011C5C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175</w:t>
            </w:r>
          </w:p>
        </w:tc>
        <w:tc>
          <w:tcPr>
            <w:tcW w:w="1072" w:type="dxa"/>
            <w:shd w:val="clear" w:color="auto" w:fill="auto"/>
            <w:vAlign w:val="center"/>
          </w:tcPr>
          <w:p w14:paraId="24DE69A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乳胶管</w:t>
            </w:r>
          </w:p>
        </w:tc>
        <w:tc>
          <w:tcPr>
            <w:tcW w:w="4897" w:type="dxa"/>
            <w:shd w:val="clear" w:color="auto" w:fill="auto"/>
            <w:vAlign w:val="center"/>
          </w:tcPr>
          <w:p w14:paraId="0388AC4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外径7mm,内径5mm，弹力好,拉力范围可在自身的6倍,回弹力100%</w:t>
            </w:r>
          </w:p>
        </w:tc>
        <w:tc>
          <w:tcPr>
            <w:tcW w:w="462" w:type="dxa"/>
            <w:shd w:val="clear" w:color="auto" w:fill="auto"/>
            <w:noWrap/>
            <w:vAlign w:val="center"/>
          </w:tcPr>
          <w:p w14:paraId="2D46BE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m</w:t>
            </w:r>
          </w:p>
        </w:tc>
        <w:tc>
          <w:tcPr>
            <w:tcW w:w="605" w:type="dxa"/>
            <w:shd w:val="clear" w:color="auto" w:fill="auto"/>
            <w:noWrap/>
            <w:vAlign w:val="center"/>
          </w:tcPr>
          <w:p w14:paraId="0DF49A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048" w:type="dxa"/>
            <w:shd w:val="clear" w:color="auto" w:fill="auto"/>
            <w:noWrap/>
            <w:vAlign w:val="center"/>
          </w:tcPr>
          <w:p w14:paraId="7BDA4A7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0068CF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288</w:t>
            </w:r>
          </w:p>
        </w:tc>
      </w:tr>
      <w:tr w14:paraId="14E3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790E9A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176</w:t>
            </w:r>
          </w:p>
        </w:tc>
        <w:tc>
          <w:tcPr>
            <w:tcW w:w="1072" w:type="dxa"/>
            <w:shd w:val="clear" w:color="auto" w:fill="auto"/>
            <w:vAlign w:val="center"/>
          </w:tcPr>
          <w:p w14:paraId="4D5FD62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乳胶管</w:t>
            </w:r>
          </w:p>
        </w:tc>
        <w:tc>
          <w:tcPr>
            <w:tcW w:w="4897" w:type="dxa"/>
            <w:shd w:val="clear" w:color="auto" w:fill="auto"/>
            <w:vAlign w:val="center"/>
          </w:tcPr>
          <w:p w14:paraId="70A84C8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外径9mm,内径6mm，弹力好,拉力范围可在自身的6倍,回弹力100%</w:t>
            </w:r>
          </w:p>
        </w:tc>
        <w:tc>
          <w:tcPr>
            <w:tcW w:w="462" w:type="dxa"/>
            <w:shd w:val="clear" w:color="auto" w:fill="auto"/>
            <w:noWrap/>
            <w:vAlign w:val="center"/>
          </w:tcPr>
          <w:p w14:paraId="038C71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m</w:t>
            </w:r>
          </w:p>
        </w:tc>
        <w:tc>
          <w:tcPr>
            <w:tcW w:w="605" w:type="dxa"/>
            <w:shd w:val="clear" w:color="auto" w:fill="auto"/>
            <w:noWrap/>
            <w:vAlign w:val="center"/>
          </w:tcPr>
          <w:p w14:paraId="3DF64C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048" w:type="dxa"/>
            <w:shd w:val="clear" w:color="auto" w:fill="auto"/>
            <w:noWrap/>
            <w:vAlign w:val="center"/>
          </w:tcPr>
          <w:p w14:paraId="2CEAE0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49A9DF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384</w:t>
            </w:r>
          </w:p>
        </w:tc>
      </w:tr>
      <w:tr w14:paraId="3BD6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A66766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177</w:t>
            </w:r>
          </w:p>
        </w:tc>
        <w:tc>
          <w:tcPr>
            <w:tcW w:w="1072" w:type="dxa"/>
            <w:shd w:val="clear" w:color="auto" w:fill="auto"/>
            <w:vAlign w:val="center"/>
          </w:tcPr>
          <w:p w14:paraId="47D82F2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洗耳球</w:t>
            </w:r>
          </w:p>
        </w:tc>
        <w:tc>
          <w:tcPr>
            <w:tcW w:w="4897" w:type="dxa"/>
            <w:shd w:val="clear" w:color="auto" w:fill="auto"/>
            <w:vAlign w:val="center"/>
          </w:tcPr>
          <w:p w14:paraId="4B966CD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60mL，橡胶材质</w:t>
            </w:r>
          </w:p>
        </w:tc>
        <w:tc>
          <w:tcPr>
            <w:tcW w:w="462" w:type="dxa"/>
            <w:shd w:val="clear" w:color="auto" w:fill="auto"/>
            <w:noWrap/>
            <w:vAlign w:val="center"/>
          </w:tcPr>
          <w:p w14:paraId="64DA8D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F7B40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26676AD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687A6D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105</w:t>
            </w:r>
          </w:p>
        </w:tc>
      </w:tr>
      <w:tr w14:paraId="72D5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5203F6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178</w:t>
            </w:r>
          </w:p>
        </w:tc>
        <w:tc>
          <w:tcPr>
            <w:tcW w:w="1072" w:type="dxa"/>
            <w:shd w:val="clear" w:color="auto" w:fill="auto"/>
            <w:vAlign w:val="center"/>
          </w:tcPr>
          <w:p w14:paraId="612E085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试管刷</w:t>
            </w:r>
          </w:p>
        </w:tc>
        <w:tc>
          <w:tcPr>
            <w:tcW w:w="4897" w:type="dxa"/>
            <w:shd w:val="clear" w:color="auto" w:fill="auto"/>
            <w:vAlign w:val="center"/>
          </w:tcPr>
          <w:p w14:paraId="3E0215D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直径12mm，手持部分顶端应为带环状,顶部要有刷丝,铁丝不可外露</w:t>
            </w:r>
          </w:p>
        </w:tc>
        <w:tc>
          <w:tcPr>
            <w:tcW w:w="462" w:type="dxa"/>
            <w:shd w:val="clear" w:color="auto" w:fill="auto"/>
            <w:noWrap/>
            <w:vAlign w:val="center"/>
          </w:tcPr>
          <w:p w14:paraId="710BDF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F8CCC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078AD9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74C2DE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091C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B6CA1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179</w:t>
            </w:r>
          </w:p>
        </w:tc>
        <w:tc>
          <w:tcPr>
            <w:tcW w:w="1072" w:type="dxa"/>
            <w:shd w:val="clear" w:color="auto" w:fill="auto"/>
            <w:vAlign w:val="center"/>
          </w:tcPr>
          <w:p w14:paraId="1572D5C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试管刷</w:t>
            </w:r>
          </w:p>
        </w:tc>
        <w:tc>
          <w:tcPr>
            <w:tcW w:w="4897" w:type="dxa"/>
            <w:shd w:val="clear" w:color="auto" w:fill="auto"/>
            <w:vAlign w:val="center"/>
          </w:tcPr>
          <w:p w14:paraId="7180FB5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直径18mm，手持部分顶端应为带环状,顶部要有刷丝,铁丝不可外露</w:t>
            </w:r>
          </w:p>
        </w:tc>
        <w:tc>
          <w:tcPr>
            <w:tcW w:w="462" w:type="dxa"/>
            <w:shd w:val="clear" w:color="auto" w:fill="auto"/>
            <w:noWrap/>
            <w:vAlign w:val="center"/>
          </w:tcPr>
          <w:p w14:paraId="7C36A7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7D3E9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77A0E1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720371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4444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B45433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180</w:t>
            </w:r>
          </w:p>
        </w:tc>
        <w:tc>
          <w:tcPr>
            <w:tcW w:w="1072" w:type="dxa"/>
            <w:shd w:val="clear" w:color="auto" w:fill="auto"/>
            <w:vAlign w:val="center"/>
          </w:tcPr>
          <w:p w14:paraId="1B3113E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试管刷</w:t>
            </w:r>
          </w:p>
        </w:tc>
        <w:tc>
          <w:tcPr>
            <w:tcW w:w="4897" w:type="dxa"/>
            <w:shd w:val="clear" w:color="auto" w:fill="auto"/>
            <w:vAlign w:val="center"/>
          </w:tcPr>
          <w:p w14:paraId="44D4C30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直径32mm，手持部分顶端应为带环状,顶部要有刷丝,铁丝不可外露</w:t>
            </w:r>
          </w:p>
        </w:tc>
        <w:tc>
          <w:tcPr>
            <w:tcW w:w="462" w:type="dxa"/>
            <w:shd w:val="clear" w:color="auto" w:fill="auto"/>
            <w:noWrap/>
            <w:vAlign w:val="center"/>
          </w:tcPr>
          <w:p w14:paraId="314BD6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57FA4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4CD2A0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475288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0AB4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01283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181</w:t>
            </w:r>
          </w:p>
        </w:tc>
        <w:tc>
          <w:tcPr>
            <w:tcW w:w="1072" w:type="dxa"/>
            <w:shd w:val="clear" w:color="auto" w:fill="auto"/>
            <w:vAlign w:val="center"/>
          </w:tcPr>
          <w:p w14:paraId="01712B1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烧瓶刷</w:t>
            </w:r>
          </w:p>
        </w:tc>
        <w:tc>
          <w:tcPr>
            <w:tcW w:w="4897" w:type="dxa"/>
            <w:shd w:val="clear" w:color="auto" w:fill="auto"/>
            <w:vAlign w:val="center"/>
          </w:tcPr>
          <w:p w14:paraId="6D8FBC8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250mL烧瓶用，手持部分顶端应为带环状,顶部要有刷丝,铁丝不可外露</w:t>
            </w:r>
          </w:p>
        </w:tc>
        <w:tc>
          <w:tcPr>
            <w:tcW w:w="462" w:type="dxa"/>
            <w:shd w:val="clear" w:color="auto" w:fill="auto"/>
            <w:noWrap/>
            <w:vAlign w:val="center"/>
          </w:tcPr>
          <w:p w14:paraId="3E411C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2EF12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08A479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28DEE9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45</w:t>
            </w:r>
          </w:p>
        </w:tc>
      </w:tr>
      <w:tr w14:paraId="3794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E10C7F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182</w:t>
            </w:r>
          </w:p>
        </w:tc>
        <w:tc>
          <w:tcPr>
            <w:tcW w:w="1072" w:type="dxa"/>
            <w:shd w:val="clear" w:color="auto" w:fill="auto"/>
            <w:vAlign w:val="center"/>
          </w:tcPr>
          <w:p w14:paraId="74D32BD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烧瓶刷</w:t>
            </w:r>
          </w:p>
        </w:tc>
        <w:tc>
          <w:tcPr>
            <w:tcW w:w="4897" w:type="dxa"/>
            <w:shd w:val="clear" w:color="auto" w:fill="auto"/>
            <w:vAlign w:val="center"/>
          </w:tcPr>
          <w:p w14:paraId="64458EE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500mL烧瓶用，手持部分顶端应为带环状,顶部要有刷丝,铁丝不可外露</w:t>
            </w:r>
          </w:p>
        </w:tc>
        <w:tc>
          <w:tcPr>
            <w:tcW w:w="462" w:type="dxa"/>
            <w:shd w:val="clear" w:color="auto" w:fill="auto"/>
            <w:noWrap/>
            <w:vAlign w:val="center"/>
          </w:tcPr>
          <w:p w14:paraId="5B8900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1E03A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022CEE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10B980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3BCF8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DB983A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183</w:t>
            </w:r>
          </w:p>
        </w:tc>
        <w:tc>
          <w:tcPr>
            <w:tcW w:w="1072" w:type="dxa"/>
            <w:shd w:val="clear" w:color="auto" w:fill="auto"/>
            <w:vAlign w:val="center"/>
          </w:tcPr>
          <w:p w14:paraId="30FCEC9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滴定管刷</w:t>
            </w:r>
          </w:p>
        </w:tc>
        <w:tc>
          <w:tcPr>
            <w:tcW w:w="4897" w:type="dxa"/>
            <w:shd w:val="clear" w:color="auto" w:fill="auto"/>
            <w:vAlign w:val="center"/>
          </w:tcPr>
          <w:p w14:paraId="720E5DC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手持部分顶端应为环状，顶部要有刷丝，铁丝不可外露</w:t>
            </w:r>
          </w:p>
        </w:tc>
        <w:tc>
          <w:tcPr>
            <w:tcW w:w="462" w:type="dxa"/>
            <w:shd w:val="clear" w:color="auto" w:fill="auto"/>
            <w:noWrap/>
            <w:vAlign w:val="center"/>
          </w:tcPr>
          <w:p w14:paraId="2C2FDF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38CCE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0BCA1B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63908F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5A14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33BDFE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184</w:t>
            </w:r>
          </w:p>
        </w:tc>
        <w:tc>
          <w:tcPr>
            <w:tcW w:w="1072" w:type="dxa"/>
            <w:shd w:val="clear" w:color="auto" w:fill="auto"/>
            <w:vAlign w:val="center"/>
          </w:tcPr>
          <w:p w14:paraId="4B08A33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研钵</w:t>
            </w:r>
          </w:p>
        </w:tc>
        <w:tc>
          <w:tcPr>
            <w:tcW w:w="4897" w:type="dxa"/>
            <w:shd w:val="clear" w:color="auto" w:fill="auto"/>
            <w:vAlign w:val="center"/>
          </w:tcPr>
          <w:p w14:paraId="25694A3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瓷或玻璃制，60mm，配有研杵,内部粗糙便于研磨,外部光滑</w:t>
            </w:r>
          </w:p>
        </w:tc>
        <w:tc>
          <w:tcPr>
            <w:tcW w:w="462" w:type="dxa"/>
            <w:shd w:val="clear" w:color="auto" w:fill="auto"/>
            <w:noWrap/>
            <w:vAlign w:val="center"/>
          </w:tcPr>
          <w:p w14:paraId="535121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A88DA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1F2134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57E728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75</w:t>
            </w:r>
          </w:p>
        </w:tc>
      </w:tr>
      <w:tr w14:paraId="09AF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26EC18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185</w:t>
            </w:r>
          </w:p>
        </w:tc>
        <w:tc>
          <w:tcPr>
            <w:tcW w:w="1072" w:type="dxa"/>
            <w:shd w:val="clear" w:color="auto" w:fill="auto"/>
            <w:vAlign w:val="center"/>
          </w:tcPr>
          <w:p w14:paraId="7E04201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研钵</w:t>
            </w:r>
          </w:p>
        </w:tc>
        <w:tc>
          <w:tcPr>
            <w:tcW w:w="4897" w:type="dxa"/>
            <w:shd w:val="clear" w:color="auto" w:fill="auto"/>
            <w:vAlign w:val="center"/>
          </w:tcPr>
          <w:p w14:paraId="7F4F81A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瓷或玻璃制，100mm，配有研杵,内部粗糙便于研磨,外部光滑</w:t>
            </w:r>
          </w:p>
        </w:tc>
        <w:tc>
          <w:tcPr>
            <w:tcW w:w="462" w:type="dxa"/>
            <w:shd w:val="clear" w:color="auto" w:fill="auto"/>
            <w:noWrap/>
            <w:vAlign w:val="center"/>
          </w:tcPr>
          <w:p w14:paraId="282D83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52699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64DDB2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2802AC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r>
      <w:tr w14:paraId="50E5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A4777C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186</w:t>
            </w:r>
          </w:p>
        </w:tc>
        <w:tc>
          <w:tcPr>
            <w:tcW w:w="1072" w:type="dxa"/>
            <w:shd w:val="clear" w:color="auto" w:fill="auto"/>
            <w:vAlign w:val="center"/>
          </w:tcPr>
          <w:p w14:paraId="62CA75E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蒸发皿</w:t>
            </w:r>
          </w:p>
        </w:tc>
        <w:tc>
          <w:tcPr>
            <w:tcW w:w="4897" w:type="dxa"/>
            <w:shd w:val="clear" w:color="auto" w:fill="auto"/>
            <w:vAlign w:val="center"/>
          </w:tcPr>
          <w:p w14:paraId="0C1A787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瓷制，60mm，耐受温度≥800℃</w:t>
            </w:r>
          </w:p>
        </w:tc>
        <w:tc>
          <w:tcPr>
            <w:tcW w:w="462" w:type="dxa"/>
            <w:shd w:val="clear" w:color="auto" w:fill="auto"/>
            <w:noWrap/>
            <w:vAlign w:val="center"/>
          </w:tcPr>
          <w:p w14:paraId="6E8B1F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A4EEC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70E280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3C7ADF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6091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AF4A9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187</w:t>
            </w:r>
          </w:p>
        </w:tc>
        <w:tc>
          <w:tcPr>
            <w:tcW w:w="1072" w:type="dxa"/>
            <w:shd w:val="clear" w:color="auto" w:fill="auto"/>
            <w:vAlign w:val="center"/>
          </w:tcPr>
          <w:p w14:paraId="75CD4FA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蒸发皿</w:t>
            </w:r>
          </w:p>
        </w:tc>
        <w:tc>
          <w:tcPr>
            <w:tcW w:w="4897" w:type="dxa"/>
            <w:shd w:val="clear" w:color="auto" w:fill="auto"/>
            <w:vAlign w:val="center"/>
          </w:tcPr>
          <w:p w14:paraId="6075C0D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瓷制，120mm，耐受温度≥800℃</w:t>
            </w:r>
          </w:p>
        </w:tc>
        <w:tc>
          <w:tcPr>
            <w:tcW w:w="462" w:type="dxa"/>
            <w:shd w:val="clear" w:color="auto" w:fill="auto"/>
            <w:noWrap/>
            <w:vAlign w:val="center"/>
          </w:tcPr>
          <w:p w14:paraId="2073C5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47297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0B3637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A0804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5687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9BC2D6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188</w:t>
            </w:r>
          </w:p>
        </w:tc>
        <w:tc>
          <w:tcPr>
            <w:tcW w:w="1072" w:type="dxa"/>
            <w:shd w:val="clear" w:color="auto" w:fill="auto"/>
            <w:vAlign w:val="center"/>
          </w:tcPr>
          <w:p w14:paraId="03260F8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反应板</w:t>
            </w:r>
          </w:p>
        </w:tc>
        <w:tc>
          <w:tcPr>
            <w:tcW w:w="4897" w:type="dxa"/>
            <w:shd w:val="clear" w:color="auto" w:fill="auto"/>
            <w:vAlign w:val="center"/>
          </w:tcPr>
          <w:p w14:paraId="662F4CD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白色陶瓷，6孔，表面有釉层，不会发生溶液渗透</w:t>
            </w:r>
          </w:p>
        </w:tc>
        <w:tc>
          <w:tcPr>
            <w:tcW w:w="462" w:type="dxa"/>
            <w:shd w:val="clear" w:color="auto" w:fill="auto"/>
            <w:noWrap/>
            <w:vAlign w:val="center"/>
          </w:tcPr>
          <w:p w14:paraId="3FA4C6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F6AA0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28AA90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3271E5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773A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42B89A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189</w:t>
            </w:r>
          </w:p>
        </w:tc>
        <w:tc>
          <w:tcPr>
            <w:tcW w:w="1072" w:type="dxa"/>
            <w:shd w:val="clear" w:color="auto" w:fill="auto"/>
            <w:vAlign w:val="center"/>
          </w:tcPr>
          <w:p w14:paraId="654D240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井穴板</w:t>
            </w:r>
          </w:p>
        </w:tc>
        <w:tc>
          <w:tcPr>
            <w:tcW w:w="4897" w:type="dxa"/>
            <w:shd w:val="clear" w:color="auto" w:fill="auto"/>
            <w:vAlign w:val="center"/>
          </w:tcPr>
          <w:p w14:paraId="5B6D437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透明塑料，9孔，每孔0.7mL,环保材料，可以重复使用</w:t>
            </w:r>
          </w:p>
        </w:tc>
        <w:tc>
          <w:tcPr>
            <w:tcW w:w="462" w:type="dxa"/>
            <w:shd w:val="clear" w:color="auto" w:fill="auto"/>
            <w:noWrap/>
            <w:vAlign w:val="center"/>
          </w:tcPr>
          <w:p w14:paraId="09C21B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69D2D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06EBAA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19E813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0F17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DB8C23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190</w:t>
            </w:r>
          </w:p>
        </w:tc>
        <w:tc>
          <w:tcPr>
            <w:tcW w:w="1072" w:type="dxa"/>
            <w:shd w:val="clear" w:color="auto" w:fill="auto"/>
            <w:vAlign w:val="center"/>
          </w:tcPr>
          <w:p w14:paraId="53FEABC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井穴板</w:t>
            </w:r>
          </w:p>
        </w:tc>
        <w:tc>
          <w:tcPr>
            <w:tcW w:w="4897" w:type="dxa"/>
            <w:shd w:val="clear" w:color="auto" w:fill="auto"/>
            <w:vAlign w:val="center"/>
          </w:tcPr>
          <w:p w14:paraId="6C1143F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透明塑料，6孔，每孔5mL,配6个双导气管的井穴塞，可以重复使用</w:t>
            </w:r>
          </w:p>
        </w:tc>
        <w:tc>
          <w:tcPr>
            <w:tcW w:w="462" w:type="dxa"/>
            <w:shd w:val="clear" w:color="auto" w:fill="auto"/>
            <w:noWrap/>
            <w:vAlign w:val="center"/>
          </w:tcPr>
          <w:p w14:paraId="6D6A38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F0356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5E11FA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72BB1B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5290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AD85F5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191</w:t>
            </w:r>
          </w:p>
        </w:tc>
        <w:tc>
          <w:tcPr>
            <w:tcW w:w="1072" w:type="dxa"/>
            <w:shd w:val="clear" w:color="auto" w:fill="auto"/>
            <w:vAlign w:val="center"/>
          </w:tcPr>
          <w:p w14:paraId="29CEDC4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塑料多用滴管</w:t>
            </w:r>
          </w:p>
        </w:tc>
        <w:tc>
          <w:tcPr>
            <w:tcW w:w="4897" w:type="dxa"/>
            <w:shd w:val="clear" w:color="auto" w:fill="auto"/>
            <w:vAlign w:val="center"/>
          </w:tcPr>
          <w:p w14:paraId="7FE689A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弹性圆筒形吸泡和一根Φ1mmX120mm的径管连接而成，容积4mL,弹性好</w:t>
            </w:r>
          </w:p>
        </w:tc>
        <w:tc>
          <w:tcPr>
            <w:tcW w:w="462" w:type="dxa"/>
            <w:shd w:val="clear" w:color="auto" w:fill="auto"/>
            <w:noWrap/>
            <w:vAlign w:val="center"/>
          </w:tcPr>
          <w:p w14:paraId="4A3BCC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731D1A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c>
          <w:tcPr>
            <w:tcW w:w="1048" w:type="dxa"/>
            <w:shd w:val="clear" w:color="auto" w:fill="auto"/>
            <w:noWrap/>
            <w:vAlign w:val="center"/>
          </w:tcPr>
          <w:p w14:paraId="3E9EE6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0.5</w:t>
            </w:r>
          </w:p>
        </w:tc>
        <w:tc>
          <w:tcPr>
            <w:tcW w:w="1489" w:type="dxa"/>
            <w:shd w:val="clear" w:color="auto" w:fill="auto"/>
            <w:noWrap/>
            <w:vAlign w:val="center"/>
          </w:tcPr>
          <w:p w14:paraId="710E74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3217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59BCD7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192</w:t>
            </w:r>
          </w:p>
        </w:tc>
        <w:tc>
          <w:tcPr>
            <w:tcW w:w="1072" w:type="dxa"/>
            <w:shd w:val="clear" w:color="auto" w:fill="auto"/>
            <w:vAlign w:val="center"/>
          </w:tcPr>
          <w:p w14:paraId="1526481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塑料洗瓶</w:t>
            </w:r>
          </w:p>
        </w:tc>
        <w:tc>
          <w:tcPr>
            <w:tcW w:w="4897" w:type="dxa"/>
            <w:shd w:val="clear" w:color="auto" w:fill="auto"/>
            <w:vAlign w:val="center"/>
          </w:tcPr>
          <w:p w14:paraId="78A774F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250mL或500mL,水嘴略向下倾斜，口径1mm~2mm,瓶口紧实不漏气</w:t>
            </w:r>
          </w:p>
        </w:tc>
        <w:tc>
          <w:tcPr>
            <w:tcW w:w="462" w:type="dxa"/>
            <w:shd w:val="clear" w:color="auto" w:fill="auto"/>
            <w:noWrap/>
            <w:vAlign w:val="center"/>
          </w:tcPr>
          <w:p w14:paraId="4B3FEC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E59DA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08217D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07E9DE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40E6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72146D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193</w:t>
            </w:r>
          </w:p>
        </w:tc>
        <w:tc>
          <w:tcPr>
            <w:tcW w:w="1072" w:type="dxa"/>
            <w:shd w:val="clear" w:color="auto" w:fill="auto"/>
            <w:vAlign w:val="center"/>
          </w:tcPr>
          <w:p w14:paraId="32A713D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透明塑料水槽</w:t>
            </w:r>
          </w:p>
        </w:tc>
        <w:tc>
          <w:tcPr>
            <w:tcW w:w="4897" w:type="dxa"/>
            <w:shd w:val="clear" w:color="auto" w:fill="auto"/>
            <w:vAlign w:val="center"/>
          </w:tcPr>
          <w:p w14:paraId="4EB0533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250mmX180mmX100mm</w:t>
            </w:r>
          </w:p>
        </w:tc>
        <w:tc>
          <w:tcPr>
            <w:tcW w:w="462" w:type="dxa"/>
            <w:shd w:val="clear" w:color="auto" w:fill="auto"/>
            <w:noWrap/>
            <w:vAlign w:val="center"/>
          </w:tcPr>
          <w:p w14:paraId="5D74CB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4B5B6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2A3027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1473FE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390</w:t>
            </w:r>
          </w:p>
        </w:tc>
      </w:tr>
      <w:tr w14:paraId="574B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3CDA23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194</w:t>
            </w:r>
          </w:p>
        </w:tc>
        <w:tc>
          <w:tcPr>
            <w:tcW w:w="1072" w:type="dxa"/>
            <w:shd w:val="clear" w:color="auto" w:fill="auto"/>
            <w:vAlign w:val="center"/>
          </w:tcPr>
          <w:p w14:paraId="12D51D5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集气瓶挂扣器</w:t>
            </w:r>
          </w:p>
        </w:tc>
        <w:tc>
          <w:tcPr>
            <w:tcW w:w="4897" w:type="dxa"/>
            <w:shd w:val="clear" w:color="auto" w:fill="auto"/>
            <w:vAlign w:val="center"/>
          </w:tcPr>
          <w:p w14:paraId="14D3EBD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适合125mL集气瓶，塑料制</w:t>
            </w:r>
          </w:p>
        </w:tc>
        <w:tc>
          <w:tcPr>
            <w:tcW w:w="462" w:type="dxa"/>
            <w:shd w:val="clear" w:color="auto" w:fill="auto"/>
            <w:noWrap/>
            <w:vAlign w:val="center"/>
          </w:tcPr>
          <w:p w14:paraId="210AC7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58A0A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0BC202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c>
          <w:tcPr>
            <w:tcW w:w="1489" w:type="dxa"/>
            <w:shd w:val="clear" w:color="auto" w:fill="auto"/>
            <w:noWrap/>
            <w:vAlign w:val="center"/>
          </w:tcPr>
          <w:p w14:paraId="2CE7E5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510</w:t>
            </w:r>
          </w:p>
        </w:tc>
      </w:tr>
      <w:tr w14:paraId="099F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19B45F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195</w:t>
            </w:r>
          </w:p>
        </w:tc>
        <w:tc>
          <w:tcPr>
            <w:tcW w:w="1072" w:type="dxa"/>
            <w:shd w:val="clear" w:color="auto" w:fill="auto"/>
            <w:vAlign w:val="center"/>
          </w:tcPr>
          <w:p w14:paraId="3CD7920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集气瓶挂扣器</w:t>
            </w:r>
          </w:p>
        </w:tc>
        <w:tc>
          <w:tcPr>
            <w:tcW w:w="4897" w:type="dxa"/>
            <w:shd w:val="clear" w:color="auto" w:fill="auto"/>
            <w:vAlign w:val="center"/>
          </w:tcPr>
          <w:p w14:paraId="350A286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适合250mL集气瓶，塑料制</w:t>
            </w:r>
          </w:p>
        </w:tc>
        <w:tc>
          <w:tcPr>
            <w:tcW w:w="462" w:type="dxa"/>
            <w:shd w:val="clear" w:color="auto" w:fill="auto"/>
            <w:noWrap/>
            <w:vAlign w:val="center"/>
          </w:tcPr>
          <w:p w14:paraId="61BDDC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BADD6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67011E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30FA33B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108</w:t>
            </w:r>
          </w:p>
        </w:tc>
      </w:tr>
      <w:tr w14:paraId="23F34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DC4920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196</w:t>
            </w:r>
          </w:p>
        </w:tc>
        <w:tc>
          <w:tcPr>
            <w:tcW w:w="1072" w:type="dxa"/>
            <w:shd w:val="clear" w:color="auto" w:fill="auto"/>
            <w:vAlign w:val="center"/>
          </w:tcPr>
          <w:p w14:paraId="09233D9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铂丝</w:t>
            </w:r>
          </w:p>
        </w:tc>
        <w:tc>
          <w:tcPr>
            <w:tcW w:w="4897" w:type="dxa"/>
            <w:shd w:val="clear" w:color="auto" w:fill="auto"/>
            <w:vAlign w:val="center"/>
          </w:tcPr>
          <w:p w14:paraId="27FD6C1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Φ0.5mmX50mm；具金属柄，可拆卸</w:t>
            </w:r>
          </w:p>
        </w:tc>
        <w:tc>
          <w:tcPr>
            <w:tcW w:w="462" w:type="dxa"/>
            <w:shd w:val="clear" w:color="auto" w:fill="auto"/>
            <w:noWrap/>
            <w:vAlign w:val="center"/>
          </w:tcPr>
          <w:p w14:paraId="4027AF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D792E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3CF482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171</w:t>
            </w:r>
          </w:p>
        </w:tc>
        <w:tc>
          <w:tcPr>
            <w:tcW w:w="1489" w:type="dxa"/>
            <w:shd w:val="clear" w:color="auto" w:fill="auto"/>
            <w:noWrap/>
            <w:vAlign w:val="center"/>
          </w:tcPr>
          <w:p w14:paraId="0B49A9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342</w:t>
            </w:r>
          </w:p>
        </w:tc>
      </w:tr>
      <w:tr w14:paraId="077D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60DE23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197</w:t>
            </w:r>
          </w:p>
        </w:tc>
        <w:tc>
          <w:tcPr>
            <w:tcW w:w="1072" w:type="dxa"/>
            <w:shd w:val="clear" w:color="auto" w:fill="auto"/>
            <w:vAlign w:val="center"/>
          </w:tcPr>
          <w:p w14:paraId="1DAD35D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水浴锅</w:t>
            </w:r>
          </w:p>
        </w:tc>
        <w:tc>
          <w:tcPr>
            <w:tcW w:w="4897" w:type="dxa"/>
            <w:shd w:val="clear" w:color="auto" w:fill="auto"/>
            <w:vAlign w:val="center"/>
          </w:tcPr>
          <w:p w14:paraId="18F6963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铜制</w:t>
            </w:r>
          </w:p>
        </w:tc>
        <w:tc>
          <w:tcPr>
            <w:tcW w:w="462" w:type="dxa"/>
            <w:shd w:val="clear" w:color="auto" w:fill="auto"/>
            <w:noWrap/>
            <w:vAlign w:val="center"/>
          </w:tcPr>
          <w:p w14:paraId="46ED05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DF364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D5BBB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141</w:t>
            </w:r>
          </w:p>
        </w:tc>
        <w:tc>
          <w:tcPr>
            <w:tcW w:w="1489" w:type="dxa"/>
            <w:shd w:val="clear" w:color="auto" w:fill="auto"/>
            <w:noWrap/>
            <w:vAlign w:val="center"/>
          </w:tcPr>
          <w:p w14:paraId="533731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141</w:t>
            </w:r>
          </w:p>
        </w:tc>
      </w:tr>
      <w:tr w14:paraId="2243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5E9FCC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198</w:t>
            </w:r>
          </w:p>
        </w:tc>
        <w:tc>
          <w:tcPr>
            <w:tcW w:w="1072" w:type="dxa"/>
            <w:shd w:val="clear" w:color="auto" w:fill="auto"/>
            <w:vAlign w:val="center"/>
          </w:tcPr>
          <w:p w14:paraId="5C941FF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酒精喷灯</w:t>
            </w:r>
          </w:p>
        </w:tc>
        <w:tc>
          <w:tcPr>
            <w:tcW w:w="4897" w:type="dxa"/>
            <w:shd w:val="clear" w:color="auto" w:fill="auto"/>
            <w:vAlign w:val="center"/>
          </w:tcPr>
          <w:p w14:paraId="399AF1E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座式，铜制，壶体容积≥300mL,火焰温度≥1000℃</w:t>
            </w:r>
          </w:p>
        </w:tc>
        <w:tc>
          <w:tcPr>
            <w:tcW w:w="462" w:type="dxa"/>
            <w:shd w:val="clear" w:color="auto" w:fill="auto"/>
            <w:noWrap/>
            <w:vAlign w:val="center"/>
          </w:tcPr>
          <w:p w14:paraId="083E83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13F37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5145C0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109</w:t>
            </w:r>
          </w:p>
        </w:tc>
        <w:tc>
          <w:tcPr>
            <w:tcW w:w="1489" w:type="dxa"/>
            <w:shd w:val="clear" w:color="auto" w:fill="auto"/>
            <w:noWrap/>
            <w:vAlign w:val="center"/>
          </w:tcPr>
          <w:p w14:paraId="7BE885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218</w:t>
            </w:r>
          </w:p>
        </w:tc>
      </w:tr>
      <w:tr w14:paraId="695B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2CA365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199</w:t>
            </w:r>
          </w:p>
        </w:tc>
        <w:tc>
          <w:tcPr>
            <w:tcW w:w="1072" w:type="dxa"/>
            <w:shd w:val="clear" w:color="auto" w:fill="auto"/>
            <w:vAlign w:val="center"/>
          </w:tcPr>
          <w:p w14:paraId="7293F42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储气装置</w:t>
            </w:r>
          </w:p>
        </w:tc>
        <w:tc>
          <w:tcPr>
            <w:tcW w:w="4897" w:type="dxa"/>
            <w:shd w:val="clear" w:color="auto" w:fill="auto"/>
            <w:vAlign w:val="center"/>
          </w:tcPr>
          <w:p w14:paraId="310A9E1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容积≥2L</w:t>
            </w:r>
          </w:p>
        </w:tc>
        <w:tc>
          <w:tcPr>
            <w:tcW w:w="462" w:type="dxa"/>
            <w:shd w:val="clear" w:color="auto" w:fill="auto"/>
            <w:noWrap/>
            <w:vAlign w:val="center"/>
          </w:tcPr>
          <w:p w14:paraId="7F5FA0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28C59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2D4446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122</w:t>
            </w:r>
          </w:p>
        </w:tc>
        <w:tc>
          <w:tcPr>
            <w:tcW w:w="1489" w:type="dxa"/>
            <w:shd w:val="clear" w:color="auto" w:fill="auto"/>
            <w:noWrap/>
            <w:vAlign w:val="center"/>
          </w:tcPr>
          <w:p w14:paraId="2F54F5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244</w:t>
            </w:r>
          </w:p>
        </w:tc>
      </w:tr>
      <w:tr w14:paraId="2208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F2165E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200</w:t>
            </w:r>
          </w:p>
        </w:tc>
        <w:tc>
          <w:tcPr>
            <w:tcW w:w="1072" w:type="dxa"/>
            <w:shd w:val="clear" w:color="auto" w:fill="auto"/>
            <w:vAlign w:val="center"/>
          </w:tcPr>
          <w:p w14:paraId="6F5069B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铝条</w:t>
            </w:r>
          </w:p>
        </w:tc>
        <w:tc>
          <w:tcPr>
            <w:tcW w:w="4897" w:type="dxa"/>
            <w:shd w:val="clear" w:color="auto" w:fill="auto"/>
            <w:vAlign w:val="center"/>
          </w:tcPr>
          <w:p w14:paraId="7AF5C23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noWrap/>
            <w:vAlign w:val="center"/>
          </w:tcPr>
          <w:p w14:paraId="4127AA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noWrap/>
            <w:vAlign w:val="center"/>
          </w:tcPr>
          <w:p w14:paraId="29CE05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c>
          <w:tcPr>
            <w:tcW w:w="1048" w:type="dxa"/>
            <w:shd w:val="clear" w:color="auto" w:fill="auto"/>
            <w:noWrap/>
            <w:vAlign w:val="center"/>
          </w:tcPr>
          <w:p w14:paraId="5FC44D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0.2</w:t>
            </w:r>
          </w:p>
        </w:tc>
        <w:tc>
          <w:tcPr>
            <w:tcW w:w="1489" w:type="dxa"/>
            <w:shd w:val="clear" w:color="auto" w:fill="auto"/>
            <w:noWrap/>
            <w:vAlign w:val="center"/>
          </w:tcPr>
          <w:p w14:paraId="08EA5D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7712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070005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201</w:t>
            </w:r>
          </w:p>
        </w:tc>
        <w:tc>
          <w:tcPr>
            <w:tcW w:w="1072" w:type="dxa"/>
            <w:shd w:val="clear" w:color="auto" w:fill="auto"/>
            <w:vAlign w:val="center"/>
          </w:tcPr>
          <w:p w14:paraId="23C94C5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铝片</w:t>
            </w:r>
          </w:p>
        </w:tc>
        <w:tc>
          <w:tcPr>
            <w:tcW w:w="4897" w:type="dxa"/>
            <w:shd w:val="clear" w:color="auto" w:fill="auto"/>
            <w:vAlign w:val="center"/>
          </w:tcPr>
          <w:p w14:paraId="7C8182E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noWrap/>
            <w:vAlign w:val="center"/>
          </w:tcPr>
          <w:p w14:paraId="0F88FD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noWrap/>
            <w:vAlign w:val="center"/>
          </w:tcPr>
          <w:p w14:paraId="1581D3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c>
          <w:tcPr>
            <w:tcW w:w="1048" w:type="dxa"/>
            <w:shd w:val="clear" w:color="auto" w:fill="auto"/>
            <w:noWrap/>
            <w:vAlign w:val="center"/>
          </w:tcPr>
          <w:p w14:paraId="30A8FD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0.2</w:t>
            </w:r>
          </w:p>
        </w:tc>
        <w:tc>
          <w:tcPr>
            <w:tcW w:w="1489" w:type="dxa"/>
            <w:shd w:val="clear" w:color="auto" w:fill="auto"/>
            <w:noWrap/>
            <w:vAlign w:val="center"/>
          </w:tcPr>
          <w:p w14:paraId="5E1217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5EB3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B2E91D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202</w:t>
            </w:r>
          </w:p>
        </w:tc>
        <w:tc>
          <w:tcPr>
            <w:tcW w:w="1072" w:type="dxa"/>
            <w:shd w:val="clear" w:color="auto" w:fill="auto"/>
            <w:vAlign w:val="center"/>
          </w:tcPr>
          <w:p w14:paraId="349E70F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铝箔</w:t>
            </w:r>
          </w:p>
        </w:tc>
        <w:tc>
          <w:tcPr>
            <w:tcW w:w="4897" w:type="dxa"/>
            <w:shd w:val="clear" w:color="auto" w:fill="auto"/>
            <w:vAlign w:val="center"/>
          </w:tcPr>
          <w:p w14:paraId="3D60E84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noWrap/>
            <w:vAlign w:val="center"/>
          </w:tcPr>
          <w:p w14:paraId="49BCEF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noWrap/>
            <w:vAlign w:val="center"/>
          </w:tcPr>
          <w:p w14:paraId="702D68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18FF75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1B386C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7ABF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B90E07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203</w:t>
            </w:r>
          </w:p>
        </w:tc>
        <w:tc>
          <w:tcPr>
            <w:tcW w:w="1072" w:type="dxa"/>
            <w:shd w:val="clear" w:color="auto" w:fill="auto"/>
            <w:vAlign w:val="center"/>
          </w:tcPr>
          <w:p w14:paraId="6FFF2A7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锌片（锌花）</w:t>
            </w:r>
          </w:p>
        </w:tc>
        <w:tc>
          <w:tcPr>
            <w:tcW w:w="4897" w:type="dxa"/>
            <w:shd w:val="clear" w:color="auto" w:fill="auto"/>
            <w:vAlign w:val="center"/>
          </w:tcPr>
          <w:p w14:paraId="2B0CE1C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noWrap/>
            <w:vAlign w:val="center"/>
          </w:tcPr>
          <w:p w14:paraId="283EAB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noWrap/>
            <w:vAlign w:val="center"/>
          </w:tcPr>
          <w:p w14:paraId="074C9C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1200</w:t>
            </w:r>
          </w:p>
        </w:tc>
        <w:tc>
          <w:tcPr>
            <w:tcW w:w="1048" w:type="dxa"/>
            <w:shd w:val="clear" w:color="auto" w:fill="auto"/>
            <w:noWrap/>
            <w:vAlign w:val="center"/>
          </w:tcPr>
          <w:p w14:paraId="211081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0.2</w:t>
            </w:r>
          </w:p>
        </w:tc>
        <w:tc>
          <w:tcPr>
            <w:tcW w:w="1489" w:type="dxa"/>
            <w:shd w:val="clear" w:color="auto" w:fill="auto"/>
            <w:noWrap/>
            <w:vAlign w:val="center"/>
          </w:tcPr>
          <w:p w14:paraId="11440D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4B93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E2C566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204</w:t>
            </w:r>
          </w:p>
        </w:tc>
        <w:tc>
          <w:tcPr>
            <w:tcW w:w="1072" w:type="dxa"/>
            <w:shd w:val="clear" w:color="auto" w:fill="auto"/>
            <w:vAlign w:val="center"/>
          </w:tcPr>
          <w:p w14:paraId="75FB75D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锌粒</w:t>
            </w:r>
          </w:p>
        </w:tc>
        <w:tc>
          <w:tcPr>
            <w:tcW w:w="4897" w:type="dxa"/>
            <w:shd w:val="clear" w:color="auto" w:fill="auto"/>
            <w:vAlign w:val="center"/>
          </w:tcPr>
          <w:p w14:paraId="4AE5DEA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noWrap/>
            <w:vAlign w:val="center"/>
          </w:tcPr>
          <w:p w14:paraId="6F9B83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noWrap/>
            <w:vAlign w:val="center"/>
          </w:tcPr>
          <w:p w14:paraId="3C0580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c>
          <w:tcPr>
            <w:tcW w:w="1048" w:type="dxa"/>
            <w:shd w:val="clear" w:color="auto" w:fill="auto"/>
            <w:noWrap/>
            <w:vAlign w:val="center"/>
          </w:tcPr>
          <w:p w14:paraId="3A22EFE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0.2</w:t>
            </w:r>
          </w:p>
        </w:tc>
        <w:tc>
          <w:tcPr>
            <w:tcW w:w="1489" w:type="dxa"/>
            <w:shd w:val="clear" w:color="auto" w:fill="auto"/>
            <w:noWrap/>
            <w:vAlign w:val="center"/>
          </w:tcPr>
          <w:p w14:paraId="695A62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73C1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8013E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205</w:t>
            </w:r>
          </w:p>
        </w:tc>
        <w:tc>
          <w:tcPr>
            <w:tcW w:w="1072" w:type="dxa"/>
            <w:shd w:val="clear" w:color="auto" w:fill="auto"/>
            <w:vAlign w:val="center"/>
          </w:tcPr>
          <w:p w14:paraId="4E8772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铁片</w:t>
            </w:r>
          </w:p>
        </w:tc>
        <w:tc>
          <w:tcPr>
            <w:tcW w:w="4897" w:type="dxa"/>
            <w:shd w:val="clear" w:color="auto" w:fill="auto"/>
            <w:vAlign w:val="center"/>
          </w:tcPr>
          <w:p w14:paraId="3D4F214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noWrap/>
            <w:vAlign w:val="center"/>
          </w:tcPr>
          <w:p w14:paraId="1FBC0D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noWrap/>
            <w:vAlign w:val="center"/>
          </w:tcPr>
          <w:p w14:paraId="0C5A67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600</w:t>
            </w:r>
          </w:p>
        </w:tc>
        <w:tc>
          <w:tcPr>
            <w:tcW w:w="1048" w:type="dxa"/>
            <w:shd w:val="clear" w:color="auto" w:fill="auto"/>
            <w:noWrap/>
            <w:vAlign w:val="center"/>
          </w:tcPr>
          <w:p w14:paraId="03315B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0.1</w:t>
            </w:r>
          </w:p>
        </w:tc>
        <w:tc>
          <w:tcPr>
            <w:tcW w:w="1489" w:type="dxa"/>
            <w:shd w:val="clear" w:color="auto" w:fill="auto"/>
            <w:noWrap/>
            <w:vAlign w:val="center"/>
          </w:tcPr>
          <w:p w14:paraId="178F69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71FB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E9B7E6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206</w:t>
            </w:r>
          </w:p>
        </w:tc>
        <w:tc>
          <w:tcPr>
            <w:tcW w:w="1072" w:type="dxa"/>
            <w:shd w:val="clear" w:color="auto" w:fill="auto"/>
            <w:vAlign w:val="center"/>
          </w:tcPr>
          <w:p w14:paraId="3E4CB93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铁丝</w:t>
            </w:r>
          </w:p>
        </w:tc>
        <w:tc>
          <w:tcPr>
            <w:tcW w:w="4897" w:type="dxa"/>
            <w:shd w:val="clear" w:color="auto" w:fill="auto"/>
            <w:vAlign w:val="center"/>
          </w:tcPr>
          <w:p w14:paraId="206B3D1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直径≤2mm</w:t>
            </w:r>
          </w:p>
        </w:tc>
        <w:tc>
          <w:tcPr>
            <w:tcW w:w="462" w:type="dxa"/>
            <w:shd w:val="clear" w:color="auto" w:fill="auto"/>
            <w:noWrap/>
            <w:vAlign w:val="center"/>
          </w:tcPr>
          <w:p w14:paraId="4D14673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noWrap/>
            <w:vAlign w:val="center"/>
          </w:tcPr>
          <w:p w14:paraId="22C86F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600</w:t>
            </w:r>
          </w:p>
        </w:tc>
        <w:tc>
          <w:tcPr>
            <w:tcW w:w="1048" w:type="dxa"/>
            <w:shd w:val="clear" w:color="auto" w:fill="auto"/>
            <w:noWrap/>
            <w:vAlign w:val="center"/>
          </w:tcPr>
          <w:p w14:paraId="7E5B85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0.1</w:t>
            </w:r>
          </w:p>
        </w:tc>
        <w:tc>
          <w:tcPr>
            <w:tcW w:w="1489" w:type="dxa"/>
            <w:shd w:val="clear" w:color="auto" w:fill="auto"/>
            <w:noWrap/>
            <w:vAlign w:val="center"/>
          </w:tcPr>
          <w:p w14:paraId="182F84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4148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6B217D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207</w:t>
            </w:r>
          </w:p>
        </w:tc>
        <w:tc>
          <w:tcPr>
            <w:tcW w:w="1072" w:type="dxa"/>
            <w:shd w:val="clear" w:color="auto" w:fill="auto"/>
            <w:vAlign w:val="center"/>
          </w:tcPr>
          <w:p w14:paraId="094960F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紫铜片</w:t>
            </w:r>
          </w:p>
        </w:tc>
        <w:tc>
          <w:tcPr>
            <w:tcW w:w="4897" w:type="dxa"/>
            <w:shd w:val="clear" w:color="auto" w:fill="auto"/>
            <w:vAlign w:val="center"/>
          </w:tcPr>
          <w:p w14:paraId="5F19664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noWrap/>
            <w:vAlign w:val="center"/>
          </w:tcPr>
          <w:p w14:paraId="6C7592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noWrap/>
            <w:vAlign w:val="center"/>
          </w:tcPr>
          <w:p w14:paraId="757D4B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1200</w:t>
            </w:r>
          </w:p>
        </w:tc>
        <w:tc>
          <w:tcPr>
            <w:tcW w:w="1048" w:type="dxa"/>
            <w:shd w:val="clear" w:color="auto" w:fill="auto"/>
            <w:noWrap/>
            <w:vAlign w:val="center"/>
          </w:tcPr>
          <w:p w14:paraId="62D503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0.3</w:t>
            </w:r>
          </w:p>
        </w:tc>
        <w:tc>
          <w:tcPr>
            <w:tcW w:w="1489" w:type="dxa"/>
            <w:shd w:val="clear" w:color="auto" w:fill="auto"/>
            <w:noWrap/>
            <w:vAlign w:val="center"/>
          </w:tcPr>
          <w:p w14:paraId="20E9B8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333C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50F217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208</w:t>
            </w:r>
          </w:p>
        </w:tc>
        <w:tc>
          <w:tcPr>
            <w:tcW w:w="1072" w:type="dxa"/>
            <w:shd w:val="clear" w:color="auto" w:fill="auto"/>
            <w:vAlign w:val="center"/>
          </w:tcPr>
          <w:p w14:paraId="3083292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铜丝</w:t>
            </w:r>
          </w:p>
        </w:tc>
        <w:tc>
          <w:tcPr>
            <w:tcW w:w="4897" w:type="dxa"/>
            <w:shd w:val="clear" w:color="auto" w:fill="auto"/>
            <w:vAlign w:val="center"/>
          </w:tcPr>
          <w:p w14:paraId="32CF422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noWrap/>
            <w:vAlign w:val="center"/>
          </w:tcPr>
          <w:p w14:paraId="542952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noWrap/>
            <w:vAlign w:val="center"/>
          </w:tcPr>
          <w:p w14:paraId="503C55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1200</w:t>
            </w:r>
          </w:p>
        </w:tc>
        <w:tc>
          <w:tcPr>
            <w:tcW w:w="1048" w:type="dxa"/>
            <w:shd w:val="clear" w:color="auto" w:fill="auto"/>
            <w:noWrap/>
            <w:vAlign w:val="center"/>
          </w:tcPr>
          <w:p w14:paraId="35B14D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6E00E4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1200</w:t>
            </w:r>
          </w:p>
        </w:tc>
      </w:tr>
      <w:tr w14:paraId="2553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5DDC85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209</w:t>
            </w:r>
          </w:p>
        </w:tc>
        <w:tc>
          <w:tcPr>
            <w:tcW w:w="1072" w:type="dxa"/>
            <w:shd w:val="clear" w:color="auto" w:fill="auto"/>
            <w:vAlign w:val="center"/>
          </w:tcPr>
          <w:p w14:paraId="485CBAA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活性炭</w:t>
            </w:r>
          </w:p>
        </w:tc>
        <w:tc>
          <w:tcPr>
            <w:tcW w:w="4897" w:type="dxa"/>
            <w:shd w:val="clear" w:color="auto" w:fill="auto"/>
            <w:vAlign w:val="center"/>
          </w:tcPr>
          <w:p w14:paraId="28727AB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noWrap/>
            <w:vAlign w:val="center"/>
          </w:tcPr>
          <w:p w14:paraId="4ADA2E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noWrap/>
            <w:vAlign w:val="center"/>
          </w:tcPr>
          <w:p w14:paraId="2F45E9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600</w:t>
            </w:r>
          </w:p>
        </w:tc>
        <w:tc>
          <w:tcPr>
            <w:tcW w:w="1048" w:type="dxa"/>
            <w:shd w:val="clear" w:color="auto" w:fill="auto"/>
            <w:noWrap/>
            <w:vAlign w:val="center"/>
          </w:tcPr>
          <w:p w14:paraId="2818B3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0.1</w:t>
            </w:r>
          </w:p>
        </w:tc>
        <w:tc>
          <w:tcPr>
            <w:tcW w:w="1489" w:type="dxa"/>
            <w:shd w:val="clear" w:color="auto" w:fill="auto"/>
            <w:noWrap/>
            <w:vAlign w:val="center"/>
          </w:tcPr>
          <w:p w14:paraId="569B77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5D00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149778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210</w:t>
            </w:r>
          </w:p>
        </w:tc>
        <w:tc>
          <w:tcPr>
            <w:tcW w:w="1072" w:type="dxa"/>
            <w:shd w:val="clear" w:color="auto" w:fill="auto"/>
            <w:vAlign w:val="center"/>
          </w:tcPr>
          <w:p w14:paraId="1A7C6EE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放电反应实验仪</w:t>
            </w:r>
          </w:p>
        </w:tc>
        <w:tc>
          <w:tcPr>
            <w:tcW w:w="4897" w:type="dxa"/>
            <w:shd w:val="clear" w:color="auto" w:fill="auto"/>
            <w:vAlign w:val="center"/>
          </w:tcPr>
          <w:p w14:paraId="32B8935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产品由主机、高压连接导线、放电瓶等组成。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1.主机外壳采用塑料注塑成型，尺寸：200mm×175mm×70mm，带支撑架。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2.放电瓶为玻璃制，透明，直径66mm，内装放电针。</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3.使用电源：AC220V。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4.放电间距：小于10mm。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5.连续工作时间：大于10min。</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6.功耗小于30W。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7.通电2min之内即有氮气与氧气反应的现象。</w:t>
            </w:r>
          </w:p>
        </w:tc>
        <w:tc>
          <w:tcPr>
            <w:tcW w:w="462" w:type="dxa"/>
            <w:shd w:val="clear" w:color="auto" w:fill="auto"/>
            <w:noWrap/>
            <w:vAlign w:val="center"/>
          </w:tcPr>
          <w:p w14:paraId="6DF8C2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7B4893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A5B6AE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515</w:t>
            </w:r>
          </w:p>
        </w:tc>
        <w:tc>
          <w:tcPr>
            <w:tcW w:w="1489" w:type="dxa"/>
            <w:shd w:val="clear" w:color="auto" w:fill="auto"/>
            <w:noWrap/>
            <w:vAlign w:val="center"/>
          </w:tcPr>
          <w:p w14:paraId="1020FF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515</w:t>
            </w:r>
          </w:p>
        </w:tc>
      </w:tr>
      <w:tr w14:paraId="1CA1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FDBF77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211</w:t>
            </w:r>
          </w:p>
        </w:tc>
        <w:tc>
          <w:tcPr>
            <w:tcW w:w="1072" w:type="dxa"/>
            <w:shd w:val="clear" w:color="auto" w:fill="auto"/>
            <w:vAlign w:val="center"/>
          </w:tcPr>
          <w:p w14:paraId="64B0BC9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中和热测定仪</w:t>
            </w:r>
          </w:p>
        </w:tc>
        <w:tc>
          <w:tcPr>
            <w:tcW w:w="4897" w:type="dxa"/>
            <w:shd w:val="clear" w:color="auto" w:fill="auto"/>
            <w:vAlign w:val="center"/>
          </w:tcPr>
          <w:p w14:paraId="6B40919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又称简易量热计，包括反应容器、温度计、环形玻璃搅拌棒。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由外筒、内筒、隔离泡沫、搅拌器、温度计及上盖组成。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1.外筒为塑料制，直径98mm、高98mm。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2.内筒为铝制，直径60mm，深73mm。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3.搅拌器为直径2mm的铝丝绕制而成，附手柄套。</w:t>
            </w:r>
          </w:p>
        </w:tc>
        <w:tc>
          <w:tcPr>
            <w:tcW w:w="462" w:type="dxa"/>
            <w:shd w:val="clear" w:color="auto" w:fill="auto"/>
            <w:noWrap/>
            <w:vAlign w:val="center"/>
          </w:tcPr>
          <w:p w14:paraId="271E8E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5A3F18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41A351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73</w:t>
            </w:r>
          </w:p>
        </w:tc>
        <w:tc>
          <w:tcPr>
            <w:tcW w:w="1489" w:type="dxa"/>
            <w:shd w:val="clear" w:color="auto" w:fill="auto"/>
            <w:noWrap/>
            <w:vAlign w:val="center"/>
          </w:tcPr>
          <w:p w14:paraId="318A2B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2190</w:t>
            </w:r>
          </w:p>
        </w:tc>
      </w:tr>
      <w:tr w14:paraId="3CEC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DBA60A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212</w:t>
            </w:r>
          </w:p>
        </w:tc>
        <w:tc>
          <w:tcPr>
            <w:tcW w:w="1072" w:type="dxa"/>
            <w:shd w:val="clear" w:color="auto" w:fill="auto"/>
            <w:vAlign w:val="center"/>
          </w:tcPr>
          <w:p w14:paraId="421A219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原电池实验器</w:t>
            </w:r>
          </w:p>
        </w:tc>
        <w:tc>
          <w:tcPr>
            <w:tcW w:w="4897" w:type="dxa"/>
            <w:shd w:val="clear" w:color="auto" w:fill="auto"/>
            <w:vAlign w:val="center"/>
          </w:tcPr>
          <w:p w14:paraId="7F873F3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包括缸体、带固定接线柱和电极夹的缸体盖板、铜电极板、锌电极板、铁电极板、碳棒、发光二极管、导线等</w:t>
            </w:r>
          </w:p>
        </w:tc>
        <w:tc>
          <w:tcPr>
            <w:tcW w:w="462" w:type="dxa"/>
            <w:shd w:val="clear" w:color="auto" w:fill="auto"/>
            <w:noWrap/>
            <w:vAlign w:val="center"/>
          </w:tcPr>
          <w:p w14:paraId="02905A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6FA10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724769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w:t>
            </w:r>
          </w:p>
        </w:tc>
        <w:tc>
          <w:tcPr>
            <w:tcW w:w="1489" w:type="dxa"/>
            <w:shd w:val="clear" w:color="auto" w:fill="auto"/>
            <w:noWrap/>
            <w:vAlign w:val="center"/>
          </w:tcPr>
          <w:p w14:paraId="389B67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780</w:t>
            </w:r>
          </w:p>
        </w:tc>
      </w:tr>
      <w:tr w14:paraId="154E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264AA5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213</w:t>
            </w:r>
          </w:p>
        </w:tc>
        <w:tc>
          <w:tcPr>
            <w:tcW w:w="1072" w:type="dxa"/>
            <w:shd w:val="clear" w:color="auto" w:fill="auto"/>
            <w:vAlign w:val="center"/>
          </w:tcPr>
          <w:p w14:paraId="4AE8855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氢燃料电池实验器</w:t>
            </w:r>
          </w:p>
        </w:tc>
        <w:tc>
          <w:tcPr>
            <w:tcW w:w="4897" w:type="dxa"/>
            <w:shd w:val="clear" w:color="auto" w:fill="auto"/>
            <w:vAlign w:val="center"/>
          </w:tcPr>
          <w:p w14:paraId="554FD5A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仪器由塑料支架、氢燃料电池、导管、制氢瓶、制氢剂、电流表、电压表、电机、风叶等组成。膜电极不小于15mm×15mm。</w:t>
            </w:r>
          </w:p>
        </w:tc>
        <w:tc>
          <w:tcPr>
            <w:tcW w:w="462" w:type="dxa"/>
            <w:shd w:val="clear" w:color="auto" w:fill="auto"/>
            <w:noWrap/>
            <w:vAlign w:val="center"/>
          </w:tcPr>
          <w:p w14:paraId="72C48E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9A2A4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F9501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124</w:t>
            </w:r>
          </w:p>
        </w:tc>
        <w:tc>
          <w:tcPr>
            <w:tcW w:w="1489" w:type="dxa"/>
            <w:shd w:val="clear" w:color="auto" w:fill="auto"/>
            <w:noWrap/>
            <w:vAlign w:val="center"/>
          </w:tcPr>
          <w:p w14:paraId="4260C4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3720</w:t>
            </w:r>
          </w:p>
        </w:tc>
      </w:tr>
      <w:tr w14:paraId="2DC5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F3E8DB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214</w:t>
            </w:r>
          </w:p>
        </w:tc>
        <w:tc>
          <w:tcPr>
            <w:tcW w:w="1072" w:type="dxa"/>
            <w:shd w:val="clear" w:color="auto" w:fill="auto"/>
            <w:vAlign w:val="center"/>
          </w:tcPr>
          <w:p w14:paraId="1DD0E72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二氧化氮球</w:t>
            </w:r>
          </w:p>
        </w:tc>
        <w:tc>
          <w:tcPr>
            <w:tcW w:w="4897" w:type="dxa"/>
            <w:shd w:val="clear" w:color="auto" w:fill="auto"/>
            <w:vAlign w:val="center"/>
          </w:tcPr>
          <w:p w14:paraId="723F918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玻璃制品。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1.双球，成U型，内封NO2和N2O4，即二氧化氮和四氧化二氮混合气体。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2.球体直径约28mm。</w:t>
            </w:r>
          </w:p>
        </w:tc>
        <w:tc>
          <w:tcPr>
            <w:tcW w:w="462" w:type="dxa"/>
            <w:shd w:val="clear" w:color="auto" w:fill="auto"/>
            <w:noWrap/>
            <w:vAlign w:val="center"/>
          </w:tcPr>
          <w:p w14:paraId="0BBE35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B079F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0E8968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noWrap/>
            <w:vAlign w:val="center"/>
          </w:tcPr>
          <w:p w14:paraId="4884E8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330</w:t>
            </w:r>
          </w:p>
        </w:tc>
      </w:tr>
      <w:tr w14:paraId="0DA2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65E560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215</w:t>
            </w:r>
          </w:p>
        </w:tc>
        <w:tc>
          <w:tcPr>
            <w:tcW w:w="1072" w:type="dxa"/>
            <w:shd w:val="clear" w:color="auto" w:fill="auto"/>
            <w:vAlign w:val="center"/>
          </w:tcPr>
          <w:p w14:paraId="3C17351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溶液导电演示器</w:t>
            </w:r>
          </w:p>
        </w:tc>
        <w:tc>
          <w:tcPr>
            <w:tcW w:w="4897" w:type="dxa"/>
            <w:shd w:val="clear" w:color="auto" w:fill="auto"/>
            <w:vAlign w:val="center"/>
          </w:tcPr>
          <w:p w14:paraId="615C986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电表式，10mA,DC6V,串联电位器1kΩ电阻560Ω。五组溶液同时比较，1X7开关（其中一档校准）,采用不锈钢或石墨电极</w:t>
            </w:r>
          </w:p>
        </w:tc>
        <w:tc>
          <w:tcPr>
            <w:tcW w:w="462" w:type="dxa"/>
            <w:shd w:val="clear" w:color="auto" w:fill="auto"/>
            <w:noWrap/>
            <w:vAlign w:val="center"/>
          </w:tcPr>
          <w:p w14:paraId="3850B5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0B4D5E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2380B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421</w:t>
            </w:r>
          </w:p>
        </w:tc>
        <w:tc>
          <w:tcPr>
            <w:tcW w:w="1489" w:type="dxa"/>
            <w:shd w:val="clear" w:color="auto" w:fill="auto"/>
            <w:noWrap/>
            <w:vAlign w:val="center"/>
          </w:tcPr>
          <w:p w14:paraId="2B30E3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421</w:t>
            </w:r>
          </w:p>
        </w:tc>
      </w:tr>
      <w:tr w14:paraId="56EF4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1B8094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216</w:t>
            </w:r>
          </w:p>
        </w:tc>
        <w:tc>
          <w:tcPr>
            <w:tcW w:w="1072" w:type="dxa"/>
            <w:shd w:val="clear" w:color="auto" w:fill="auto"/>
            <w:vAlign w:val="center"/>
          </w:tcPr>
          <w:p w14:paraId="7C4982F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教师用分子结构模型</w:t>
            </w:r>
          </w:p>
        </w:tc>
        <w:tc>
          <w:tcPr>
            <w:tcW w:w="4897" w:type="dxa"/>
            <w:shd w:val="clear" w:color="auto" w:fill="auto"/>
            <w:vAlign w:val="center"/>
          </w:tcPr>
          <w:p w14:paraId="2B32668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球棍式，氢原子球直径不小于30mm,其他原子球直径不小于40mm</w:t>
            </w:r>
          </w:p>
        </w:tc>
        <w:tc>
          <w:tcPr>
            <w:tcW w:w="462" w:type="dxa"/>
            <w:shd w:val="clear" w:color="auto" w:fill="auto"/>
            <w:noWrap/>
            <w:vAlign w:val="center"/>
          </w:tcPr>
          <w:p w14:paraId="4794C5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168B1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186061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322</w:t>
            </w:r>
          </w:p>
        </w:tc>
        <w:tc>
          <w:tcPr>
            <w:tcW w:w="1489" w:type="dxa"/>
            <w:shd w:val="clear" w:color="auto" w:fill="auto"/>
            <w:noWrap/>
            <w:vAlign w:val="center"/>
          </w:tcPr>
          <w:p w14:paraId="447852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966</w:t>
            </w:r>
          </w:p>
        </w:tc>
      </w:tr>
      <w:tr w14:paraId="7AD9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58D5B3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217</w:t>
            </w:r>
          </w:p>
        </w:tc>
        <w:tc>
          <w:tcPr>
            <w:tcW w:w="1072" w:type="dxa"/>
            <w:shd w:val="clear" w:color="auto" w:fill="auto"/>
            <w:vAlign w:val="center"/>
          </w:tcPr>
          <w:p w14:paraId="0AF0DF7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教师用分子结构模型</w:t>
            </w:r>
          </w:p>
        </w:tc>
        <w:tc>
          <w:tcPr>
            <w:tcW w:w="4897" w:type="dxa"/>
            <w:shd w:val="clear" w:color="auto" w:fill="auto"/>
            <w:vAlign w:val="center"/>
          </w:tcPr>
          <w:p w14:paraId="55BA931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空间充填式</w:t>
            </w:r>
          </w:p>
        </w:tc>
        <w:tc>
          <w:tcPr>
            <w:tcW w:w="462" w:type="dxa"/>
            <w:shd w:val="clear" w:color="auto" w:fill="auto"/>
            <w:noWrap/>
            <w:vAlign w:val="center"/>
          </w:tcPr>
          <w:p w14:paraId="71A949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682CC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62F296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223</w:t>
            </w:r>
          </w:p>
        </w:tc>
        <w:tc>
          <w:tcPr>
            <w:tcW w:w="1489" w:type="dxa"/>
            <w:shd w:val="clear" w:color="auto" w:fill="auto"/>
            <w:noWrap/>
            <w:vAlign w:val="center"/>
          </w:tcPr>
          <w:p w14:paraId="0F924E7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669</w:t>
            </w:r>
          </w:p>
        </w:tc>
      </w:tr>
      <w:tr w14:paraId="70F3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681BD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218</w:t>
            </w:r>
          </w:p>
        </w:tc>
        <w:tc>
          <w:tcPr>
            <w:tcW w:w="1072" w:type="dxa"/>
            <w:shd w:val="clear" w:color="auto" w:fill="auto"/>
            <w:vAlign w:val="center"/>
          </w:tcPr>
          <w:p w14:paraId="1C00CEF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学生用分子结构模型</w:t>
            </w:r>
          </w:p>
        </w:tc>
        <w:tc>
          <w:tcPr>
            <w:tcW w:w="4897" w:type="dxa"/>
            <w:shd w:val="clear" w:color="auto" w:fill="auto"/>
            <w:vAlign w:val="center"/>
          </w:tcPr>
          <w:p w14:paraId="6610949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球棍式，氢原子球直径不小于17mm,其他原子球直径不小于25mm</w:t>
            </w:r>
          </w:p>
        </w:tc>
        <w:tc>
          <w:tcPr>
            <w:tcW w:w="462" w:type="dxa"/>
            <w:shd w:val="clear" w:color="auto" w:fill="auto"/>
            <w:noWrap/>
            <w:vAlign w:val="center"/>
          </w:tcPr>
          <w:p w14:paraId="25228F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9D97FAA">
            <w:pPr>
              <w:widowControl/>
              <w:jc w:val="right"/>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80369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149</w:t>
            </w:r>
          </w:p>
        </w:tc>
        <w:tc>
          <w:tcPr>
            <w:tcW w:w="1489" w:type="dxa"/>
            <w:shd w:val="clear" w:color="auto" w:fill="auto"/>
            <w:noWrap/>
            <w:vAlign w:val="center"/>
          </w:tcPr>
          <w:p w14:paraId="65FB33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4470</w:t>
            </w:r>
          </w:p>
        </w:tc>
      </w:tr>
      <w:tr w14:paraId="2CC8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BB31B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219</w:t>
            </w:r>
          </w:p>
        </w:tc>
        <w:tc>
          <w:tcPr>
            <w:tcW w:w="1072" w:type="dxa"/>
            <w:shd w:val="clear" w:color="auto" w:fill="auto"/>
            <w:vAlign w:val="center"/>
          </w:tcPr>
          <w:p w14:paraId="736EFD2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光化学实验显示器</w:t>
            </w:r>
          </w:p>
        </w:tc>
        <w:tc>
          <w:tcPr>
            <w:tcW w:w="4897" w:type="dxa"/>
            <w:shd w:val="clear" w:color="auto" w:fill="auto"/>
            <w:vAlign w:val="center"/>
          </w:tcPr>
          <w:p w14:paraId="03F228B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能演示甲烷与氯气的反应</w:t>
            </w:r>
          </w:p>
        </w:tc>
        <w:tc>
          <w:tcPr>
            <w:tcW w:w="462" w:type="dxa"/>
            <w:shd w:val="clear" w:color="auto" w:fill="auto"/>
            <w:noWrap/>
            <w:vAlign w:val="center"/>
          </w:tcPr>
          <w:p w14:paraId="7C11D2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52CFAF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49CE1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242</w:t>
            </w:r>
          </w:p>
        </w:tc>
        <w:tc>
          <w:tcPr>
            <w:tcW w:w="1489" w:type="dxa"/>
            <w:shd w:val="clear" w:color="auto" w:fill="auto"/>
            <w:noWrap/>
            <w:vAlign w:val="center"/>
          </w:tcPr>
          <w:p w14:paraId="117E13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242</w:t>
            </w:r>
          </w:p>
        </w:tc>
      </w:tr>
      <w:tr w14:paraId="7E7D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148461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220</w:t>
            </w:r>
          </w:p>
        </w:tc>
        <w:tc>
          <w:tcPr>
            <w:tcW w:w="1072" w:type="dxa"/>
            <w:shd w:val="clear" w:color="auto" w:fill="auto"/>
            <w:vAlign w:val="center"/>
          </w:tcPr>
          <w:p w14:paraId="3CB695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有机高分子材料标本</w:t>
            </w:r>
          </w:p>
        </w:tc>
        <w:tc>
          <w:tcPr>
            <w:tcW w:w="4897" w:type="dxa"/>
            <w:shd w:val="clear" w:color="auto" w:fill="auto"/>
            <w:vAlign w:val="center"/>
          </w:tcPr>
          <w:p w14:paraId="43A0E6A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包括但不局限于聚乙烯、聚氯乙烯、聚苯乙烯、聚四氟乙烯、聚甲基丙烯酸甲酯、酚醛树脂、涤纶、尼龙、芳纶、顺丁橡胶、离子交换膜、可降解材料等</w:t>
            </w:r>
          </w:p>
        </w:tc>
        <w:tc>
          <w:tcPr>
            <w:tcW w:w="462" w:type="dxa"/>
            <w:shd w:val="clear" w:color="auto" w:fill="auto"/>
            <w:noWrap/>
            <w:vAlign w:val="center"/>
          </w:tcPr>
          <w:p w14:paraId="0EBD6F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46D81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7FE15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w:t>
            </w:r>
          </w:p>
        </w:tc>
        <w:tc>
          <w:tcPr>
            <w:tcW w:w="1489" w:type="dxa"/>
            <w:shd w:val="clear" w:color="auto" w:fill="auto"/>
            <w:noWrap/>
            <w:vAlign w:val="center"/>
          </w:tcPr>
          <w:p w14:paraId="798856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w:t>
            </w:r>
          </w:p>
        </w:tc>
      </w:tr>
      <w:tr w14:paraId="0E6C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3D6641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221</w:t>
            </w:r>
          </w:p>
        </w:tc>
        <w:tc>
          <w:tcPr>
            <w:tcW w:w="1072" w:type="dxa"/>
            <w:shd w:val="clear" w:color="auto" w:fill="auto"/>
            <w:vAlign w:val="center"/>
          </w:tcPr>
          <w:p w14:paraId="42CBD50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价层电子对互斥模型</w:t>
            </w:r>
          </w:p>
        </w:tc>
        <w:tc>
          <w:tcPr>
            <w:tcW w:w="4897" w:type="dxa"/>
            <w:shd w:val="clear" w:color="auto" w:fill="auto"/>
            <w:vAlign w:val="center"/>
          </w:tcPr>
          <w:p w14:paraId="20B91AC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CO2、SO2、CO3</w:t>
            </w:r>
            <w:r>
              <w:rPr>
                <w:rFonts w:hint="eastAsia" w:ascii="宋体" w:hAnsi="宋体" w:cs="宋体"/>
                <w:color w:val="000000"/>
                <w:kern w:val="0"/>
                <w:sz w:val="22"/>
                <w:szCs w:val="22"/>
                <w:vertAlign w:val="superscript"/>
                <w:lang w:bidi="ar"/>
              </w:rPr>
              <w:t>2-</w:t>
            </w:r>
            <w:r>
              <w:rPr>
                <w:rFonts w:hint="eastAsia" w:ascii="宋体" w:hAnsi="宋体" w:cs="宋体"/>
                <w:color w:val="000000"/>
                <w:kern w:val="0"/>
                <w:sz w:val="22"/>
                <w:szCs w:val="22"/>
                <w:lang w:bidi="ar"/>
              </w:rPr>
              <w:t>、H2O、SO3、NH3、CH4</w:t>
            </w:r>
          </w:p>
        </w:tc>
        <w:tc>
          <w:tcPr>
            <w:tcW w:w="462" w:type="dxa"/>
            <w:shd w:val="clear" w:color="auto" w:fill="auto"/>
            <w:noWrap/>
            <w:vAlign w:val="center"/>
          </w:tcPr>
          <w:p w14:paraId="78443F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noWrap/>
            <w:vAlign w:val="center"/>
          </w:tcPr>
          <w:p w14:paraId="6D42D0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740FC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380</w:t>
            </w:r>
          </w:p>
        </w:tc>
        <w:tc>
          <w:tcPr>
            <w:tcW w:w="1489" w:type="dxa"/>
            <w:shd w:val="clear" w:color="auto" w:fill="auto"/>
            <w:noWrap/>
            <w:vAlign w:val="center"/>
          </w:tcPr>
          <w:p w14:paraId="532A07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380</w:t>
            </w:r>
          </w:p>
        </w:tc>
      </w:tr>
      <w:tr w14:paraId="110C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6441ED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222</w:t>
            </w:r>
          </w:p>
        </w:tc>
        <w:tc>
          <w:tcPr>
            <w:tcW w:w="1072" w:type="dxa"/>
            <w:shd w:val="clear" w:color="auto" w:fill="auto"/>
            <w:vAlign w:val="center"/>
          </w:tcPr>
          <w:p w14:paraId="7E5FCD7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金属晶体结构模型</w:t>
            </w:r>
          </w:p>
        </w:tc>
        <w:tc>
          <w:tcPr>
            <w:tcW w:w="4897" w:type="dxa"/>
            <w:shd w:val="clear" w:color="auto" w:fill="auto"/>
            <w:vAlign w:val="center"/>
          </w:tcPr>
          <w:p w14:paraId="3C59F9E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包括但不局限于Cu、Na、Zn等，球直径不小于30mm，可通过创客方式自制</w:t>
            </w:r>
          </w:p>
        </w:tc>
        <w:tc>
          <w:tcPr>
            <w:tcW w:w="462" w:type="dxa"/>
            <w:shd w:val="clear" w:color="auto" w:fill="auto"/>
            <w:noWrap/>
            <w:vAlign w:val="center"/>
          </w:tcPr>
          <w:p w14:paraId="62D55B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2E3560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0B980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447</w:t>
            </w:r>
          </w:p>
        </w:tc>
        <w:tc>
          <w:tcPr>
            <w:tcW w:w="1489" w:type="dxa"/>
            <w:shd w:val="clear" w:color="auto" w:fill="auto"/>
            <w:noWrap/>
            <w:vAlign w:val="center"/>
          </w:tcPr>
          <w:p w14:paraId="779458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447</w:t>
            </w:r>
          </w:p>
        </w:tc>
      </w:tr>
      <w:tr w14:paraId="528B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90175D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223</w:t>
            </w:r>
          </w:p>
        </w:tc>
        <w:tc>
          <w:tcPr>
            <w:tcW w:w="1072" w:type="dxa"/>
            <w:shd w:val="clear" w:color="auto" w:fill="auto"/>
            <w:vAlign w:val="center"/>
          </w:tcPr>
          <w:p w14:paraId="68128C4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离子晶体结构模型</w:t>
            </w:r>
          </w:p>
        </w:tc>
        <w:tc>
          <w:tcPr>
            <w:tcW w:w="4897" w:type="dxa"/>
            <w:shd w:val="clear" w:color="auto" w:fill="auto"/>
            <w:vAlign w:val="center"/>
          </w:tcPr>
          <w:p w14:paraId="2A9C4B1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包括但不局限于氯化钠、氯化铯等，球直径不小于30mm，可通过创客方式自制</w:t>
            </w:r>
          </w:p>
        </w:tc>
        <w:tc>
          <w:tcPr>
            <w:tcW w:w="462" w:type="dxa"/>
            <w:shd w:val="clear" w:color="auto" w:fill="auto"/>
            <w:noWrap/>
            <w:vAlign w:val="center"/>
          </w:tcPr>
          <w:p w14:paraId="48F9C6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14548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9F2C4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624</w:t>
            </w:r>
          </w:p>
        </w:tc>
        <w:tc>
          <w:tcPr>
            <w:tcW w:w="1489" w:type="dxa"/>
            <w:shd w:val="clear" w:color="auto" w:fill="auto"/>
            <w:noWrap/>
            <w:vAlign w:val="center"/>
          </w:tcPr>
          <w:p w14:paraId="016674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624</w:t>
            </w:r>
          </w:p>
        </w:tc>
      </w:tr>
      <w:tr w14:paraId="39F6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15BCB1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224</w:t>
            </w:r>
          </w:p>
        </w:tc>
        <w:tc>
          <w:tcPr>
            <w:tcW w:w="1072" w:type="dxa"/>
            <w:shd w:val="clear" w:color="auto" w:fill="auto"/>
            <w:vAlign w:val="center"/>
          </w:tcPr>
          <w:p w14:paraId="798B861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共价晶体结构模型</w:t>
            </w:r>
          </w:p>
        </w:tc>
        <w:tc>
          <w:tcPr>
            <w:tcW w:w="4897" w:type="dxa"/>
            <w:shd w:val="clear" w:color="auto" w:fill="auto"/>
            <w:vAlign w:val="center"/>
          </w:tcPr>
          <w:p w14:paraId="78A37AB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包括但不局限于金刚石、二氧化硅等，球直径不小于30mm，可通过创客方式自制</w:t>
            </w:r>
          </w:p>
        </w:tc>
        <w:tc>
          <w:tcPr>
            <w:tcW w:w="462" w:type="dxa"/>
            <w:shd w:val="clear" w:color="auto" w:fill="auto"/>
            <w:noWrap/>
            <w:vAlign w:val="center"/>
          </w:tcPr>
          <w:p w14:paraId="32A89D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9C10F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E8CF9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583</w:t>
            </w:r>
          </w:p>
        </w:tc>
        <w:tc>
          <w:tcPr>
            <w:tcW w:w="1489" w:type="dxa"/>
            <w:shd w:val="clear" w:color="auto" w:fill="auto"/>
            <w:noWrap/>
            <w:vAlign w:val="center"/>
          </w:tcPr>
          <w:p w14:paraId="1145B3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583</w:t>
            </w:r>
          </w:p>
        </w:tc>
      </w:tr>
      <w:tr w14:paraId="6CF6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9A5AD9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225</w:t>
            </w:r>
          </w:p>
        </w:tc>
        <w:tc>
          <w:tcPr>
            <w:tcW w:w="1072" w:type="dxa"/>
            <w:shd w:val="clear" w:color="auto" w:fill="auto"/>
            <w:vAlign w:val="center"/>
          </w:tcPr>
          <w:p w14:paraId="7400E68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分子晶体结构模型</w:t>
            </w:r>
          </w:p>
        </w:tc>
        <w:tc>
          <w:tcPr>
            <w:tcW w:w="4897" w:type="dxa"/>
            <w:shd w:val="clear" w:color="auto" w:fill="auto"/>
            <w:vAlign w:val="center"/>
          </w:tcPr>
          <w:p w14:paraId="619881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包括但不局限于C60、冰、干冰、碘、天然气水合物等，球直径不小于30mm，可通过创客方式自制</w:t>
            </w:r>
          </w:p>
        </w:tc>
        <w:tc>
          <w:tcPr>
            <w:tcW w:w="462" w:type="dxa"/>
            <w:shd w:val="clear" w:color="auto" w:fill="auto"/>
            <w:noWrap/>
            <w:vAlign w:val="center"/>
          </w:tcPr>
          <w:p w14:paraId="32B703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1FB56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232EA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1723</w:t>
            </w:r>
          </w:p>
        </w:tc>
        <w:tc>
          <w:tcPr>
            <w:tcW w:w="1489" w:type="dxa"/>
            <w:shd w:val="clear" w:color="auto" w:fill="auto"/>
            <w:noWrap/>
            <w:vAlign w:val="center"/>
          </w:tcPr>
          <w:p w14:paraId="4652AE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1723</w:t>
            </w:r>
          </w:p>
        </w:tc>
      </w:tr>
      <w:tr w14:paraId="18CD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60F0EF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226</w:t>
            </w:r>
          </w:p>
        </w:tc>
        <w:tc>
          <w:tcPr>
            <w:tcW w:w="1072" w:type="dxa"/>
            <w:shd w:val="clear" w:color="auto" w:fill="auto"/>
            <w:vAlign w:val="center"/>
          </w:tcPr>
          <w:p w14:paraId="7ABD781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混合型晶体结构模型</w:t>
            </w:r>
          </w:p>
        </w:tc>
        <w:tc>
          <w:tcPr>
            <w:tcW w:w="4897" w:type="dxa"/>
            <w:shd w:val="clear" w:color="auto" w:fill="auto"/>
            <w:vAlign w:val="center"/>
          </w:tcPr>
          <w:p w14:paraId="51B4CED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石墨，球直径不小于30mm，可通过创客方式自制</w:t>
            </w:r>
          </w:p>
        </w:tc>
        <w:tc>
          <w:tcPr>
            <w:tcW w:w="462" w:type="dxa"/>
            <w:shd w:val="clear" w:color="auto" w:fill="auto"/>
            <w:noWrap/>
            <w:vAlign w:val="center"/>
          </w:tcPr>
          <w:p w14:paraId="206FE8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0447F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ECA4A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199</w:t>
            </w:r>
          </w:p>
        </w:tc>
        <w:tc>
          <w:tcPr>
            <w:tcW w:w="1489" w:type="dxa"/>
            <w:shd w:val="clear" w:color="auto" w:fill="auto"/>
            <w:noWrap/>
            <w:vAlign w:val="center"/>
          </w:tcPr>
          <w:p w14:paraId="119B95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199</w:t>
            </w:r>
          </w:p>
        </w:tc>
      </w:tr>
      <w:tr w14:paraId="22C5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2BA721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227</w:t>
            </w:r>
          </w:p>
        </w:tc>
        <w:tc>
          <w:tcPr>
            <w:tcW w:w="1072" w:type="dxa"/>
            <w:shd w:val="clear" w:color="auto" w:fill="auto"/>
            <w:vAlign w:val="center"/>
          </w:tcPr>
          <w:p w14:paraId="15B7BBB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晶体标本</w:t>
            </w:r>
          </w:p>
        </w:tc>
        <w:tc>
          <w:tcPr>
            <w:tcW w:w="4897" w:type="dxa"/>
            <w:shd w:val="clear" w:color="auto" w:fill="auto"/>
            <w:vAlign w:val="center"/>
          </w:tcPr>
          <w:p w14:paraId="44AA244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包括但不局限于氯化钠、硫磺、碘、高锰酸钾、胆矾等</w:t>
            </w:r>
          </w:p>
        </w:tc>
        <w:tc>
          <w:tcPr>
            <w:tcW w:w="462" w:type="dxa"/>
            <w:shd w:val="clear" w:color="auto" w:fill="auto"/>
            <w:noWrap/>
            <w:vAlign w:val="center"/>
          </w:tcPr>
          <w:p w14:paraId="4E3E20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noWrap/>
            <w:vAlign w:val="center"/>
          </w:tcPr>
          <w:p w14:paraId="406009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F5C6C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w:t>
            </w:r>
          </w:p>
        </w:tc>
        <w:tc>
          <w:tcPr>
            <w:tcW w:w="1489" w:type="dxa"/>
            <w:shd w:val="clear" w:color="auto" w:fill="auto"/>
            <w:noWrap/>
            <w:vAlign w:val="center"/>
          </w:tcPr>
          <w:p w14:paraId="57C7B0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w:t>
            </w:r>
          </w:p>
        </w:tc>
      </w:tr>
      <w:tr w14:paraId="177D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0C389D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228</w:t>
            </w:r>
          </w:p>
        </w:tc>
        <w:tc>
          <w:tcPr>
            <w:tcW w:w="1072" w:type="dxa"/>
            <w:shd w:val="clear" w:color="auto" w:fill="auto"/>
            <w:vAlign w:val="center"/>
          </w:tcPr>
          <w:p w14:paraId="088AF6E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非晶体标本</w:t>
            </w:r>
          </w:p>
        </w:tc>
        <w:tc>
          <w:tcPr>
            <w:tcW w:w="4897" w:type="dxa"/>
            <w:shd w:val="clear" w:color="auto" w:fill="auto"/>
            <w:vAlign w:val="center"/>
          </w:tcPr>
          <w:p w14:paraId="562F164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包括但不局限于玻璃、炭黑等</w:t>
            </w:r>
          </w:p>
        </w:tc>
        <w:tc>
          <w:tcPr>
            <w:tcW w:w="462" w:type="dxa"/>
            <w:shd w:val="clear" w:color="auto" w:fill="auto"/>
            <w:noWrap/>
            <w:vAlign w:val="center"/>
          </w:tcPr>
          <w:p w14:paraId="677635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noWrap/>
            <w:vAlign w:val="center"/>
          </w:tcPr>
          <w:p w14:paraId="3CFAC0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AA6B6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w:t>
            </w:r>
          </w:p>
        </w:tc>
        <w:tc>
          <w:tcPr>
            <w:tcW w:w="1489" w:type="dxa"/>
            <w:shd w:val="clear" w:color="auto" w:fill="auto"/>
            <w:noWrap/>
            <w:vAlign w:val="center"/>
          </w:tcPr>
          <w:p w14:paraId="68C638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w:t>
            </w:r>
          </w:p>
        </w:tc>
      </w:tr>
      <w:tr w14:paraId="5366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EA7CD2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229</w:t>
            </w:r>
          </w:p>
        </w:tc>
        <w:tc>
          <w:tcPr>
            <w:tcW w:w="1072" w:type="dxa"/>
            <w:shd w:val="clear" w:color="auto" w:fill="auto"/>
            <w:vAlign w:val="center"/>
          </w:tcPr>
          <w:p w14:paraId="46772B1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金属矿物标本</w:t>
            </w:r>
          </w:p>
        </w:tc>
        <w:tc>
          <w:tcPr>
            <w:tcW w:w="4897" w:type="dxa"/>
            <w:shd w:val="clear" w:color="auto" w:fill="auto"/>
            <w:vAlign w:val="center"/>
          </w:tcPr>
          <w:p w14:paraId="64BDC35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包括但不局限于蓝宝石、红宝石、萤石、刚玉、黄玉、正长石、磷灰石、方解石、石膏（生、熟）、滑石、孔雀石、云母等</w:t>
            </w:r>
          </w:p>
        </w:tc>
        <w:tc>
          <w:tcPr>
            <w:tcW w:w="462" w:type="dxa"/>
            <w:shd w:val="clear" w:color="auto" w:fill="auto"/>
            <w:noWrap/>
            <w:vAlign w:val="center"/>
          </w:tcPr>
          <w:p w14:paraId="5EFC99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noWrap/>
            <w:vAlign w:val="center"/>
          </w:tcPr>
          <w:p w14:paraId="1BA277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2D6BC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c>
          <w:tcPr>
            <w:tcW w:w="1489" w:type="dxa"/>
            <w:shd w:val="clear" w:color="auto" w:fill="auto"/>
            <w:noWrap/>
            <w:vAlign w:val="center"/>
          </w:tcPr>
          <w:p w14:paraId="430C8C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r>
      <w:tr w14:paraId="20C1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B321DB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230</w:t>
            </w:r>
          </w:p>
        </w:tc>
        <w:tc>
          <w:tcPr>
            <w:tcW w:w="1072" w:type="dxa"/>
            <w:shd w:val="clear" w:color="auto" w:fill="auto"/>
            <w:vAlign w:val="center"/>
          </w:tcPr>
          <w:p w14:paraId="6CABA9A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非金属矿物标本</w:t>
            </w:r>
          </w:p>
        </w:tc>
        <w:tc>
          <w:tcPr>
            <w:tcW w:w="4897" w:type="dxa"/>
            <w:shd w:val="clear" w:color="auto" w:fill="auto"/>
            <w:vAlign w:val="center"/>
          </w:tcPr>
          <w:p w14:paraId="1098959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包括但不局限于玛瑙、水晶、金刚石、金刚砂等</w:t>
            </w:r>
          </w:p>
        </w:tc>
        <w:tc>
          <w:tcPr>
            <w:tcW w:w="462" w:type="dxa"/>
            <w:shd w:val="clear" w:color="auto" w:fill="auto"/>
            <w:noWrap/>
            <w:vAlign w:val="center"/>
          </w:tcPr>
          <w:p w14:paraId="48B033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noWrap/>
            <w:vAlign w:val="center"/>
          </w:tcPr>
          <w:p w14:paraId="2ABA47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7450F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c>
          <w:tcPr>
            <w:tcW w:w="1489" w:type="dxa"/>
            <w:shd w:val="clear" w:color="auto" w:fill="auto"/>
            <w:noWrap/>
            <w:vAlign w:val="center"/>
          </w:tcPr>
          <w:p w14:paraId="3F7FB1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r>
      <w:tr w14:paraId="7ED6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D5BD70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231</w:t>
            </w:r>
          </w:p>
        </w:tc>
        <w:tc>
          <w:tcPr>
            <w:tcW w:w="1072" w:type="dxa"/>
            <w:shd w:val="clear" w:color="auto" w:fill="auto"/>
            <w:vAlign w:val="center"/>
          </w:tcPr>
          <w:p w14:paraId="375615D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沸腾焙烧炉模型</w:t>
            </w:r>
          </w:p>
        </w:tc>
        <w:tc>
          <w:tcPr>
            <w:tcW w:w="4897" w:type="dxa"/>
            <w:shd w:val="clear" w:color="auto" w:fill="auto"/>
            <w:vAlign w:val="center"/>
          </w:tcPr>
          <w:p w14:paraId="7C91C10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模型高度≥500mm,放大风帽高度≥120mm，主要结构应用标签注明,标注应准确、清晰、牢固。各部件位置正确、连接牢固,不得因正常震动、碰触而开裂、松脱</w:t>
            </w:r>
          </w:p>
        </w:tc>
        <w:tc>
          <w:tcPr>
            <w:tcW w:w="462" w:type="dxa"/>
            <w:shd w:val="clear" w:color="auto" w:fill="auto"/>
            <w:noWrap/>
            <w:vAlign w:val="center"/>
          </w:tcPr>
          <w:p w14:paraId="7EA84D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9ACDE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7EC15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225</w:t>
            </w:r>
          </w:p>
        </w:tc>
        <w:tc>
          <w:tcPr>
            <w:tcW w:w="1489" w:type="dxa"/>
            <w:shd w:val="clear" w:color="auto" w:fill="auto"/>
            <w:noWrap/>
            <w:vAlign w:val="center"/>
          </w:tcPr>
          <w:p w14:paraId="56F7E3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225</w:t>
            </w:r>
          </w:p>
        </w:tc>
      </w:tr>
      <w:tr w14:paraId="1248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C36364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232</w:t>
            </w:r>
          </w:p>
        </w:tc>
        <w:tc>
          <w:tcPr>
            <w:tcW w:w="1072" w:type="dxa"/>
            <w:shd w:val="clear" w:color="auto" w:fill="auto"/>
            <w:vAlign w:val="center"/>
          </w:tcPr>
          <w:p w14:paraId="46CCBF5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硫酸接触室模型</w:t>
            </w:r>
          </w:p>
        </w:tc>
        <w:tc>
          <w:tcPr>
            <w:tcW w:w="4897" w:type="dxa"/>
            <w:shd w:val="clear" w:color="auto" w:fill="auto"/>
            <w:vAlign w:val="center"/>
          </w:tcPr>
          <w:p w14:paraId="37D486E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模型高度≥500mm,直径≥200mm，主要结构应用标签注明,标注应准确、清晰、牢固。各部件位置正确、连接牢固,不得因正常震动、碰触而开裂、松脱</w:t>
            </w:r>
          </w:p>
        </w:tc>
        <w:tc>
          <w:tcPr>
            <w:tcW w:w="462" w:type="dxa"/>
            <w:shd w:val="clear" w:color="auto" w:fill="auto"/>
            <w:noWrap/>
            <w:vAlign w:val="center"/>
          </w:tcPr>
          <w:p w14:paraId="6F491F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634FC5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665E5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225</w:t>
            </w:r>
          </w:p>
        </w:tc>
        <w:tc>
          <w:tcPr>
            <w:tcW w:w="1489" w:type="dxa"/>
            <w:shd w:val="clear" w:color="auto" w:fill="auto"/>
            <w:noWrap/>
            <w:vAlign w:val="center"/>
          </w:tcPr>
          <w:p w14:paraId="0E273C7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225</w:t>
            </w:r>
          </w:p>
        </w:tc>
      </w:tr>
      <w:tr w14:paraId="4498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A3B4EC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233</w:t>
            </w:r>
          </w:p>
        </w:tc>
        <w:tc>
          <w:tcPr>
            <w:tcW w:w="1072" w:type="dxa"/>
            <w:shd w:val="clear" w:color="auto" w:fill="auto"/>
            <w:vAlign w:val="center"/>
          </w:tcPr>
          <w:p w14:paraId="504A72A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氨合成塔模型</w:t>
            </w:r>
          </w:p>
        </w:tc>
        <w:tc>
          <w:tcPr>
            <w:tcW w:w="4897" w:type="dxa"/>
            <w:shd w:val="clear" w:color="auto" w:fill="auto"/>
            <w:vAlign w:val="center"/>
          </w:tcPr>
          <w:p w14:paraId="531E21D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模型高度引800≥mm,直径≥120mm，主要结构应用标签注明,标注应准确、清晰、牢固。各部件位置正确、连接牢固,不得因正常震动、碰触而开裂、松脱</w:t>
            </w:r>
          </w:p>
        </w:tc>
        <w:tc>
          <w:tcPr>
            <w:tcW w:w="462" w:type="dxa"/>
            <w:shd w:val="clear" w:color="auto" w:fill="auto"/>
            <w:noWrap/>
            <w:vAlign w:val="center"/>
          </w:tcPr>
          <w:p w14:paraId="46057B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5B54D0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FD7A6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257</w:t>
            </w:r>
          </w:p>
        </w:tc>
        <w:tc>
          <w:tcPr>
            <w:tcW w:w="1489" w:type="dxa"/>
            <w:shd w:val="clear" w:color="auto" w:fill="auto"/>
            <w:noWrap/>
            <w:vAlign w:val="center"/>
          </w:tcPr>
          <w:p w14:paraId="6F2A4B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257</w:t>
            </w:r>
          </w:p>
        </w:tc>
      </w:tr>
      <w:tr w14:paraId="03F3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AB82AD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234</w:t>
            </w:r>
          </w:p>
        </w:tc>
        <w:tc>
          <w:tcPr>
            <w:tcW w:w="1072" w:type="dxa"/>
            <w:shd w:val="clear" w:color="auto" w:fill="auto"/>
            <w:vAlign w:val="center"/>
          </w:tcPr>
          <w:p w14:paraId="7650BD1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炼铁高炉模型</w:t>
            </w:r>
          </w:p>
        </w:tc>
        <w:tc>
          <w:tcPr>
            <w:tcW w:w="4897" w:type="dxa"/>
            <w:shd w:val="clear" w:color="auto" w:fill="auto"/>
            <w:vAlign w:val="center"/>
          </w:tcPr>
          <w:p w14:paraId="1272272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模型高度≥650mm，主要结构应用标签注明,标注应准确、清晰、牢固。各部件位置正确、连接牢固,不得因正常震动、碰触而开裂、松脱</w:t>
            </w:r>
          </w:p>
        </w:tc>
        <w:tc>
          <w:tcPr>
            <w:tcW w:w="462" w:type="dxa"/>
            <w:shd w:val="clear" w:color="auto" w:fill="auto"/>
            <w:noWrap/>
            <w:vAlign w:val="center"/>
          </w:tcPr>
          <w:p w14:paraId="405474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3085B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2B1F1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239</w:t>
            </w:r>
          </w:p>
        </w:tc>
        <w:tc>
          <w:tcPr>
            <w:tcW w:w="1489" w:type="dxa"/>
            <w:shd w:val="clear" w:color="auto" w:fill="auto"/>
            <w:noWrap/>
            <w:vAlign w:val="center"/>
          </w:tcPr>
          <w:p w14:paraId="2F9861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239</w:t>
            </w:r>
          </w:p>
        </w:tc>
      </w:tr>
      <w:tr w14:paraId="4919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E330C7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235</w:t>
            </w:r>
          </w:p>
        </w:tc>
        <w:tc>
          <w:tcPr>
            <w:tcW w:w="1072" w:type="dxa"/>
            <w:shd w:val="clear" w:color="auto" w:fill="auto"/>
            <w:vAlign w:val="center"/>
          </w:tcPr>
          <w:p w14:paraId="47714C7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仪器柜</w:t>
            </w:r>
          </w:p>
        </w:tc>
        <w:tc>
          <w:tcPr>
            <w:tcW w:w="4897" w:type="dxa"/>
            <w:shd w:val="clear" w:color="auto" w:fill="auto"/>
          </w:tcPr>
          <w:p w14:paraId="608ECC37">
            <w:pPr>
              <w:widowControl/>
              <w:jc w:val="left"/>
              <w:textAlignment w:val="top"/>
              <w:rPr>
                <w:rFonts w:ascii="宋体" w:hAnsi="宋体" w:cs="宋体"/>
                <w:kern w:val="0"/>
                <w:sz w:val="22"/>
              </w:rPr>
            </w:pPr>
            <w:r>
              <w:rPr>
                <w:rFonts w:hint="eastAsia" w:ascii="宋体" w:hAnsi="宋体" w:cs="宋体"/>
                <w:color w:val="000000"/>
                <w:kern w:val="0"/>
                <w:sz w:val="22"/>
                <w:szCs w:val="22"/>
                <w:lang w:bidi="ar"/>
              </w:rPr>
              <w:t>1．规格：≥1000*500*1850mm；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2．用料：不小于0.8mm厚优质钢板，经酸洗磷化处理，采用聚酯粉末涂料静电喷涂，内侧涂层厚度不低于0.1mm，颜色灰白，表面涂层不脱落。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3．结构：共分六层(可调)；上下搁板各为三层；对开玻璃门，玻璃厚度≥3mm。</w:t>
            </w:r>
          </w:p>
        </w:tc>
        <w:tc>
          <w:tcPr>
            <w:tcW w:w="462" w:type="dxa"/>
            <w:shd w:val="clear" w:color="auto" w:fill="auto"/>
            <w:noWrap/>
            <w:vAlign w:val="center"/>
          </w:tcPr>
          <w:p w14:paraId="613D3E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5867F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13C75B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1000</w:t>
            </w:r>
          </w:p>
        </w:tc>
        <w:tc>
          <w:tcPr>
            <w:tcW w:w="1489" w:type="dxa"/>
            <w:shd w:val="clear" w:color="auto" w:fill="auto"/>
            <w:noWrap/>
            <w:vAlign w:val="center"/>
          </w:tcPr>
          <w:p w14:paraId="62148A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2000</w:t>
            </w:r>
          </w:p>
        </w:tc>
      </w:tr>
      <w:tr w14:paraId="3866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226" w:type="dxa"/>
            <w:gridSpan w:val="7"/>
            <w:shd w:val="clear" w:color="auto" w:fill="auto"/>
            <w:noWrap/>
            <w:vAlign w:val="center"/>
          </w:tcPr>
          <w:p w14:paraId="66EF3781">
            <w:pPr>
              <w:widowControl/>
              <w:numPr>
                <w:ilvl w:val="0"/>
                <w:numId w:val="3"/>
              </w:numPr>
              <w:jc w:val="left"/>
              <w:textAlignment w:val="center"/>
              <w:rPr>
                <w:rFonts w:ascii="宋体" w:hAnsi="宋体" w:cs="宋体"/>
                <w:b/>
                <w:bCs/>
                <w:kern w:val="0"/>
                <w:sz w:val="22"/>
              </w:rPr>
            </w:pPr>
            <w:r>
              <w:rPr>
                <w:rFonts w:hint="eastAsia" w:ascii="宋体" w:hAnsi="宋体" w:cs="宋体"/>
                <w:b/>
                <w:bCs/>
                <w:kern w:val="0"/>
                <w:sz w:val="22"/>
              </w:rPr>
              <w:t>化学实验室（基础设施设备）</w:t>
            </w:r>
          </w:p>
          <w:p w14:paraId="02314D13">
            <w:pPr>
              <w:widowControl/>
              <w:jc w:val="left"/>
              <w:textAlignment w:val="center"/>
              <w:rPr>
                <w:rFonts w:ascii="宋体" w:hAnsi="宋体" w:cs="宋体"/>
                <w:color w:val="000000"/>
                <w:sz w:val="22"/>
                <w:szCs w:val="22"/>
              </w:rPr>
            </w:pPr>
            <w:r>
              <w:rPr>
                <w:rFonts w:hint="eastAsia" w:ascii="宋体" w:hAnsi="宋体" w:cs="宋体"/>
                <w:b/>
                <w:bCs/>
                <w:kern w:val="0"/>
                <w:sz w:val="22"/>
              </w:rPr>
              <w:t>化学实验室基础设备3间，通风方式：上通风。以下为单间配置</w:t>
            </w:r>
          </w:p>
        </w:tc>
      </w:tr>
      <w:tr w14:paraId="4DC2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D576B99">
            <w:pPr>
              <w:widowControl/>
              <w:jc w:val="center"/>
              <w:rPr>
                <w:rFonts w:ascii="宋体" w:hAnsi="宋体" w:cs="宋体"/>
                <w:kern w:val="0"/>
                <w:sz w:val="22"/>
              </w:rPr>
            </w:pPr>
            <w:r>
              <w:rPr>
                <w:rFonts w:hint="eastAsia" w:ascii="宋体" w:hAnsi="宋体" w:cs="宋体"/>
                <w:kern w:val="0"/>
                <w:sz w:val="22"/>
              </w:rPr>
              <w:t>1</w:t>
            </w:r>
          </w:p>
        </w:tc>
        <w:tc>
          <w:tcPr>
            <w:tcW w:w="1072" w:type="dxa"/>
            <w:shd w:val="clear" w:color="auto" w:fill="auto"/>
            <w:vAlign w:val="center"/>
          </w:tcPr>
          <w:p w14:paraId="2DC7A2D3">
            <w:pPr>
              <w:widowControl/>
              <w:jc w:val="left"/>
              <w:rPr>
                <w:rFonts w:ascii="宋体" w:hAnsi="宋体" w:cs="宋体"/>
                <w:kern w:val="0"/>
                <w:sz w:val="22"/>
              </w:rPr>
            </w:pPr>
            <w:r>
              <w:rPr>
                <w:rFonts w:hint="eastAsia" w:ascii="宋体" w:hAnsi="宋体" w:cs="宋体"/>
                <w:kern w:val="0"/>
                <w:sz w:val="22"/>
              </w:rPr>
              <w:t>教师演示台</w:t>
            </w:r>
          </w:p>
        </w:tc>
        <w:tc>
          <w:tcPr>
            <w:tcW w:w="4897" w:type="dxa"/>
            <w:shd w:val="clear" w:color="auto" w:fill="auto"/>
            <w:vAlign w:val="center"/>
          </w:tcPr>
          <w:p w14:paraId="5EBE551D">
            <w:pPr>
              <w:widowControl/>
              <w:jc w:val="left"/>
              <w:rPr>
                <w:rFonts w:ascii="宋体" w:hAnsi="宋体" w:cs="宋体"/>
                <w:kern w:val="0"/>
                <w:sz w:val="22"/>
              </w:rPr>
            </w:pPr>
            <w:r>
              <w:rPr>
                <w:rFonts w:hint="eastAsia" w:ascii="宋体" w:hAnsi="宋体" w:cs="宋体"/>
                <w:kern w:val="0"/>
                <w:sz w:val="22"/>
              </w:rPr>
              <w:t>1.规格：长2800×宽700×高850mm；</w:t>
            </w:r>
            <w:r>
              <w:rPr>
                <w:rFonts w:hint="eastAsia" w:ascii="宋体" w:hAnsi="宋体" w:cs="宋体"/>
                <w:kern w:val="0"/>
                <w:sz w:val="22"/>
              </w:rPr>
              <w:br w:type="textWrapping"/>
            </w:r>
            <w:r>
              <w:rPr>
                <w:rFonts w:hint="eastAsia" w:ascii="宋体" w:hAnsi="宋体" w:cs="宋体"/>
                <w:kern w:val="0"/>
                <w:sz w:val="22"/>
              </w:rPr>
              <w:t>2.一体化台面，台面采用19mm厚佰克板，磨边，台面各单元安装后，孔位密封处理，保持整体桌面合理布局；</w:t>
            </w:r>
            <w:r>
              <w:rPr>
                <w:rFonts w:hint="eastAsia" w:ascii="宋体" w:hAnsi="宋体" w:cs="宋体"/>
                <w:kern w:val="0"/>
                <w:sz w:val="22"/>
              </w:rPr>
              <w:br w:type="textWrapping"/>
            </w:r>
            <w:r>
              <w:rPr>
                <w:rFonts w:hint="eastAsia" w:ascii="宋体" w:hAnsi="宋体" w:cs="宋体"/>
                <w:kern w:val="0"/>
                <w:sz w:val="22"/>
              </w:rPr>
              <w:t>3.桌体整体采用密度为1.05 g/cm³的Acrylonitrile Butadiene Styrene 注塑工艺，一体化成型设计。具有防腐、抗压及耐候性能；桌体承重部位采用防腐铝制梁组合，各部位连接件均隐藏于注塑内侧，桌体经久不变形。整桌无木质材料，防潮湿性能优越；</w:t>
            </w:r>
            <w:r>
              <w:rPr>
                <w:rFonts w:hint="eastAsia" w:ascii="宋体" w:hAnsi="宋体" w:cs="宋体"/>
                <w:kern w:val="0"/>
                <w:sz w:val="22"/>
              </w:rPr>
              <w:br w:type="textWrapping"/>
            </w:r>
            <w:r>
              <w:rPr>
                <w:rFonts w:hint="eastAsia" w:ascii="宋体" w:hAnsi="宋体" w:cs="宋体"/>
                <w:kern w:val="0"/>
                <w:sz w:val="22"/>
              </w:rPr>
              <w:t>4.整体结构尺寸经过严格人体工程学的计算，同时在设计方面从使用者的角度出发，在实用的前提下兼顾功能与美观。每套四人实验桌设4书位并带保护罩。书位中间为学生端智能操控系统仓，抽拉或桌面暗藏两种方式可供选择；学生台下部位为一体式综合功能柜，便于放置电脑主机及实验室相关设备；</w:t>
            </w:r>
            <w:r>
              <w:rPr>
                <w:rFonts w:hint="eastAsia" w:ascii="宋体" w:hAnsi="宋体" w:cs="宋体"/>
                <w:kern w:val="0"/>
                <w:sz w:val="22"/>
              </w:rPr>
              <w:br w:type="textWrapping"/>
            </w:r>
            <w:r>
              <w:rPr>
                <w:rFonts w:hint="eastAsia" w:ascii="宋体" w:hAnsi="宋体" w:cs="宋体"/>
                <w:kern w:val="0"/>
                <w:sz w:val="22"/>
              </w:rPr>
              <w:t>5.台面设有PPR化验水槽、三联水嘴，各定位孔根据实际尺寸开设。</w:t>
            </w:r>
          </w:p>
        </w:tc>
        <w:tc>
          <w:tcPr>
            <w:tcW w:w="462" w:type="dxa"/>
            <w:shd w:val="clear" w:color="auto" w:fill="auto"/>
            <w:noWrap/>
            <w:vAlign w:val="center"/>
          </w:tcPr>
          <w:p w14:paraId="46D418EB">
            <w:pPr>
              <w:widowControl/>
              <w:jc w:val="left"/>
              <w:rPr>
                <w:rFonts w:ascii="宋体" w:hAnsi="宋体" w:cs="宋体"/>
                <w:kern w:val="0"/>
                <w:sz w:val="22"/>
              </w:rPr>
            </w:pPr>
            <w:r>
              <w:rPr>
                <w:rFonts w:hint="eastAsia" w:ascii="宋体" w:hAnsi="宋体" w:cs="宋体"/>
                <w:kern w:val="0"/>
                <w:sz w:val="22"/>
              </w:rPr>
              <w:t>张</w:t>
            </w:r>
          </w:p>
        </w:tc>
        <w:tc>
          <w:tcPr>
            <w:tcW w:w="605" w:type="dxa"/>
            <w:shd w:val="clear" w:color="auto" w:fill="auto"/>
            <w:noWrap/>
            <w:vAlign w:val="center"/>
          </w:tcPr>
          <w:p w14:paraId="51CCD1FA">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39A03F29">
            <w:pPr>
              <w:widowControl/>
              <w:jc w:val="left"/>
              <w:rPr>
                <w:rFonts w:ascii="宋体" w:hAnsi="宋体" w:cs="宋体"/>
                <w:kern w:val="0"/>
                <w:sz w:val="22"/>
              </w:rPr>
            </w:pPr>
            <w:r>
              <w:rPr>
                <w:rFonts w:hint="eastAsia" w:ascii="宋体" w:hAnsi="宋体" w:cs="宋体"/>
                <w:kern w:val="0"/>
                <w:sz w:val="22"/>
              </w:rPr>
              <w:t>4100</w:t>
            </w:r>
          </w:p>
        </w:tc>
        <w:tc>
          <w:tcPr>
            <w:tcW w:w="1489" w:type="dxa"/>
            <w:shd w:val="clear" w:color="auto" w:fill="auto"/>
            <w:noWrap/>
            <w:vAlign w:val="center"/>
          </w:tcPr>
          <w:p w14:paraId="53A3CB7B">
            <w:pPr>
              <w:widowControl/>
              <w:jc w:val="left"/>
              <w:rPr>
                <w:rFonts w:ascii="宋体" w:hAnsi="宋体" w:cs="宋体"/>
                <w:kern w:val="0"/>
                <w:sz w:val="22"/>
              </w:rPr>
            </w:pPr>
            <w:r>
              <w:rPr>
                <w:rFonts w:hint="eastAsia" w:ascii="宋体" w:hAnsi="宋体" w:cs="宋体"/>
                <w:kern w:val="0"/>
                <w:sz w:val="22"/>
              </w:rPr>
              <w:t>4100</w:t>
            </w:r>
          </w:p>
        </w:tc>
      </w:tr>
      <w:tr w14:paraId="153E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6BBBBF5">
            <w:pPr>
              <w:widowControl/>
              <w:jc w:val="center"/>
              <w:rPr>
                <w:rFonts w:ascii="宋体" w:hAnsi="宋体" w:cs="宋体"/>
                <w:kern w:val="0"/>
                <w:sz w:val="22"/>
              </w:rPr>
            </w:pPr>
            <w:r>
              <w:rPr>
                <w:rFonts w:hint="eastAsia" w:ascii="宋体" w:hAnsi="宋体" w:cs="宋体"/>
                <w:kern w:val="0"/>
                <w:sz w:val="22"/>
              </w:rPr>
              <w:t>2</w:t>
            </w:r>
          </w:p>
        </w:tc>
        <w:tc>
          <w:tcPr>
            <w:tcW w:w="1072" w:type="dxa"/>
            <w:shd w:val="clear" w:color="auto" w:fill="auto"/>
            <w:vAlign w:val="center"/>
          </w:tcPr>
          <w:p w14:paraId="0B26780E">
            <w:pPr>
              <w:widowControl/>
              <w:jc w:val="left"/>
              <w:rPr>
                <w:rFonts w:ascii="宋体" w:hAnsi="宋体" w:cs="宋体"/>
                <w:kern w:val="0"/>
                <w:sz w:val="22"/>
              </w:rPr>
            </w:pPr>
            <w:r>
              <w:rPr>
                <w:rFonts w:hint="eastAsia" w:ascii="宋体" w:hAnsi="宋体" w:cs="宋体"/>
                <w:kern w:val="0"/>
                <w:sz w:val="22"/>
              </w:rPr>
              <w:t>探究学生台</w:t>
            </w:r>
          </w:p>
        </w:tc>
        <w:tc>
          <w:tcPr>
            <w:tcW w:w="4897" w:type="dxa"/>
            <w:shd w:val="clear" w:color="auto" w:fill="auto"/>
            <w:vAlign w:val="center"/>
          </w:tcPr>
          <w:p w14:paraId="5DD86097">
            <w:pPr>
              <w:widowControl/>
              <w:jc w:val="left"/>
              <w:rPr>
                <w:rFonts w:ascii="宋体" w:hAnsi="宋体" w:cs="宋体"/>
                <w:kern w:val="0"/>
                <w:sz w:val="22"/>
              </w:rPr>
            </w:pPr>
            <w:r>
              <w:rPr>
                <w:rFonts w:hint="eastAsia" w:ascii="宋体" w:hAnsi="宋体" w:cs="宋体"/>
                <w:kern w:val="0"/>
                <w:sz w:val="22"/>
              </w:rPr>
              <w:t>1.1900×1200×780mm（长×宽×高）；</w:t>
            </w:r>
            <w:r>
              <w:rPr>
                <w:rFonts w:hint="eastAsia" w:ascii="宋体" w:hAnsi="宋体" w:cs="宋体"/>
                <w:kern w:val="0"/>
                <w:sz w:val="22"/>
              </w:rPr>
              <w:br w:type="textWrapping"/>
            </w:r>
            <w:r>
              <w:rPr>
                <w:rFonts w:hint="eastAsia" w:ascii="宋体" w:hAnsi="宋体" w:cs="宋体"/>
                <w:kern w:val="0"/>
                <w:sz w:val="22"/>
              </w:rPr>
              <w:t>2.台面板材：一体化台面，采用19mm厚佰克板制作。抗弯、易清洁、耐磨、耐辐射、耐高温、耐冲击、耐酸碱、耐腐蚀、防静电、防水、防火能，机械打磨,造型美观,带水槽及三联水嘴。</w:t>
            </w:r>
          </w:p>
        </w:tc>
        <w:tc>
          <w:tcPr>
            <w:tcW w:w="462" w:type="dxa"/>
            <w:shd w:val="clear" w:color="auto" w:fill="auto"/>
            <w:noWrap/>
            <w:vAlign w:val="center"/>
          </w:tcPr>
          <w:p w14:paraId="50FE60D7">
            <w:pPr>
              <w:widowControl/>
              <w:jc w:val="left"/>
              <w:rPr>
                <w:rFonts w:ascii="宋体" w:hAnsi="宋体" w:cs="宋体"/>
                <w:kern w:val="0"/>
                <w:sz w:val="22"/>
              </w:rPr>
            </w:pPr>
            <w:r>
              <w:rPr>
                <w:rFonts w:hint="eastAsia" w:ascii="宋体" w:hAnsi="宋体" w:cs="宋体"/>
                <w:kern w:val="0"/>
                <w:sz w:val="22"/>
              </w:rPr>
              <w:t>张</w:t>
            </w:r>
          </w:p>
        </w:tc>
        <w:tc>
          <w:tcPr>
            <w:tcW w:w="605" w:type="dxa"/>
            <w:shd w:val="clear" w:color="auto" w:fill="auto"/>
            <w:noWrap/>
            <w:vAlign w:val="center"/>
          </w:tcPr>
          <w:p w14:paraId="49D5E5BB">
            <w:pPr>
              <w:widowControl/>
              <w:jc w:val="left"/>
              <w:rPr>
                <w:rFonts w:ascii="宋体" w:hAnsi="宋体" w:cs="宋体"/>
                <w:kern w:val="0"/>
                <w:sz w:val="22"/>
              </w:rPr>
            </w:pPr>
            <w:r>
              <w:rPr>
                <w:rFonts w:hint="eastAsia" w:ascii="宋体" w:hAnsi="宋体" w:cs="宋体"/>
                <w:kern w:val="0"/>
                <w:sz w:val="22"/>
              </w:rPr>
              <w:t>10</w:t>
            </w:r>
          </w:p>
        </w:tc>
        <w:tc>
          <w:tcPr>
            <w:tcW w:w="1048" w:type="dxa"/>
            <w:shd w:val="clear" w:color="auto" w:fill="auto"/>
            <w:noWrap/>
            <w:vAlign w:val="center"/>
          </w:tcPr>
          <w:p w14:paraId="2DDB17AB">
            <w:pPr>
              <w:widowControl/>
              <w:jc w:val="left"/>
              <w:rPr>
                <w:rFonts w:ascii="宋体" w:hAnsi="宋体" w:cs="宋体"/>
                <w:kern w:val="0"/>
                <w:sz w:val="22"/>
              </w:rPr>
            </w:pPr>
            <w:r>
              <w:rPr>
                <w:rFonts w:hint="eastAsia" w:ascii="宋体" w:hAnsi="宋体" w:cs="宋体"/>
                <w:kern w:val="0"/>
                <w:sz w:val="22"/>
              </w:rPr>
              <w:t>3400</w:t>
            </w:r>
          </w:p>
        </w:tc>
        <w:tc>
          <w:tcPr>
            <w:tcW w:w="1489" w:type="dxa"/>
            <w:shd w:val="clear" w:color="auto" w:fill="auto"/>
            <w:noWrap/>
            <w:vAlign w:val="center"/>
          </w:tcPr>
          <w:p w14:paraId="4927C1B4">
            <w:pPr>
              <w:widowControl/>
              <w:jc w:val="left"/>
              <w:rPr>
                <w:rFonts w:ascii="宋体" w:hAnsi="宋体" w:cs="宋体"/>
                <w:kern w:val="0"/>
                <w:sz w:val="22"/>
              </w:rPr>
            </w:pPr>
            <w:r>
              <w:rPr>
                <w:rFonts w:hint="eastAsia" w:ascii="宋体" w:hAnsi="宋体" w:cs="宋体"/>
                <w:kern w:val="0"/>
                <w:sz w:val="22"/>
              </w:rPr>
              <w:t>34000</w:t>
            </w:r>
          </w:p>
        </w:tc>
      </w:tr>
      <w:tr w14:paraId="326D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B2E1220">
            <w:pPr>
              <w:widowControl/>
              <w:jc w:val="center"/>
              <w:rPr>
                <w:rFonts w:ascii="宋体" w:hAnsi="宋体" w:cs="宋体"/>
                <w:kern w:val="0"/>
                <w:sz w:val="22"/>
              </w:rPr>
            </w:pPr>
            <w:r>
              <w:rPr>
                <w:rFonts w:hint="eastAsia" w:ascii="宋体" w:hAnsi="宋体" w:cs="宋体"/>
                <w:kern w:val="0"/>
                <w:sz w:val="22"/>
              </w:rPr>
              <w:t>3</w:t>
            </w:r>
          </w:p>
        </w:tc>
        <w:tc>
          <w:tcPr>
            <w:tcW w:w="1072" w:type="dxa"/>
            <w:shd w:val="clear" w:color="auto" w:fill="auto"/>
            <w:vAlign w:val="center"/>
          </w:tcPr>
          <w:p w14:paraId="217A104C">
            <w:pPr>
              <w:widowControl/>
              <w:jc w:val="left"/>
              <w:rPr>
                <w:rFonts w:ascii="宋体" w:hAnsi="宋体" w:cs="宋体"/>
                <w:kern w:val="0"/>
                <w:sz w:val="22"/>
              </w:rPr>
            </w:pPr>
            <w:r>
              <w:rPr>
                <w:rFonts w:hint="eastAsia" w:ascii="宋体" w:hAnsi="宋体" w:cs="宋体"/>
                <w:kern w:val="0"/>
                <w:sz w:val="22"/>
              </w:rPr>
              <w:t>教师主控电源</w:t>
            </w:r>
          </w:p>
        </w:tc>
        <w:tc>
          <w:tcPr>
            <w:tcW w:w="4897" w:type="dxa"/>
            <w:shd w:val="clear" w:color="auto" w:fill="auto"/>
            <w:vAlign w:val="center"/>
          </w:tcPr>
          <w:p w14:paraId="62CFEFB3">
            <w:pPr>
              <w:widowControl/>
              <w:jc w:val="left"/>
              <w:rPr>
                <w:rFonts w:ascii="宋体" w:hAnsi="宋体" w:cs="宋体"/>
                <w:kern w:val="0"/>
                <w:sz w:val="22"/>
              </w:rPr>
            </w:pPr>
            <w:r>
              <w:rPr>
                <w:rFonts w:hint="eastAsia" w:ascii="宋体" w:hAnsi="宋体" w:cs="宋体"/>
                <w:kern w:val="0"/>
                <w:sz w:val="22"/>
              </w:rPr>
              <w:t>1.漏电保护开关、工作指示灯；</w:t>
            </w:r>
            <w:r>
              <w:rPr>
                <w:rFonts w:hint="eastAsia" w:ascii="宋体" w:hAnsi="宋体" w:cs="宋体"/>
                <w:kern w:val="0"/>
                <w:sz w:val="22"/>
              </w:rPr>
              <w:br w:type="textWrapping"/>
            </w:r>
            <w:r>
              <w:rPr>
                <w:rFonts w:hint="eastAsia" w:ascii="宋体" w:hAnsi="宋体" w:cs="宋体"/>
                <w:kern w:val="0"/>
                <w:sz w:val="22"/>
              </w:rPr>
              <w:t>2.控制面板带有风机及学生AC220V交流输出插座的继电器控制开关，可控制风机及学生AC220V交流输出插座电源的通断；</w:t>
            </w:r>
            <w:r>
              <w:rPr>
                <w:rFonts w:hint="eastAsia" w:ascii="宋体" w:hAnsi="宋体" w:cs="宋体"/>
                <w:kern w:val="0"/>
                <w:sz w:val="22"/>
              </w:rPr>
              <w:br w:type="textWrapping"/>
            </w:r>
            <w:r>
              <w:rPr>
                <w:rFonts w:hint="eastAsia" w:ascii="宋体" w:hAnsi="宋体" w:cs="宋体"/>
                <w:kern w:val="0"/>
                <w:sz w:val="22"/>
              </w:rPr>
              <w:t>3.直流稳压电源：1.5V-36V连续可调，额定电流≥3A（短路、过载自动保护，自动复位）；</w:t>
            </w:r>
            <w:r>
              <w:rPr>
                <w:rFonts w:hint="eastAsia" w:ascii="宋体" w:hAnsi="宋体" w:cs="宋体"/>
                <w:kern w:val="0"/>
                <w:sz w:val="22"/>
              </w:rPr>
              <w:br w:type="textWrapping"/>
            </w:r>
            <w:r>
              <w:rPr>
                <w:rFonts w:hint="eastAsia" w:ascii="宋体" w:hAnsi="宋体" w:cs="宋体"/>
                <w:kern w:val="0"/>
                <w:sz w:val="22"/>
              </w:rPr>
              <w:t>4.学生供电控制电源：由教师分组控制学生实验台交流220V；</w:t>
            </w:r>
            <w:r>
              <w:rPr>
                <w:rFonts w:hint="eastAsia" w:ascii="宋体" w:hAnsi="宋体" w:cs="宋体"/>
                <w:kern w:val="0"/>
                <w:sz w:val="22"/>
              </w:rPr>
              <w:br w:type="textWrapping"/>
            </w:r>
            <w:r>
              <w:rPr>
                <w:rFonts w:hint="eastAsia" w:ascii="宋体" w:hAnsi="宋体" w:cs="宋体"/>
                <w:kern w:val="0"/>
                <w:sz w:val="22"/>
              </w:rPr>
              <w:t>5.电源系统符合JY/T0374-2004《教学实验室设备 电源系统》标准；</w:t>
            </w:r>
            <w:r>
              <w:rPr>
                <w:rFonts w:hint="eastAsia" w:ascii="宋体" w:hAnsi="宋体" w:cs="宋体"/>
                <w:kern w:val="0"/>
                <w:sz w:val="22"/>
              </w:rPr>
              <w:br w:type="textWrapping"/>
            </w:r>
            <w:r>
              <w:rPr>
                <w:rFonts w:hint="eastAsia" w:ascii="宋体" w:hAnsi="宋体" w:cs="宋体"/>
                <w:kern w:val="0"/>
                <w:sz w:val="22"/>
              </w:rPr>
              <w:t>6.按教育部最新标准制作，有过载过流保护，安全方便规范。</w:t>
            </w:r>
          </w:p>
        </w:tc>
        <w:tc>
          <w:tcPr>
            <w:tcW w:w="462" w:type="dxa"/>
            <w:shd w:val="clear" w:color="auto" w:fill="auto"/>
            <w:noWrap/>
            <w:vAlign w:val="center"/>
          </w:tcPr>
          <w:p w14:paraId="5E2B99CA">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49B7CC93">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2B2FF659">
            <w:pPr>
              <w:widowControl/>
              <w:jc w:val="left"/>
              <w:rPr>
                <w:rFonts w:ascii="宋体" w:hAnsi="宋体" w:cs="宋体"/>
                <w:kern w:val="0"/>
                <w:sz w:val="22"/>
              </w:rPr>
            </w:pPr>
            <w:r>
              <w:rPr>
                <w:rFonts w:hint="eastAsia" w:ascii="宋体" w:hAnsi="宋体" w:cs="宋体"/>
                <w:kern w:val="0"/>
                <w:sz w:val="22"/>
              </w:rPr>
              <w:t>1200</w:t>
            </w:r>
          </w:p>
        </w:tc>
        <w:tc>
          <w:tcPr>
            <w:tcW w:w="1489" w:type="dxa"/>
            <w:shd w:val="clear" w:color="auto" w:fill="auto"/>
            <w:noWrap/>
            <w:vAlign w:val="center"/>
          </w:tcPr>
          <w:p w14:paraId="6A0A9117">
            <w:pPr>
              <w:widowControl/>
              <w:jc w:val="left"/>
              <w:rPr>
                <w:rFonts w:ascii="宋体" w:hAnsi="宋体" w:cs="宋体"/>
                <w:kern w:val="0"/>
                <w:sz w:val="22"/>
              </w:rPr>
            </w:pPr>
            <w:r>
              <w:rPr>
                <w:rFonts w:hint="eastAsia" w:ascii="宋体" w:hAnsi="宋体" w:cs="宋体"/>
                <w:kern w:val="0"/>
                <w:sz w:val="22"/>
              </w:rPr>
              <w:t>1200</w:t>
            </w:r>
          </w:p>
        </w:tc>
      </w:tr>
      <w:tr w14:paraId="3C5C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EA2CB29">
            <w:pPr>
              <w:widowControl/>
              <w:jc w:val="center"/>
              <w:rPr>
                <w:rFonts w:ascii="宋体" w:hAnsi="宋体" w:cs="宋体"/>
                <w:kern w:val="0"/>
                <w:sz w:val="22"/>
              </w:rPr>
            </w:pPr>
            <w:r>
              <w:rPr>
                <w:rFonts w:hint="eastAsia" w:ascii="宋体" w:hAnsi="宋体" w:cs="宋体"/>
                <w:kern w:val="0"/>
                <w:sz w:val="22"/>
              </w:rPr>
              <w:t>4</w:t>
            </w:r>
          </w:p>
        </w:tc>
        <w:tc>
          <w:tcPr>
            <w:tcW w:w="1072" w:type="dxa"/>
            <w:shd w:val="clear" w:color="auto" w:fill="auto"/>
            <w:vAlign w:val="center"/>
          </w:tcPr>
          <w:p w14:paraId="66589A5E">
            <w:pPr>
              <w:widowControl/>
              <w:jc w:val="left"/>
              <w:rPr>
                <w:rFonts w:ascii="宋体" w:hAnsi="宋体" w:cs="宋体"/>
                <w:kern w:val="0"/>
                <w:sz w:val="22"/>
              </w:rPr>
            </w:pPr>
            <w:r>
              <w:rPr>
                <w:rFonts w:hint="eastAsia" w:ascii="宋体" w:hAnsi="宋体" w:cs="宋体"/>
                <w:kern w:val="0"/>
                <w:sz w:val="22"/>
              </w:rPr>
              <w:t>学生电源</w:t>
            </w:r>
          </w:p>
        </w:tc>
        <w:tc>
          <w:tcPr>
            <w:tcW w:w="4897" w:type="dxa"/>
            <w:shd w:val="clear" w:color="auto" w:fill="auto"/>
          </w:tcPr>
          <w:p w14:paraId="7026E402">
            <w:pPr>
              <w:widowControl/>
              <w:jc w:val="left"/>
              <w:rPr>
                <w:rFonts w:ascii="宋体" w:hAnsi="宋体" w:cs="宋体"/>
                <w:kern w:val="0"/>
                <w:sz w:val="22"/>
              </w:rPr>
            </w:pPr>
            <w:r>
              <w:rPr>
                <w:rFonts w:hint="eastAsia" w:ascii="宋体" w:hAnsi="宋体" w:cs="宋体"/>
                <w:kern w:val="0"/>
                <w:sz w:val="22"/>
              </w:rPr>
              <w:t>1.AC220V交流电源输出插座；</w:t>
            </w:r>
            <w:r>
              <w:rPr>
                <w:rFonts w:hint="eastAsia" w:ascii="宋体" w:hAnsi="宋体" w:cs="宋体"/>
                <w:kern w:val="0"/>
                <w:sz w:val="22"/>
              </w:rPr>
              <w:br w:type="textWrapping"/>
            </w:r>
            <w:r>
              <w:rPr>
                <w:rFonts w:hint="eastAsia" w:ascii="宋体" w:hAnsi="宋体" w:cs="宋体"/>
                <w:kern w:val="0"/>
                <w:sz w:val="22"/>
              </w:rPr>
              <w:t>2.带有防尘保护盖；</w:t>
            </w:r>
            <w:r>
              <w:rPr>
                <w:rFonts w:hint="eastAsia" w:ascii="宋体" w:hAnsi="宋体" w:cs="宋体"/>
                <w:kern w:val="0"/>
                <w:sz w:val="22"/>
              </w:rPr>
              <w:br w:type="textWrapping"/>
            </w:r>
            <w:r>
              <w:rPr>
                <w:rFonts w:hint="eastAsia" w:ascii="宋体" w:hAnsi="宋体" w:cs="宋体"/>
                <w:kern w:val="0"/>
                <w:sz w:val="22"/>
              </w:rPr>
              <w:t>3.直流稳压电源：1.5V-36V连续可调，额定电流≥1A（短路、过载自动保护，手动复位）；</w:t>
            </w:r>
            <w:r>
              <w:rPr>
                <w:rFonts w:hint="eastAsia" w:ascii="宋体" w:hAnsi="宋体" w:cs="宋体"/>
                <w:kern w:val="0"/>
                <w:sz w:val="22"/>
              </w:rPr>
              <w:br w:type="textWrapping"/>
            </w:r>
            <w:r>
              <w:rPr>
                <w:rFonts w:hint="eastAsia" w:ascii="宋体" w:hAnsi="宋体" w:cs="宋体"/>
                <w:kern w:val="0"/>
                <w:sz w:val="22"/>
              </w:rPr>
              <w:t>4.电源系统符合JY/T0374-2004《教学实验室设备电源系统》标准。</w:t>
            </w:r>
          </w:p>
        </w:tc>
        <w:tc>
          <w:tcPr>
            <w:tcW w:w="462" w:type="dxa"/>
            <w:shd w:val="clear" w:color="auto" w:fill="auto"/>
            <w:noWrap/>
            <w:vAlign w:val="center"/>
          </w:tcPr>
          <w:p w14:paraId="1F061518">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4763F0A4">
            <w:pPr>
              <w:widowControl/>
              <w:jc w:val="left"/>
              <w:rPr>
                <w:rFonts w:ascii="宋体" w:hAnsi="宋体" w:cs="宋体"/>
                <w:kern w:val="0"/>
                <w:sz w:val="22"/>
              </w:rPr>
            </w:pPr>
            <w:r>
              <w:rPr>
                <w:rFonts w:hint="eastAsia" w:ascii="宋体" w:hAnsi="宋体" w:cs="宋体"/>
                <w:kern w:val="0"/>
                <w:sz w:val="22"/>
              </w:rPr>
              <w:t>20</w:t>
            </w:r>
          </w:p>
        </w:tc>
        <w:tc>
          <w:tcPr>
            <w:tcW w:w="1048" w:type="dxa"/>
            <w:shd w:val="clear" w:color="auto" w:fill="auto"/>
            <w:noWrap/>
            <w:vAlign w:val="center"/>
          </w:tcPr>
          <w:p w14:paraId="6013A2E3">
            <w:pPr>
              <w:widowControl/>
              <w:jc w:val="left"/>
              <w:rPr>
                <w:rFonts w:ascii="宋体" w:hAnsi="宋体" w:cs="宋体"/>
                <w:kern w:val="0"/>
                <w:sz w:val="22"/>
              </w:rPr>
            </w:pPr>
            <w:r>
              <w:rPr>
                <w:rFonts w:hint="eastAsia" w:ascii="宋体" w:hAnsi="宋体" w:cs="宋体"/>
                <w:kern w:val="0"/>
                <w:sz w:val="22"/>
              </w:rPr>
              <w:t>100</w:t>
            </w:r>
          </w:p>
        </w:tc>
        <w:tc>
          <w:tcPr>
            <w:tcW w:w="1489" w:type="dxa"/>
            <w:shd w:val="clear" w:color="auto" w:fill="auto"/>
            <w:noWrap/>
            <w:vAlign w:val="center"/>
          </w:tcPr>
          <w:p w14:paraId="6C5CBA1A">
            <w:pPr>
              <w:widowControl/>
              <w:jc w:val="left"/>
              <w:rPr>
                <w:rFonts w:ascii="宋体" w:hAnsi="宋体" w:cs="宋体"/>
                <w:kern w:val="0"/>
                <w:sz w:val="22"/>
              </w:rPr>
            </w:pPr>
            <w:r>
              <w:rPr>
                <w:rFonts w:hint="eastAsia" w:ascii="宋体" w:hAnsi="宋体" w:cs="宋体"/>
                <w:kern w:val="0"/>
                <w:sz w:val="22"/>
              </w:rPr>
              <w:t>2000</w:t>
            </w:r>
          </w:p>
        </w:tc>
      </w:tr>
      <w:tr w14:paraId="1B67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4" w:hRule="atLeast"/>
        </w:trPr>
        <w:tc>
          <w:tcPr>
            <w:tcW w:w="653" w:type="dxa"/>
            <w:shd w:val="clear" w:color="auto" w:fill="auto"/>
            <w:noWrap/>
            <w:vAlign w:val="center"/>
          </w:tcPr>
          <w:p w14:paraId="3D7EC5A4">
            <w:pPr>
              <w:widowControl/>
              <w:jc w:val="center"/>
              <w:rPr>
                <w:rFonts w:ascii="宋体" w:hAnsi="宋体" w:cs="宋体"/>
                <w:kern w:val="0"/>
                <w:sz w:val="22"/>
              </w:rPr>
            </w:pPr>
            <w:r>
              <w:rPr>
                <w:rFonts w:hint="eastAsia" w:ascii="宋体" w:hAnsi="宋体" w:cs="宋体"/>
                <w:kern w:val="0"/>
                <w:sz w:val="22"/>
              </w:rPr>
              <w:t>5</w:t>
            </w:r>
          </w:p>
        </w:tc>
        <w:tc>
          <w:tcPr>
            <w:tcW w:w="1072" w:type="dxa"/>
            <w:shd w:val="clear" w:color="auto" w:fill="auto"/>
            <w:vAlign w:val="center"/>
          </w:tcPr>
          <w:p w14:paraId="437109BB">
            <w:pPr>
              <w:widowControl/>
              <w:jc w:val="left"/>
              <w:rPr>
                <w:rFonts w:ascii="宋体" w:hAnsi="宋体" w:cs="宋体"/>
                <w:kern w:val="0"/>
                <w:sz w:val="22"/>
              </w:rPr>
            </w:pPr>
            <w:r>
              <w:rPr>
                <w:rFonts w:hint="eastAsia" w:ascii="宋体" w:hAnsi="宋体" w:cs="宋体"/>
                <w:kern w:val="0"/>
                <w:sz w:val="22"/>
              </w:rPr>
              <w:t>学生实验凳</w:t>
            </w:r>
          </w:p>
        </w:tc>
        <w:tc>
          <w:tcPr>
            <w:tcW w:w="4897" w:type="dxa"/>
            <w:shd w:val="clear" w:color="auto" w:fill="auto"/>
          </w:tcPr>
          <w:p w14:paraId="628F2D03">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60288" behindDoc="0" locked="0" layoutInCell="1" allowOverlap="1">
                  <wp:simplePos x="0" y="0"/>
                  <wp:positionH relativeFrom="column">
                    <wp:posOffset>1503045</wp:posOffset>
                  </wp:positionH>
                  <wp:positionV relativeFrom="paragraph">
                    <wp:posOffset>4279265</wp:posOffset>
                  </wp:positionV>
                  <wp:extent cx="1447165" cy="1703705"/>
                  <wp:effectExtent l="0" t="0" r="635" b="10795"/>
                  <wp:wrapNone/>
                  <wp:docPr id="12" name="图片 12" descr="HCG4W0W{BMO`@6$7%~[PU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CG4W0W{BMO`@6$7%~[PUP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479627" cy="1741888"/>
                          </a:xfrm>
                          <a:prstGeom prst="rect">
                            <a:avLst/>
                          </a:prstGeom>
                          <a:noFill/>
                          <a:ln>
                            <a:noFill/>
                          </a:ln>
                        </pic:spPr>
                      </pic:pic>
                    </a:graphicData>
                  </a:graphic>
                </wp:anchor>
              </w:drawing>
            </w:r>
            <w:r>
              <w:rPr>
                <w:rFonts w:hint="eastAsia" w:ascii="宋体" w:hAnsi="宋体" w:cs="宋体"/>
                <w:kern w:val="0"/>
                <w:sz w:val="22"/>
              </w:rPr>
              <w:drawing>
                <wp:anchor distT="0" distB="0" distL="114300" distR="114300" simplePos="0" relativeHeight="251659264" behindDoc="0" locked="0" layoutInCell="1" allowOverlap="1">
                  <wp:simplePos x="0" y="0"/>
                  <wp:positionH relativeFrom="column">
                    <wp:posOffset>57150</wp:posOffset>
                  </wp:positionH>
                  <wp:positionV relativeFrom="paragraph">
                    <wp:posOffset>4476750</wp:posOffset>
                  </wp:positionV>
                  <wp:extent cx="1362075" cy="1543050"/>
                  <wp:effectExtent l="0" t="0" r="9525" b="0"/>
                  <wp:wrapNone/>
                  <wp:docPr id="11" name="图片 11" descr="8KNZP@EXTOE$$GE7Q9{_Z3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8KNZP@EXTOE$$GE7Q9{_Z3I"/>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362075" cy="1543050"/>
                          </a:xfrm>
                          <a:prstGeom prst="rect">
                            <a:avLst/>
                          </a:prstGeom>
                          <a:noFill/>
                          <a:ln>
                            <a:noFill/>
                          </a:ln>
                        </pic:spPr>
                      </pic:pic>
                    </a:graphicData>
                  </a:graphic>
                </wp:anchor>
              </w:drawing>
            </w:r>
            <w:r>
              <w:rPr>
                <w:rFonts w:hint="eastAsia" w:ascii="宋体" w:hAnsi="宋体" w:cs="宋体"/>
                <w:kern w:val="0"/>
                <w:sz w:val="22"/>
              </w:rPr>
              <w:t>1.规格：凳子高不小于430mm（±2mm），凳子坐面长宽不小于340mm×宽240mm（±2mm），厚度不小于15mm（±2mm）；凳子脚架规格不小于长300mm×宽200mm×高415mm（±2mm）。</w:t>
            </w:r>
            <w:r>
              <w:rPr>
                <w:rFonts w:hint="eastAsia" w:ascii="宋体" w:hAnsi="宋体" w:cs="宋体"/>
                <w:kern w:val="0"/>
                <w:sz w:val="22"/>
              </w:rPr>
              <w:br w:type="textWrapping"/>
            </w:r>
            <w:r>
              <w:rPr>
                <w:rFonts w:hint="eastAsia" w:ascii="宋体" w:hAnsi="宋体" w:cs="宋体"/>
                <w:kern w:val="0"/>
                <w:sz w:val="22"/>
              </w:rPr>
              <w:t>▲2.材料要求：凳子板面为多层胶合板，双面防火板饰面，甲醛释放量符合GB18580-2017的E1级控制指标，限量≤0.12mg/m³，立脚架采用不小于25mm×25mm×厚1.2mm方截面钢管焊接而成。</w:t>
            </w:r>
            <w:r>
              <w:rPr>
                <w:rFonts w:hint="eastAsia" w:ascii="宋体" w:hAnsi="宋体" w:cs="宋体"/>
                <w:kern w:val="0"/>
                <w:sz w:val="22"/>
              </w:rPr>
              <w:br w:type="textWrapping"/>
            </w:r>
            <w:r>
              <w:rPr>
                <w:rFonts w:hint="eastAsia" w:ascii="宋体" w:hAnsi="宋体" w:cs="宋体"/>
                <w:kern w:val="0"/>
                <w:sz w:val="22"/>
              </w:rPr>
              <w:t>3.加工要求：钢管表面喷涂前必须经过酸洗、磷化、除油，热固化喷塑。凳子面板四角磨圆处理，以防尖锐边角给学生带来伤害；凳子面板可用四根直径≥6mm的方颈螺钉及锁紧螺帽固定于立脚架上（螺钉尽量固定在立脚架边缘，确保面板稳固的基础上不影响使用感受）、凳子四只脚套为内嵌耐磨的坚韧胶套，脚套厚度不小于1.5mm。立脚架焊接件焊接时采用二氧化碳气体保护焊接，表面光滑，不能有脱焊、虚焊、焊穿；</w:t>
            </w:r>
            <w:r>
              <w:rPr>
                <w:rFonts w:hint="eastAsia" w:ascii="宋体" w:hAnsi="宋体" w:cs="宋体"/>
                <w:kern w:val="0"/>
                <w:sz w:val="22"/>
              </w:rPr>
              <w:br w:type="textWrapping"/>
            </w:r>
            <w:r>
              <w:rPr>
                <w:rFonts w:hint="eastAsia" w:ascii="宋体" w:hAnsi="宋体" w:cs="宋体"/>
                <w:kern w:val="0"/>
                <w:sz w:val="22"/>
              </w:rPr>
              <w:t>4.与学生实验台配套使用。</w:t>
            </w:r>
            <w:r>
              <w:rPr>
                <w:rFonts w:hint="eastAsia" w:ascii="宋体" w:hAnsi="宋体" w:cs="宋体"/>
                <w:kern w:val="0"/>
                <w:sz w:val="22"/>
              </w:rPr>
              <w:br w:type="textWrapping"/>
            </w:r>
            <w:r>
              <w:rPr>
                <w:rFonts w:hint="eastAsia" w:ascii="宋体" w:hAnsi="宋体" w:cs="宋体"/>
                <w:kern w:val="0"/>
                <w:sz w:val="22"/>
              </w:rPr>
              <w:t>5.学生凳样式如下：</w:t>
            </w:r>
          </w:p>
        </w:tc>
        <w:tc>
          <w:tcPr>
            <w:tcW w:w="462" w:type="dxa"/>
            <w:shd w:val="clear" w:color="auto" w:fill="auto"/>
            <w:noWrap/>
            <w:vAlign w:val="center"/>
          </w:tcPr>
          <w:p w14:paraId="29BEC361">
            <w:pPr>
              <w:widowControl/>
              <w:jc w:val="left"/>
              <w:rPr>
                <w:rFonts w:ascii="宋体" w:hAnsi="宋体" w:cs="宋体"/>
                <w:kern w:val="0"/>
                <w:sz w:val="22"/>
              </w:rPr>
            </w:pPr>
            <w:r>
              <w:rPr>
                <w:rFonts w:hint="eastAsia" w:ascii="宋体" w:hAnsi="宋体" w:cs="宋体"/>
                <w:kern w:val="0"/>
                <w:sz w:val="22"/>
              </w:rPr>
              <w:t>张</w:t>
            </w:r>
          </w:p>
        </w:tc>
        <w:tc>
          <w:tcPr>
            <w:tcW w:w="605" w:type="dxa"/>
            <w:shd w:val="clear" w:color="auto" w:fill="auto"/>
            <w:noWrap/>
            <w:vAlign w:val="center"/>
          </w:tcPr>
          <w:p w14:paraId="165A1A50">
            <w:pPr>
              <w:widowControl/>
              <w:jc w:val="left"/>
              <w:rPr>
                <w:rFonts w:ascii="宋体" w:hAnsi="宋体" w:cs="宋体"/>
                <w:kern w:val="0"/>
                <w:sz w:val="22"/>
              </w:rPr>
            </w:pPr>
            <w:r>
              <w:rPr>
                <w:rFonts w:hint="eastAsia" w:ascii="宋体" w:hAnsi="宋体" w:cs="宋体"/>
                <w:kern w:val="0"/>
                <w:sz w:val="22"/>
              </w:rPr>
              <w:t>60</w:t>
            </w:r>
          </w:p>
        </w:tc>
        <w:tc>
          <w:tcPr>
            <w:tcW w:w="1048" w:type="dxa"/>
            <w:shd w:val="clear" w:color="auto" w:fill="auto"/>
            <w:noWrap/>
            <w:vAlign w:val="center"/>
          </w:tcPr>
          <w:p w14:paraId="19B019C6">
            <w:pPr>
              <w:widowControl/>
              <w:jc w:val="left"/>
              <w:rPr>
                <w:rFonts w:ascii="宋体" w:hAnsi="宋体" w:cs="宋体"/>
                <w:kern w:val="0"/>
                <w:sz w:val="22"/>
              </w:rPr>
            </w:pPr>
            <w:r>
              <w:rPr>
                <w:rFonts w:hint="eastAsia" w:ascii="宋体" w:hAnsi="宋体" w:cs="宋体"/>
                <w:kern w:val="0"/>
                <w:sz w:val="22"/>
              </w:rPr>
              <w:t>65</w:t>
            </w:r>
          </w:p>
        </w:tc>
        <w:tc>
          <w:tcPr>
            <w:tcW w:w="1489" w:type="dxa"/>
            <w:shd w:val="clear" w:color="auto" w:fill="auto"/>
            <w:noWrap/>
            <w:vAlign w:val="center"/>
          </w:tcPr>
          <w:p w14:paraId="13D988F0">
            <w:pPr>
              <w:widowControl/>
              <w:jc w:val="left"/>
              <w:rPr>
                <w:rFonts w:ascii="宋体" w:hAnsi="宋体" w:cs="宋体"/>
                <w:kern w:val="0"/>
                <w:sz w:val="22"/>
              </w:rPr>
            </w:pPr>
            <w:r>
              <w:rPr>
                <w:rFonts w:hint="eastAsia" w:ascii="宋体" w:hAnsi="宋体" w:cs="宋体"/>
                <w:kern w:val="0"/>
                <w:sz w:val="22"/>
              </w:rPr>
              <w:t>3900</w:t>
            </w:r>
          </w:p>
        </w:tc>
      </w:tr>
      <w:tr w14:paraId="4C56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F771092">
            <w:pPr>
              <w:widowControl/>
              <w:jc w:val="center"/>
              <w:rPr>
                <w:rFonts w:ascii="宋体" w:hAnsi="宋体" w:cs="宋体"/>
                <w:kern w:val="0"/>
                <w:sz w:val="22"/>
              </w:rPr>
            </w:pPr>
            <w:r>
              <w:rPr>
                <w:rFonts w:hint="eastAsia" w:ascii="宋体" w:hAnsi="宋体" w:cs="宋体"/>
                <w:kern w:val="0"/>
                <w:sz w:val="22"/>
              </w:rPr>
              <w:t>6</w:t>
            </w:r>
          </w:p>
        </w:tc>
        <w:tc>
          <w:tcPr>
            <w:tcW w:w="1072" w:type="dxa"/>
            <w:shd w:val="clear" w:color="auto" w:fill="auto"/>
            <w:vAlign w:val="center"/>
          </w:tcPr>
          <w:p w14:paraId="75C39930">
            <w:pPr>
              <w:widowControl/>
              <w:jc w:val="left"/>
              <w:rPr>
                <w:rFonts w:ascii="宋体" w:hAnsi="宋体" w:cs="宋体"/>
                <w:kern w:val="0"/>
                <w:sz w:val="22"/>
              </w:rPr>
            </w:pPr>
            <w:r>
              <w:rPr>
                <w:rFonts w:hint="eastAsia" w:ascii="宋体" w:hAnsi="宋体" w:cs="宋体"/>
                <w:kern w:val="0"/>
                <w:sz w:val="22"/>
              </w:rPr>
              <w:t>交互智能平板一体机</w:t>
            </w:r>
          </w:p>
        </w:tc>
        <w:tc>
          <w:tcPr>
            <w:tcW w:w="4897" w:type="dxa"/>
            <w:shd w:val="clear" w:color="auto" w:fill="auto"/>
            <w:vAlign w:val="center"/>
          </w:tcPr>
          <w:p w14:paraId="6BD8B2B5">
            <w:pPr>
              <w:widowControl/>
              <w:jc w:val="left"/>
              <w:rPr>
                <w:rFonts w:ascii="宋体" w:hAnsi="宋体" w:cs="宋体"/>
                <w:kern w:val="0"/>
                <w:sz w:val="22"/>
              </w:rPr>
            </w:pPr>
            <w:r>
              <w:rPr>
                <w:rFonts w:hint="eastAsia" w:ascii="宋体" w:hAnsi="宋体" w:cs="宋体"/>
                <w:kern w:val="0"/>
                <w:sz w:val="22"/>
              </w:rPr>
              <w:t>一、整机屏显、音效设计</w:t>
            </w:r>
            <w:r>
              <w:rPr>
                <w:rFonts w:hint="eastAsia" w:ascii="宋体" w:hAnsi="宋体" w:cs="宋体"/>
                <w:kern w:val="0"/>
                <w:sz w:val="22"/>
              </w:rPr>
              <w:br w:type="textWrapping"/>
            </w:r>
            <w:r>
              <w:rPr>
                <w:rFonts w:hint="eastAsia" w:ascii="宋体" w:hAnsi="宋体" w:cs="宋体"/>
                <w:kern w:val="0"/>
                <w:sz w:val="22"/>
              </w:rPr>
              <w:t>1、采用UHD超高清LED防眩光液晶屏，尺寸≥86英寸，显示比例16:9，分辨率≥3840×2160。</w:t>
            </w:r>
            <w:r>
              <w:rPr>
                <w:rFonts w:hint="eastAsia" w:ascii="宋体" w:hAnsi="宋体" w:cs="宋体"/>
                <w:kern w:val="0"/>
                <w:sz w:val="22"/>
              </w:rPr>
              <w:br w:type="textWrapping"/>
            </w:r>
            <w:r>
              <w:rPr>
                <w:rFonts w:hint="eastAsia" w:ascii="宋体" w:hAnsi="宋体" w:cs="宋体"/>
                <w:kern w:val="0"/>
                <w:sz w:val="22"/>
              </w:rPr>
              <w:t>2、采用红外触控技术，支持在内置电脑操作系统中进行20点或以上触控，支持在嵌入式系统中进行10点或以上触控。</w:t>
            </w:r>
            <w:r>
              <w:rPr>
                <w:rFonts w:hint="eastAsia" w:ascii="宋体" w:hAnsi="宋体" w:cs="宋体"/>
                <w:kern w:val="0"/>
                <w:sz w:val="22"/>
              </w:rPr>
              <w:br w:type="textWrapping"/>
            </w:r>
            <w:r>
              <w:rPr>
                <w:rFonts w:hint="eastAsia" w:ascii="宋体" w:hAnsi="宋体" w:cs="宋体"/>
                <w:kern w:val="0"/>
                <w:sz w:val="22"/>
              </w:rPr>
              <w:t>3、整机显示灰度等级≥256，支持色彩空间可选，包含标准模式和sRGB模式，在sRGB模式下可做到高色准△E≤1.5。</w:t>
            </w:r>
            <w:r>
              <w:rPr>
                <w:rFonts w:hint="eastAsia" w:ascii="宋体" w:hAnsi="宋体" w:cs="宋体"/>
                <w:kern w:val="0"/>
                <w:sz w:val="22"/>
              </w:rPr>
              <w:br w:type="textWrapping"/>
            </w:r>
            <w:r>
              <w:rPr>
                <w:rFonts w:hint="eastAsia" w:ascii="宋体" w:hAnsi="宋体" w:cs="宋体"/>
                <w:kern w:val="0"/>
                <w:sz w:val="22"/>
              </w:rPr>
              <w:t>4、图像模式：支持标准、多媒体和节能三种图像模式调节；支持可自定义图像设置，可对对比度、屏幕色温、图像亮度、亮度范围、色彩空间进行调节设置。</w:t>
            </w:r>
            <w:r>
              <w:rPr>
                <w:rFonts w:hint="eastAsia" w:ascii="宋体" w:hAnsi="宋体" w:cs="宋体"/>
                <w:kern w:val="0"/>
                <w:sz w:val="22"/>
              </w:rPr>
              <w:br w:type="textWrapping"/>
            </w:r>
            <w:r>
              <w:rPr>
                <w:rFonts w:hint="eastAsia" w:ascii="宋体" w:hAnsi="宋体" w:cs="宋体"/>
                <w:kern w:val="0"/>
                <w:sz w:val="22"/>
              </w:rPr>
              <w:t>▲5、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投标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6、整机内置2.2声道扬声器，支持标准、听力、观影三种音效模式，位于设备上边框，顶置朝前发声，前朝向10W高音扬声器2个，上朝向20W中低音扬声器2个，额定总功率≥60W。（投标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7、整机内置扬声器采用缝隙发声技术，喇叭采用槽式开口设计，不大于5.8mm；在100%音量下，可做到1米处声压级≥80db，10米处声压级≥70dB。</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二、PC配置要求</w:t>
            </w:r>
            <w:r>
              <w:rPr>
                <w:rFonts w:hint="eastAsia" w:ascii="宋体" w:hAnsi="宋体" w:cs="宋体"/>
                <w:kern w:val="0"/>
                <w:sz w:val="22"/>
              </w:rPr>
              <w:br w:type="textWrapping"/>
            </w:r>
            <w:r>
              <w:rPr>
                <w:rFonts w:hint="eastAsia" w:ascii="宋体" w:hAnsi="宋体" w:cs="宋体"/>
                <w:kern w:val="0"/>
                <w:sz w:val="22"/>
              </w:rPr>
              <w:t>▲1、处理器：4核8线程或以上配置CPU，主频≥2.4Ghz。</w:t>
            </w:r>
            <w:r>
              <w:rPr>
                <w:rFonts w:hint="eastAsia" w:ascii="宋体" w:hAnsi="宋体" w:cs="宋体"/>
                <w:kern w:val="0"/>
                <w:sz w:val="22"/>
              </w:rPr>
              <w:br w:type="textWrapping"/>
            </w:r>
            <w:r>
              <w:rPr>
                <w:rFonts w:hint="eastAsia" w:ascii="宋体" w:hAnsi="宋体" w:cs="宋体"/>
                <w:kern w:val="0"/>
                <w:sz w:val="22"/>
              </w:rPr>
              <w:t>▲2、内存：≥16GB DDR4或以上配置。</w:t>
            </w:r>
            <w:r>
              <w:rPr>
                <w:rFonts w:hint="eastAsia" w:ascii="宋体" w:hAnsi="宋体" w:cs="宋体"/>
                <w:kern w:val="0"/>
                <w:sz w:val="22"/>
              </w:rPr>
              <w:br w:type="textWrapping"/>
            </w:r>
            <w:r>
              <w:rPr>
                <w:rFonts w:hint="eastAsia" w:ascii="宋体" w:hAnsi="宋体" w:cs="宋体"/>
                <w:kern w:val="0"/>
                <w:sz w:val="22"/>
              </w:rPr>
              <w:t>▲3、硬盘：≥512GB或以上SSD固态硬盘配置。</w:t>
            </w:r>
            <w:r>
              <w:rPr>
                <w:rFonts w:hint="eastAsia" w:ascii="宋体" w:hAnsi="宋体" w:cs="宋体"/>
                <w:kern w:val="0"/>
                <w:sz w:val="22"/>
              </w:rPr>
              <w:br w:type="textWrapping"/>
            </w:r>
            <w:r>
              <w:rPr>
                <w:rFonts w:hint="eastAsia" w:ascii="宋体" w:hAnsi="宋体" w:cs="宋体"/>
                <w:kern w:val="0"/>
                <w:sz w:val="22"/>
              </w:rPr>
              <w:t>4、机身采用热浸镀锌金属材质，采用智能风扇低噪音散热设计。</w:t>
            </w:r>
            <w:r>
              <w:rPr>
                <w:rFonts w:hint="eastAsia" w:ascii="宋体" w:hAnsi="宋体" w:cs="宋体"/>
                <w:kern w:val="0"/>
                <w:sz w:val="22"/>
              </w:rPr>
              <w:br w:type="textWrapping"/>
            </w:r>
            <w:r>
              <w:rPr>
                <w:rFonts w:hint="eastAsia" w:ascii="宋体" w:hAnsi="宋体" w:cs="宋体"/>
                <w:kern w:val="0"/>
                <w:sz w:val="22"/>
              </w:rPr>
              <w:t>5、模块主体尺寸不小于22cm*17cm*3cm以预留足够散热空间，确保封闭空间内有效散热。</w:t>
            </w:r>
            <w:r>
              <w:rPr>
                <w:rFonts w:hint="eastAsia" w:ascii="宋体" w:hAnsi="宋体" w:cs="宋体"/>
                <w:kern w:val="0"/>
                <w:sz w:val="22"/>
              </w:rPr>
              <w:br w:type="textWrapping"/>
            </w:r>
            <w:r>
              <w:rPr>
                <w:rFonts w:hint="eastAsia" w:ascii="宋体" w:hAnsi="宋体" w:cs="宋体"/>
                <w:kern w:val="0"/>
                <w:sz w:val="22"/>
              </w:rPr>
              <w:t>6、和整机的连接采用万兆级接口，传输速率≥10Gbps。</w:t>
            </w:r>
            <w:r>
              <w:rPr>
                <w:rFonts w:hint="eastAsia" w:ascii="宋体" w:hAnsi="宋体" w:cs="宋体"/>
                <w:kern w:val="0"/>
                <w:sz w:val="22"/>
              </w:rPr>
              <w:br w:type="textWrapping"/>
            </w:r>
            <w:r>
              <w:rPr>
                <w:rFonts w:hint="eastAsia" w:ascii="宋体" w:hAnsi="宋体" w:cs="宋体"/>
                <w:kern w:val="0"/>
                <w:sz w:val="22"/>
              </w:rPr>
              <w:t>7、具有独立非外扩展的视频输出接口：≥1路HDMI ，≥3路USB。</w:t>
            </w:r>
            <w:r>
              <w:rPr>
                <w:rFonts w:hint="eastAsia" w:ascii="宋体" w:hAnsi="宋体" w:cs="宋体"/>
                <w:kern w:val="0"/>
                <w:sz w:val="22"/>
              </w:rPr>
              <w:br w:type="textWrapping"/>
            </w:r>
            <w:r>
              <w:rPr>
                <w:rFonts w:hint="eastAsia" w:ascii="宋体" w:hAnsi="宋体" w:cs="宋体"/>
                <w:kern w:val="0"/>
                <w:sz w:val="22"/>
              </w:rPr>
              <w:t>8、PC模块可通过抽拉方式插入整机，可实现无单独接线的插拔。安全性保障：具有标准PC防盗锁孔。</w:t>
            </w:r>
            <w:r>
              <w:rPr>
                <w:rFonts w:hint="eastAsia" w:ascii="宋体" w:hAnsi="宋体" w:cs="宋体"/>
                <w:kern w:val="0"/>
                <w:sz w:val="22"/>
              </w:rPr>
              <w:br w:type="textWrapping"/>
            </w:r>
            <w:r>
              <w:rPr>
                <w:rFonts w:hint="eastAsia" w:ascii="宋体" w:hAnsi="宋体" w:cs="宋体"/>
                <w:kern w:val="0"/>
                <w:sz w:val="22"/>
              </w:rPr>
              <w:t>9、PC模块的USB接口须为冗余备份接口，在正常使用整机的内置摄像头、内置麦克风功能时，USB接口不被占用，确保教师有足够的接口外接存储设备及显示设备。</w:t>
            </w:r>
            <w:r>
              <w:rPr>
                <w:rFonts w:hint="eastAsia" w:ascii="宋体" w:hAnsi="宋体" w:cs="宋体"/>
                <w:kern w:val="0"/>
                <w:sz w:val="22"/>
              </w:rPr>
              <w:br w:type="textWrapping"/>
            </w:r>
            <w:r>
              <w:rPr>
                <w:rFonts w:hint="eastAsia" w:ascii="宋体" w:hAnsi="宋体" w:cs="宋体"/>
                <w:kern w:val="0"/>
                <w:sz w:val="22"/>
              </w:rPr>
              <w:t>▲10、正版电脑操作系统，带永久授权。中标人须完成正版激活流程。</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三、按键和接口设计</w:t>
            </w:r>
            <w:r>
              <w:rPr>
                <w:rFonts w:hint="eastAsia" w:ascii="宋体" w:hAnsi="宋体" w:cs="宋体"/>
                <w:kern w:val="0"/>
                <w:sz w:val="22"/>
              </w:rPr>
              <w:br w:type="textWrapping"/>
            </w:r>
            <w:r>
              <w:rPr>
                <w:rFonts w:hint="eastAsia" w:ascii="宋体" w:hAnsi="宋体" w:cs="宋体"/>
                <w:kern w:val="0"/>
                <w:sz w:val="22"/>
              </w:rPr>
              <w:t>1、前置 USB 接口具备防撞挡板设计，防撞挡板采用转轴式翻转。</w:t>
            </w:r>
            <w:r>
              <w:rPr>
                <w:rFonts w:hint="eastAsia" w:ascii="宋体" w:hAnsi="宋体" w:cs="宋体"/>
                <w:kern w:val="0"/>
                <w:sz w:val="22"/>
              </w:rPr>
              <w:br w:type="textWrapping"/>
            </w:r>
            <w:r>
              <w:rPr>
                <w:rFonts w:hint="eastAsia" w:ascii="宋体" w:hAnsi="宋体" w:cs="宋体"/>
                <w:kern w:val="0"/>
                <w:sz w:val="22"/>
              </w:rPr>
              <w:t>▲2、整机具备至少6个前置按键，实现老师开关机、调出中控菜单、音量+/-、护眼、录屏的操作。（投标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3、智能电子产品一键式设计：三合一电源按键，同一电源物理按键完成完成嵌入式系统和电脑系统的开机、节能熄屏、关机操作；关机状态下按按键开机；开机状态下按按键实现节能熄屏/唤醒，长按按键实现关机。</w:t>
            </w:r>
            <w:r>
              <w:rPr>
                <w:rFonts w:hint="eastAsia" w:ascii="宋体" w:hAnsi="宋体" w:cs="宋体"/>
                <w:kern w:val="0"/>
                <w:sz w:val="22"/>
              </w:rPr>
              <w:br w:type="textWrapping"/>
            </w:r>
            <w:r>
              <w:rPr>
                <w:rFonts w:hint="eastAsia" w:ascii="宋体" w:hAnsi="宋体" w:cs="宋体"/>
                <w:kern w:val="0"/>
                <w:sz w:val="22"/>
              </w:rPr>
              <w:t>4、支持锁定屏幕触摸和整机前置按键，可通过遥控器、十指长按屏幕5秒、软件菜单（调试菜单）实现该功能，也可通过前置面板的物理按键以组合按键的形式进行锁定/解锁。</w:t>
            </w:r>
            <w:r>
              <w:rPr>
                <w:rFonts w:hint="eastAsia" w:ascii="宋体" w:hAnsi="宋体" w:cs="宋体"/>
                <w:kern w:val="0"/>
                <w:sz w:val="22"/>
              </w:rPr>
              <w:br w:type="textWrapping"/>
            </w:r>
            <w:r>
              <w:rPr>
                <w:rFonts w:hint="eastAsia" w:ascii="宋体" w:hAnsi="宋体" w:cs="宋体"/>
                <w:kern w:val="0"/>
                <w:sz w:val="22"/>
              </w:rPr>
              <w:t>▲5、设备支持自定义前置“设置”按键，可通过自定义设置实现前置面板功能按键一键启用任一全局小工具（批注、截屏、计时、降半屏、放大镜、倒数日、日历）、快捷开关（节能模式、纸质护眼模式、经典护眼模式、自动亮度模式）。（投标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6、支持前置Type-C接口，通过Type-C接口实现音视频输入，外接电脑设备通过双头TypeC线连接至整机，即可把外接电脑设备画面投到整机上，同时在整机上操作画面，可实现触摸电脑的操作，无需再连接触控USB线。</w:t>
            </w:r>
            <w:r>
              <w:rPr>
                <w:rFonts w:hint="eastAsia" w:ascii="宋体" w:hAnsi="宋体" w:cs="宋体"/>
                <w:kern w:val="0"/>
                <w:sz w:val="22"/>
              </w:rPr>
              <w:br w:type="textWrapping"/>
            </w:r>
            <w:r>
              <w:rPr>
                <w:rFonts w:hint="eastAsia" w:ascii="宋体" w:hAnsi="宋体" w:cs="宋体"/>
                <w:kern w:val="0"/>
                <w:sz w:val="22"/>
              </w:rPr>
              <w:t>7、外接电脑设备通过双头TypeC线连接至整机，可直接调用整机内置的摄像头、麦克风、扬声器，通过外接电脑可拍摄教室画面。</w:t>
            </w:r>
            <w:r>
              <w:rPr>
                <w:rFonts w:hint="eastAsia" w:ascii="宋体" w:hAnsi="宋体" w:cs="宋体"/>
                <w:kern w:val="0"/>
                <w:sz w:val="22"/>
              </w:rPr>
              <w:br w:type="textWrapping"/>
            </w:r>
            <w:r>
              <w:rPr>
                <w:rFonts w:hint="eastAsia" w:ascii="宋体" w:hAnsi="宋体" w:cs="宋体"/>
                <w:kern w:val="0"/>
                <w:sz w:val="22"/>
              </w:rPr>
              <w:t>8、前置Type-C接口，支持通过外部线缆，实现外接电脑HDMI信号的接入显示。</w:t>
            </w:r>
            <w:r>
              <w:rPr>
                <w:rFonts w:hint="eastAsia" w:ascii="宋体" w:hAnsi="宋体" w:cs="宋体"/>
                <w:kern w:val="0"/>
                <w:sz w:val="22"/>
              </w:rPr>
              <w:br w:type="textWrapping"/>
            </w:r>
            <w:r>
              <w:rPr>
                <w:rFonts w:hint="eastAsia" w:ascii="宋体" w:hAnsi="宋体" w:cs="宋体"/>
                <w:kern w:val="0"/>
                <w:sz w:val="22"/>
              </w:rPr>
              <w:t>9、外接电脑设备连接整机且触摸信号连通时，外接电脑设备可直接读取整机前置USB接口的移动存储设备数据，连接整机前置USB接口的翻页笔和无线键鼠可直接使用于外接电脑。</w:t>
            </w:r>
            <w:r>
              <w:rPr>
                <w:rFonts w:hint="eastAsia" w:ascii="宋体" w:hAnsi="宋体" w:cs="宋体"/>
                <w:kern w:val="0"/>
                <w:sz w:val="22"/>
              </w:rPr>
              <w:br w:type="textWrapping"/>
            </w:r>
            <w:r>
              <w:rPr>
                <w:rFonts w:hint="eastAsia" w:ascii="宋体" w:hAnsi="宋体" w:cs="宋体"/>
                <w:kern w:val="0"/>
                <w:sz w:val="22"/>
              </w:rPr>
              <w:t>10、整机具备不少于1路侧置双通道USB接口，双系统USB接口支持Windows和Android双系统读取外接存储设备数据和识别展台信号。</w:t>
            </w:r>
            <w:r>
              <w:rPr>
                <w:rFonts w:hint="eastAsia" w:ascii="宋体" w:hAnsi="宋体" w:cs="宋体"/>
                <w:kern w:val="0"/>
                <w:sz w:val="22"/>
              </w:rPr>
              <w:br w:type="textWrapping"/>
            </w:r>
            <w:r>
              <w:rPr>
                <w:rFonts w:hint="eastAsia" w:ascii="宋体" w:hAnsi="宋体" w:cs="宋体"/>
                <w:kern w:val="0"/>
                <w:sz w:val="22"/>
              </w:rPr>
              <w:t>11、外接电脑设备通过HDMI线投送画面至整机时，再连接TypeB USB线至整机触控输出接口，即可直接调用整机内置的摄像头、麦克风、扬声器，在外接电脑即可拍摄教室画面。</w:t>
            </w:r>
            <w:r>
              <w:rPr>
                <w:rFonts w:hint="eastAsia" w:ascii="宋体" w:hAnsi="宋体" w:cs="宋体"/>
                <w:kern w:val="0"/>
                <w:sz w:val="22"/>
              </w:rPr>
              <w:br w:type="textWrapping"/>
            </w:r>
            <w:r>
              <w:rPr>
                <w:rFonts w:hint="eastAsia" w:ascii="宋体" w:hAnsi="宋体" w:cs="宋体"/>
                <w:kern w:val="0"/>
                <w:sz w:val="22"/>
              </w:rPr>
              <w:t>12、支持通道自动跳转功能，如整机处于正常使用状态，HDMI信号接入时，能自动识别并切换到对应的HDMI信号源通道，且断开后能回到上一通道，自动跳转前支持选择确认，待确认后再跳转。</w:t>
            </w:r>
            <w:r>
              <w:rPr>
                <w:rFonts w:hint="eastAsia" w:ascii="宋体" w:hAnsi="宋体" w:cs="宋体"/>
                <w:kern w:val="0"/>
                <w:sz w:val="22"/>
              </w:rPr>
              <w:br w:type="textWrapping"/>
            </w:r>
            <w:r>
              <w:rPr>
                <w:rFonts w:hint="eastAsia" w:ascii="宋体" w:hAnsi="宋体" w:cs="宋体"/>
                <w:kern w:val="0"/>
                <w:sz w:val="22"/>
              </w:rPr>
              <w:t>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四、教学工具设计</w:t>
            </w:r>
            <w:r>
              <w:rPr>
                <w:rFonts w:hint="eastAsia" w:ascii="宋体" w:hAnsi="宋体" w:cs="宋体"/>
                <w:kern w:val="0"/>
                <w:sz w:val="22"/>
              </w:rPr>
              <w:br w:type="textWrapping"/>
            </w:r>
            <w:r>
              <w:rPr>
                <w:rFonts w:hint="eastAsia" w:ascii="宋体" w:hAnsi="宋体" w:cs="宋体"/>
                <w:kern w:val="0"/>
                <w:sz w:val="22"/>
              </w:rPr>
              <w:t>▲1、支持统一互通的用户身份认证服务，账号登录后，打开教学白板软件、学生行为评价软件的教学应用工具时无需再次输入账号密码重复登录。（投标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2、整机全通道侧边栏支持快速将设备屏幕降低为半屏幕状态，点击上半屏幕可快速返回全屏状态。</w:t>
            </w:r>
            <w:r>
              <w:rPr>
                <w:rFonts w:hint="eastAsia" w:ascii="宋体" w:hAnsi="宋体" w:cs="宋体"/>
                <w:kern w:val="0"/>
                <w:sz w:val="22"/>
              </w:rPr>
              <w:br w:type="textWrapping"/>
            </w:r>
            <w:r>
              <w:rPr>
                <w:rFonts w:hint="eastAsia" w:ascii="宋体" w:hAnsi="宋体" w:cs="宋体"/>
                <w:kern w:val="0"/>
                <w:sz w:val="22"/>
              </w:rPr>
              <w:t>3、整机全通道侧边栏快捷菜单包含如下小工具：批注、截屏、计时、降半屏、放大镜、日历。</w:t>
            </w:r>
            <w:r>
              <w:rPr>
                <w:rFonts w:hint="eastAsia" w:ascii="宋体" w:hAnsi="宋体" w:cs="宋体"/>
                <w:kern w:val="0"/>
                <w:sz w:val="22"/>
              </w:rPr>
              <w:br w:type="textWrapping"/>
            </w:r>
            <w:r>
              <w:rPr>
                <w:rFonts w:hint="eastAsia" w:ascii="宋体" w:hAnsi="宋体" w:cs="宋体"/>
                <w:kern w:val="0"/>
                <w:sz w:val="22"/>
              </w:rPr>
              <w:t>4、整机具备智能手势识别功能，在任意信号源通道下可识别五指上、下、左、右方向手势、支持将各手势滑动方向自定义设置为无操作、熄屏、批注、桌面、半屏模式。</w:t>
            </w:r>
            <w:r>
              <w:rPr>
                <w:rFonts w:hint="eastAsia" w:ascii="宋体" w:hAnsi="宋体" w:cs="宋体"/>
                <w:kern w:val="0"/>
                <w:sz w:val="22"/>
              </w:rPr>
              <w:br w:type="textWrapping"/>
            </w:r>
            <w:r>
              <w:rPr>
                <w:rFonts w:hint="eastAsia" w:ascii="宋体" w:hAnsi="宋体" w:cs="宋体"/>
                <w:kern w:val="0"/>
                <w:sz w:val="22"/>
              </w:rPr>
              <w:t>5、整机全通道侧边栏支持在任意通道、页面使用批注小工具进行批注讲解，可根据手与屏幕的接触面积自动调整板擦工具的大小，可切换书写笔颜色、截屏保存批注内容、快速清屏。</w:t>
            </w:r>
            <w:r>
              <w:rPr>
                <w:rFonts w:hint="eastAsia" w:ascii="宋体" w:hAnsi="宋体" w:cs="宋体"/>
                <w:kern w:val="0"/>
                <w:sz w:val="22"/>
              </w:rPr>
              <w:br w:type="textWrapping"/>
            </w:r>
            <w:r>
              <w:rPr>
                <w:rFonts w:hint="eastAsia" w:ascii="宋体" w:hAnsi="宋体" w:cs="宋体"/>
                <w:kern w:val="0"/>
                <w:sz w:val="22"/>
              </w:rPr>
              <w:t xml:space="preserve">6、整机内置无线网络模块，PC模块无任何外接或转接天线、网卡可实现Wi-Fi无线上网连接和AP无线热点发射。 </w:t>
            </w:r>
            <w:r>
              <w:rPr>
                <w:rFonts w:hint="eastAsia" w:ascii="宋体" w:hAnsi="宋体" w:cs="宋体"/>
                <w:kern w:val="0"/>
                <w:sz w:val="22"/>
              </w:rPr>
              <w:br w:type="textWrapping"/>
            </w:r>
            <w:r>
              <w:rPr>
                <w:rFonts w:hint="eastAsia" w:ascii="宋体" w:hAnsi="宋体" w:cs="宋体"/>
                <w:kern w:val="0"/>
                <w:sz w:val="22"/>
              </w:rPr>
              <w:t>7、Wi-Fi和AP热点均支持频段 2.4GHz/5GHz ，Wi-Fi制式支持IEEE 802.11 a/b/g/n/ac/ax；支持版本Wi-Fi6。</w:t>
            </w:r>
            <w:r>
              <w:rPr>
                <w:rFonts w:hint="eastAsia" w:ascii="宋体" w:hAnsi="宋体" w:cs="宋体"/>
                <w:kern w:val="0"/>
                <w:sz w:val="22"/>
              </w:rPr>
              <w:br w:type="textWrapping"/>
            </w:r>
            <w:r>
              <w:rPr>
                <w:rFonts w:hint="eastAsia" w:ascii="宋体" w:hAnsi="宋体" w:cs="宋体"/>
                <w:kern w:val="0"/>
                <w:sz w:val="22"/>
              </w:rPr>
              <w:t>★8、Wi-Fi和AP热点工作距离≥8米。</w:t>
            </w:r>
            <w:r>
              <w:rPr>
                <w:rFonts w:hint="eastAsia" w:ascii="宋体" w:hAnsi="宋体" w:cs="宋体"/>
                <w:kern w:val="0"/>
                <w:sz w:val="22"/>
              </w:rPr>
              <w:br w:type="textWrapping"/>
            </w:r>
            <w:r>
              <w:rPr>
                <w:rFonts w:hint="eastAsia" w:ascii="宋体" w:hAnsi="宋体" w:cs="宋体"/>
                <w:kern w:val="0"/>
                <w:sz w:val="22"/>
              </w:rPr>
              <w:t>★9、整机内置非独立的高清摄像头，像素≥1200万，支持输出4K分辨率；视场角≥135度且水平视场角≥120度；可用于远程巡课，拍摄范围可以涵盖整机距离摄像头垂直法线左右水平距离各≥4米，左右最边缘深度≥2米范围内，并且可以AI识别人像。</w:t>
            </w:r>
            <w:r>
              <w:rPr>
                <w:rFonts w:hint="eastAsia" w:ascii="宋体" w:hAnsi="宋体" w:cs="宋体"/>
                <w:kern w:val="0"/>
                <w:sz w:val="22"/>
              </w:rPr>
              <w:br w:type="textWrapping"/>
            </w:r>
            <w:r>
              <w:rPr>
                <w:rFonts w:hint="eastAsia" w:ascii="宋体" w:hAnsi="宋体" w:cs="宋体"/>
                <w:kern w:val="0"/>
                <w:sz w:val="22"/>
              </w:rPr>
              <w:t>10、整机摄像头支持环境色温判断，根据环境调节合适的显示图像效果。</w:t>
            </w:r>
            <w:r>
              <w:rPr>
                <w:rFonts w:hint="eastAsia" w:ascii="宋体" w:hAnsi="宋体" w:cs="宋体"/>
                <w:kern w:val="0"/>
                <w:sz w:val="22"/>
              </w:rPr>
              <w:br w:type="textWrapping"/>
            </w:r>
            <w:r>
              <w:rPr>
                <w:rFonts w:hint="eastAsia" w:ascii="宋体" w:hAnsi="宋体" w:cs="宋体"/>
                <w:kern w:val="0"/>
                <w:sz w:val="22"/>
              </w:rPr>
              <w:t>★11、整机摄像头支持人脸识别、快速点人数、随机抽人；识别所有学生，显示标记，然后随机抽选，同时显示标记≥55人。</w:t>
            </w:r>
            <w:r>
              <w:rPr>
                <w:rFonts w:hint="eastAsia" w:ascii="宋体" w:hAnsi="宋体" w:cs="宋体"/>
                <w:kern w:val="0"/>
                <w:sz w:val="22"/>
              </w:rPr>
              <w:br w:type="textWrapping"/>
            </w:r>
            <w:r>
              <w:rPr>
                <w:rFonts w:hint="eastAsia" w:ascii="宋体" w:hAnsi="宋体" w:cs="宋体"/>
                <w:kern w:val="0"/>
                <w:sz w:val="22"/>
              </w:rPr>
              <w:t>12、整机内置非独立外扩展的4阵列麦克风，可用于对教室环境音频进行采集，拾音距离≥10m。</w:t>
            </w:r>
            <w:r>
              <w:rPr>
                <w:rFonts w:hint="eastAsia" w:ascii="宋体" w:hAnsi="宋体" w:cs="宋体"/>
                <w:kern w:val="0"/>
                <w:sz w:val="22"/>
              </w:rPr>
              <w:br w:type="textWrapping"/>
            </w:r>
            <w:r>
              <w:rPr>
                <w:rFonts w:hint="eastAsia" w:ascii="宋体" w:hAnsi="宋体" w:cs="宋体"/>
                <w:kern w:val="0"/>
                <w:sz w:val="22"/>
              </w:rPr>
              <w:t>★13、整机支持蓝牙Bluetooth 5.2标准，固件版本号HCI11.20/LMP11.20；蓝牙模块工作距离≥8m。</w:t>
            </w:r>
            <w:r>
              <w:rPr>
                <w:rFonts w:hint="eastAsia" w:ascii="宋体" w:hAnsi="宋体" w:cs="宋体"/>
                <w:kern w:val="0"/>
                <w:sz w:val="22"/>
              </w:rPr>
              <w:br w:type="textWrapping"/>
            </w:r>
            <w:r>
              <w:rPr>
                <w:rFonts w:hint="eastAsia" w:ascii="宋体" w:hAnsi="宋体" w:cs="宋体"/>
                <w:kern w:val="0"/>
                <w:sz w:val="22"/>
              </w:rPr>
              <w:t>14、整机支持搭配具有NFC功能的手机、平板，通过接触整机设备上的NFC标签，即可实现手机、平板与大屏的连接并同步手机、平板的画面到设备上，无需其它操作设置，支持≥4台手机、平板同时连接并显示。</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五、嵌入式操作系统设计</w:t>
            </w:r>
            <w:r>
              <w:rPr>
                <w:rFonts w:hint="eastAsia" w:ascii="宋体" w:hAnsi="宋体" w:cs="宋体"/>
                <w:kern w:val="0"/>
                <w:sz w:val="22"/>
              </w:rPr>
              <w:br w:type="textWrapping"/>
            </w:r>
            <w:r>
              <w:rPr>
                <w:rFonts w:hint="eastAsia" w:ascii="宋体" w:hAnsi="宋体" w:cs="宋体"/>
                <w:kern w:val="0"/>
                <w:sz w:val="22"/>
              </w:rPr>
              <w:t>1、嵌入式系统硬件配置，内存≥2GB，存储空间≥8GB。</w:t>
            </w:r>
            <w:r>
              <w:rPr>
                <w:rFonts w:hint="eastAsia" w:ascii="宋体" w:hAnsi="宋体" w:cs="宋体"/>
                <w:kern w:val="0"/>
                <w:sz w:val="22"/>
              </w:rPr>
              <w:br w:type="textWrapping"/>
            </w:r>
            <w:r>
              <w:rPr>
                <w:rFonts w:hint="eastAsia" w:ascii="宋体" w:hAnsi="宋体" w:cs="宋体"/>
                <w:kern w:val="0"/>
                <w:sz w:val="22"/>
              </w:rPr>
              <w:t>2、无PC状态下，嵌入式操作系统下可实现电脑操作系统中常用的教学应用功能，如白板书写、WPS软件使用、网页浏览。</w:t>
            </w:r>
            <w:r>
              <w:rPr>
                <w:rFonts w:hint="eastAsia" w:ascii="宋体" w:hAnsi="宋体" w:cs="宋体"/>
                <w:kern w:val="0"/>
                <w:sz w:val="22"/>
              </w:rPr>
              <w:br w:type="textWrapping"/>
            </w:r>
            <w:r>
              <w:rPr>
                <w:rFonts w:hint="eastAsia" w:ascii="宋体" w:hAnsi="宋体" w:cs="宋体"/>
                <w:kern w:val="0"/>
                <w:sz w:val="22"/>
              </w:rPr>
              <w:t>3、嵌入式操作系统下，互动白板可支持不同背景颜色，同时提供学科专用背景，如：五线谱、信纸、田字格、英文格、篮球和足球场地平面图。</w:t>
            </w:r>
            <w:r>
              <w:rPr>
                <w:rFonts w:hint="eastAsia" w:ascii="宋体" w:hAnsi="宋体" w:cs="宋体"/>
                <w:kern w:val="0"/>
                <w:sz w:val="22"/>
              </w:rPr>
              <w:br w:type="textWrapping"/>
            </w:r>
            <w:r>
              <w:rPr>
                <w:rFonts w:hint="eastAsia" w:ascii="宋体" w:hAnsi="宋体" w:cs="宋体"/>
                <w:kern w:val="0"/>
                <w:sz w:val="22"/>
              </w:rPr>
              <w:t>4、在嵌入式操作系统下，能对TV多媒体USB所读取到的文件进行自动归类，可快速分类查找文档、板书、音视频，检索后可直接在界面中打开。</w:t>
            </w:r>
            <w:r>
              <w:rPr>
                <w:rFonts w:hint="eastAsia" w:ascii="宋体" w:hAnsi="宋体" w:cs="宋体"/>
                <w:kern w:val="0"/>
                <w:sz w:val="22"/>
              </w:rPr>
              <w:br w:type="textWrapping"/>
            </w:r>
            <w:r>
              <w:rPr>
                <w:rFonts w:hint="eastAsia" w:ascii="宋体" w:hAnsi="宋体" w:cs="宋体"/>
                <w:kern w:val="0"/>
                <w:sz w:val="22"/>
              </w:rPr>
              <w:t>★5、无PC状态下，嵌入式系统内置互动白板支持十笔书写及手掌擦除（手掌擦除面积根据手掌与屏幕的接触面大小自动调整），白板书写内容可导出PDF、IWB、SVG格式。支持8种以上平面图形工具，支持6种以上立体图形工具。</w:t>
            </w:r>
            <w:r>
              <w:rPr>
                <w:rFonts w:hint="eastAsia" w:ascii="宋体" w:hAnsi="宋体" w:cs="宋体"/>
                <w:kern w:val="0"/>
                <w:sz w:val="22"/>
              </w:rPr>
              <w:br w:type="textWrapping"/>
            </w:r>
            <w:r>
              <w:rPr>
                <w:rFonts w:hint="eastAsia" w:ascii="宋体" w:hAnsi="宋体" w:cs="宋体"/>
                <w:kern w:val="0"/>
                <w:sz w:val="22"/>
              </w:rPr>
              <w:t>6、无PC状态下，嵌入式系统内置互动白板支持全局漫游，并能在工具栏中对全局内容进行预览和移动。</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六、教学白板软件</w:t>
            </w:r>
            <w:r>
              <w:rPr>
                <w:rFonts w:hint="eastAsia" w:ascii="宋体" w:hAnsi="宋体" w:cs="宋体"/>
                <w:kern w:val="0"/>
                <w:sz w:val="22"/>
              </w:rPr>
              <w:br w:type="textWrapping"/>
            </w:r>
            <w:r>
              <w:rPr>
                <w:rFonts w:hint="eastAsia" w:ascii="宋体" w:hAnsi="宋体" w:cs="宋体"/>
                <w:kern w:val="0"/>
                <w:sz w:val="22"/>
              </w:rPr>
              <w:t>1、备授课一体化，具有备课模式及授课模式，且操作界面根据备课和授课使用场景不同而区别设计，符合用户使用需求。</w:t>
            </w:r>
            <w:r>
              <w:rPr>
                <w:rFonts w:hint="eastAsia" w:ascii="宋体" w:hAnsi="宋体" w:cs="宋体"/>
                <w:kern w:val="0"/>
                <w:sz w:val="22"/>
              </w:rPr>
              <w:br w:type="textWrapping"/>
            </w:r>
            <w:r>
              <w:rPr>
                <w:rFonts w:hint="eastAsia" w:ascii="宋体" w:hAnsi="宋体" w:cs="宋体"/>
                <w:kern w:val="0"/>
                <w:sz w:val="22"/>
              </w:rPr>
              <w:t>2、备课模式工具栏会自动根据老师账号中关联的学科不同而提供相对应的教学工具，例如语文学科会出现田字格工具，数学学科则出现几何工具，无需用户自行选择。</w:t>
            </w:r>
            <w:r>
              <w:rPr>
                <w:rFonts w:hint="eastAsia" w:ascii="宋体" w:hAnsi="宋体" w:cs="宋体"/>
                <w:kern w:val="0"/>
                <w:sz w:val="22"/>
              </w:rPr>
              <w:br w:type="textWrapping"/>
            </w:r>
            <w:r>
              <w:rPr>
                <w:rFonts w:hint="eastAsia" w:ascii="宋体" w:hAnsi="宋体" w:cs="宋体"/>
                <w:kern w:val="0"/>
                <w:sz w:val="22"/>
              </w:rPr>
              <w:t>3、支持课件云存储，无需使用 U 盘等存储设备，用户只需联网登录即可在交互式白板软件中获取云课件，并支持课件云分享，可将课件直接分享给其他用户，只需输入其他用户手持终端号即可。</w:t>
            </w:r>
            <w:r>
              <w:rPr>
                <w:rFonts w:hint="eastAsia" w:ascii="宋体" w:hAnsi="宋体" w:cs="宋体"/>
                <w:kern w:val="0"/>
                <w:sz w:val="22"/>
              </w:rPr>
              <w:br w:type="textWrapping"/>
            </w:r>
            <w:r>
              <w:rPr>
                <w:rFonts w:hint="eastAsia" w:ascii="宋体" w:hAnsi="宋体" w:cs="宋体"/>
                <w:kern w:val="0"/>
                <w:sz w:val="22"/>
              </w:rPr>
              <w:t>4、支持课件云同步，课件上的所有修改、操作均可实时同步至云端，无需单独保存上传，确保多终端调用同个课件均为最新版本。</w:t>
            </w:r>
            <w:r>
              <w:rPr>
                <w:rFonts w:hint="eastAsia" w:ascii="宋体" w:hAnsi="宋体" w:cs="宋体"/>
                <w:kern w:val="0"/>
                <w:sz w:val="22"/>
              </w:rPr>
              <w:br w:type="textWrapping"/>
            </w:r>
            <w:r>
              <w:rPr>
                <w:rFonts w:hint="eastAsia" w:ascii="宋体" w:hAnsi="宋体" w:cs="宋体"/>
                <w:kern w:val="0"/>
                <w:sz w:val="22"/>
              </w:rPr>
              <w:t>5、游戏教学功能：支持创建互动分类式游戏，可自定义不同类别及相对应的对象，实现将不同对象拖拽到对应的类别容器中可自动辨识分类，分类正确或错误均有相应提示。类别和对象的样式、数量均可以自定义设置。系统需提供不少于 20种游戏模板，直接选择并输入相应内容即可轻松生成互动分类式游戏，提升课堂趣味性。</w:t>
            </w:r>
            <w:r>
              <w:rPr>
                <w:rFonts w:hint="eastAsia" w:ascii="宋体" w:hAnsi="宋体" w:cs="宋体"/>
                <w:kern w:val="0"/>
                <w:sz w:val="22"/>
              </w:rPr>
              <w:br w:type="textWrapping"/>
            </w:r>
            <w:r>
              <w:rPr>
                <w:rFonts w:hint="eastAsia" w:ascii="宋体" w:hAnsi="宋体" w:cs="宋体"/>
                <w:kern w:val="0"/>
                <w:sz w:val="22"/>
              </w:rPr>
              <w:t>6、支持软件联网自动静默升级，无需用户手动更新。</w:t>
            </w:r>
            <w:r>
              <w:rPr>
                <w:rFonts w:hint="eastAsia" w:ascii="宋体" w:hAnsi="宋体" w:cs="宋体"/>
                <w:kern w:val="0"/>
                <w:sz w:val="22"/>
              </w:rPr>
              <w:br w:type="textWrapping"/>
            </w:r>
            <w:r>
              <w:rPr>
                <w:rFonts w:hint="eastAsia" w:ascii="宋体" w:hAnsi="宋体" w:cs="宋体"/>
                <w:kern w:val="0"/>
                <w:sz w:val="22"/>
              </w:rPr>
              <w:t>7、课件背景：提供不少于12 种以上背景模板供用户选择，持自定义背景。</w:t>
            </w:r>
            <w:r>
              <w:rPr>
                <w:rFonts w:hint="eastAsia" w:ascii="宋体" w:hAnsi="宋体" w:cs="宋体"/>
                <w:kern w:val="0"/>
                <w:sz w:val="22"/>
              </w:rPr>
              <w:br w:type="textWrapping"/>
            </w:r>
            <w:r>
              <w:rPr>
                <w:rFonts w:hint="eastAsia" w:ascii="宋体" w:hAnsi="宋体" w:cs="宋体"/>
                <w:kern w:val="0"/>
                <w:sz w:val="22"/>
              </w:rPr>
              <w:t>8、美术画板：支持美术画板工具，提供铅笔、毛笔、油画笔，可实现模拟调色盘功能，用户可自由选择不同颜色进行混合调色，搭配出任意色彩。</w:t>
            </w:r>
            <w:r>
              <w:rPr>
                <w:rFonts w:hint="eastAsia" w:ascii="宋体" w:hAnsi="宋体" w:cs="宋体"/>
                <w:kern w:val="0"/>
                <w:sz w:val="22"/>
              </w:rPr>
              <w:br w:type="textWrapping"/>
            </w:r>
            <w:r>
              <w:rPr>
                <w:rFonts w:hint="eastAsia" w:ascii="宋体" w:hAnsi="宋体" w:cs="宋体"/>
                <w:kern w:val="0"/>
                <w:sz w:val="22"/>
              </w:rPr>
              <w:t>9、快捷抠图：无需借助专业图片处理软件，即可在白板软件中对导入的图片进行快捷抠图、去背景，处理后的图片主体边缘没有明显毛边，可导出保存成 PNG 格式。</w:t>
            </w:r>
            <w:r>
              <w:rPr>
                <w:rFonts w:hint="eastAsia" w:ascii="宋体" w:hAnsi="宋体" w:cs="宋体"/>
                <w:kern w:val="0"/>
                <w:sz w:val="22"/>
              </w:rPr>
              <w:br w:type="textWrapping"/>
            </w:r>
            <w:r>
              <w:rPr>
                <w:rFonts w:hint="eastAsia" w:ascii="宋体" w:hAnsi="宋体" w:cs="宋体"/>
                <w:kern w:val="0"/>
                <w:sz w:val="22"/>
              </w:rPr>
              <w:t>10、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宋体" w:hAnsi="宋体" w:cs="宋体"/>
                <w:kern w:val="0"/>
                <w:sz w:val="22"/>
              </w:rPr>
              <w:br w:type="textWrapping"/>
            </w:r>
            <w:r>
              <w:rPr>
                <w:rFonts w:hint="eastAsia" w:ascii="宋体" w:hAnsi="宋体" w:cs="宋体"/>
                <w:kern w:val="0"/>
                <w:sz w:val="22"/>
              </w:rPr>
              <w:t>11、数学公式编辑器：支持复杂数学公式输入，提供不少于 20 个数学符号及和不少于15种公式模板，输出的公式内容支持不同颜色标记及二次编辑。</w:t>
            </w:r>
            <w:r>
              <w:rPr>
                <w:rFonts w:hint="eastAsia" w:ascii="宋体" w:hAnsi="宋体" w:cs="宋体"/>
                <w:kern w:val="0"/>
                <w:sz w:val="22"/>
              </w:rPr>
              <w:br w:type="textWrapping"/>
            </w:r>
            <w:r>
              <w:rPr>
                <w:rFonts w:hint="eastAsia" w:ascii="宋体" w:hAnsi="宋体" w:cs="宋体"/>
                <w:kern w:val="0"/>
                <w:sz w:val="22"/>
              </w:rPr>
              <w:t xml:space="preserve">12、3D星球模型：提供3D立体星球模型，包括地球、太阳、火星、水星等太阳系行星，支持360°自由旋转、缩放展示；并支持在立体地球模型清晰展现地球表面的六大板块、降水分布、气温分布、气候分布、人口分布、表层洋流、陆地自然带、海平面等压线等内容；且支持三维、二维切换展示，方便地理学科教学。 </w:t>
            </w:r>
            <w:r>
              <w:rPr>
                <w:rFonts w:hint="eastAsia" w:ascii="宋体" w:hAnsi="宋体" w:cs="宋体"/>
                <w:kern w:val="0"/>
                <w:sz w:val="22"/>
              </w:rPr>
              <w:br w:type="textWrapping"/>
            </w:r>
            <w:r>
              <w:rPr>
                <w:rFonts w:hint="eastAsia" w:ascii="宋体" w:hAnsi="宋体" w:cs="宋体"/>
                <w:kern w:val="0"/>
                <w:sz w:val="22"/>
              </w:rPr>
              <w:t>13、古诗词资源：</w:t>
            </w:r>
            <w:r>
              <w:rPr>
                <w:rFonts w:hint="eastAsia" w:ascii="宋体" w:hAnsi="宋体" w:cs="宋体"/>
                <w:kern w:val="0"/>
                <w:sz w:val="22"/>
              </w:rPr>
              <w:br w:type="textWrapping"/>
            </w:r>
            <w:r>
              <w:rPr>
                <w:rFonts w:hint="eastAsia" w:ascii="宋体" w:hAnsi="宋体" w:cs="宋体"/>
                <w:kern w:val="0"/>
                <w:sz w:val="22"/>
              </w:rPr>
              <w:t>（1）提供覆盖小学、初中、高中的古诗词资源，包含原文、翻译、背景介绍、作者介绍、朗诵音频等。</w:t>
            </w:r>
            <w:r>
              <w:rPr>
                <w:rFonts w:hint="eastAsia" w:ascii="宋体" w:hAnsi="宋体" w:cs="宋体"/>
                <w:kern w:val="0"/>
                <w:sz w:val="22"/>
              </w:rPr>
              <w:br w:type="textWrapping"/>
            </w:r>
            <w:r>
              <w:rPr>
                <w:rFonts w:hint="eastAsia" w:ascii="宋体" w:hAnsi="宋体" w:cs="宋体"/>
                <w:kern w:val="0"/>
                <w:sz w:val="22"/>
              </w:rPr>
              <w:t>（2）支持用户根据年级、朝代、诗人等进行分类查找，也可直接搜索诗词、古文名称或作者名查找。</w:t>
            </w:r>
            <w:r>
              <w:rPr>
                <w:rFonts w:hint="eastAsia" w:ascii="宋体" w:hAnsi="宋体" w:cs="宋体"/>
                <w:kern w:val="0"/>
                <w:sz w:val="22"/>
              </w:rPr>
              <w:br w:type="textWrapping"/>
            </w:r>
            <w:r>
              <w:rPr>
                <w:rFonts w:hint="eastAsia" w:ascii="宋体" w:hAnsi="宋体" w:cs="宋体"/>
                <w:kern w:val="0"/>
                <w:sz w:val="22"/>
              </w:rPr>
              <w:t>（3）提供不少于9种古诗词专用背景模板，用户可贴合古诗词意境选择合适背景进行教学。</w:t>
            </w:r>
            <w:r>
              <w:rPr>
                <w:rFonts w:hint="eastAsia" w:ascii="宋体" w:hAnsi="宋体" w:cs="宋体"/>
                <w:kern w:val="0"/>
                <w:sz w:val="22"/>
              </w:rPr>
              <w:br w:type="textWrapping"/>
            </w:r>
            <w:r>
              <w:rPr>
                <w:rFonts w:hint="eastAsia" w:ascii="宋体" w:hAnsi="宋体" w:cs="宋体"/>
                <w:kern w:val="0"/>
                <w:sz w:val="22"/>
              </w:rPr>
              <w:t>（4）古诗词、古文提供原文及翻译、背景介绍、作者介绍等，同时支持一键跳转打开网页，展示对应的背景或者介绍。</w:t>
            </w:r>
            <w:r>
              <w:rPr>
                <w:rFonts w:hint="eastAsia" w:ascii="宋体" w:hAnsi="宋体" w:cs="宋体"/>
                <w:kern w:val="0"/>
                <w:sz w:val="22"/>
              </w:rPr>
              <w:br w:type="textWrapping"/>
            </w:r>
            <w:r>
              <w:rPr>
                <w:rFonts w:hint="eastAsia" w:ascii="宋体" w:hAnsi="宋体" w:cs="宋体"/>
                <w:kern w:val="0"/>
                <w:sz w:val="22"/>
              </w:rPr>
              <w:t>（5）提供原文朗读功能，全部诗词、古文均配备专业朗读配音，且支持用户在备课时对朗读音频进行打点操作，上课时可播放提前选择好的片段。</w:t>
            </w:r>
            <w:r>
              <w:rPr>
                <w:rFonts w:hint="eastAsia" w:ascii="宋体" w:hAnsi="宋体" w:cs="宋体"/>
                <w:kern w:val="0"/>
                <w:sz w:val="22"/>
              </w:rPr>
              <w:br w:type="textWrapping"/>
            </w:r>
            <w:r>
              <w:rPr>
                <w:rFonts w:hint="eastAsia" w:ascii="宋体" w:hAnsi="宋体" w:cs="宋体"/>
                <w:kern w:val="0"/>
                <w:sz w:val="22"/>
              </w:rPr>
              <w:t>（6）支持用户备课时对原文进行注释、标重点等操作，方便用户讲解重点字词。</w:t>
            </w:r>
            <w:r>
              <w:rPr>
                <w:rFonts w:hint="eastAsia" w:ascii="宋体" w:hAnsi="宋体" w:cs="宋体"/>
                <w:kern w:val="0"/>
                <w:sz w:val="22"/>
              </w:rPr>
              <w:br w:type="textWrapping"/>
            </w:r>
            <w:r>
              <w:rPr>
                <w:rFonts w:hint="eastAsia" w:ascii="宋体" w:hAnsi="宋体" w:cs="宋体"/>
                <w:kern w:val="0"/>
                <w:sz w:val="22"/>
              </w:rPr>
              <w:t>14、立体几何：</w:t>
            </w:r>
            <w:r>
              <w:rPr>
                <w:rFonts w:hint="eastAsia" w:ascii="宋体" w:hAnsi="宋体" w:cs="宋体"/>
                <w:kern w:val="0"/>
                <w:sz w:val="22"/>
              </w:rPr>
              <w:br w:type="textWrapping"/>
            </w:r>
            <w:r>
              <w:rPr>
                <w:rFonts w:hint="eastAsia" w:ascii="宋体" w:hAnsi="宋体" w:cs="宋体"/>
                <w:kern w:val="0"/>
                <w:sz w:val="22"/>
              </w:rPr>
              <w:t>（1）支持绘制立方体、圆柱体等立体几何图形。</w:t>
            </w:r>
            <w:r>
              <w:rPr>
                <w:rFonts w:hint="eastAsia" w:ascii="宋体" w:hAnsi="宋体" w:cs="宋体"/>
                <w:kern w:val="0"/>
                <w:sz w:val="22"/>
              </w:rPr>
              <w:br w:type="textWrapping"/>
            </w:r>
            <w:r>
              <w:rPr>
                <w:rFonts w:hint="eastAsia" w:ascii="宋体" w:hAnsi="宋体" w:cs="宋体"/>
                <w:kern w:val="0"/>
                <w:sz w:val="22"/>
              </w:rPr>
              <w:t>（2）支持任意调节立体几何图形的尺寸，改变长宽高比例。</w:t>
            </w:r>
            <w:r>
              <w:rPr>
                <w:rFonts w:hint="eastAsia" w:ascii="宋体" w:hAnsi="宋体" w:cs="宋体"/>
                <w:kern w:val="0"/>
                <w:sz w:val="22"/>
              </w:rPr>
              <w:br w:type="textWrapping"/>
            </w:r>
            <w:r>
              <w:rPr>
                <w:rFonts w:hint="eastAsia" w:ascii="宋体" w:hAnsi="宋体" w:cs="宋体"/>
                <w:kern w:val="0"/>
                <w:sz w:val="22"/>
              </w:rPr>
              <w:t>（3）支持沿任意方向旋转立体几何。</w:t>
            </w:r>
            <w:r>
              <w:rPr>
                <w:rFonts w:hint="eastAsia" w:ascii="宋体" w:hAnsi="宋体" w:cs="宋体"/>
                <w:kern w:val="0"/>
                <w:sz w:val="22"/>
              </w:rPr>
              <w:br w:type="textWrapping"/>
            </w:r>
            <w:r>
              <w:rPr>
                <w:rFonts w:hint="eastAsia" w:ascii="宋体" w:hAnsi="宋体" w:cs="宋体"/>
                <w:kern w:val="0"/>
                <w:sz w:val="22"/>
              </w:rPr>
              <w:t>（4）支持为长方体6个面分别涂色，并且可通过任意旋转观察涂色与未涂色的表面</w:t>
            </w:r>
            <w:r>
              <w:rPr>
                <w:rFonts w:hint="eastAsia" w:ascii="宋体" w:hAnsi="宋体" w:cs="宋体"/>
                <w:kern w:val="0"/>
                <w:sz w:val="22"/>
              </w:rPr>
              <w:br w:type="textWrapping"/>
            </w:r>
            <w:r>
              <w:rPr>
                <w:rFonts w:hint="eastAsia" w:ascii="宋体" w:hAnsi="宋体" w:cs="宋体"/>
                <w:kern w:val="0"/>
                <w:sz w:val="22"/>
              </w:rPr>
              <w:t>15.数学画板功能：</w:t>
            </w:r>
            <w:r>
              <w:rPr>
                <w:rFonts w:hint="eastAsia" w:ascii="宋体" w:hAnsi="宋体" w:cs="宋体"/>
                <w:kern w:val="0"/>
                <w:sz w:val="22"/>
              </w:rPr>
              <w:br w:type="textWrapping"/>
            </w:r>
            <w:r>
              <w:rPr>
                <w:rFonts w:hint="eastAsia" w:ascii="宋体" w:hAnsi="宋体" w:cs="宋体"/>
                <w:kern w:val="0"/>
                <w:sz w:val="22"/>
              </w:rPr>
              <w:t>（1）支持在白板中插入在线画板，授课时可以一键打开,方便老师配合课件内容进行讲解。</w:t>
            </w:r>
            <w:r>
              <w:rPr>
                <w:rFonts w:hint="eastAsia" w:ascii="宋体" w:hAnsi="宋体" w:cs="宋体"/>
                <w:kern w:val="0"/>
                <w:sz w:val="22"/>
              </w:rPr>
              <w:br w:type="textWrapping"/>
            </w:r>
            <w:r>
              <w:rPr>
                <w:rFonts w:hint="eastAsia" w:ascii="宋体" w:hAnsi="宋体" w:cs="宋体"/>
                <w:kern w:val="0"/>
                <w:sz w:val="22"/>
              </w:rPr>
              <w:t>（2）提供超过500个数学画板资源，覆盖小学、初中、高中学段数学学科主要知识点，并按照知识点分类，便于老师查找。</w:t>
            </w:r>
            <w:r>
              <w:rPr>
                <w:rFonts w:hint="eastAsia" w:ascii="宋体" w:hAnsi="宋体" w:cs="宋体"/>
                <w:kern w:val="0"/>
                <w:sz w:val="22"/>
              </w:rPr>
              <w:br w:type="textWrapping"/>
            </w:r>
            <w:r>
              <w:rPr>
                <w:rFonts w:hint="eastAsia" w:ascii="宋体" w:hAnsi="宋体" w:cs="宋体"/>
                <w:kern w:val="0"/>
                <w:sz w:val="22"/>
              </w:rPr>
              <w:t>（3）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宋体" w:hAnsi="宋体" w:cs="宋体"/>
                <w:kern w:val="0"/>
                <w:sz w:val="22"/>
              </w:rPr>
              <w:br w:type="textWrapping"/>
            </w:r>
            <w:r>
              <w:rPr>
                <w:rFonts w:hint="eastAsia" w:ascii="宋体" w:hAnsi="宋体" w:cs="宋体"/>
                <w:kern w:val="0"/>
                <w:sz w:val="22"/>
              </w:rPr>
              <w:t>（4）支持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宋体" w:hAnsi="宋体" w:cs="宋体"/>
                <w:kern w:val="0"/>
                <w:sz w:val="22"/>
              </w:rPr>
              <w:br w:type="textWrapping"/>
            </w:r>
            <w:r>
              <w:rPr>
                <w:rFonts w:hint="eastAsia" w:ascii="宋体" w:hAnsi="宋体" w:cs="宋体"/>
                <w:kern w:val="0"/>
                <w:sz w:val="22"/>
              </w:rPr>
              <w:t>16、多学科题库：</w:t>
            </w:r>
            <w:r>
              <w:rPr>
                <w:rFonts w:hint="eastAsia" w:ascii="宋体" w:hAnsi="宋体" w:cs="宋体"/>
                <w:kern w:val="0"/>
                <w:sz w:val="22"/>
              </w:rPr>
              <w:br w:type="textWrapping"/>
            </w:r>
            <w:r>
              <w:rPr>
                <w:rFonts w:hint="eastAsia" w:ascii="宋体" w:hAnsi="宋体" w:cs="宋体"/>
                <w:kern w:val="0"/>
                <w:sz w:val="22"/>
              </w:rPr>
              <w:t>（1）提供不少于30万道试题给老师使用。</w:t>
            </w:r>
            <w:r>
              <w:rPr>
                <w:rFonts w:hint="eastAsia" w:ascii="宋体" w:hAnsi="宋体" w:cs="宋体"/>
                <w:kern w:val="0"/>
                <w:sz w:val="22"/>
              </w:rPr>
              <w:br w:type="textWrapping"/>
            </w:r>
            <w:r>
              <w:rPr>
                <w:rFonts w:hint="eastAsia" w:ascii="宋体" w:hAnsi="宋体" w:cs="宋体"/>
                <w:kern w:val="0"/>
                <w:sz w:val="22"/>
              </w:rPr>
              <w:t>（2）涵盖小学、初中、高中，其中中学部分包含语文、数学、英语、物理、化学、生物、政治、历史、地理等多个学科。</w:t>
            </w:r>
            <w:r>
              <w:rPr>
                <w:rFonts w:hint="eastAsia" w:ascii="宋体" w:hAnsi="宋体" w:cs="宋体"/>
                <w:kern w:val="0"/>
                <w:sz w:val="22"/>
              </w:rPr>
              <w:br w:type="textWrapping"/>
            </w:r>
            <w:r>
              <w:rPr>
                <w:rFonts w:hint="eastAsia" w:ascii="宋体" w:hAnsi="宋体" w:cs="宋体"/>
                <w:kern w:val="0"/>
                <w:sz w:val="22"/>
              </w:rPr>
              <w:t>（3）题库总知识点不少于9000个，除选择、填空、判断等基本题型外，还包含诗歌阅读、完形填空、阅读理解、辨析题、材料题、实验题、作图题等。</w:t>
            </w:r>
            <w:r>
              <w:rPr>
                <w:rFonts w:hint="eastAsia" w:ascii="宋体" w:hAnsi="宋体" w:cs="宋体"/>
                <w:kern w:val="0"/>
                <w:sz w:val="22"/>
              </w:rPr>
              <w:br w:type="textWrapping"/>
            </w:r>
            <w:r>
              <w:rPr>
                <w:rFonts w:hint="eastAsia" w:ascii="宋体" w:hAnsi="宋体" w:cs="宋体"/>
                <w:kern w:val="0"/>
                <w:sz w:val="22"/>
              </w:rPr>
              <w:t>（4）可批量选择多题并以交互式试题卡的形式插入到白板中。试题卡包含题干、答案和解析，并可一键实时展开、收起答案和解析。</w:t>
            </w:r>
            <w:r>
              <w:rPr>
                <w:rFonts w:hint="eastAsia" w:ascii="宋体" w:hAnsi="宋体" w:cs="宋体"/>
                <w:kern w:val="0"/>
                <w:sz w:val="22"/>
              </w:rPr>
              <w:br w:type="textWrapping"/>
            </w:r>
            <w:r>
              <w:rPr>
                <w:rFonts w:hint="eastAsia" w:ascii="宋体" w:hAnsi="宋体" w:cs="宋体"/>
                <w:kern w:val="0"/>
                <w:sz w:val="22"/>
              </w:rPr>
              <w:t>17、课堂小测：提供不少于40000道初中数学试题。</w:t>
            </w:r>
            <w:r>
              <w:rPr>
                <w:rFonts w:hint="eastAsia" w:ascii="宋体" w:hAnsi="宋体" w:cs="宋体"/>
                <w:kern w:val="0"/>
                <w:sz w:val="22"/>
              </w:rPr>
              <w:br w:type="textWrapping"/>
            </w:r>
            <w:r>
              <w:rPr>
                <w:rFonts w:hint="eastAsia" w:ascii="宋体" w:hAnsi="宋体" w:cs="宋体"/>
                <w:kern w:val="0"/>
                <w:sz w:val="22"/>
              </w:rPr>
              <w:t>（1）老师可根据所使用教材版本自由选择人教新版、苏科新版、北师大版、北京课改新版等不同版本试题。</w:t>
            </w:r>
            <w:r>
              <w:rPr>
                <w:rFonts w:hint="eastAsia" w:ascii="宋体" w:hAnsi="宋体" w:cs="宋体"/>
                <w:kern w:val="0"/>
                <w:sz w:val="22"/>
              </w:rPr>
              <w:br w:type="textWrapping"/>
            </w:r>
            <w:r>
              <w:rPr>
                <w:rFonts w:hint="eastAsia" w:ascii="宋体" w:hAnsi="宋体" w:cs="宋体"/>
                <w:kern w:val="0"/>
                <w:sz w:val="22"/>
              </w:rPr>
              <w:t>（2）试题按照教学进度分类，精确到每一章每一节，方便老师查找。</w:t>
            </w:r>
            <w:r>
              <w:rPr>
                <w:rFonts w:hint="eastAsia" w:ascii="宋体" w:hAnsi="宋体" w:cs="宋体"/>
                <w:kern w:val="0"/>
                <w:sz w:val="22"/>
              </w:rPr>
              <w:br w:type="textWrapping"/>
            </w:r>
            <w:r>
              <w:rPr>
                <w:rFonts w:hint="eastAsia" w:ascii="宋体" w:hAnsi="宋体" w:cs="宋体"/>
                <w:kern w:val="0"/>
                <w:sz w:val="22"/>
              </w:rPr>
              <w:t>（3）试题按照使用场景分类，分为课堂小测、课时练习、课后基础、课后提高等，方便老师在不同场景下选择。</w:t>
            </w:r>
            <w:r>
              <w:rPr>
                <w:rFonts w:hint="eastAsia" w:ascii="宋体" w:hAnsi="宋体" w:cs="宋体"/>
                <w:kern w:val="0"/>
                <w:sz w:val="22"/>
              </w:rPr>
              <w:br w:type="textWrapping"/>
            </w:r>
            <w:r>
              <w:rPr>
                <w:rFonts w:hint="eastAsia" w:ascii="宋体" w:hAnsi="宋体" w:cs="宋体"/>
                <w:kern w:val="0"/>
                <w:sz w:val="22"/>
              </w:rPr>
              <w:t>（4）题目已根据老师使用需要，组成套题，老师可一键批量选择；同时也支持老师自由组题，形成个性化套题。</w:t>
            </w:r>
            <w:r>
              <w:rPr>
                <w:rFonts w:hint="eastAsia" w:ascii="宋体" w:hAnsi="宋体" w:cs="宋体"/>
                <w:kern w:val="0"/>
                <w:sz w:val="22"/>
              </w:rPr>
              <w:br w:type="textWrapping"/>
            </w:r>
            <w:r>
              <w:rPr>
                <w:rFonts w:hint="eastAsia" w:ascii="宋体" w:hAnsi="宋体" w:cs="宋体"/>
                <w:kern w:val="0"/>
                <w:sz w:val="22"/>
              </w:rPr>
              <w:t>18、表格工具：</w:t>
            </w:r>
            <w:r>
              <w:rPr>
                <w:rFonts w:hint="eastAsia" w:ascii="宋体" w:hAnsi="宋体" w:cs="宋体"/>
                <w:kern w:val="0"/>
                <w:sz w:val="22"/>
              </w:rPr>
              <w:br w:type="textWrapping"/>
            </w:r>
            <w:r>
              <w:rPr>
                <w:rFonts w:hint="eastAsia" w:ascii="宋体" w:hAnsi="宋体" w:cs="宋体"/>
                <w:kern w:val="0"/>
                <w:sz w:val="22"/>
              </w:rPr>
              <w:t>（1）支持老师插入表格，并提供5种以上表格样式供老师选择。</w:t>
            </w:r>
            <w:r>
              <w:rPr>
                <w:rFonts w:hint="eastAsia" w:ascii="宋体" w:hAnsi="宋体" w:cs="宋体"/>
                <w:kern w:val="0"/>
                <w:sz w:val="22"/>
              </w:rPr>
              <w:br w:type="textWrapping"/>
            </w:r>
            <w:r>
              <w:rPr>
                <w:rFonts w:hint="eastAsia" w:ascii="宋体" w:hAnsi="宋体" w:cs="宋体"/>
                <w:kern w:val="0"/>
                <w:sz w:val="22"/>
              </w:rPr>
              <w:t>（2）支持表格自适应，可一键将表格的行、列调整到最合适的大小。</w:t>
            </w:r>
            <w:r>
              <w:rPr>
                <w:rFonts w:hint="eastAsia" w:ascii="宋体" w:hAnsi="宋体" w:cs="宋体"/>
                <w:kern w:val="0"/>
                <w:sz w:val="22"/>
              </w:rPr>
              <w:br w:type="textWrapping"/>
            </w:r>
            <w:r>
              <w:rPr>
                <w:rFonts w:hint="eastAsia" w:ascii="宋体" w:hAnsi="宋体" w:cs="宋体"/>
                <w:kern w:val="0"/>
                <w:sz w:val="22"/>
              </w:rPr>
              <w:t>（3）支持表格遮罩功能，可对表格中任意一格添加遮罩，在授课模式下通过点击可消除遮罩，方便老师设置互动活动。</w:t>
            </w:r>
            <w:r>
              <w:rPr>
                <w:rFonts w:hint="eastAsia" w:ascii="宋体" w:hAnsi="宋体" w:cs="宋体"/>
                <w:kern w:val="0"/>
                <w:sz w:val="22"/>
              </w:rPr>
              <w:br w:type="textWrapping"/>
            </w:r>
            <w:r>
              <w:rPr>
                <w:rFonts w:hint="eastAsia" w:ascii="宋体" w:hAnsi="宋体" w:cs="宋体"/>
                <w:kern w:val="0"/>
                <w:sz w:val="22"/>
              </w:rPr>
              <w:t>（4）在授课模式下，支持表格克隆功能，可克隆出多个相同表格，方便老师请多位同学进行答题互动。</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七、学生行为评价软件</w:t>
            </w:r>
            <w:r>
              <w:rPr>
                <w:rFonts w:hint="eastAsia" w:ascii="宋体" w:hAnsi="宋体" w:cs="宋体"/>
                <w:kern w:val="0"/>
                <w:sz w:val="22"/>
              </w:rPr>
              <w:br w:type="textWrapping"/>
            </w:r>
            <w:r>
              <w:rPr>
                <w:rFonts w:hint="eastAsia" w:ascii="宋体" w:hAnsi="宋体" w:cs="宋体"/>
                <w:kern w:val="0"/>
                <w:sz w:val="22"/>
              </w:rPr>
              <w:t>1、学生行为评价系统，集成三大功能模块：基础信息管理、课堂表现评价、家校互联互通，功能及操作均统一在同一软件平台同一账号体系实现。</w:t>
            </w:r>
            <w:r>
              <w:rPr>
                <w:rFonts w:hint="eastAsia" w:ascii="宋体" w:hAnsi="宋体" w:cs="宋体"/>
                <w:kern w:val="0"/>
                <w:sz w:val="22"/>
              </w:rPr>
              <w:br w:type="textWrapping"/>
            </w:r>
            <w:r>
              <w:rPr>
                <w:rFonts w:hint="eastAsia" w:ascii="宋体" w:hAnsi="宋体" w:cs="宋体"/>
                <w:kern w:val="0"/>
                <w:sz w:val="22"/>
              </w:rPr>
              <w:t>2、支持 PC客户端、PC 网页端、安卓手持终端端、苹果手持终端端登陆使用，且各个端的数据是互通的，方便用户随时随地对学生进行管理与评价。</w:t>
            </w:r>
            <w:r>
              <w:rPr>
                <w:rFonts w:hint="eastAsia" w:ascii="宋体" w:hAnsi="宋体" w:cs="宋体"/>
                <w:kern w:val="0"/>
                <w:sz w:val="22"/>
              </w:rPr>
              <w:br w:type="textWrapping"/>
            </w:r>
            <w:r>
              <w:rPr>
                <w:rFonts w:hint="eastAsia" w:ascii="宋体" w:hAnsi="宋体" w:cs="宋体"/>
                <w:kern w:val="0"/>
                <w:sz w:val="22"/>
              </w:rPr>
              <w:t>3、支持多个用户管理同一个班级，从而满足一个班级有班主任和多个任课用户的实际情况。</w:t>
            </w:r>
            <w:r>
              <w:rPr>
                <w:rFonts w:hint="eastAsia" w:ascii="宋体" w:hAnsi="宋体" w:cs="宋体"/>
                <w:kern w:val="0"/>
                <w:sz w:val="22"/>
              </w:rPr>
              <w:br w:type="textWrapping"/>
            </w:r>
            <w:r>
              <w:rPr>
                <w:rFonts w:hint="eastAsia" w:ascii="宋体" w:hAnsi="宋体" w:cs="宋体"/>
                <w:kern w:val="0"/>
                <w:sz w:val="22"/>
              </w:rPr>
              <w:t>4、支持邀请家长入班，使家长可查看到自己的孩子在学校的各种表现。</w:t>
            </w:r>
            <w:r>
              <w:rPr>
                <w:rFonts w:hint="eastAsia" w:ascii="宋体" w:hAnsi="宋体" w:cs="宋体"/>
                <w:kern w:val="0"/>
                <w:sz w:val="22"/>
              </w:rPr>
              <w:br w:type="textWrapping"/>
            </w:r>
            <w:r>
              <w:rPr>
                <w:rFonts w:hint="eastAsia" w:ascii="宋体" w:hAnsi="宋体" w:cs="宋体"/>
                <w:kern w:val="0"/>
                <w:sz w:val="22"/>
              </w:rPr>
              <w:t>5、用户可通过移动端、PC端及网页端对学生、小组及班级进行行为评价，通过卡通游戏化的方式对学生进行表扬或提醒。</w:t>
            </w:r>
            <w:r>
              <w:rPr>
                <w:rFonts w:hint="eastAsia" w:ascii="宋体" w:hAnsi="宋体" w:cs="宋体"/>
                <w:kern w:val="0"/>
                <w:sz w:val="22"/>
              </w:rPr>
              <w:br w:type="textWrapping"/>
            </w:r>
            <w:r>
              <w:rPr>
                <w:rFonts w:hint="eastAsia" w:ascii="宋体" w:hAnsi="宋体" w:cs="宋体"/>
                <w:kern w:val="0"/>
                <w:sz w:val="22"/>
              </w:rPr>
              <w:t>6、支持查看课堂表现评价统计报表，按饼状图形式展现学生课堂表现情况，支持查看班级或学生个人的评价情况，并可具体查看到每一条评价的原因、对象、分值，便于用户做统计分析。</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八、大小屏互动软件</w:t>
            </w:r>
            <w:r>
              <w:rPr>
                <w:rFonts w:hint="eastAsia" w:ascii="宋体" w:hAnsi="宋体" w:cs="宋体"/>
                <w:kern w:val="0"/>
                <w:sz w:val="22"/>
              </w:rPr>
              <w:br w:type="textWrapping"/>
            </w:r>
            <w:r>
              <w:rPr>
                <w:rFonts w:hint="eastAsia" w:ascii="宋体" w:hAnsi="宋体" w:cs="宋体"/>
                <w:kern w:val="0"/>
                <w:sz w:val="22"/>
              </w:rPr>
              <w:t>1、如手机、PAD等移动终端，可通过本软件与交互智能平板实现无线连接，可对连接的设备进行密码的权限管理，支持二维码扫码自连接服务器功能。</w:t>
            </w:r>
            <w:r>
              <w:rPr>
                <w:rFonts w:hint="eastAsia" w:ascii="宋体" w:hAnsi="宋体" w:cs="宋体"/>
                <w:kern w:val="0"/>
                <w:sz w:val="22"/>
              </w:rPr>
              <w:br w:type="textWrapping"/>
            </w:r>
            <w:r>
              <w:rPr>
                <w:rFonts w:hint="eastAsia" w:ascii="宋体" w:hAnsi="宋体" w:cs="宋体"/>
                <w:kern w:val="0"/>
                <w:sz w:val="22"/>
              </w:rPr>
              <w:t>2、支持多图对比展示功能，可将多位学生的作业、试卷或实验结果进行拍摄，并上传至智能平板的互动教学软件里进行对比展示，支持点评功能，可给每位同学的作品以不同的奖章。</w:t>
            </w:r>
            <w:r>
              <w:rPr>
                <w:rFonts w:hint="eastAsia" w:ascii="宋体" w:hAnsi="宋体" w:cs="宋体"/>
                <w:kern w:val="0"/>
                <w:sz w:val="22"/>
              </w:rPr>
              <w:br w:type="textWrapping"/>
            </w:r>
            <w:r>
              <w:rPr>
                <w:rFonts w:hint="eastAsia" w:ascii="宋体" w:hAnsi="宋体" w:cs="宋体"/>
                <w:kern w:val="0"/>
                <w:sz w:val="22"/>
              </w:rP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r>
              <w:rPr>
                <w:rFonts w:hint="eastAsia" w:ascii="宋体" w:hAnsi="宋体" w:cs="宋体"/>
                <w:kern w:val="0"/>
                <w:sz w:val="22"/>
              </w:rPr>
              <w:br w:type="textWrapping"/>
            </w:r>
            <w:r>
              <w:rPr>
                <w:rFonts w:hint="eastAsia" w:ascii="宋体" w:hAnsi="宋体" w:cs="宋体"/>
                <w:kern w:val="0"/>
                <w:sz w:val="22"/>
              </w:rP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九、其它要求：</w:t>
            </w:r>
            <w:r>
              <w:rPr>
                <w:rFonts w:hint="eastAsia" w:ascii="宋体" w:hAnsi="宋体" w:cs="宋体"/>
                <w:kern w:val="0"/>
                <w:sz w:val="22"/>
              </w:rPr>
              <w:br w:type="textWrapping"/>
            </w:r>
            <w:r>
              <w:rPr>
                <w:rFonts w:hint="eastAsia" w:ascii="宋体" w:hAnsi="宋体" w:cs="宋体"/>
                <w:kern w:val="0"/>
                <w:sz w:val="22"/>
              </w:rPr>
              <w:t>1、全国24小时免费400/800等电话保修、二维码扫描保修、区域化驻地技术工程师专线保修。</w:t>
            </w:r>
            <w:r>
              <w:rPr>
                <w:rFonts w:hint="eastAsia" w:ascii="宋体" w:hAnsi="宋体" w:cs="宋体"/>
                <w:kern w:val="0"/>
                <w:sz w:val="22"/>
              </w:rPr>
              <w:br w:type="textWrapping"/>
            </w:r>
            <w:r>
              <w:rPr>
                <w:rFonts w:hint="eastAsia" w:ascii="宋体" w:hAnsi="宋体" w:cs="宋体"/>
                <w:kern w:val="0"/>
                <w:sz w:val="22"/>
              </w:rPr>
              <w:t>2、开机LOGO定制，开机时显示“隆安县教育局2024年配备”。</w:t>
            </w:r>
          </w:p>
        </w:tc>
        <w:tc>
          <w:tcPr>
            <w:tcW w:w="462" w:type="dxa"/>
            <w:shd w:val="clear" w:color="auto" w:fill="auto"/>
            <w:noWrap/>
            <w:vAlign w:val="center"/>
          </w:tcPr>
          <w:p w14:paraId="734CB5B9">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60E470AB">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36C330B4">
            <w:pPr>
              <w:widowControl/>
              <w:jc w:val="left"/>
              <w:rPr>
                <w:rFonts w:ascii="宋体" w:hAnsi="宋体" w:cs="宋体"/>
                <w:kern w:val="0"/>
                <w:sz w:val="22"/>
              </w:rPr>
            </w:pPr>
            <w:r>
              <w:rPr>
                <w:rFonts w:hint="eastAsia" w:ascii="宋体" w:hAnsi="宋体" w:cs="宋体"/>
                <w:kern w:val="0"/>
                <w:sz w:val="22"/>
              </w:rPr>
              <w:t>24000</w:t>
            </w:r>
          </w:p>
        </w:tc>
        <w:tc>
          <w:tcPr>
            <w:tcW w:w="1489" w:type="dxa"/>
            <w:shd w:val="clear" w:color="auto" w:fill="auto"/>
            <w:noWrap/>
            <w:vAlign w:val="center"/>
          </w:tcPr>
          <w:p w14:paraId="79304866">
            <w:pPr>
              <w:widowControl/>
              <w:jc w:val="left"/>
              <w:rPr>
                <w:rFonts w:ascii="宋体" w:hAnsi="宋体" w:cs="宋体"/>
                <w:kern w:val="0"/>
                <w:sz w:val="22"/>
              </w:rPr>
            </w:pPr>
            <w:r>
              <w:rPr>
                <w:rFonts w:hint="eastAsia" w:ascii="宋体" w:hAnsi="宋体" w:cs="宋体"/>
                <w:kern w:val="0"/>
                <w:sz w:val="22"/>
              </w:rPr>
              <w:t>24000</w:t>
            </w:r>
          </w:p>
        </w:tc>
      </w:tr>
      <w:tr w14:paraId="7151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75B6FBB">
            <w:pPr>
              <w:widowControl/>
              <w:jc w:val="center"/>
              <w:rPr>
                <w:rFonts w:ascii="宋体" w:hAnsi="宋体" w:cs="宋体"/>
                <w:kern w:val="0"/>
                <w:sz w:val="22"/>
              </w:rPr>
            </w:pPr>
            <w:r>
              <w:rPr>
                <w:rFonts w:hint="eastAsia" w:ascii="宋体" w:hAnsi="宋体" w:cs="宋体"/>
                <w:kern w:val="0"/>
                <w:sz w:val="22"/>
              </w:rPr>
              <w:t>7</w:t>
            </w:r>
          </w:p>
        </w:tc>
        <w:tc>
          <w:tcPr>
            <w:tcW w:w="1072" w:type="dxa"/>
            <w:shd w:val="clear" w:color="auto" w:fill="auto"/>
            <w:vAlign w:val="center"/>
          </w:tcPr>
          <w:p w14:paraId="79DA219C">
            <w:pPr>
              <w:widowControl/>
              <w:jc w:val="left"/>
              <w:rPr>
                <w:rFonts w:ascii="宋体" w:hAnsi="宋体" w:cs="宋体"/>
                <w:kern w:val="0"/>
                <w:sz w:val="22"/>
              </w:rPr>
            </w:pPr>
            <w:r>
              <w:rPr>
                <w:rFonts w:hint="eastAsia" w:ascii="宋体" w:hAnsi="宋体" w:cs="宋体"/>
                <w:kern w:val="0"/>
                <w:sz w:val="22"/>
              </w:rPr>
              <w:t>视频展台</w:t>
            </w:r>
          </w:p>
        </w:tc>
        <w:tc>
          <w:tcPr>
            <w:tcW w:w="4897" w:type="dxa"/>
            <w:shd w:val="clear" w:color="auto" w:fill="auto"/>
            <w:vAlign w:val="center"/>
          </w:tcPr>
          <w:p w14:paraId="40486538">
            <w:pPr>
              <w:widowControl/>
              <w:jc w:val="left"/>
              <w:rPr>
                <w:rFonts w:ascii="宋体" w:hAnsi="宋体" w:cs="宋体"/>
                <w:kern w:val="0"/>
                <w:sz w:val="22"/>
              </w:rPr>
            </w:pPr>
            <w:r>
              <w:rPr>
                <w:rFonts w:hint="eastAsia" w:ascii="宋体" w:hAnsi="宋体" w:cs="宋体"/>
                <w:kern w:val="0"/>
                <w:sz w:val="22"/>
              </w:rPr>
              <w:t>一、展台硬件</w:t>
            </w:r>
            <w:r>
              <w:rPr>
                <w:rFonts w:hint="eastAsia" w:ascii="宋体" w:hAnsi="宋体" w:cs="宋体"/>
                <w:kern w:val="0"/>
                <w:sz w:val="22"/>
              </w:rPr>
              <w:br w:type="textWrapping"/>
            </w:r>
            <w:r>
              <w:rPr>
                <w:rFonts w:hint="eastAsia" w:ascii="宋体" w:hAnsi="宋体" w:cs="宋体"/>
                <w:kern w:val="0"/>
                <w:sz w:val="22"/>
              </w:rPr>
              <w:t>1、壁挂式安装，防盗防破坏。</w:t>
            </w:r>
            <w:r>
              <w:rPr>
                <w:rFonts w:hint="eastAsia" w:ascii="宋体" w:hAnsi="宋体" w:cs="宋体"/>
                <w:kern w:val="0"/>
                <w:sz w:val="22"/>
              </w:rPr>
              <w:br w:type="textWrapping"/>
            </w:r>
            <w:r>
              <w:rPr>
                <w:rFonts w:hint="eastAsia" w:ascii="宋体" w:hAnsi="宋体" w:cs="宋体"/>
                <w:kern w:val="0"/>
                <w:sz w:val="22"/>
              </w:rPr>
              <w:t>2、无锐角无利边设计，有效防止师生碰伤、划伤。</w:t>
            </w:r>
            <w:r>
              <w:rPr>
                <w:rFonts w:hint="eastAsia" w:ascii="宋体" w:hAnsi="宋体" w:cs="宋体"/>
                <w:kern w:val="0"/>
                <w:sz w:val="22"/>
              </w:rPr>
              <w:br w:type="textWrapping"/>
            </w:r>
            <w:r>
              <w:rPr>
                <w:rFonts w:hint="eastAsia" w:ascii="宋体" w:hAnsi="宋体" w:cs="宋体"/>
                <w:kern w:val="0"/>
                <w:sz w:val="22"/>
              </w:rPr>
              <w:t>3、采用三折叠开合式托板，展开后托板尺寸≥A4面积，收起时小巧不占空间，高效利用挂墙面积。</w:t>
            </w:r>
            <w:r>
              <w:rPr>
                <w:rFonts w:hint="eastAsia" w:ascii="宋体" w:hAnsi="宋体" w:cs="宋体"/>
                <w:kern w:val="0"/>
                <w:sz w:val="22"/>
              </w:rPr>
              <w:br w:type="textWrapping"/>
            </w:r>
            <w:r>
              <w:rPr>
                <w:rFonts w:hint="eastAsia" w:ascii="宋体" w:hAnsi="宋体" w:cs="宋体"/>
                <w:kern w:val="0"/>
                <w:sz w:val="22"/>
              </w:rPr>
              <w:t>4、采用USB高速接口，单根USB线实现供电、高清数据传输需求。</w:t>
            </w:r>
            <w:r>
              <w:rPr>
                <w:rFonts w:hint="eastAsia" w:ascii="宋体" w:hAnsi="宋体" w:cs="宋体"/>
                <w:kern w:val="0"/>
                <w:sz w:val="22"/>
              </w:rPr>
              <w:br w:type="textWrapping"/>
            </w:r>
            <w:r>
              <w:rPr>
                <w:rFonts w:hint="eastAsia" w:ascii="宋体" w:hAnsi="宋体" w:cs="宋体"/>
                <w:kern w:val="0"/>
                <w:sz w:val="22"/>
              </w:rPr>
              <w:t>▲5、采用≥1200W像素自动对焦摄像头，可拍摄A4画幅。</w:t>
            </w:r>
            <w:r>
              <w:rPr>
                <w:rFonts w:hint="eastAsia" w:ascii="宋体" w:hAnsi="宋体" w:cs="宋体"/>
                <w:kern w:val="0"/>
                <w:sz w:val="22"/>
              </w:rPr>
              <w:br w:type="textWrapping"/>
            </w:r>
            <w:r>
              <w:rPr>
                <w:rFonts w:hint="eastAsia" w:ascii="宋体" w:hAnsi="宋体" w:cs="宋体"/>
                <w:kern w:val="0"/>
                <w:sz w:val="22"/>
              </w:rPr>
              <w:t>6、支持通过双击屏幕画面任意位置，即时改变对焦位置，可对立体物体的局部进行精确对焦。</w:t>
            </w:r>
            <w:r>
              <w:rPr>
                <w:rFonts w:hint="eastAsia" w:ascii="宋体" w:hAnsi="宋体" w:cs="宋体"/>
                <w:kern w:val="0"/>
                <w:sz w:val="22"/>
              </w:rPr>
              <w:br w:type="textWrapping"/>
            </w:r>
            <w:r>
              <w:rPr>
                <w:rFonts w:hint="eastAsia" w:ascii="宋体" w:hAnsi="宋体" w:cs="宋体"/>
                <w:kern w:val="0"/>
                <w:sz w:val="22"/>
              </w:rPr>
              <w:t>▲7、展台按键采用电容式触摸按键，可实现一键启动展台画面、画面放大、画面缩小、画面旋转、拍照截图等功能，同时也支持在展台软件上进行同样的操作。</w:t>
            </w:r>
            <w:r>
              <w:rPr>
                <w:rFonts w:hint="eastAsia" w:ascii="宋体" w:hAnsi="宋体" w:cs="宋体"/>
                <w:kern w:val="0"/>
                <w:sz w:val="22"/>
              </w:rPr>
              <w:br w:type="textWrapping"/>
            </w:r>
            <w:r>
              <w:rPr>
                <w:rFonts w:hint="eastAsia" w:ascii="宋体" w:hAnsi="宋体" w:cs="宋体"/>
                <w:kern w:val="0"/>
                <w:sz w:val="22"/>
              </w:rPr>
              <w:t>二、展台软件</w:t>
            </w:r>
            <w:r>
              <w:rPr>
                <w:rFonts w:hint="eastAsia" w:ascii="宋体" w:hAnsi="宋体" w:cs="宋体"/>
                <w:kern w:val="0"/>
                <w:sz w:val="22"/>
              </w:rPr>
              <w:br w:type="textWrapping"/>
            </w:r>
            <w:r>
              <w:rPr>
                <w:rFonts w:hint="eastAsia" w:ascii="宋体" w:hAnsi="宋体" w:cs="宋体"/>
                <w:kern w:val="0"/>
                <w:sz w:val="22"/>
              </w:rPr>
              <w:t>▲1、支持对展台实时画面进行放大、缩小、旋转、自适应、冻结画面等操作。</w:t>
            </w:r>
            <w:r>
              <w:rPr>
                <w:rFonts w:hint="eastAsia" w:ascii="宋体" w:hAnsi="宋体" w:cs="宋体"/>
                <w:kern w:val="0"/>
                <w:sz w:val="22"/>
              </w:rPr>
              <w:br w:type="textWrapping"/>
            </w:r>
            <w:r>
              <w:rPr>
                <w:rFonts w:hint="eastAsia" w:ascii="宋体" w:hAnsi="宋体" w:cs="宋体"/>
                <w:kern w:val="0"/>
                <w:sz w:val="22"/>
              </w:rPr>
              <w:t>2、支持展台画面实时批注，预设多种笔划粗细及颜色供选择，且支持对展台画面联同批注内容进行同步缩放、移动。</w:t>
            </w:r>
            <w:r>
              <w:rPr>
                <w:rFonts w:hint="eastAsia" w:ascii="宋体" w:hAnsi="宋体" w:cs="宋体"/>
                <w:kern w:val="0"/>
                <w:sz w:val="22"/>
              </w:rPr>
              <w:br w:type="textWrapping"/>
            </w:r>
            <w:r>
              <w:rPr>
                <w:rFonts w:hint="eastAsia" w:ascii="宋体" w:hAnsi="宋体" w:cs="宋体"/>
                <w:kern w:val="0"/>
                <w:sz w:val="22"/>
              </w:rPr>
              <w:t>3、支持展台画面拍照截图并进行多图预览，可对任一图片进行全屏显示。</w:t>
            </w:r>
            <w:r>
              <w:rPr>
                <w:rFonts w:hint="eastAsia" w:ascii="宋体" w:hAnsi="宋体" w:cs="宋体"/>
                <w:kern w:val="0"/>
                <w:sz w:val="22"/>
              </w:rPr>
              <w:br w:type="textWrapping"/>
            </w:r>
            <w:r>
              <w:rPr>
                <w:rFonts w:hint="eastAsia" w:ascii="宋体" w:hAnsi="宋体" w:cs="宋体"/>
                <w:kern w:val="0"/>
                <w:sz w:val="22"/>
              </w:rPr>
              <w:t>4、老师可在一体机或电脑上选择延时拍照功能，支持5秒或10秒延时模式，预留充足时间以便调整拍摄内容。</w:t>
            </w:r>
            <w:r>
              <w:rPr>
                <w:rFonts w:hint="eastAsia" w:ascii="宋体" w:hAnsi="宋体" w:cs="宋体"/>
                <w:kern w:val="0"/>
                <w:sz w:val="22"/>
              </w:rPr>
              <w:br w:type="textWrapping"/>
            </w:r>
            <w:r>
              <w:rPr>
                <w:rFonts w:hint="eastAsia" w:ascii="宋体" w:hAnsi="宋体" w:cs="宋体"/>
                <w:kern w:val="0"/>
                <w:sz w:val="22"/>
              </w:rPr>
              <w:t>5、可选择图像、文本或动态等多种情景模式，适应不同展示内容。</w:t>
            </w:r>
            <w:r>
              <w:rPr>
                <w:rFonts w:hint="eastAsia" w:ascii="宋体" w:hAnsi="宋体" w:cs="宋体"/>
                <w:kern w:val="0"/>
                <w:sz w:val="22"/>
              </w:rPr>
              <w:br w:type="textWrapping"/>
            </w:r>
            <w:r>
              <w:rPr>
                <w:rFonts w:hint="eastAsia" w:ascii="宋体" w:hAnsi="宋体" w:cs="宋体"/>
                <w:kern w:val="0"/>
                <w:sz w:val="22"/>
              </w:rPr>
              <w:t>6、支持故障自动检测，在软件无法出现展台拍摄画面时，自动出现检测链接，帮助用户检测“无画面”的原因，并给出引导性解决方案。可判断硬件连接、显卡驱动、摄像头占用、软件版本等问题</w:t>
            </w:r>
            <w:r>
              <w:rPr>
                <w:rFonts w:hint="eastAsia" w:ascii="宋体" w:hAnsi="宋体" w:cs="宋体"/>
                <w:kern w:val="0"/>
                <w:sz w:val="22"/>
              </w:rPr>
              <w:br w:type="textWrapping"/>
            </w:r>
            <w:r>
              <w:rPr>
                <w:rFonts w:hint="eastAsia" w:ascii="宋体" w:hAnsi="宋体" w:cs="宋体"/>
                <w:kern w:val="0"/>
                <w:sz w:val="22"/>
              </w:rPr>
              <w:t>7、支持二维码扫码功能：打开扫一扫功能后，将书本上的二维码放入扫描框内即可自动扫描，并进入系统浏览器获取二维码的链接内容，帮助老师快速获取电子教学资源。</w:t>
            </w:r>
          </w:p>
        </w:tc>
        <w:tc>
          <w:tcPr>
            <w:tcW w:w="462" w:type="dxa"/>
            <w:shd w:val="clear" w:color="auto" w:fill="auto"/>
            <w:noWrap/>
            <w:vAlign w:val="center"/>
          </w:tcPr>
          <w:p w14:paraId="345FDF73">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5D0C0AE7">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320B2EBD">
            <w:pPr>
              <w:widowControl/>
              <w:jc w:val="left"/>
              <w:rPr>
                <w:rFonts w:ascii="宋体" w:hAnsi="宋体" w:cs="宋体"/>
                <w:kern w:val="0"/>
                <w:sz w:val="22"/>
              </w:rPr>
            </w:pPr>
            <w:r>
              <w:rPr>
                <w:rFonts w:hint="eastAsia" w:ascii="宋体" w:hAnsi="宋体" w:cs="宋体"/>
                <w:kern w:val="0"/>
                <w:sz w:val="22"/>
              </w:rPr>
              <w:t>900</w:t>
            </w:r>
          </w:p>
        </w:tc>
        <w:tc>
          <w:tcPr>
            <w:tcW w:w="1489" w:type="dxa"/>
            <w:shd w:val="clear" w:color="auto" w:fill="auto"/>
            <w:noWrap/>
            <w:vAlign w:val="center"/>
          </w:tcPr>
          <w:p w14:paraId="720CD4EF">
            <w:pPr>
              <w:widowControl/>
              <w:jc w:val="left"/>
              <w:rPr>
                <w:rFonts w:ascii="宋体" w:hAnsi="宋体" w:cs="宋体"/>
                <w:kern w:val="0"/>
                <w:sz w:val="22"/>
              </w:rPr>
            </w:pPr>
            <w:r>
              <w:rPr>
                <w:rFonts w:hint="eastAsia" w:ascii="宋体" w:hAnsi="宋体" w:cs="宋体"/>
                <w:kern w:val="0"/>
                <w:sz w:val="22"/>
              </w:rPr>
              <w:t>900</w:t>
            </w:r>
          </w:p>
        </w:tc>
      </w:tr>
      <w:tr w14:paraId="5B28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E2053D">
            <w:pPr>
              <w:widowControl/>
              <w:jc w:val="center"/>
              <w:rPr>
                <w:rFonts w:ascii="宋体" w:hAnsi="宋体" w:cs="宋体"/>
                <w:kern w:val="0"/>
                <w:sz w:val="22"/>
              </w:rPr>
            </w:pPr>
            <w:r>
              <w:rPr>
                <w:rFonts w:hint="eastAsia" w:ascii="宋体" w:hAnsi="宋体" w:cs="宋体"/>
                <w:kern w:val="0"/>
                <w:sz w:val="22"/>
              </w:rPr>
              <w:t>8</w:t>
            </w:r>
          </w:p>
        </w:tc>
        <w:tc>
          <w:tcPr>
            <w:tcW w:w="1072" w:type="dxa"/>
            <w:shd w:val="clear" w:color="auto" w:fill="auto"/>
            <w:vAlign w:val="center"/>
          </w:tcPr>
          <w:p w14:paraId="7BEFD357">
            <w:pPr>
              <w:widowControl/>
              <w:jc w:val="left"/>
              <w:rPr>
                <w:rFonts w:ascii="宋体" w:hAnsi="宋体" w:cs="宋体"/>
                <w:kern w:val="0"/>
                <w:sz w:val="22"/>
              </w:rPr>
            </w:pPr>
            <w:r>
              <w:rPr>
                <w:rFonts w:hint="eastAsia" w:ascii="宋体" w:hAnsi="宋体" w:cs="宋体"/>
                <w:kern w:val="0"/>
                <w:sz w:val="22"/>
              </w:rPr>
              <w:t>推拉黑板</w:t>
            </w:r>
          </w:p>
        </w:tc>
        <w:tc>
          <w:tcPr>
            <w:tcW w:w="4897" w:type="dxa"/>
            <w:shd w:val="clear" w:color="auto" w:fill="auto"/>
            <w:vAlign w:val="center"/>
          </w:tcPr>
          <w:p w14:paraId="3A8BBD3F">
            <w:pPr>
              <w:widowControl/>
              <w:jc w:val="left"/>
              <w:rPr>
                <w:rFonts w:ascii="宋体" w:hAnsi="宋体" w:cs="宋体"/>
                <w:kern w:val="0"/>
                <w:sz w:val="22"/>
              </w:rPr>
            </w:pPr>
            <w:r>
              <w:rPr>
                <w:rFonts w:hint="eastAsia" w:ascii="宋体" w:hAnsi="宋体" w:cs="宋体"/>
                <w:kern w:val="0"/>
                <w:sz w:val="22"/>
              </w:rPr>
              <w:t>1、结构：推拉板由大框及四块同等大小的书写板组装而成，书写板分内外双层结构，内层为两块固定书写板与液晶一体机正面平齐，外层为两块滑动书写板，滑动板配装刻有黑板品牌LOGO标识的挂锁，开闭自如确保液晶一体机的安全管理。（中标人提供图样，经使用人同意后方可实施）</w:t>
            </w:r>
            <w:r>
              <w:rPr>
                <w:rFonts w:hint="eastAsia" w:ascii="宋体" w:hAnsi="宋体" w:cs="宋体"/>
                <w:kern w:val="0"/>
                <w:sz w:val="22"/>
              </w:rPr>
              <w:br w:type="textWrapping"/>
            </w:r>
            <w:r>
              <w:rPr>
                <w:rFonts w:hint="eastAsia" w:ascii="宋体" w:hAnsi="宋体" w:cs="宋体"/>
                <w:kern w:val="0"/>
                <w:sz w:val="22"/>
              </w:rPr>
              <w:t>2、基本尺寸：≥4300mm×1300mm，可根据所配电子产品适当调整，确保与电子产品的有效配套。</w:t>
            </w:r>
            <w:r>
              <w:rPr>
                <w:rFonts w:hint="eastAsia" w:ascii="宋体" w:hAnsi="宋体" w:cs="宋体"/>
                <w:kern w:val="0"/>
                <w:sz w:val="22"/>
              </w:rPr>
              <w:br w:type="textWrapping"/>
            </w:r>
            <w:r>
              <w:rPr>
                <w:rFonts w:hint="eastAsia" w:ascii="宋体" w:hAnsi="宋体" w:cs="宋体"/>
                <w:kern w:val="0"/>
                <w:sz w:val="22"/>
              </w:rPr>
              <w:t>3、书写板面：采用280℃高温烤漆板面，具体面板颜色根据使用人要求定、亚光，厚度≥0.32mm，漆膜硬度6H，粗糙度Ra1.6-3.2um，光泽度≤6﹪，没有明显眩光，板面表面附有一层透明保护膜，符合GB/T 28231-2011《书写板安全卫生要求》（中标人提供图样，经使用人同意后方可实施）。</w:t>
            </w:r>
            <w:r>
              <w:rPr>
                <w:rFonts w:hint="eastAsia" w:ascii="宋体" w:hAnsi="宋体" w:cs="宋体"/>
                <w:kern w:val="0"/>
                <w:sz w:val="22"/>
              </w:rPr>
              <w:br w:type="textWrapping"/>
            </w:r>
            <w:r>
              <w:rPr>
                <w:rFonts w:hint="eastAsia" w:ascii="宋体" w:hAnsi="宋体" w:cs="宋体"/>
                <w:kern w:val="0"/>
                <w:sz w:val="22"/>
              </w:rPr>
              <w:t>4、内芯材料：高强度、吸音、聚苯乙烯泡沫板，采用国际适用工艺，书写无吱咔声，改善书写手感。</w:t>
            </w:r>
            <w:r>
              <w:rPr>
                <w:rFonts w:hint="eastAsia" w:ascii="宋体" w:hAnsi="宋体" w:cs="宋体"/>
                <w:kern w:val="0"/>
                <w:sz w:val="22"/>
              </w:rPr>
              <w:br w:type="textWrapping"/>
            </w:r>
            <w:r>
              <w:rPr>
                <w:rFonts w:hint="eastAsia" w:ascii="宋体" w:hAnsi="宋体" w:cs="宋体"/>
                <w:kern w:val="0"/>
                <w:sz w:val="22"/>
              </w:rPr>
              <w:t>5、背板：采用优质防锈热镀锌钢板，厚度≥0.25mm，流水线一次成型，间隔80mm压有20mm凹槽加强筋,确保均布承压不低于635N，凹槽造型美观、增加强度，更加耐用。</w:t>
            </w:r>
            <w:r>
              <w:rPr>
                <w:rFonts w:hint="eastAsia" w:ascii="宋体" w:hAnsi="宋体" w:cs="宋体"/>
                <w:kern w:val="0"/>
                <w:sz w:val="22"/>
              </w:rPr>
              <w:br w:type="textWrapping"/>
            </w:r>
            <w:r>
              <w:rPr>
                <w:rFonts w:hint="eastAsia" w:ascii="宋体" w:hAnsi="宋体" w:cs="宋体"/>
                <w:kern w:val="0"/>
                <w:sz w:val="22"/>
              </w:rPr>
              <w:t>6、板面与衬板粘贴：采用环保型双组份聚氨酯胶水1:1配置，使用自动化覆板流水线作业，喷胶、压固、切割下料一次成型，确保粘接牢固板面平整。</w:t>
            </w:r>
            <w:r>
              <w:rPr>
                <w:rFonts w:hint="eastAsia" w:ascii="宋体" w:hAnsi="宋体" w:cs="宋体"/>
                <w:kern w:val="0"/>
                <w:sz w:val="22"/>
              </w:rPr>
              <w:br w:type="textWrapping"/>
            </w:r>
            <w:r>
              <w:rPr>
                <w:rFonts w:hint="eastAsia" w:ascii="宋体" w:hAnsi="宋体" w:cs="宋体"/>
                <w:kern w:val="0"/>
                <w:sz w:val="22"/>
              </w:rPr>
              <w:t>7、边框：采用工业用高强度铝合金型材，电泳香槟色，模具挤压一次成型，上框规格57mm×100mm，左右框规格29mm×100mm，横（立）框采用双层加强结构，厚度≥15mm。轨道上置隐藏式平滑轮滑道，结构性解决滑轮受粉尘影响的情况，配有宽度≥30mm的粉尘槽，粉尘槽与滑动系统分离，与边框一次模具成形，防止粉尘垂直落地。</w:t>
            </w:r>
            <w:r>
              <w:rPr>
                <w:rFonts w:hint="eastAsia" w:ascii="宋体" w:hAnsi="宋体" w:cs="宋体"/>
                <w:kern w:val="0"/>
                <w:sz w:val="22"/>
              </w:rPr>
              <w:br w:type="textWrapping"/>
            </w:r>
            <w:r>
              <w:rPr>
                <w:rFonts w:hint="eastAsia" w:ascii="宋体" w:hAnsi="宋体" w:cs="宋体"/>
                <w:kern w:val="0"/>
                <w:sz w:val="22"/>
              </w:rPr>
              <w:t>8、包角材料：采用抗老化高强度ABS工程塑料注塑成型。规格：100mm×29mm×29mm◆，采用双壁成腔流线型设计，≥R25mm的圆角，正面带黑板品牌LOGO标识，无尖角毛刺，符合JY0001-2003《教学仪器设备产品一般质量要求》。</w:t>
            </w:r>
            <w:r>
              <w:rPr>
                <w:rFonts w:hint="eastAsia" w:ascii="宋体" w:hAnsi="宋体" w:cs="宋体"/>
                <w:kern w:val="0"/>
                <w:sz w:val="22"/>
              </w:rPr>
              <w:br w:type="textWrapping"/>
            </w:r>
            <w:r>
              <w:rPr>
                <w:rFonts w:hint="eastAsia" w:ascii="宋体" w:hAnsi="宋体" w:cs="宋体"/>
                <w:kern w:val="0"/>
                <w:sz w:val="22"/>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r>
              <w:rPr>
                <w:rFonts w:hint="eastAsia" w:ascii="宋体" w:hAnsi="宋体" w:cs="宋体"/>
                <w:kern w:val="0"/>
                <w:sz w:val="22"/>
              </w:rPr>
              <w:br w:type="textWrapping"/>
            </w:r>
            <w:r>
              <w:rPr>
                <w:rFonts w:hint="eastAsia" w:ascii="宋体" w:hAnsi="宋体" w:cs="宋体"/>
                <w:kern w:val="0"/>
                <w:sz w:val="22"/>
              </w:rPr>
              <w:t>10、除尘装置：外下框两侧各开一个直径25mm的圆孔，配置100*80mm的抽拉式粉尘盒，粉尘盒可拆卸清洁。</w:t>
            </w:r>
            <w:r>
              <w:rPr>
                <w:rFonts w:hint="eastAsia" w:ascii="宋体" w:hAnsi="宋体" w:cs="宋体"/>
                <w:kern w:val="0"/>
                <w:sz w:val="22"/>
              </w:rPr>
              <w:br w:type="textWrapping"/>
            </w:r>
            <w:r>
              <w:rPr>
                <w:rFonts w:hint="eastAsia" w:ascii="宋体" w:hAnsi="宋体" w:cs="宋体"/>
                <w:kern w:val="0"/>
                <w:sz w:val="22"/>
              </w:rPr>
              <w:t>11、限位档：黑板边框内部两侧安装滑动板限位档，防止活动黑板开启时撞击立框。</w:t>
            </w:r>
            <w:r>
              <w:rPr>
                <w:rFonts w:hint="eastAsia" w:ascii="宋体" w:hAnsi="宋体" w:cs="宋体"/>
                <w:kern w:val="0"/>
                <w:sz w:val="22"/>
              </w:rPr>
              <w:br w:type="textWrapping"/>
            </w:r>
            <w:r>
              <w:rPr>
                <w:rFonts w:hint="eastAsia" w:ascii="宋体" w:hAnsi="宋体" w:cs="宋体"/>
                <w:kern w:val="0"/>
                <w:sz w:val="22"/>
              </w:rPr>
              <w:t>12、易维护性：一体机上下配同色同质书写板，上下可根据一体机尺寸进行微调，两侧用H型边框与固定板配合，可自由拆装。使一体机不用拆整个黑板即可直接拆装维护，减少麻烦，延长使用寿命。</w:t>
            </w:r>
            <w:r>
              <w:rPr>
                <w:rFonts w:hint="eastAsia" w:ascii="宋体" w:hAnsi="宋体" w:cs="宋体"/>
                <w:kern w:val="0"/>
                <w:sz w:val="22"/>
              </w:rPr>
              <w:br w:type="textWrapping"/>
            </w:r>
            <w:r>
              <w:rPr>
                <w:rFonts w:hint="eastAsia" w:ascii="宋体" w:hAnsi="宋体" w:cs="宋体"/>
                <w:kern w:val="0"/>
                <w:sz w:val="22"/>
              </w:rPr>
              <w:t>13、安全性：一把锁实现对滑动黑板的锁定，钥匙通用，方便实用。</w:t>
            </w:r>
            <w:r>
              <w:rPr>
                <w:rFonts w:hint="eastAsia" w:ascii="宋体" w:hAnsi="宋体" w:cs="宋体"/>
                <w:kern w:val="0"/>
                <w:sz w:val="22"/>
              </w:rPr>
              <w:br w:type="textWrapping"/>
            </w:r>
            <w:r>
              <w:rPr>
                <w:rFonts w:hint="eastAsia" w:ascii="宋体" w:hAnsi="宋体" w:cs="宋体"/>
                <w:kern w:val="0"/>
                <w:sz w:val="22"/>
              </w:rPr>
              <w:t>14、根据所选黑板，提供书写耗材一套：</w:t>
            </w:r>
            <w:r>
              <w:rPr>
                <w:rFonts w:hint="eastAsia" w:ascii="宋体" w:hAnsi="宋体" w:cs="宋体"/>
                <w:kern w:val="0"/>
                <w:sz w:val="22"/>
              </w:rPr>
              <w:br w:type="textWrapping"/>
            </w:r>
            <w:r>
              <w:rPr>
                <w:rFonts w:hint="eastAsia" w:ascii="宋体" w:hAnsi="宋体" w:cs="宋体"/>
                <w:kern w:val="0"/>
                <w:sz w:val="22"/>
              </w:rPr>
              <w:t>（1）不同颜色的水溶性粉笔各一盒，盒装≥20支/盒；专用笔套≥2支；清洗装置≥1套，专用板擦≥1个。</w:t>
            </w:r>
            <w:r>
              <w:rPr>
                <w:rFonts w:hint="eastAsia" w:ascii="宋体" w:hAnsi="宋体" w:cs="宋体"/>
                <w:kern w:val="0"/>
                <w:sz w:val="22"/>
              </w:rPr>
              <w:br w:type="textWrapping"/>
            </w:r>
            <w:r>
              <w:rPr>
                <w:rFonts w:hint="eastAsia" w:ascii="宋体" w:hAnsi="宋体" w:cs="宋体"/>
                <w:kern w:val="0"/>
                <w:sz w:val="22"/>
              </w:rPr>
              <w:t>或者</w:t>
            </w:r>
            <w:r>
              <w:rPr>
                <w:rFonts w:hint="eastAsia" w:ascii="宋体" w:hAnsi="宋体" w:cs="宋体"/>
                <w:kern w:val="0"/>
                <w:sz w:val="22"/>
              </w:rPr>
              <w:br w:type="textWrapping"/>
            </w:r>
            <w:r>
              <w:rPr>
                <w:rFonts w:hint="eastAsia" w:ascii="宋体" w:hAnsi="宋体" w:cs="宋体"/>
                <w:kern w:val="0"/>
                <w:sz w:val="22"/>
              </w:rPr>
              <w:t>（2）新型成膜墨水笔≥3支（红色蓝色黑色各1支）；环保墨水≥3瓶（红色蓝色黑色各1瓶），墨水容量每瓶100ml；板擦≥1个；黑板专用清洁毛巾 ≥1条。</w:t>
            </w:r>
          </w:p>
        </w:tc>
        <w:tc>
          <w:tcPr>
            <w:tcW w:w="462" w:type="dxa"/>
            <w:shd w:val="clear" w:color="auto" w:fill="auto"/>
            <w:noWrap/>
            <w:vAlign w:val="center"/>
          </w:tcPr>
          <w:p w14:paraId="1DE7F17B">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6627BC1F">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1D68D332">
            <w:pPr>
              <w:widowControl/>
              <w:jc w:val="left"/>
              <w:rPr>
                <w:rFonts w:ascii="宋体" w:hAnsi="宋体" w:cs="宋体"/>
                <w:kern w:val="0"/>
                <w:sz w:val="22"/>
              </w:rPr>
            </w:pPr>
            <w:r>
              <w:rPr>
                <w:rFonts w:hint="eastAsia" w:ascii="宋体" w:hAnsi="宋体" w:cs="宋体"/>
                <w:kern w:val="0"/>
                <w:sz w:val="22"/>
              </w:rPr>
              <w:t>1300</w:t>
            </w:r>
          </w:p>
        </w:tc>
        <w:tc>
          <w:tcPr>
            <w:tcW w:w="1489" w:type="dxa"/>
            <w:shd w:val="clear" w:color="auto" w:fill="auto"/>
            <w:noWrap/>
            <w:vAlign w:val="center"/>
          </w:tcPr>
          <w:p w14:paraId="597AE826">
            <w:pPr>
              <w:widowControl/>
              <w:jc w:val="left"/>
              <w:rPr>
                <w:rFonts w:ascii="宋体" w:hAnsi="宋体" w:cs="宋体"/>
                <w:kern w:val="0"/>
                <w:sz w:val="22"/>
              </w:rPr>
            </w:pPr>
            <w:r>
              <w:rPr>
                <w:rFonts w:hint="eastAsia" w:ascii="宋体" w:hAnsi="宋体" w:cs="宋体"/>
                <w:kern w:val="0"/>
                <w:sz w:val="22"/>
              </w:rPr>
              <w:t>1300</w:t>
            </w:r>
          </w:p>
        </w:tc>
      </w:tr>
      <w:tr w14:paraId="29C6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A855902">
            <w:pPr>
              <w:widowControl/>
              <w:jc w:val="center"/>
              <w:rPr>
                <w:rFonts w:ascii="宋体" w:hAnsi="宋体" w:cs="宋体"/>
                <w:kern w:val="0"/>
                <w:sz w:val="22"/>
              </w:rPr>
            </w:pPr>
            <w:r>
              <w:rPr>
                <w:rFonts w:hint="eastAsia" w:ascii="宋体" w:hAnsi="宋体" w:cs="宋体"/>
                <w:kern w:val="0"/>
                <w:sz w:val="22"/>
              </w:rPr>
              <w:t>9</w:t>
            </w:r>
          </w:p>
        </w:tc>
        <w:tc>
          <w:tcPr>
            <w:tcW w:w="1072" w:type="dxa"/>
            <w:shd w:val="clear" w:color="auto" w:fill="auto"/>
            <w:vAlign w:val="center"/>
          </w:tcPr>
          <w:p w14:paraId="78B470C6">
            <w:pPr>
              <w:widowControl/>
              <w:jc w:val="left"/>
              <w:rPr>
                <w:rFonts w:ascii="宋体" w:hAnsi="宋体" w:cs="宋体"/>
                <w:kern w:val="0"/>
                <w:sz w:val="22"/>
              </w:rPr>
            </w:pPr>
            <w:r>
              <w:rPr>
                <w:rFonts w:hint="eastAsia" w:ascii="宋体" w:hAnsi="宋体" w:cs="宋体"/>
                <w:kern w:val="0"/>
                <w:sz w:val="22"/>
              </w:rPr>
              <w:t>音响话筒</w:t>
            </w:r>
          </w:p>
        </w:tc>
        <w:tc>
          <w:tcPr>
            <w:tcW w:w="4897" w:type="dxa"/>
            <w:shd w:val="clear" w:color="auto" w:fill="auto"/>
            <w:vAlign w:val="center"/>
          </w:tcPr>
          <w:p w14:paraId="3D574DF9">
            <w:pPr>
              <w:widowControl/>
              <w:jc w:val="left"/>
              <w:rPr>
                <w:rFonts w:ascii="宋体" w:hAnsi="宋体" w:cs="宋体"/>
                <w:kern w:val="0"/>
                <w:sz w:val="22"/>
              </w:rPr>
            </w:pPr>
            <w:r>
              <w:rPr>
                <w:rFonts w:hint="eastAsia" w:ascii="宋体" w:hAnsi="宋体" w:cs="宋体"/>
                <w:kern w:val="0"/>
                <w:sz w:val="22"/>
              </w:rPr>
              <w:t>一、音箱</w:t>
            </w:r>
            <w:r>
              <w:rPr>
                <w:rFonts w:hint="eastAsia" w:ascii="宋体" w:hAnsi="宋体" w:cs="宋体"/>
                <w:kern w:val="0"/>
                <w:sz w:val="22"/>
              </w:rPr>
              <w:br w:type="textWrapping"/>
            </w:r>
            <w:r>
              <w:rPr>
                <w:rFonts w:hint="eastAsia" w:ascii="宋体" w:hAnsi="宋体" w:cs="宋体"/>
                <w:kern w:val="0"/>
                <w:sz w:val="22"/>
              </w:rPr>
              <w:t>▲1、采用功放与有源音箱一体化设计，内置麦克风无线接收模块。</w:t>
            </w:r>
            <w:r>
              <w:rPr>
                <w:rFonts w:hint="eastAsia" w:ascii="宋体" w:hAnsi="宋体" w:cs="宋体"/>
                <w:kern w:val="0"/>
                <w:sz w:val="22"/>
              </w:rPr>
              <w:br w:type="textWrapping"/>
            </w:r>
            <w:r>
              <w:rPr>
                <w:rFonts w:hint="eastAsia" w:ascii="宋体" w:hAnsi="宋体" w:cs="宋体"/>
                <w:kern w:val="0"/>
                <w:sz w:val="22"/>
              </w:rPr>
              <w:t>2、双音箱有线连接，机箱采用塑胶材质，保护设备免受环境影响。</w:t>
            </w:r>
            <w:r>
              <w:rPr>
                <w:rFonts w:hint="eastAsia" w:ascii="宋体" w:hAnsi="宋体" w:cs="宋体"/>
                <w:kern w:val="0"/>
                <w:sz w:val="22"/>
              </w:rPr>
              <w:br w:type="textWrapping"/>
            </w:r>
            <w:r>
              <w:rPr>
                <w:rFonts w:hint="eastAsia" w:ascii="宋体" w:hAnsi="宋体" w:cs="宋体"/>
                <w:kern w:val="0"/>
                <w:sz w:val="22"/>
              </w:rPr>
              <w:t>3、输出额定功率: 2*15W，喇叭单元尺寸≥5寸。</w:t>
            </w:r>
            <w:r>
              <w:rPr>
                <w:rFonts w:hint="eastAsia" w:ascii="宋体" w:hAnsi="宋体" w:cs="宋体"/>
                <w:kern w:val="0"/>
                <w:sz w:val="22"/>
              </w:rPr>
              <w:br w:type="textWrapping"/>
            </w:r>
            <w:r>
              <w:rPr>
                <w:rFonts w:hint="eastAsia" w:ascii="宋体" w:hAnsi="宋体" w:cs="宋体"/>
                <w:kern w:val="0"/>
                <w:sz w:val="22"/>
              </w:rPr>
              <w:t>4、端口：220V电源接口*1、Line in*1、USB*1。</w:t>
            </w:r>
            <w:r>
              <w:rPr>
                <w:rFonts w:hint="eastAsia" w:ascii="宋体" w:hAnsi="宋体" w:cs="宋体"/>
                <w:kern w:val="0"/>
                <w:sz w:val="22"/>
              </w:rPr>
              <w:br w:type="textWrapping"/>
            </w:r>
            <w:r>
              <w:rPr>
                <w:rFonts w:hint="eastAsia" w:ascii="宋体" w:hAnsi="宋体" w:cs="宋体"/>
                <w:kern w:val="0"/>
                <w:sz w:val="22"/>
              </w:rPr>
              <w:t>5、麦克风和功放音箱之间采用数字U段传输技术，有效避免环境中2.4G信号干扰，例如蓝牙及WIFI设备。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6、配置独立音频数字信号处理芯片，支持啸叫抑制功能。</w:t>
            </w:r>
            <w:r>
              <w:rPr>
                <w:rFonts w:hint="eastAsia" w:ascii="宋体" w:hAnsi="宋体" w:cs="宋体"/>
                <w:kern w:val="0"/>
                <w:sz w:val="22"/>
              </w:rPr>
              <w:br w:type="textWrapping"/>
            </w:r>
            <w:r>
              <w:rPr>
                <w:rFonts w:hint="eastAsia" w:ascii="宋体" w:hAnsi="宋体" w:cs="宋体"/>
                <w:kern w:val="0"/>
                <w:sz w:val="22"/>
              </w:rPr>
              <w:t>7、支持教师扩声和输入音源叠加输出，可对接录播系统实现教师扩声音频的纯净采集，避免环境杂音干扰采集效果。</w:t>
            </w:r>
            <w:r>
              <w:rPr>
                <w:rFonts w:hint="eastAsia" w:ascii="宋体" w:hAnsi="宋体" w:cs="宋体"/>
                <w:kern w:val="0"/>
                <w:sz w:val="22"/>
              </w:rPr>
              <w:br w:type="textWrapping"/>
            </w:r>
            <w:r>
              <w:rPr>
                <w:rFonts w:hint="eastAsia" w:ascii="宋体" w:hAnsi="宋体" w:cs="宋体"/>
                <w:kern w:val="0"/>
                <w:sz w:val="22"/>
              </w:rPr>
              <w:t>二、无线麦克风</w:t>
            </w:r>
            <w:r>
              <w:rPr>
                <w:rFonts w:hint="eastAsia" w:ascii="宋体" w:hAnsi="宋体" w:cs="宋体"/>
                <w:kern w:val="0"/>
                <w:sz w:val="22"/>
              </w:rPr>
              <w:br w:type="textWrapping"/>
            </w:r>
            <w:r>
              <w:rPr>
                <w:rFonts w:hint="eastAsia" w:ascii="宋体" w:hAnsi="宋体" w:cs="宋体"/>
                <w:kern w:val="0"/>
                <w:sz w:val="22"/>
              </w:rPr>
              <w:t>▲1、无线麦克风集音频发射处理器、天线、电池、拾音麦克风于一体，配合一体化有源音箱，无需任何外接辅助设备即可实现本地扩声功能。</w:t>
            </w:r>
            <w:r>
              <w:rPr>
                <w:rFonts w:hint="eastAsia" w:ascii="宋体" w:hAnsi="宋体" w:cs="宋体"/>
                <w:kern w:val="0"/>
                <w:sz w:val="22"/>
              </w:rPr>
              <w:br w:type="textWrapping"/>
            </w:r>
            <w:r>
              <w:rPr>
                <w:rFonts w:hint="eastAsia" w:ascii="宋体" w:hAnsi="宋体" w:cs="宋体"/>
                <w:kern w:val="0"/>
                <w:sz w:val="22"/>
              </w:rPr>
              <w:t>2、采用U段传输，有效避免环境中2.4G信号干扰，例如蓝牙及WIFI设备。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3、采用红外对码方式连接，避免连接到其他教室音箱。可在2s内快速完成与教学扩声音箱对码，无需繁琐操作。</w:t>
            </w:r>
            <w:r>
              <w:rPr>
                <w:rFonts w:hint="eastAsia" w:ascii="宋体" w:hAnsi="宋体" w:cs="宋体"/>
                <w:kern w:val="0"/>
                <w:sz w:val="22"/>
              </w:rPr>
              <w:br w:type="textWrapping"/>
            </w:r>
            <w:r>
              <w:rPr>
                <w:rFonts w:hint="eastAsia" w:ascii="宋体" w:hAnsi="宋体" w:cs="宋体"/>
                <w:kern w:val="0"/>
                <w:sz w:val="22"/>
              </w:rPr>
              <w:t>4、配合USB麦克风接收器连接一体机，具备翻页键功能，可远程操控一体机设备进行课件软件翻页功能。</w:t>
            </w:r>
            <w:r>
              <w:rPr>
                <w:rFonts w:hint="eastAsia" w:ascii="宋体" w:hAnsi="宋体" w:cs="宋体"/>
                <w:kern w:val="0"/>
                <w:sz w:val="22"/>
              </w:rPr>
              <w:br w:type="textWrapping"/>
            </w:r>
            <w:r>
              <w:rPr>
                <w:rFonts w:hint="eastAsia" w:ascii="宋体" w:hAnsi="宋体" w:cs="宋体"/>
                <w:kern w:val="0"/>
                <w:sz w:val="22"/>
              </w:rPr>
              <w:t>5、配合USB接收器连接一体机，可通过一体机对老师的声音进行录制。</w:t>
            </w:r>
            <w:r>
              <w:rPr>
                <w:rFonts w:hint="eastAsia" w:ascii="宋体" w:hAnsi="宋体" w:cs="宋体"/>
                <w:kern w:val="0"/>
                <w:sz w:val="22"/>
              </w:rPr>
              <w:br w:type="textWrapping"/>
            </w:r>
            <w:r>
              <w:rPr>
                <w:rFonts w:hint="eastAsia" w:ascii="宋体" w:hAnsi="宋体" w:cs="宋体"/>
                <w:kern w:val="0"/>
                <w:sz w:val="22"/>
              </w:rPr>
              <w:t>6、采用触点磁吸式充电方式，充电10分钟，可扩音80分钟。</w:t>
            </w:r>
            <w:r>
              <w:rPr>
                <w:rFonts w:hint="eastAsia" w:ascii="宋体" w:hAnsi="宋体" w:cs="宋体"/>
                <w:kern w:val="0"/>
                <w:sz w:val="22"/>
              </w:rPr>
              <w:br w:type="textWrapping"/>
            </w:r>
            <w:r>
              <w:rPr>
                <w:rFonts w:hint="eastAsia" w:ascii="宋体" w:hAnsi="宋体" w:cs="宋体"/>
                <w:kern w:val="0"/>
                <w:sz w:val="22"/>
              </w:rPr>
              <w:t>7、具备磁吸式触点接口，与充电接口复用，保证整机的整洁、平整性，无易损的插入式接口。</w:t>
            </w:r>
            <w:r>
              <w:rPr>
                <w:rFonts w:hint="eastAsia" w:ascii="宋体" w:hAnsi="宋体" w:cs="宋体"/>
                <w:kern w:val="0"/>
                <w:sz w:val="22"/>
              </w:rPr>
              <w:br w:type="textWrapping"/>
            </w:r>
            <w:r>
              <w:rPr>
                <w:rFonts w:hint="eastAsia" w:ascii="宋体" w:hAnsi="宋体" w:cs="宋体"/>
                <w:kern w:val="0"/>
                <w:sz w:val="22"/>
              </w:rPr>
              <w:t>8、无遮挡情况下，有效工作距离≥10米，保证全教室覆盖。</w:t>
            </w:r>
          </w:p>
        </w:tc>
        <w:tc>
          <w:tcPr>
            <w:tcW w:w="462" w:type="dxa"/>
            <w:shd w:val="clear" w:color="auto" w:fill="auto"/>
            <w:noWrap/>
            <w:vAlign w:val="center"/>
          </w:tcPr>
          <w:p w14:paraId="59570E9D">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7BD88FF9">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3E1835B9">
            <w:pPr>
              <w:widowControl/>
              <w:jc w:val="left"/>
              <w:rPr>
                <w:rFonts w:ascii="宋体" w:hAnsi="宋体" w:cs="宋体"/>
                <w:kern w:val="0"/>
                <w:sz w:val="22"/>
              </w:rPr>
            </w:pPr>
            <w:r>
              <w:rPr>
                <w:rFonts w:hint="eastAsia" w:ascii="宋体" w:hAnsi="宋体" w:cs="宋体"/>
                <w:kern w:val="0"/>
                <w:sz w:val="22"/>
              </w:rPr>
              <w:t>1300</w:t>
            </w:r>
          </w:p>
        </w:tc>
        <w:tc>
          <w:tcPr>
            <w:tcW w:w="1489" w:type="dxa"/>
            <w:shd w:val="clear" w:color="auto" w:fill="auto"/>
            <w:noWrap/>
            <w:vAlign w:val="center"/>
          </w:tcPr>
          <w:p w14:paraId="41D1D432">
            <w:pPr>
              <w:widowControl/>
              <w:jc w:val="left"/>
              <w:rPr>
                <w:rFonts w:ascii="宋体" w:hAnsi="宋体" w:cs="宋体"/>
                <w:kern w:val="0"/>
                <w:sz w:val="22"/>
              </w:rPr>
            </w:pPr>
            <w:r>
              <w:rPr>
                <w:rFonts w:hint="eastAsia" w:ascii="宋体" w:hAnsi="宋体" w:cs="宋体"/>
                <w:kern w:val="0"/>
                <w:sz w:val="22"/>
              </w:rPr>
              <w:t>1300</w:t>
            </w:r>
          </w:p>
        </w:tc>
      </w:tr>
      <w:tr w14:paraId="00B5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AA1BA14">
            <w:pPr>
              <w:widowControl/>
              <w:jc w:val="center"/>
              <w:rPr>
                <w:rFonts w:ascii="宋体" w:hAnsi="宋体" w:cs="宋体"/>
                <w:kern w:val="0"/>
                <w:sz w:val="22"/>
              </w:rPr>
            </w:pPr>
            <w:r>
              <w:rPr>
                <w:rFonts w:hint="eastAsia" w:ascii="宋体" w:hAnsi="宋体" w:cs="宋体"/>
                <w:kern w:val="0"/>
                <w:sz w:val="22"/>
              </w:rPr>
              <w:t>10</w:t>
            </w:r>
          </w:p>
        </w:tc>
        <w:tc>
          <w:tcPr>
            <w:tcW w:w="1072" w:type="dxa"/>
            <w:shd w:val="clear" w:color="auto" w:fill="auto"/>
            <w:vAlign w:val="center"/>
          </w:tcPr>
          <w:p w14:paraId="696C603D">
            <w:pPr>
              <w:widowControl/>
              <w:jc w:val="left"/>
              <w:rPr>
                <w:rFonts w:ascii="宋体" w:hAnsi="宋体" w:cs="宋体"/>
                <w:kern w:val="0"/>
                <w:sz w:val="22"/>
              </w:rPr>
            </w:pPr>
            <w:r>
              <w:rPr>
                <w:rFonts w:hint="eastAsia" w:ascii="宋体" w:hAnsi="宋体" w:cs="宋体"/>
                <w:kern w:val="0"/>
                <w:sz w:val="22"/>
              </w:rPr>
              <w:t>教辅设备</w:t>
            </w:r>
          </w:p>
        </w:tc>
        <w:tc>
          <w:tcPr>
            <w:tcW w:w="4897" w:type="dxa"/>
            <w:shd w:val="clear" w:color="auto" w:fill="auto"/>
            <w:vAlign w:val="center"/>
          </w:tcPr>
          <w:p w14:paraId="7DB4EF3B">
            <w:pPr>
              <w:widowControl/>
              <w:jc w:val="left"/>
              <w:rPr>
                <w:rFonts w:ascii="宋体" w:hAnsi="宋体" w:cs="宋体"/>
                <w:kern w:val="0"/>
                <w:sz w:val="22"/>
              </w:rPr>
            </w:pPr>
            <w:r>
              <w:rPr>
                <w:rFonts w:hint="eastAsia" w:ascii="宋体" w:hAnsi="宋体" w:cs="宋体"/>
                <w:kern w:val="0"/>
                <w:sz w:val="22"/>
              </w:rPr>
              <w:t>1、电子教鞭×2支：</w:t>
            </w:r>
            <w:r>
              <w:rPr>
                <w:rFonts w:hint="eastAsia" w:ascii="宋体" w:hAnsi="宋体" w:cs="宋体"/>
                <w:kern w:val="0"/>
                <w:sz w:val="22"/>
              </w:rPr>
              <w:br w:type="textWrapping"/>
            </w:r>
            <w:r>
              <w:rPr>
                <w:rFonts w:hint="eastAsia" w:ascii="宋体" w:hAnsi="宋体" w:cs="宋体"/>
                <w:kern w:val="0"/>
                <w:sz w:val="22"/>
              </w:rPr>
              <w:t>▲（1）采用笔型设计，具有三个遥控按键（上下翻页和功能键），既可用于触摸书写，也可用于远程操控。</w:t>
            </w:r>
            <w:r>
              <w:rPr>
                <w:rFonts w:hint="eastAsia" w:ascii="宋体" w:hAnsi="宋体" w:cs="宋体"/>
                <w:kern w:val="0"/>
                <w:sz w:val="22"/>
              </w:rPr>
              <w:br w:type="textWrapping"/>
            </w:r>
            <w:r>
              <w:rPr>
                <w:rFonts w:hint="eastAsia" w:ascii="宋体" w:hAnsi="宋体" w:cs="宋体"/>
                <w:kern w:val="0"/>
                <w:sz w:val="22"/>
              </w:rPr>
              <w:t>（2）采用2.4G无线连接技术，无线接收距离最大可达15米。</w:t>
            </w:r>
            <w:r>
              <w:rPr>
                <w:rFonts w:hint="eastAsia" w:ascii="宋体" w:hAnsi="宋体" w:cs="宋体"/>
                <w:kern w:val="0"/>
                <w:sz w:val="22"/>
              </w:rPr>
              <w:br w:type="textWrapping"/>
            </w:r>
            <w:r>
              <w:rPr>
                <w:rFonts w:hint="eastAsia" w:ascii="宋体" w:hAnsi="宋体" w:cs="宋体"/>
                <w:kern w:val="0"/>
                <w:sz w:val="22"/>
              </w:rPr>
              <w:t>（3）无线接收器采用微型nano设计，并能收纳在笔上。</w:t>
            </w:r>
            <w:r>
              <w:rPr>
                <w:rFonts w:hint="eastAsia" w:ascii="宋体" w:hAnsi="宋体" w:cs="宋体"/>
                <w:kern w:val="0"/>
                <w:sz w:val="22"/>
              </w:rPr>
              <w:br w:type="textWrapping"/>
            </w:r>
            <w:r>
              <w:rPr>
                <w:rFonts w:hint="eastAsia" w:ascii="宋体" w:hAnsi="宋体" w:cs="宋体"/>
                <w:kern w:val="0"/>
                <w:sz w:val="22"/>
              </w:rPr>
              <w:t>（4）使用单节7号电池驱动，并带自动休眠节电设计。</w:t>
            </w:r>
            <w:r>
              <w:rPr>
                <w:rFonts w:hint="eastAsia" w:ascii="宋体" w:hAnsi="宋体" w:cs="宋体"/>
                <w:kern w:val="0"/>
                <w:sz w:val="22"/>
              </w:rPr>
              <w:br w:type="textWrapping"/>
            </w:r>
            <w:r>
              <w:rPr>
                <w:rFonts w:hint="eastAsia" w:ascii="宋体" w:hAnsi="宋体" w:cs="宋体"/>
                <w:kern w:val="0"/>
                <w:sz w:val="22"/>
              </w:rPr>
              <w:t>▲（5）单接收器设计，android、windows双系统同时响应。只需安装一个接收器，双系统都能响应智能笔的操作指令。</w:t>
            </w:r>
            <w:r>
              <w:rPr>
                <w:rFonts w:hint="eastAsia" w:ascii="宋体" w:hAnsi="宋体" w:cs="宋体"/>
                <w:kern w:val="0"/>
                <w:sz w:val="22"/>
              </w:rPr>
              <w:br w:type="textWrapping"/>
            </w:r>
            <w:r>
              <w:rPr>
                <w:rFonts w:hint="eastAsia" w:ascii="宋体" w:hAnsi="宋体" w:cs="宋体"/>
                <w:kern w:val="0"/>
                <w:sz w:val="22"/>
              </w:rPr>
              <w:t>（6）支持白板课件、PPT、PDF等多种格式的课件进行远程无线翻页。</w:t>
            </w:r>
            <w:r>
              <w:rPr>
                <w:rFonts w:hint="eastAsia" w:ascii="宋体" w:hAnsi="宋体" w:cs="宋体"/>
                <w:kern w:val="0"/>
                <w:sz w:val="22"/>
              </w:rPr>
              <w:br w:type="textWrapping"/>
            </w:r>
            <w:r>
              <w:rPr>
                <w:rFonts w:hint="eastAsia" w:ascii="宋体" w:hAnsi="宋体" w:cs="宋体"/>
                <w:kern w:val="0"/>
                <w:sz w:val="22"/>
              </w:rPr>
              <w:t>▲（7）功能按键可通过长按/短按实现两种快捷功能，方便教师操作。</w:t>
            </w:r>
            <w:r>
              <w:rPr>
                <w:rFonts w:hint="eastAsia" w:ascii="宋体" w:hAnsi="宋体" w:cs="宋体"/>
                <w:kern w:val="0"/>
                <w:sz w:val="22"/>
              </w:rPr>
              <w:br w:type="textWrapping"/>
            </w:r>
            <w:r>
              <w:rPr>
                <w:rFonts w:hint="eastAsia" w:ascii="宋体" w:hAnsi="宋体" w:cs="宋体"/>
                <w:kern w:val="0"/>
                <w:sz w:val="22"/>
              </w:rPr>
              <w:t>▲（8）支持自定义按键功能，可选功能包括：一键启动任意通道批注、一键启动/退出PPT播放、一键启动PPT批注、一键启动任意通道冻结与放大屏幕内容。</w:t>
            </w:r>
            <w:r>
              <w:rPr>
                <w:rFonts w:hint="eastAsia" w:ascii="宋体" w:hAnsi="宋体" w:cs="宋体"/>
                <w:kern w:val="0"/>
                <w:sz w:val="22"/>
              </w:rPr>
              <w:br w:type="textWrapping"/>
            </w:r>
            <w:r>
              <w:rPr>
                <w:rFonts w:hint="eastAsia" w:ascii="宋体" w:hAnsi="宋体" w:cs="宋体"/>
                <w:kern w:val="0"/>
                <w:sz w:val="22"/>
              </w:rPr>
              <w:t>▲2、小蜜蜂便携式扩音器×5个；</w:t>
            </w:r>
            <w:r>
              <w:rPr>
                <w:rFonts w:hint="eastAsia" w:ascii="宋体" w:hAnsi="宋体" w:cs="宋体"/>
                <w:kern w:val="0"/>
                <w:sz w:val="22"/>
              </w:rPr>
              <w:br w:type="textWrapping"/>
            </w:r>
            <w:r>
              <w:rPr>
                <w:rFonts w:hint="eastAsia" w:ascii="宋体" w:hAnsi="宋体" w:cs="宋体"/>
                <w:kern w:val="0"/>
                <w:sz w:val="22"/>
              </w:rPr>
              <w:t>3、双音圈喇叭（66mm/2欧姆）+双通道功放；</w:t>
            </w:r>
            <w:r>
              <w:rPr>
                <w:rFonts w:hint="eastAsia" w:ascii="宋体" w:hAnsi="宋体" w:cs="宋体"/>
                <w:kern w:val="0"/>
                <w:sz w:val="22"/>
              </w:rPr>
              <w:br w:type="textWrapping"/>
            </w:r>
            <w:r>
              <w:rPr>
                <w:rFonts w:hint="eastAsia" w:ascii="宋体" w:hAnsi="宋体" w:cs="宋体"/>
                <w:kern w:val="0"/>
                <w:sz w:val="22"/>
              </w:rPr>
              <w:t>▲4、3.7V/1500mAH锂离子电池，micro USB A充电口；</w:t>
            </w:r>
            <w:r>
              <w:rPr>
                <w:rFonts w:hint="eastAsia" w:ascii="宋体" w:hAnsi="宋体" w:cs="宋体"/>
                <w:kern w:val="0"/>
                <w:sz w:val="22"/>
              </w:rPr>
              <w:br w:type="textWrapping"/>
            </w:r>
            <w:r>
              <w:rPr>
                <w:rFonts w:hint="eastAsia" w:ascii="宋体" w:hAnsi="宋体" w:cs="宋体"/>
                <w:kern w:val="0"/>
                <w:sz w:val="22"/>
              </w:rPr>
              <w:t>5、AUX音频输入，MIC有线麦输入接口；</w:t>
            </w:r>
            <w:r>
              <w:rPr>
                <w:rFonts w:hint="eastAsia" w:ascii="宋体" w:hAnsi="宋体" w:cs="宋体"/>
                <w:kern w:val="0"/>
                <w:sz w:val="22"/>
              </w:rPr>
              <w:br w:type="textWrapping"/>
            </w:r>
            <w:r>
              <w:rPr>
                <w:rFonts w:hint="eastAsia" w:ascii="宋体" w:hAnsi="宋体" w:cs="宋体"/>
                <w:kern w:val="0"/>
                <w:sz w:val="22"/>
              </w:rPr>
              <w:t>6、有线麦克风头戴式，3.5MM插头线长约1米；</w:t>
            </w:r>
            <w:r>
              <w:rPr>
                <w:rFonts w:hint="eastAsia" w:ascii="宋体" w:hAnsi="宋体" w:cs="宋体"/>
                <w:kern w:val="0"/>
                <w:sz w:val="22"/>
              </w:rPr>
              <w:br w:type="textWrapping"/>
            </w:r>
            <w:r>
              <w:rPr>
                <w:rFonts w:hint="eastAsia" w:ascii="宋体" w:hAnsi="宋体" w:cs="宋体"/>
                <w:kern w:val="0"/>
                <w:sz w:val="22"/>
              </w:rPr>
              <w:t>7、信噪比≥50dB。</w:t>
            </w:r>
          </w:p>
        </w:tc>
        <w:tc>
          <w:tcPr>
            <w:tcW w:w="462" w:type="dxa"/>
            <w:shd w:val="clear" w:color="auto" w:fill="auto"/>
            <w:noWrap/>
            <w:vAlign w:val="center"/>
          </w:tcPr>
          <w:p w14:paraId="214A99EE">
            <w:pPr>
              <w:widowControl/>
              <w:jc w:val="left"/>
              <w:rPr>
                <w:rFonts w:ascii="宋体" w:hAnsi="宋体" w:cs="宋体"/>
                <w:kern w:val="0"/>
                <w:sz w:val="22"/>
              </w:rPr>
            </w:pPr>
            <w:r>
              <w:rPr>
                <w:rFonts w:hint="eastAsia" w:ascii="宋体" w:hAnsi="宋体" w:cs="宋体"/>
                <w:kern w:val="0"/>
                <w:sz w:val="22"/>
              </w:rPr>
              <w:t>批</w:t>
            </w:r>
          </w:p>
        </w:tc>
        <w:tc>
          <w:tcPr>
            <w:tcW w:w="605" w:type="dxa"/>
            <w:shd w:val="clear" w:color="auto" w:fill="auto"/>
            <w:noWrap/>
            <w:vAlign w:val="center"/>
          </w:tcPr>
          <w:p w14:paraId="45FFFDBA">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08B5A03D">
            <w:pPr>
              <w:widowControl/>
              <w:jc w:val="left"/>
              <w:rPr>
                <w:rFonts w:ascii="宋体" w:hAnsi="宋体" w:cs="宋体"/>
                <w:kern w:val="0"/>
                <w:sz w:val="22"/>
              </w:rPr>
            </w:pPr>
            <w:r>
              <w:rPr>
                <w:rFonts w:hint="eastAsia" w:ascii="宋体" w:hAnsi="宋体" w:cs="宋体"/>
                <w:kern w:val="0"/>
                <w:sz w:val="22"/>
              </w:rPr>
              <w:t>300</w:t>
            </w:r>
          </w:p>
        </w:tc>
        <w:tc>
          <w:tcPr>
            <w:tcW w:w="1489" w:type="dxa"/>
            <w:shd w:val="clear" w:color="auto" w:fill="auto"/>
            <w:noWrap/>
            <w:vAlign w:val="center"/>
          </w:tcPr>
          <w:p w14:paraId="3AD10B91">
            <w:pPr>
              <w:widowControl/>
              <w:jc w:val="left"/>
              <w:rPr>
                <w:rFonts w:ascii="宋体" w:hAnsi="宋体" w:cs="宋体"/>
                <w:kern w:val="0"/>
                <w:sz w:val="22"/>
              </w:rPr>
            </w:pPr>
            <w:r>
              <w:rPr>
                <w:rFonts w:hint="eastAsia" w:ascii="宋体" w:hAnsi="宋体" w:cs="宋体"/>
                <w:kern w:val="0"/>
                <w:sz w:val="22"/>
              </w:rPr>
              <w:t>300</w:t>
            </w:r>
          </w:p>
        </w:tc>
      </w:tr>
      <w:tr w14:paraId="29F1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18159C5">
            <w:pPr>
              <w:widowControl/>
              <w:jc w:val="center"/>
              <w:rPr>
                <w:rFonts w:ascii="宋体" w:hAnsi="宋体" w:cs="宋体"/>
                <w:kern w:val="0"/>
                <w:sz w:val="22"/>
              </w:rPr>
            </w:pPr>
            <w:r>
              <w:rPr>
                <w:rFonts w:hint="eastAsia" w:ascii="宋体" w:hAnsi="宋体" w:cs="宋体"/>
                <w:kern w:val="0"/>
                <w:sz w:val="22"/>
              </w:rPr>
              <w:t>11</w:t>
            </w:r>
          </w:p>
        </w:tc>
        <w:tc>
          <w:tcPr>
            <w:tcW w:w="1072" w:type="dxa"/>
            <w:shd w:val="clear" w:color="auto" w:fill="auto"/>
            <w:vAlign w:val="center"/>
          </w:tcPr>
          <w:p w14:paraId="6A5DBFB8">
            <w:pPr>
              <w:widowControl/>
              <w:jc w:val="left"/>
              <w:rPr>
                <w:rFonts w:ascii="宋体" w:hAnsi="宋体" w:cs="宋体"/>
                <w:kern w:val="0"/>
                <w:sz w:val="22"/>
              </w:rPr>
            </w:pPr>
            <w:r>
              <w:rPr>
                <w:rFonts w:hint="eastAsia" w:ascii="宋体" w:hAnsi="宋体" w:cs="宋体"/>
                <w:kern w:val="0"/>
                <w:sz w:val="22"/>
              </w:rPr>
              <w:t>多功能实验下水装置</w:t>
            </w:r>
          </w:p>
        </w:tc>
        <w:tc>
          <w:tcPr>
            <w:tcW w:w="4897" w:type="dxa"/>
            <w:shd w:val="clear" w:color="auto" w:fill="auto"/>
            <w:vAlign w:val="center"/>
          </w:tcPr>
          <w:p w14:paraId="2990E364">
            <w:pPr>
              <w:widowControl/>
              <w:jc w:val="left"/>
              <w:rPr>
                <w:rFonts w:ascii="宋体" w:hAnsi="宋体" w:cs="宋体"/>
                <w:kern w:val="0"/>
                <w:sz w:val="22"/>
              </w:rPr>
            </w:pPr>
            <w:r>
              <w:rPr>
                <w:rFonts w:hint="eastAsia" w:ascii="宋体" w:hAnsi="宋体" w:cs="宋体"/>
                <w:kern w:val="0"/>
                <w:sz w:val="22"/>
              </w:rPr>
              <w:t>采用“S”型防腐蛇形PP管；过滤防堵处理、防止污水及异味倒灌。</w:t>
            </w:r>
          </w:p>
        </w:tc>
        <w:tc>
          <w:tcPr>
            <w:tcW w:w="462" w:type="dxa"/>
            <w:shd w:val="clear" w:color="auto" w:fill="auto"/>
            <w:noWrap/>
            <w:vAlign w:val="center"/>
          </w:tcPr>
          <w:p w14:paraId="36703C3C">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0AC39986">
            <w:pPr>
              <w:widowControl/>
              <w:jc w:val="left"/>
              <w:rPr>
                <w:rFonts w:ascii="宋体" w:hAnsi="宋体" w:cs="宋体"/>
                <w:kern w:val="0"/>
                <w:sz w:val="22"/>
              </w:rPr>
            </w:pPr>
            <w:r>
              <w:rPr>
                <w:rFonts w:hint="eastAsia" w:ascii="宋体" w:hAnsi="宋体" w:cs="宋体"/>
                <w:kern w:val="0"/>
                <w:sz w:val="22"/>
              </w:rPr>
              <w:t>11</w:t>
            </w:r>
          </w:p>
        </w:tc>
        <w:tc>
          <w:tcPr>
            <w:tcW w:w="1048" w:type="dxa"/>
            <w:shd w:val="clear" w:color="auto" w:fill="auto"/>
            <w:noWrap/>
            <w:vAlign w:val="center"/>
          </w:tcPr>
          <w:p w14:paraId="0CE56759">
            <w:pPr>
              <w:widowControl/>
              <w:jc w:val="left"/>
              <w:rPr>
                <w:rFonts w:ascii="宋体" w:hAnsi="宋体" w:cs="宋体"/>
                <w:kern w:val="0"/>
                <w:sz w:val="22"/>
              </w:rPr>
            </w:pPr>
            <w:r>
              <w:rPr>
                <w:rFonts w:hint="eastAsia" w:ascii="宋体" w:hAnsi="宋体" w:cs="宋体"/>
                <w:kern w:val="0"/>
                <w:sz w:val="22"/>
              </w:rPr>
              <w:t>120</w:t>
            </w:r>
          </w:p>
        </w:tc>
        <w:tc>
          <w:tcPr>
            <w:tcW w:w="1489" w:type="dxa"/>
            <w:shd w:val="clear" w:color="auto" w:fill="auto"/>
            <w:noWrap/>
            <w:vAlign w:val="center"/>
          </w:tcPr>
          <w:p w14:paraId="57BA879D">
            <w:pPr>
              <w:widowControl/>
              <w:jc w:val="left"/>
              <w:rPr>
                <w:rFonts w:ascii="宋体" w:hAnsi="宋体" w:cs="宋体"/>
                <w:kern w:val="0"/>
                <w:sz w:val="22"/>
              </w:rPr>
            </w:pPr>
            <w:r>
              <w:rPr>
                <w:rFonts w:hint="eastAsia" w:ascii="宋体" w:hAnsi="宋体" w:cs="宋体"/>
                <w:kern w:val="0"/>
                <w:sz w:val="22"/>
              </w:rPr>
              <w:t>1320</w:t>
            </w:r>
          </w:p>
        </w:tc>
      </w:tr>
      <w:tr w14:paraId="02F9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FF1E8F5">
            <w:pPr>
              <w:widowControl/>
              <w:jc w:val="center"/>
              <w:rPr>
                <w:rFonts w:ascii="宋体" w:hAnsi="宋体" w:cs="宋体"/>
                <w:kern w:val="0"/>
                <w:sz w:val="22"/>
              </w:rPr>
            </w:pPr>
            <w:r>
              <w:rPr>
                <w:rFonts w:hint="eastAsia" w:ascii="宋体" w:hAnsi="宋体" w:cs="宋体"/>
                <w:kern w:val="0"/>
                <w:sz w:val="22"/>
              </w:rPr>
              <w:t>12</w:t>
            </w:r>
          </w:p>
        </w:tc>
        <w:tc>
          <w:tcPr>
            <w:tcW w:w="1072" w:type="dxa"/>
            <w:shd w:val="clear" w:color="auto" w:fill="auto"/>
            <w:vAlign w:val="center"/>
          </w:tcPr>
          <w:p w14:paraId="6E82DE89">
            <w:pPr>
              <w:widowControl/>
              <w:jc w:val="left"/>
              <w:rPr>
                <w:rFonts w:ascii="宋体" w:hAnsi="宋体" w:cs="宋体"/>
                <w:kern w:val="0"/>
                <w:sz w:val="22"/>
              </w:rPr>
            </w:pPr>
            <w:r>
              <w:rPr>
                <w:rFonts w:hint="eastAsia" w:ascii="宋体" w:hAnsi="宋体" w:cs="宋体"/>
                <w:kern w:val="0"/>
                <w:sz w:val="22"/>
              </w:rPr>
              <w:t>电气布线</w:t>
            </w:r>
          </w:p>
        </w:tc>
        <w:tc>
          <w:tcPr>
            <w:tcW w:w="4897" w:type="dxa"/>
            <w:shd w:val="clear" w:color="auto" w:fill="auto"/>
            <w:vAlign w:val="center"/>
          </w:tcPr>
          <w:p w14:paraId="2DA01E50">
            <w:pPr>
              <w:widowControl/>
              <w:jc w:val="left"/>
              <w:rPr>
                <w:rFonts w:ascii="宋体" w:hAnsi="宋体" w:cs="宋体"/>
                <w:kern w:val="0"/>
                <w:sz w:val="22"/>
              </w:rPr>
            </w:pPr>
            <w:r>
              <w:rPr>
                <w:rFonts w:hint="eastAsia" w:ascii="宋体" w:hAnsi="宋体" w:cs="宋体"/>
                <w:kern w:val="0"/>
                <w:sz w:val="22"/>
              </w:rPr>
              <w:t>国标阻燃PVC线管，国标优质铜芯线，4平方毫米、2.5平方毫米。</w:t>
            </w:r>
          </w:p>
        </w:tc>
        <w:tc>
          <w:tcPr>
            <w:tcW w:w="462" w:type="dxa"/>
            <w:shd w:val="clear" w:color="auto" w:fill="auto"/>
            <w:noWrap/>
            <w:vAlign w:val="center"/>
          </w:tcPr>
          <w:p w14:paraId="72B7B64E">
            <w:pPr>
              <w:widowControl/>
              <w:jc w:val="left"/>
              <w:rPr>
                <w:rFonts w:ascii="宋体" w:hAnsi="宋体" w:cs="宋体"/>
                <w:kern w:val="0"/>
                <w:sz w:val="22"/>
              </w:rPr>
            </w:pPr>
            <w:r>
              <w:rPr>
                <w:rFonts w:hint="eastAsia" w:ascii="宋体" w:hAnsi="宋体" w:cs="宋体"/>
                <w:kern w:val="0"/>
                <w:sz w:val="22"/>
              </w:rPr>
              <w:t>间</w:t>
            </w:r>
          </w:p>
        </w:tc>
        <w:tc>
          <w:tcPr>
            <w:tcW w:w="605" w:type="dxa"/>
            <w:shd w:val="clear" w:color="auto" w:fill="auto"/>
            <w:noWrap/>
            <w:vAlign w:val="center"/>
          </w:tcPr>
          <w:p w14:paraId="0CD9C6F9">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19B30305">
            <w:pPr>
              <w:widowControl/>
              <w:jc w:val="left"/>
              <w:rPr>
                <w:rFonts w:ascii="宋体" w:hAnsi="宋体" w:cs="宋体"/>
                <w:kern w:val="0"/>
                <w:sz w:val="22"/>
              </w:rPr>
            </w:pPr>
            <w:r>
              <w:rPr>
                <w:rFonts w:hint="eastAsia" w:ascii="宋体" w:hAnsi="宋体" w:cs="宋体"/>
                <w:kern w:val="0"/>
                <w:sz w:val="22"/>
              </w:rPr>
              <w:t>1500</w:t>
            </w:r>
          </w:p>
        </w:tc>
        <w:tc>
          <w:tcPr>
            <w:tcW w:w="1489" w:type="dxa"/>
            <w:shd w:val="clear" w:color="auto" w:fill="auto"/>
            <w:noWrap/>
            <w:vAlign w:val="center"/>
          </w:tcPr>
          <w:p w14:paraId="03879204">
            <w:pPr>
              <w:widowControl/>
              <w:jc w:val="left"/>
              <w:rPr>
                <w:rFonts w:ascii="宋体" w:hAnsi="宋体" w:cs="宋体"/>
                <w:kern w:val="0"/>
                <w:sz w:val="22"/>
              </w:rPr>
            </w:pPr>
            <w:r>
              <w:rPr>
                <w:rFonts w:hint="eastAsia" w:ascii="宋体" w:hAnsi="宋体" w:cs="宋体"/>
                <w:kern w:val="0"/>
                <w:sz w:val="22"/>
              </w:rPr>
              <w:t>1500</w:t>
            </w:r>
          </w:p>
        </w:tc>
      </w:tr>
      <w:tr w14:paraId="7DF3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FA31B80">
            <w:pPr>
              <w:widowControl/>
              <w:jc w:val="center"/>
              <w:rPr>
                <w:rFonts w:ascii="宋体" w:hAnsi="宋体" w:cs="宋体"/>
                <w:kern w:val="0"/>
                <w:sz w:val="22"/>
              </w:rPr>
            </w:pPr>
            <w:r>
              <w:rPr>
                <w:rFonts w:hint="eastAsia" w:ascii="宋体" w:hAnsi="宋体" w:cs="宋体"/>
                <w:kern w:val="0"/>
                <w:sz w:val="22"/>
              </w:rPr>
              <w:t>13</w:t>
            </w:r>
          </w:p>
        </w:tc>
        <w:tc>
          <w:tcPr>
            <w:tcW w:w="1072" w:type="dxa"/>
            <w:shd w:val="clear" w:color="auto" w:fill="auto"/>
            <w:vAlign w:val="center"/>
          </w:tcPr>
          <w:p w14:paraId="1F62CBF4">
            <w:pPr>
              <w:widowControl/>
              <w:jc w:val="left"/>
              <w:rPr>
                <w:rFonts w:ascii="宋体" w:hAnsi="宋体" w:cs="宋体"/>
                <w:kern w:val="0"/>
                <w:sz w:val="22"/>
              </w:rPr>
            </w:pPr>
            <w:r>
              <w:rPr>
                <w:rFonts w:hint="eastAsia" w:ascii="宋体" w:hAnsi="宋体" w:cs="宋体"/>
                <w:kern w:val="0"/>
                <w:sz w:val="22"/>
              </w:rPr>
              <w:t>室内给排水系统</w:t>
            </w:r>
          </w:p>
        </w:tc>
        <w:tc>
          <w:tcPr>
            <w:tcW w:w="4897" w:type="dxa"/>
            <w:shd w:val="clear" w:color="auto" w:fill="auto"/>
            <w:vAlign w:val="center"/>
          </w:tcPr>
          <w:p w14:paraId="2C3720F0">
            <w:pPr>
              <w:widowControl/>
              <w:jc w:val="left"/>
              <w:rPr>
                <w:rFonts w:ascii="宋体" w:hAnsi="宋体" w:cs="宋体"/>
                <w:kern w:val="0"/>
                <w:sz w:val="22"/>
              </w:rPr>
            </w:pPr>
            <w:r>
              <w:rPr>
                <w:rFonts w:hint="eastAsia" w:ascii="宋体" w:hAnsi="宋体" w:cs="宋体"/>
                <w:kern w:val="0"/>
                <w:sz w:val="22"/>
              </w:rPr>
              <w:t>国标直径20mm优质PPR管、国标直径50mm优质防腐PVC管。</w:t>
            </w:r>
          </w:p>
        </w:tc>
        <w:tc>
          <w:tcPr>
            <w:tcW w:w="462" w:type="dxa"/>
            <w:shd w:val="clear" w:color="auto" w:fill="auto"/>
            <w:noWrap/>
            <w:vAlign w:val="center"/>
          </w:tcPr>
          <w:p w14:paraId="59F77419">
            <w:pPr>
              <w:widowControl/>
              <w:jc w:val="left"/>
              <w:rPr>
                <w:rFonts w:ascii="宋体" w:hAnsi="宋体" w:cs="宋体"/>
                <w:kern w:val="0"/>
                <w:sz w:val="22"/>
              </w:rPr>
            </w:pPr>
            <w:r>
              <w:rPr>
                <w:rFonts w:hint="eastAsia" w:ascii="宋体" w:hAnsi="宋体" w:cs="宋体"/>
                <w:kern w:val="0"/>
                <w:sz w:val="22"/>
              </w:rPr>
              <w:t>间</w:t>
            </w:r>
          </w:p>
        </w:tc>
        <w:tc>
          <w:tcPr>
            <w:tcW w:w="605" w:type="dxa"/>
            <w:shd w:val="clear" w:color="auto" w:fill="auto"/>
            <w:noWrap/>
            <w:vAlign w:val="center"/>
          </w:tcPr>
          <w:p w14:paraId="052DC5EB">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480E6BE3">
            <w:pPr>
              <w:widowControl/>
              <w:jc w:val="left"/>
              <w:rPr>
                <w:rFonts w:ascii="宋体" w:hAnsi="宋体" w:cs="宋体"/>
                <w:kern w:val="0"/>
                <w:sz w:val="22"/>
              </w:rPr>
            </w:pPr>
            <w:r>
              <w:rPr>
                <w:rFonts w:hint="eastAsia" w:ascii="宋体" w:hAnsi="宋体" w:cs="宋体"/>
                <w:kern w:val="0"/>
                <w:sz w:val="22"/>
              </w:rPr>
              <w:t>2000</w:t>
            </w:r>
          </w:p>
        </w:tc>
        <w:tc>
          <w:tcPr>
            <w:tcW w:w="1489" w:type="dxa"/>
            <w:shd w:val="clear" w:color="auto" w:fill="auto"/>
            <w:noWrap/>
            <w:vAlign w:val="center"/>
          </w:tcPr>
          <w:p w14:paraId="6C4DC10C">
            <w:pPr>
              <w:widowControl/>
              <w:jc w:val="left"/>
              <w:rPr>
                <w:rFonts w:ascii="宋体" w:hAnsi="宋体" w:cs="宋体"/>
                <w:kern w:val="0"/>
                <w:sz w:val="22"/>
              </w:rPr>
            </w:pPr>
            <w:r>
              <w:rPr>
                <w:rFonts w:hint="eastAsia" w:ascii="宋体" w:hAnsi="宋体" w:cs="宋体"/>
                <w:kern w:val="0"/>
                <w:sz w:val="22"/>
              </w:rPr>
              <w:t>2000</w:t>
            </w:r>
          </w:p>
        </w:tc>
      </w:tr>
      <w:tr w14:paraId="2F59A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9373A7">
            <w:pPr>
              <w:widowControl/>
              <w:jc w:val="center"/>
              <w:rPr>
                <w:rFonts w:ascii="宋体" w:hAnsi="宋体" w:cs="宋体"/>
                <w:kern w:val="0"/>
                <w:sz w:val="22"/>
              </w:rPr>
            </w:pPr>
            <w:r>
              <w:rPr>
                <w:rFonts w:hint="eastAsia" w:ascii="宋体" w:hAnsi="宋体" w:cs="宋体"/>
                <w:kern w:val="0"/>
                <w:sz w:val="22"/>
              </w:rPr>
              <w:t>14</w:t>
            </w:r>
          </w:p>
        </w:tc>
        <w:tc>
          <w:tcPr>
            <w:tcW w:w="1072" w:type="dxa"/>
            <w:shd w:val="clear" w:color="auto" w:fill="auto"/>
            <w:vAlign w:val="center"/>
          </w:tcPr>
          <w:p w14:paraId="03C88857">
            <w:pPr>
              <w:widowControl/>
              <w:jc w:val="left"/>
              <w:rPr>
                <w:rFonts w:ascii="宋体" w:hAnsi="宋体" w:cs="宋体"/>
                <w:kern w:val="0"/>
                <w:sz w:val="22"/>
              </w:rPr>
            </w:pPr>
            <w:r>
              <w:rPr>
                <w:rFonts w:hint="eastAsia" w:ascii="宋体" w:hAnsi="宋体" w:cs="宋体"/>
                <w:kern w:val="0"/>
                <w:sz w:val="22"/>
              </w:rPr>
              <w:t>防腐风机</w:t>
            </w:r>
          </w:p>
        </w:tc>
        <w:tc>
          <w:tcPr>
            <w:tcW w:w="4897" w:type="dxa"/>
            <w:shd w:val="clear" w:color="auto" w:fill="auto"/>
            <w:vAlign w:val="center"/>
          </w:tcPr>
          <w:p w14:paraId="3F232DB3">
            <w:pPr>
              <w:widowControl/>
              <w:jc w:val="left"/>
              <w:rPr>
                <w:rFonts w:ascii="宋体" w:hAnsi="宋体" w:cs="宋体"/>
                <w:kern w:val="0"/>
                <w:sz w:val="22"/>
              </w:rPr>
            </w:pPr>
            <w:r>
              <w:rPr>
                <w:rFonts w:hint="eastAsia" w:ascii="宋体" w:hAnsi="宋体" w:cs="宋体"/>
                <w:kern w:val="0"/>
                <w:sz w:val="22"/>
              </w:rPr>
              <w:t>1.外壳采用米灰色聚丙烯PP板，具有抗紫外线、耐老化、耐强酸、强碱与抗腐蚀的特性。</w:t>
            </w:r>
            <w:r>
              <w:rPr>
                <w:rFonts w:hint="eastAsia" w:ascii="宋体" w:hAnsi="宋体" w:cs="宋体"/>
                <w:kern w:val="0"/>
                <w:sz w:val="22"/>
              </w:rPr>
              <w:br w:type="textWrapping"/>
            </w:r>
            <w:r>
              <w:rPr>
                <w:rFonts w:hint="eastAsia" w:ascii="宋体" w:hAnsi="宋体" w:cs="宋体"/>
                <w:kern w:val="0"/>
                <w:sz w:val="22"/>
              </w:rPr>
              <w:t xml:space="preserve">2.电机防雨罩的结构简单，使用检修方便，可有效防止电机被雨水打湿，延长电机使用寿命， </w:t>
            </w:r>
            <w:r>
              <w:rPr>
                <w:rFonts w:hint="eastAsia" w:ascii="宋体" w:hAnsi="宋体" w:cs="宋体"/>
                <w:kern w:val="0"/>
                <w:sz w:val="22"/>
              </w:rPr>
              <w:br w:type="textWrapping"/>
            </w:r>
            <w:r>
              <w:rPr>
                <w:rFonts w:hint="eastAsia" w:ascii="宋体" w:hAnsi="宋体" w:cs="宋体"/>
                <w:kern w:val="0"/>
                <w:sz w:val="22"/>
              </w:rPr>
              <w:t>3.自带减震垫可减少地面的震动，有效降低风机的动载荷，从而延长风机的使用寿命； 叶轮根据不同性能参数由8～36个后倾的机翼型叶片、曲线型前盖板和平板后盘组成，增强有效排风量。风机功率：5.5KW。转速1450，风量：6800-14530。全压：1150-748。</w:t>
            </w:r>
          </w:p>
        </w:tc>
        <w:tc>
          <w:tcPr>
            <w:tcW w:w="462" w:type="dxa"/>
            <w:shd w:val="clear" w:color="auto" w:fill="auto"/>
            <w:noWrap/>
            <w:vAlign w:val="center"/>
          </w:tcPr>
          <w:p w14:paraId="439CF96E">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7819BCC9">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0E6C6455">
            <w:pPr>
              <w:widowControl/>
              <w:jc w:val="left"/>
              <w:rPr>
                <w:rFonts w:ascii="宋体" w:hAnsi="宋体" w:cs="宋体"/>
                <w:kern w:val="0"/>
                <w:sz w:val="22"/>
              </w:rPr>
            </w:pPr>
            <w:r>
              <w:rPr>
                <w:rFonts w:hint="eastAsia" w:ascii="宋体" w:hAnsi="宋体" w:cs="宋体"/>
                <w:kern w:val="0"/>
                <w:sz w:val="22"/>
              </w:rPr>
              <w:t>10250</w:t>
            </w:r>
          </w:p>
        </w:tc>
        <w:tc>
          <w:tcPr>
            <w:tcW w:w="1489" w:type="dxa"/>
            <w:shd w:val="clear" w:color="auto" w:fill="auto"/>
            <w:noWrap/>
            <w:vAlign w:val="center"/>
          </w:tcPr>
          <w:p w14:paraId="6F51C759">
            <w:pPr>
              <w:widowControl/>
              <w:jc w:val="left"/>
              <w:rPr>
                <w:rFonts w:ascii="宋体" w:hAnsi="宋体" w:cs="宋体"/>
                <w:kern w:val="0"/>
                <w:sz w:val="22"/>
              </w:rPr>
            </w:pPr>
            <w:r>
              <w:rPr>
                <w:rFonts w:hint="eastAsia" w:ascii="宋体" w:hAnsi="宋体" w:cs="宋体"/>
                <w:kern w:val="0"/>
                <w:sz w:val="22"/>
              </w:rPr>
              <w:t>10250</w:t>
            </w:r>
          </w:p>
        </w:tc>
      </w:tr>
      <w:tr w14:paraId="31C5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CE4731A">
            <w:pPr>
              <w:widowControl/>
              <w:jc w:val="center"/>
              <w:rPr>
                <w:rFonts w:ascii="宋体" w:hAnsi="宋体" w:cs="宋体"/>
                <w:kern w:val="0"/>
                <w:sz w:val="22"/>
              </w:rPr>
            </w:pPr>
            <w:r>
              <w:rPr>
                <w:rFonts w:hint="eastAsia" w:ascii="宋体" w:hAnsi="宋体" w:cs="宋体"/>
                <w:kern w:val="0"/>
                <w:sz w:val="22"/>
              </w:rPr>
              <w:t>15</w:t>
            </w:r>
          </w:p>
        </w:tc>
        <w:tc>
          <w:tcPr>
            <w:tcW w:w="1072" w:type="dxa"/>
            <w:shd w:val="clear" w:color="auto" w:fill="auto"/>
            <w:vAlign w:val="center"/>
          </w:tcPr>
          <w:p w14:paraId="0320713C">
            <w:pPr>
              <w:widowControl/>
              <w:jc w:val="left"/>
              <w:rPr>
                <w:rFonts w:ascii="宋体" w:hAnsi="宋体" w:cs="宋体"/>
                <w:kern w:val="0"/>
                <w:sz w:val="22"/>
              </w:rPr>
            </w:pPr>
            <w:r>
              <w:rPr>
                <w:rFonts w:hint="eastAsia" w:ascii="宋体" w:hAnsi="宋体" w:cs="宋体"/>
                <w:kern w:val="0"/>
                <w:sz w:val="22"/>
              </w:rPr>
              <w:t>风机控制线</w:t>
            </w:r>
          </w:p>
        </w:tc>
        <w:tc>
          <w:tcPr>
            <w:tcW w:w="4897" w:type="dxa"/>
            <w:shd w:val="clear" w:color="auto" w:fill="auto"/>
            <w:vAlign w:val="center"/>
          </w:tcPr>
          <w:p w14:paraId="0EA4B489">
            <w:pPr>
              <w:widowControl/>
              <w:jc w:val="left"/>
              <w:rPr>
                <w:rFonts w:ascii="宋体" w:hAnsi="宋体" w:cs="宋体"/>
                <w:kern w:val="0"/>
                <w:sz w:val="22"/>
              </w:rPr>
            </w:pPr>
            <w:r>
              <w:rPr>
                <w:rFonts w:hint="eastAsia" w:ascii="宋体" w:hAnsi="宋体" w:cs="宋体"/>
                <w:kern w:val="0"/>
                <w:sz w:val="22"/>
              </w:rPr>
              <w:t>楼顶风机至教师总控处，采用国标专用4平方5根；4根2.5平方优质电线</w:t>
            </w:r>
          </w:p>
        </w:tc>
        <w:tc>
          <w:tcPr>
            <w:tcW w:w="462" w:type="dxa"/>
            <w:shd w:val="clear" w:color="auto" w:fill="auto"/>
            <w:noWrap/>
            <w:vAlign w:val="center"/>
          </w:tcPr>
          <w:p w14:paraId="5FAEA5EA">
            <w:pPr>
              <w:widowControl/>
              <w:jc w:val="left"/>
              <w:rPr>
                <w:rFonts w:ascii="宋体" w:hAnsi="宋体" w:cs="宋体"/>
                <w:kern w:val="0"/>
                <w:sz w:val="22"/>
              </w:rPr>
            </w:pPr>
            <w:r>
              <w:rPr>
                <w:rFonts w:hint="eastAsia" w:ascii="宋体" w:hAnsi="宋体" w:cs="宋体"/>
                <w:kern w:val="0"/>
                <w:sz w:val="22"/>
              </w:rPr>
              <w:t>项</w:t>
            </w:r>
          </w:p>
        </w:tc>
        <w:tc>
          <w:tcPr>
            <w:tcW w:w="605" w:type="dxa"/>
            <w:shd w:val="clear" w:color="auto" w:fill="auto"/>
            <w:noWrap/>
            <w:vAlign w:val="center"/>
          </w:tcPr>
          <w:p w14:paraId="4A1FF10D">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466F60E8">
            <w:pPr>
              <w:widowControl/>
              <w:jc w:val="left"/>
              <w:rPr>
                <w:rFonts w:ascii="宋体" w:hAnsi="宋体" w:cs="宋体"/>
                <w:kern w:val="0"/>
                <w:sz w:val="22"/>
              </w:rPr>
            </w:pPr>
            <w:r>
              <w:rPr>
                <w:rFonts w:hint="eastAsia" w:ascii="宋体" w:hAnsi="宋体" w:cs="宋体"/>
                <w:kern w:val="0"/>
                <w:sz w:val="22"/>
              </w:rPr>
              <w:t>1480</w:t>
            </w:r>
          </w:p>
        </w:tc>
        <w:tc>
          <w:tcPr>
            <w:tcW w:w="1489" w:type="dxa"/>
            <w:shd w:val="clear" w:color="auto" w:fill="auto"/>
            <w:noWrap/>
            <w:vAlign w:val="center"/>
          </w:tcPr>
          <w:p w14:paraId="39E56E50">
            <w:pPr>
              <w:widowControl/>
              <w:jc w:val="left"/>
              <w:rPr>
                <w:rFonts w:ascii="宋体" w:hAnsi="宋体" w:cs="宋体"/>
                <w:kern w:val="0"/>
                <w:sz w:val="22"/>
              </w:rPr>
            </w:pPr>
            <w:r>
              <w:rPr>
                <w:rFonts w:hint="eastAsia" w:ascii="宋体" w:hAnsi="宋体" w:cs="宋体"/>
                <w:kern w:val="0"/>
                <w:sz w:val="22"/>
              </w:rPr>
              <w:t>1480</w:t>
            </w:r>
          </w:p>
        </w:tc>
      </w:tr>
      <w:tr w14:paraId="030D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9392F4A">
            <w:pPr>
              <w:widowControl/>
              <w:jc w:val="center"/>
              <w:rPr>
                <w:rFonts w:ascii="宋体" w:hAnsi="宋体" w:cs="宋体"/>
                <w:kern w:val="0"/>
                <w:sz w:val="22"/>
              </w:rPr>
            </w:pPr>
            <w:r>
              <w:rPr>
                <w:rFonts w:hint="eastAsia" w:ascii="宋体" w:hAnsi="宋体" w:cs="宋体"/>
                <w:kern w:val="0"/>
                <w:sz w:val="22"/>
              </w:rPr>
              <w:t>16</w:t>
            </w:r>
          </w:p>
        </w:tc>
        <w:tc>
          <w:tcPr>
            <w:tcW w:w="1072" w:type="dxa"/>
            <w:shd w:val="clear" w:color="auto" w:fill="auto"/>
            <w:vAlign w:val="center"/>
          </w:tcPr>
          <w:p w14:paraId="71D7CF6B">
            <w:pPr>
              <w:widowControl/>
              <w:jc w:val="left"/>
              <w:rPr>
                <w:rFonts w:ascii="宋体" w:hAnsi="宋体" w:cs="宋体"/>
                <w:kern w:val="0"/>
                <w:sz w:val="22"/>
              </w:rPr>
            </w:pPr>
            <w:r>
              <w:rPr>
                <w:rFonts w:hint="eastAsia" w:ascii="宋体" w:hAnsi="宋体" w:cs="宋体"/>
                <w:kern w:val="0"/>
                <w:sz w:val="22"/>
              </w:rPr>
              <w:t>风机变频调速控制器</w:t>
            </w:r>
          </w:p>
        </w:tc>
        <w:tc>
          <w:tcPr>
            <w:tcW w:w="4897" w:type="dxa"/>
            <w:shd w:val="clear" w:color="auto" w:fill="auto"/>
            <w:vAlign w:val="center"/>
          </w:tcPr>
          <w:p w14:paraId="7F3D3C25">
            <w:pPr>
              <w:widowControl/>
              <w:jc w:val="left"/>
              <w:rPr>
                <w:rFonts w:ascii="宋体" w:hAnsi="宋体" w:cs="宋体"/>
                <w:kern w:val="0"/>
                <w:sz w:val="22"/>
              </w:rPr>
            </w:pPr>
            <w:r>
              <w:rPr>
                <w:rFonts w:hint="eastAsia" w:ascii="宋体" w:hAnsi="宋体" w:cs="宋体"/>
                <w:kern w:val="0"/>
                <w:sz w:val="22"/>
              </w:rPr>
              <w:t>0-50HZ调节高级电子集成电路，可以控制风机的启动和关闭，无级调速，随意控制风机风速风量大小</w:t>
            </w:r>
          </w:p>
        </w:tc>
        <w:tc>
          <w:tcPr>
            <w:tcW w:w="462" w:type="dxa"/>
            <w:shd w:val="clear" w:color="auto" w:fill="auto"/>
            <w:noWrap/>
            <w:vAlign w:val="center"/>
          </w:tcPr>
          <w:p w14:paraId="6B395671">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11B628C3">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1446701F">
            <w:pPr>
              <w:widowControl/>
              <w:jc w:val="left"/>
              <w:rPr>
                <w:rFonts w:ascii="宋体" w:hAnsi="宋体" w:cs="宋体"/>
                <w:kern w:val="0"/>
                <w:sz w:val="22"/>
              </w:rPr>
            </w:pPr>
            <w:r>
              <w:rPr>
                <w:rFonts w:hint="eastAsia" w:ascii="宋体" w:hAnsi="宋体" w:cs="宋体"/>
                <w:kern w:val="0"/>
                <w:sz w:val="22"/>
              </w:rPr>
              <w:t>3690</w:t>
            </w:r>
          </w:p>
        </w:tc>
        <w:tc>
          <w:tcPr>
            <w:tcW w:w="1489" w:type="dxa"/>
            <w:shd w:val="clear" w:color="auto" w:fill="auto"/>
            <w:noWrap/>
            <w:vAlign w:val="center"/>
          </w:tcPr>
          <w:p w14:paraId="6D482056">
            <w:pPr>
              <w:widowControl/>
              <w:jc w:val="left"/>
              <w:rPr>
                <w:rFonts w:ascii="宋体" w:hAnsi="宋体" w:cs="宋体"/>
                <w:kern w:val="0"/>
                <w:sz w:val="22"/>
              </w:rPr>
            </w:pPr>
            <w:r>
              <w:rPr>
                <w:rFonts w:hint="eastAsia" w:ascii="宋体" w:hAnsi="宋体" w:cs="宋体"/>
                <w:kern w:val="0"/>
                <w:sz w:val="22"/>
              </w:rPr>
              <w:t>3690</w:t>
            </w:r>
          </w:p>
        </w:tc>
      </w:tr>
      <w:tr w14:paraId="0F80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7E3DE7">
            <w:pPr>
              <w:widowControl/>
              <w:jc w:val="center"/>
              <w:rPr>
                <w:rFonts w:ascii="宋体" w:hAnsi="宋体" w:cs="宋体"/>
                <w:kern w:val="0"/>
                <w:sz w:val="22"/>
              </w:rPr>
            </w:pPr>
            <w:r>
              <w:rPr>
                <w:rFonts w:hint="eastAsia" w:ascii="宋体" w:hAnsi="宋体" w:cs="宋体"/>
                <w:kern w:val="0"/>
                <w:sz w:val="22"/>
              </w:rPr>
              <w:t>17</w:t>
            </w:r>
          </w:p>
        </w:tc>
        <w:tc>
          <w:tcPr>
            <w:tcW w:w="1072" w:type="dxa"/>
            <w:shd w:val="clear" w:color="auto" w:fill="auto"/>
            <w:vAlign w:val="center"/>
          </w:tcPr>
          <w:p w14:paraId="5E199F09">
            <w:pPr>
              <w:widowControl/>
              <w:jc w:val="left"/>
              <w:rPr>
                <w:rFonts w:ascii="宋体" w:hAnsi="宋体" w:cs="宋体"/>
                <w:kern w:val="0"/>
                <w:sz w:val="22"/>
              </w:rPr>
            </w:pPr>
            <w:r>
              <w:rPr>
                <w:rFonts w:hint="eastAsia" w:ascii="宋体" w:hAnsi="宋体" w:cs="宋体"/>
                <w:kern w:val="0"/>
                <w:sz w:val="22"/>
              </w:rPr>
              <w:t>风机进出口消声装置</w:t>
            </w:r>
          </w:p>
        </w:tc>
        <w:tc>
          <w:tcPr>
            <w:tcW w:w="4897" w:type="dxa"/>
            <w:shd w:val="clear" w:color="auto" w:fill="auto"/>
            <w:vAlign w:val="center"/>
          </w:tcPr>
          <w:p w14:paraId="17F6FE21">
            <w:pPr>
              <w:widowControl/>
              <w:jc w:val="left"/>
              <w:rPr>
                <w:rFonts w:ascii="宋体" w:hAnsi="宋体" w:cs="宋体"/>
                <w:kern w:val="0"/>
                <w:sz w:val="22"/>
              </w:rPr>
            </w:pPr>
            <w:r>
              <w:rPr>
                <w:rFonts w:hint="eastAsia" w:ascii="宋体" w:hAnsi="宋体" w:cs="宋体"/>
                <w:kern w:val="0"/>
                <w:sz w:val="22"/>
              </w:rPr>
              <w:t>直径400mm，分内外管两层，内管采用微小孔消声原理，夹层中有吸声材料，有效降低管道噪声。</w:t>
            </w:r>
          </w:p>
        </w:tc>
        <w:tc>
          <w:tcPr>
            <w:tcW w:w="462" w:type="dxa"/>
            <w:shd w:val="clear" w:color="auto" w:fill="auto"/>
            <w:noWrap/>
            <w:vAlign w:val="center"/>
          </w:tcPr>
          <w:p w14:paraId="797FF401">
            <w:pPr>
              <w:widowControl/>
              <w:jc w:val="left"/>
              <w:rPr>
                <w:rFonts w:ascii="宋体" w:hAnsi="宋体" w:cs="宋体"/>
                <w:kern w:val="0"/>
                <w:sz w:val="22"/>
              </w:rPr>
            </w:pPr>
            <w:r>
              <w:rPr>
                <w:rFonts w:hint="eastAsia" w:ascii="宋体" w:hAnsi="宋体" w:cs="宋体"/>
                <w:kern w:val="0"/>
                <w:sz w:val="22"/>
              </w:rPr>
              <w:t>项</w:t>
            </w:r>
          </w:p>
        </w:tc>
        <w:tc>
          <w:tcPr>
            <w:tcW w:w="605" w:type="dxa"/>
            <w:shd w:val="clear" w:color="auto" w:fill="auto"/>
            <w:noWrap/>
            <w:vAlign w:val="center"/>
          </w:tcPr>
          <w:p w14:paraId="3CC0B729">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483F6FD8">
            <w:pPr>
              <w:widowControl/>
              <w:jc w:val="left"/>
              <w:rPr>
                <w:rFonts w:ascii="宋体" w:hAnsi="宋体" w:cs="宋体"/>
                <w:kern w:val="0"/>
                <w:sz w:val="22"/>
              </w:rPr>
            </w:pPr>
            <w:r>
              <w:rPr>
                <w:rFonts w:hint="eastAsia" w:ascii="宋体" w:hAnsi="宋体" w:cs="宋体"/>
                <w:kern w:val="0"/>
                <w:sz w:val="22"/>
              </w:rPr>
              <w:t>2050</w:t>
            </w:r>
          </w:p>
        </w:tc>
        <w:tc>
          <w:tcPr>
            <w:tcW w:w="1489" w:type="dxa"/>
            <w:shd w:val="clear" w:color="auto" w:fill="auto"/>
            <w:noWrap/>
            <w:vAlign w:val="center"/>
          </w:tcPr>
          <w:p w14:paraId="44B2840A">
            <w:pPr>
              <w:widowControl/>
              <w:jc w:val="left"/>
              <w:rPr>
                <w:rFonts w:ascii="宋体" w:hAnsi="宋体" w:cs="宋体"/>
                <w:kern w:val="0"/>
                <w:sz w:val="22"/>
              </w:rPr>
            </w:pPr>
            <w:r>
              <w:rPr>
                <w:rFonts w:hint="eastAsia" w:ascii="宋体" w:hAnsi="宋体" w:cs="宋体"/>
                <w:kern w:val="0"/>
                <w:sz w:val="22"/>
              </w:rPr>
              <w:t>2050</w:t>
            </w:r>
          </w:p>
        </w:tc>
      </w:tr>
      <w:tr w14:paraId="0012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9202182">
            <w:pPr>
              <w:widowControl/>
              <w:jc w:val="center"/>
              <w:rPr>
                <w:rFonts w:ascii="宋体" w:hAnsi="宋体" w:cs="宋体"/>
                <w:kern w:val="0"/>
                <w:sz w:val="22"/>
              </w:rPr>
            </w:pPr>
            <w:r>
              <w:rPr>
                <w:rFonts w:hint="eastAsia" w:ascii="宋体" w:hAnsi="宋体" w:cs="宋体"/>
                <w:kern w:val="0"/>
                <w:sz w:val="22"/>
              </w:rPr>
              <w:t>18</w:t>
            </w:r>
          </w:p>
        </w:tc>
        <w:tc>
          <w:tcPr>
            <w:tcW w:w="1072" w:type="dxa"/>
            <w:shd w:val="clear" w:color="auto" w:fill="auto"/>
            <w:vAlign w:val="center"/>
          </w:tcPr>
          <w:p w14:paraId="70B24879">
            <w:pPr>
              <w:widowControl/>
              <w:jc w:val="left"/>
              <w:rPr>
                <w:rFonts w:ascii="宋体" w:hAnsi="宋体" w:cs="宋体"/>
                <w:kern w:val="0"/>
                <w:sz w:val="22"/>
              </w:rPr>
            </w:pPr>
            <w:r>
              <w:rPr>
                <w:rFonts w:hint="eastAsia" w:ascii="宋体" w:hAnsi="宋体" w:cs="宋体"/>
                <w:kern w:val="0"/>
                <w:sz w:val="22"/>
              </w:rPr>
              <w:t>风量分配器</w:t>
            </w:r>
          </w:p>
        </w:tc>
        <w:tc>
          <w:tcPr>
            <w:tcW w:w="4897" w:type="dxa"/>
            <w:shd w:val="clear" w:color="auto" w:fill="auto"/>
            <w:vAlign w:val="center"/>
          </w:tcPr>
          <w:p w14:paraId="02933868">
            <w:pPr>
              <w:widowControl/>
              <w:jc w:val="left"/>
              <w:rPr>
                <w:rFonts w:ascii="宋体" w:hAnsi="宋体" w:cs="宋体"/>
                <w:kern w:val="0"/>
                <w:sz w:val="22"/>
              </w:rPr>
            </w:pPr>
            <w:r>
              <w:rPr>
                <w:rFonts w:hint="eastAsia" w:ascii="宋体" w:hAnsi="宋体" w:cs="宋体"/>
                <w:kern w:val="0"/>
                <w:sz w:val="22"/>
              </w:rPr>
              <w:t>PVC材质，主要用于风量分布的控制，使各吸风罩风量均匀。</w:t>
            </w:r>
          </w:p>
        </w:tc>
        <w:tc>
          <w:tcPr>
            <w:tcW w:w="462" w:type="dxa"/>
            <w:shd w:val="clear" w:color="auto" w:fill="auto"/>
            <w:noWrap/>
            <w:vAlign w:val="center"/>
          </w:tcPr>
          <w:p w14:paraId="64E7975D">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23A6C3B9">
            <w:pPr>
              <w:widowControl/>
              <w:jc w:val="left"/>
              <w:rPr>
                <w:rFonts w:ascii="宋体" w:hAnsi="宋体" w:cs="宋体"/>
                <w:kern w:val="0"/>
                <w:sz w:val="22"/>
              </w:rPr>
            </w:pPr>
            <w:r>
              <w:rPr>
                <w:rFonts w:hint="eastAsia" w:ascii="宋体" w:hAnsi="宋体" w:cs="宋体"/>
                <w:kern w:val="0"/>
                <w:sz w:val="22"/>
              </w:rPr>
              <w:t>11</w:t>
            </w:r>
          </w:p>
        </w:tc>
        <w:tc>
          <w:tcPr>
            <w:tcW w:w="1048" w:type="dxa"/>
            <w:shd w:val="clear" w:color="auto" w:fill="auto"/>
            <w:noWrap/>
            <w:vAlign w:val="center"/>
          </w:tcPr>
          <w:p w14:paraId="4FAF6121">
            <w:pPr>
              <w:widowControl/>
              <w:jc w:val="left"/>
              <w:rPr>
                <w:rFonts w:ascii="宋体" w:hAnsi="宋体" w:cs="宋体"/>
                <w:kern w:val="0"/>
                <w:sz w:val="22"/>
              </w:rPr>
            </w:pPr>
            <w:r>
              <w:rPr>
                <w:rFonts w:hint="eastAsia" w:ascii="宋体" w:hAnsi="宋体" w:cs="宋体"/>
                <w:kern w:val="0"/>
                <w:sz w:val="22"/>
              </w:rPr>
              <w:t>90</w:t>
            </w:r>
          </w:p>
        </w:tc>
        <w:tc>
          <w:tcPr>
            <w:tcW w:w="1489" w:type="dxa"/>
            <w:shd w:val="clear" w:color="auto" w:fill="auto"/>
            <w:noWrap/>
            <w:vAlign w:val="center"/>
          </w:tcPr>
          <w:p w14:paraId="162E0F6D">
            <w:pPr>
              <w:widowControl/>
              <w:jc w:val="left"/>
              <w:rPr>
                <w:rFonts w:ascii="宋体" w:hAnsi="宋体" w:cs="宋体"/>
                <w:kern w:val="0"/>
                <w:sz w:val="22"/>
              </w:rPr>
            </w:pPr>
            <w:r>
              <w:rPr>
                <w:rFonts w:hint="eastAsia" w:ascii="宋体" w:hAnsi="宋体" w:cs="宋体"/>
                <w:kern w:val="0"/>
                <w:sz w:val="22"/>
              </w:rPr>
              <w:t>990</w:t>
            </w:r>
          </w:p>
        </w:tc>
      </w:tr>
      <w:tr w14:paraId="467D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EDE65B4">
            <w:pPr>
              <w:widowControl/>
              <w:jc w:val="center"/>
              <w:rPr>
                <w:rFonts w:ascii="宋体" w:hAnsi="宋体" w:cs="宋体"/>
                <w:kern w:val="0"/>
                <w:sz w:val="22"/>
              </w:rPr>
            </w:pPr>
            <w:r>
              <w:rPr>
                <w:rFonts w:hint="eastAsia" w:ascii="宋体" w:hAnsi="宋体" w:cs="宋体"/>
                <w:kern w:val="0"/>
                <w:sz w:val="22"/>
              </w:rPr>
              <w:t>19</w:t>
            </w:r>
          </w:p>
        </w:tc>
        <w:tc>
          <w:tcPr>
            <w:tcW w:w="1072" w:type="dxa"/>
            <w:shd w:val="clear" w:color="auto" w:fill="auto"/>
            <w:vAlign w:val="center"/>
          </w:tcPr>
          <w:p w14:paraId="14F09997">
            <w:pPr>
              <w:widowControl/>
              <w:jc w:val="left"/>
              <w:rPr>
                <w:rFonts w:ascii="宋体" w:hAnsi="宋体" w:cs="宋体"/>
                <w:kern w:val="0"/>
                <w:sz w:val="22"/>
              </w:rPr>
            </w:pPr>
            <w:r>
              <w:rPr>
                <w:rFonts w:hint="eastAsia" w:ascii="宋体" w:hAnsi="宋体" w:cs="宋体"/>
                <w:kern w:val="0"/>
                <w:sz w:val="22"/>
              </w:rPr>
              <w:t>防雨帽</w:t>
            </w:r>
          </w:p>
        </w:tc>
        <w:tc>
          <w:tcPr>
            <w:tcW w:w="4897" w:type="dxa"/>
            <w:shd w:val="clear" w:color="auto" w:fill="auto"/>
            <w:vAlign w:val="center"/>
          </w:tcPr>
          <w:p w14:paraId="6D40E5E2">
            <w:pPr>
              <w:widowControl/>
              <w:jc w:val="left"/>
              <w:rPr>
                <w:rFonts w:ascii="宋体" w:hAnsi="宋体" w:cs="宋体"/>
                <w:kern w:val="0"/>
                <w:sz w:val="22"/>
              </w:rPr>
            </w:pPr>
            <w:r>
              <w:rPr>
                <w:rFonts w:hint="eastAsia" w:ascii="宋体" w:hAnsi="宋体" w:cs="宋体"/>
                <w:kern w:val="0"/>
                <w:sz w:val="22"/>
              </w:rPr>
              <w:t>PVC材质，主要用于对专用通风机的防护</w:t>
            </w:r>
          </w:p>
        </w:tc>
        <w:tc>
          <w:tcPr>
            <w:tcW w:w="462" w:type="dxa"/>
            <w:shd w:val="clear" w:color="auto" w:fill="auto"/>
            <w:noWrap/>
            <w:vAlign w:val="center"/>
          </w:tcPr>
          <w:p w14:paraId="6DBFF97F">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78D37AA3">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6414C902">
            <w:pPr>
              <w:widowControl/>
              <w:jc w:val="left"/>
              <w:rPr>
                <w:rFonts w:ascii="宋体" w:hAnsi="宋体" w:cs="宋体"/>
                <w:kern w:val="0"/>
                <w:sz w:val="22"/>
              </w:rPr>
            </w:pPr>
            <w:r>
              <w:rPr>
                <w:rFonts w:hint="eastAsia" w:ascii="宋体" w:hAnsi="宋体" w:cs="宋体"/>
                <w:kern w:val="0"/>
                <w:sz w:val="22"/>
              </w:rPr>
              <w:t>250</w:t>
            </w:r>
          </w:p>
        </w:tc>
        <w:tc>
          <w:tcPr>
            <w:tcW w:w="1489" w:type="dxa"/>
            <w:shd w:val="clear" w:color="auto" w:fill="auto"/>
            <w:noWrap/>
            <w:vAlign w:val="center"/>
          </w:tcPr>
          <w:p w14:paraId="0C702D11">
            <w:pPr>
              <w:widowControl/>
              <w:jc w:val="left"/>
              <w:rPr>
                <w:rFonts w:ascii="宋体" w:hAnsi="宋体" w:cs="宋体"/>
                <w:kern w:val="0"/>
                <w:sz w:val="22"/>
              </w:rPr>
            </w:pPr>
            <w:r>
              <w:rPr>
                <w:rFonts w:hint="eastAsia" w:ascii="宋体" w:hAnsi="宋体" w:cs="宋体"/>
                <w:kern w:val="0"/>
                <w:sz w:val="22"/>
              </w:rPr>
              <w:t>250</w:t>
            </w:r>
          </w:p>
        </w:tc>
      </w:tr>
      <w:tr w14:paraId="7CE8A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DC01489">
            <w:pPr>
              <w:widowControl/>
              <w:jc w:val="center"/>
              <w:rPr>
                <w:rFonts w:ascii="宋体" w:hAnsi="宋体" w:cs="宋体"/>
                <w:kern w:val="0"/>
                <w:sz w:val="22"/>
              </w:rPr>
            </w:pPr>
            <w:r>
              <w:rPr>
                <w:rFonts w:hint="eastAsia" w:ascii="宋体" w:hAnsi="宋体" w:cs="宋体"/>
                <w:kern w:val="0"/>
                <w:sz w:val="22"/>
              </w:rPr>
              <w:t>20</w:t>
            </w:r>
          </w:p>
        </w:tc>
        <w:tc>
          <w:tcPr>
            <w:tcW w:w="1072" w:type="dxa"/>
            <w:shd w:val="clear" w:color="auto" w:fill="auto"/>
            <w:vAlign w:val="center"/>
          </w:tcPr>
          <w:p w14:paraId="2CE0A17D">
            <w:pPr>
              <w:widowControl/>
              <w:jc w:val="left"/>
              <w:rPr>
                <w:rFonts w:ascii="宋体" w:hAnsi="宋体" w:cs="宋体"/>
                <w:kern w:val="0"/>
                <w:sz w:val="22"/>
              </w:rPr>
            </w:pPr>
            <w:r>
              <w:rPr>
                <w:rFonts w:hint="eastAsia" w:ascii="宋体" w:hAnsi="宋体" w:cs="宋体"/>
                <w:kern w:val="0"/>
                <w:sz w:val="22"/>
              </w:rPr>
              <w:t>万向吸风罩</w:t>
            </w:r>
          </w:p>
        </w:tc>
        <w:tc>
          <w:tcPr>
            <w:tcW w:w="4897" w:type="dxa"/>
            <w:shd w:val="clear" w:color="auto" w:fill="auto"/>
            <w:vAlign w:val="center"/>
          </w:tcPr>
          <w:p w14:paraId="40A00A75">
            <w:pPr>
              <w:widowControl/>
              <w:jc w:val="left"/>
              <w:rPr>
                <w:rFonts w:ascii="宋体" w:hAnsi="宋体" w:cs="宋体"/>
                <w:kern w:val="0"/>
                <w:sz w:val="22"/>
              </w:rPr>
            </w:pPr>
            <w:r>
              <w:rPr>
                <w:rFonts w:hint="eastAsia" w:ascii="宋体" w:hAnsi="宋体" w:cs="宋体"/>
                <w:kern w:val="0"/>
                <w:sz w:val="22"/>
              </w:rPr>
              <w:t>1.规格：主体管径≥75mm,通风罩口直径≥375mm，额定排气量350m³/h。，主体最大拉伸角度≥135°，支架总长度≥990mm，可定制长度，支架管道接口外径90mm，适用于到工作台面高度1500～2400mm。</w:t>
            </w:r>
            <w:r>
              <w:rPr>
                <w:rFonts w:hint="eastAsia" w:ascii="宋体" w:hAnsi="宋体" w:cs="宋体"/>
                <w:kern w:val="0"/>
                <w:sz w:val="22"/>
              </w:rPr>
              <w:br w:type="textWrapping"/>
            </w:r>
            <w:r>
              <w:rPr>
                <w:rFonts w:hint="eastAsia" w:ascii="宋体" w:hAnsi="宋体" w:cs="宋体"/>
                <w:kern w:val="0"/>
                <w:sz w:val="22"/>
              </w:rPr>
              <w:t>2.采用高密度PP材质，独特的关节结构使关节调整时极具灵活性，根据实地需求可360°自由旋转调节方向，以便气流经过时降低不必要产生的湍流，以固定架为中心垂直拉伸最大活动半径可达1650mm。</w:t>
            </w:r>
            <w:r>
              <w:rPr>
                <w:rFonts w:hint="eastAsia" w:ascii="宋体" w:hAnsi="宋体" w:cs="宋体"/>
                <w:kern w:val="0"/>
                <w:sz w:val="22"/>
              </w:rPr>
              <w:br w:type="textWrapping"/>
            </w:r>
            <w:r>
              <w:rPr>
                <w:rFonts w:hint="eastAsia" w:ascii="宋体" w:hAnsi="宋体" w:cs="宋体"/>
                <w:kern w:val="0"/>
                <w:sz w:val="22"/>
              </w:rPr>
              <w:t>3.抽气罩吊顶处配有装饰盘，确保抽气罩安装后吊顶处不会出现黑边，保证实验室的整体美观。</w:t>
            </w:r>
            <w:r>
              <w:rPr>
                <w:rFonts w:hint="eastAsia" w:ascii="宋体" w:hAnsi="宋体" w:cs="宋体"/>
                <w:kern w:val="0"/>
                <w:sz w:val="22"/>
              </w:rPr>
              <w:br w:type="textWrapping"/>
            </w:r>
            <w:r>
              <w:rPr>
                <w:rFonts w:hint="eastAsia" w:ascii="宋体" w:hAnsi="宋体" w:cs="宋体"/>
                <w:kern w:val="0"/>
                <w:sz w:val="22"/>
              </w:rPr>
              <w:t>4.关节密封圈：采用高密度橡胶。</w:t>
            </w:r>
            <w:r>
              <w:rPr>
                <w:rFonts w:hint="eastAsia" w:ascii="宋体" w:hAnsi="宋体" w:cs="宋体"/>
                <w:kern w:val="0"/>
                <w:sz w:val="22"/>
              </w:rPr>
              <w:br w:type="textWrapping"/>
            </w:r>
            <w:r>
              <w:rPr>
                <w:rFonts w:hint="eastAsia" w:ascii="宋体" w:hAnsi="宋体" w:cs="宋体"/>
                <w:kern w:val="0"/>
                <w:sz w:val="22"/>
              </w:rPr>
              <w:t>5.关节连接杆：304不锈钢材质；关节弹簧装置：304不锈钢材质</w:t>
            </w:r>
            <w:r>
              <w:rPr>
                <w:rFonts w:hint="eastAsia" w:ascii="宋体" w:hAnsi="宋体" w:cs="宋体"/>
                <w:kern w:val="0"/>
                <w:sz w:val="22"/>
              </w:rPr>
              <w:br w:type="textWrapping"/>
            </w:r>
            <w:r>
              <w:rPr>
                <w:rFonts w:hint="eastAsia" w:ascii="宋体" w:hAnsi="宋体" w:cs="宋体"/>
                <w:kern w:val="0"/>
                <w:sz w:val="22"/>
              </w:rPr>
              <w:t>6.关节松紧旋钮：高密度PP材质，内嵌304不锈钢推力轴承，与关节连接杆锁合。</w:t>
            </w:r>
            <w:r>
              <w:rPr>
                <w:rFonts w:hint="eastAsia" w:ascii="宋体" w:hAnsi="宋体" w:cs="宋体"/>
                <w:kern w:val="0"/>
                <w:sz w:val="22"/>
              </w:rPr>
              <w:br w:type="textWrapping"/>
            </w:r>
            <w:r>
              <w:rPr>
                <w:rFonts w:hint="eastAsia" w:ascii="宋体" w:hAnsi="宋体" w:cs="宋体"/>
                <w:kern w:val="0"/>
                <w:sz w:val="22"/>
              </w:rPr>
              <w:t>7.压力轴承装置防下垂、下滑，避免松动。</w:t>
            </w:r>
            <w:r>
              <w:rPr>
                <w:rFonts w:hint="eastAsia" w:ascii="宋体" w:hAnsi="宋体" w:cs="宋体"/>
                <w:kern w:val="0"/>
                <w:sz w:val="22"/>
              </w:rPr>
              <w:br w:type="textWrapping"/>
            </w:r>
            <w:r>
              <w:rPr>
                <w:rFonts w:hint="eastAsia" w:ascii="宋体" w:hAnsi="宋体" w:cs="宋体"/>
                <w:kern w:val="0"/>
                <w:sz w:val="22"/>
              </w:rPr>
              <w:t>8.气流调节阀：调节阀挡风板设在罩口与管连接处，调节精度高，手动调节外部阀门旋钮，操作方便，控制进入通风管道内的气流量。</w:t>
            </w:r>
            <w:r>
              <w:rPr>
                <w:rFonts w:hint="eastAsia" w:ascii="宋体" w:hAnsi="宋体" w:cs="宋体"/>
                <w:kern w:val="0"/>
                <w:sz w:val="22"/>
              </w:rPr>
              <w:br w:type="textWrapping"/>
            </w:r>
            <w:r>
              <w:rPr>
                <w:rFonts w:hint="eastAsia" w:ascii="宋体" w:hAnsi="宋体" w:cs="宋体"/>
                <w:kern w:val="0"/>
                <w:sz w:val="22"/>
              </w:rPr>
              <w:t>9.固定底座：模具注塑一体成型，牢度强，不易脱落</w:t>
            </w:r>
            <w:r>
              <w:rPr>
                <w:rFonts w:hint="eastAsia" w:ascii="宋体" w:hAnsi="宋体" w:cs="宋体"/>
                <w:kern w:val="0"/>
                <w:sz w:val="22"/>
              </w:rPr>
              <w:br w:type="textWrapping"/>
            </w:r>
            <w:r>
              <w:rPr>
                <w:rFonts w:hint="eastAsia" w:ascii="宋体" w:hAnsi="宋体" w:cs="宋体"/>
                <w:kern w:val="0"/>
                <w:sz w:val="22"/>
              </w:rPr>
              <w:t>10.集气罩：PP白色/红色/透明。</w:t>
            </w:r>
            <w:r>
              <w:rPr>
                <w:rFonts w:hint="eastAsia" w:ascii="宋体" w:hAnsi="宋体" w:cs="宋体"/>
                <w:kern w:val="0"/>
                <w:sz w:val="22"/>
              </w:rPr>
              <w:br w:type="textWrapping"/>
            </w:r>
            <w:r>
              <w:rPr>
                <w:rFonts w:hint="eastAsia" w:ascii="宋体" w:hAnsi="宋体" w:cs="宋体"/>
                <w:kern w:val="0"/>
                <w:sz w:val="22"/>
              </w:rPr>
              <w:t>万向吸风罩技术性能需满足GB/T 9286-1998 《色漆和清漆 划格试验》及GB/T 10125-2021 《人造气氛腐蚀试验 盐雾试验》中性盐雾试验不小于10级，附着力不大于0.1级；</w:t>
            </w:r>
            <w:r>
              <w:rPr>
                <w:rFonts w:hint="eastAsia" w:ascii="宋体" w:hAnsi="宋体" w:cs="宋体"/>
                <w:kern w:val="0"/>
                <w:sz w:val="22"/>
              </w:rPr>
              <w:br w:type="textWrapping"/>
            </w:r>
            <w:r>
              <w:rPr>
                <w:rFonts w:hint="eastAsia" w:ascii="宋体" w:hAnsi="宋体" w:cs="宋体"/>
                <w:kern w:val="0"/>
                <w:sz w:val="22"/>
              </w:rPr>
              <w:t>供货时提供由生产厂家送检满足以上技术要求并具有CMA、CNAS、liac-MRA认证检测机构出具的万向吸风罩检测报告复印件。</w:t>
            </w:r>
          </w:p>
        </w:tc>
        <w:tc>
          <w:tcPr>
            <w:tcW w:w="462" w:type="dxa"/>
            <w:shd w:val="clear" w:color="auto" w:fill="auto"/>
            <w:noWrap/>
            <w:vAlign w:val="center"/>
          </w:tcPr>
          <w:p w14:paraId="56BE005F">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52211C7E">
            <w:pPr>
              <w:widowControl/>
              <w:jc w:val="left"/>
              <w:rPr>
                <w:rFonts w:ascii="宋体" w:hAnsi="宋体" w:cs="宋体"/>
                <w:kern w:val="0"/>
                <w:sz w:val="22"/>
              </w:rPr>
            </w:pPr>
            <w:r>
              <w:rPr>
                <w:rFonts w:hint="eastAsia" w:ascii="宋体" w:hAnsi="宋体" w:cs="宋体"/>
                <w:kern w:val="0"/>
                <w:sz w:val="22"/>
              </w:rPr>
              <w:t>11</w:t>
            </w:r>
          </w:p>
        </w:tc>
        <w:tc>
          <w:tcPr>
            <w:tcW w:w="1048" w:type="dxa"/>
            <w:shd w:val="clear" w:color="auto" w:fill="auto"/>
            <w:noWrap/>
            <w:vAlign w:val="center"/>
          </w:tcPr>
          <w:p w14:paraId="5B4F01C3">
            <w:pPr>
              <w:widowControl/>
              <w:jc w:val="left"/>
              <w:rPr>
                <w:rFonts w:ascii="宋体" w:hAnsi="宋体" w:cs="宋体"/>
                <w:kern w:val="0"/>
                <w:sz w:val="22"/>
              </w:rPr>
            </w:pPr>
            <w:r>
              <w:rPr>
                <w:rFonts w:hint="eastAsia" w:ascii="宋体" w:hAnsi="宋体" w:cs="宋体"/>
                <w:kern w:val="0"/>
                <w:sz w:val="22"/>
              </w:rPr>
              <w:t>1200</w:t>
            </w:r>
          </w:p>
        </w:tc>
        <w:tc>
          <w:tcPr>
            <w:tcW w:w="1489" w:type="dxa"/>
            <w:shd w:val="clear" w:color="auto" w:fill="auto"/>
            <w:noWrap/>
            <w:vAlign w:val="center"/>
          </w:tcPr>
          <w:p w14:paraId="01037694">
            <w:pPr>
              <w:widowControl/>
              <w:jc w:val="left"/>
              <w:rPr>
                <w:rFonts w:ascii="宋体" w:hAnsi="宋体" w:cs="宋体"/>
                <w:kern w:val="0"/>
                <w:sz w:val="22"/>
              </w:rPr>
            </w:pPr>
            <w:r>
              <w:rPr>
                <w:rFonts w:hint="eastAsia" w:ascii="宋体" w:hAnsi="宋体" w:cs="宋体"/>
                <w:kern w:val="0"/>
                <w:sz w:val="22"/>
              </w:rPr>
              <w:t>13200</w:t>
            </w:r>
          </w:p>
        </w:tc>
      </w:tr>
      <w:tr w14:paraId="79E7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51AC070">
            <w:pPr>
              <w:widowControl/>
              <w:jc w:val="center"/>
              <w:rPr>
                <w:rFonts w:ascii="宋体" w:hAnsi="宋体" w:cs="宋体"/>
                <w:kern w:val="0"/>
                <w:sz w:val="22"/>
              </w:rPr>
            </w:pPr>
            <w:r>
              <w:rPr>
                <w:rFonts w:hint="eastAsia" w:ascii="宋体" w:hAnsi="宋体" w:cs="宋体"/>
                <w:kern w:val="0"/>
                <w:sz w:val="22"/>
              </w:rPr>
              <w:t>21</w:t>
            </w:r>
          </w:p>
        </w:tc>
        <w:tc>
          <w:tcPr>
            <w:tcW w:w="1072" w:type="dxa"/>
            <w:shd w:val="clear" w:color="auto" w:fill="auto"/>
            <w:vAlign w:val="center"/>
          </w:tcPr>
          <w:p w14:paraId="6E553844">
            <w:pPr>
              <w:widowControl/>
              <w:jc w:val="left"/>
              <w:rPr>
                <w:rFonts w:ascii="宋体" w:hAnsi="宋体" w:cs="宋体"/>
                <w:kern w:val="0"/>
                <w:sz w:val="22"/>
              </w:rPr>
            </w:pPr>
            <w:r>
              <w:rPr>
                <w:rFonts w:hint="eastAsia" w:ascii="宋体" w:hAnsi="宋体" w:cs="宋体"/>
                <w:kern w:val="0"/>
                <w:sz w:val="22"/>
              </w:rPr>
              <w:t>减振器</w:t>
            </w:r>
          </w:p>
        </w:tc>
        <w:tc>
          <w:tcPr>
            <w:tcW w:w="4897" w:type="dxa"/>
            <w:shd w:val="clear" w:color="auto" w:fill="auto"/>
            <w:vAlign w:val="center"/>
          </w:tcPr>
          <w:p w14:paraId="565C6FA7">
            <w:pPr>
              <w:widowControl/>
              <w:jc w:val="left"/>
              <w:rPr>
                <w:rFonts w:ascii="宋体" w:hAnsi="宋体" w:cs="宋体"/>
                <w:kern w:val="0"/>
                <w:sz w:val="22"/>
              </w:rPr>
            </w:pPr>
            <w:r>
              <w:rPr>
                <w:rFonts w:hint="eastAsia" w:ascii="宋体" w:hAnsi="宋体" w:cs="宋体"/>
                <w:kern w:val="0"/>
                <w:sz w:val="22"/>
              </w:rPr>
              <w:t>强力弹性橡胶减振</w:t>
            </w:r>
          </w:p>
        </w:tc>
        <w:tc>
          <w:tcPr>
            <w:tcW w:w="462" w:type="dxa"/>
            <w:shd w:val="clear" w:color="auto" w:fill="auto"/>
            <w:noWrap/>
            <w:vAlign w:val="center"/>
          </w:tcPr>
          <w:p w14:paraId="333449B0">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77FBAD9D">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0D406795">
            <w:pPr>
              <w:widowControl/>
              <w:jc w:val="left"/>
              <w:rPr>
                <w:rFonts w:ascii="宋体" w:hAnsi="宋体" w:cs="宋体"/>
                <w:kern w:val="0"/>
                <w:sz w:val="22"/>
              </w:rPr>
            </w:pPr>
            <w:r>
              <w:rPr>
                <w:rFonts w:hint="eastAsia" w:ascii="宋体" w:hAnsi="宋体" w:cs="宋体"/>
                <w:kern w:val="0"/>
                <w:sz w:val="22"/>
              </w:rPr>
              <w:t>160</w:t>
            </w:r>
          </w:p>
        </w:tc>
        <w:tc>
          <w:tcPr>
            <w:tcW w:w="1489" w:type="dxa"/>
            <w:shd w:val="clear" w:color="auto" w:fill="auto"/>
            <w:noWrap/>
            <w:vAlign w:val="center"/>
          </w:tcPr>
          <w:p w14:paraId="7AD2893B">
            <w:pPr>
              <w:widowControl/>
              <w:jc w:val="left"/>
              <w:rPr>
                <w:rFonts w:ascii="宋体" w:hAnsi="宋体" w:cs="宋体"/>
                <w:kern w:val="0"/>
                <w:sz w:val="22"/>
              </w:rPr>
            </w:pPr>
            <w:r>
              <w:rPr>
                <w:rFonts w:hint="eastAsia" w:ascii="宋体" w:hAnsi="宋体" w:cs="宋体"/>
                <w:kern w:val="0"/>
                <w:sz w:val="22"/>
              </w:rPr>
              <w:t>160</w:t>
            </w:r>
          </w:p>
        </w:tc>
      </w:tr>
      <w:tr w14:paraId="4738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362E28E">
            <w:pPr>
              <w:widowControl/>
              <w:jc w:val="center"/>
              <w:rPr>
                <w:rFonts w:ascii="宋体" w:hAnsi="宋体" w:cs="宋体"/>
                <w:kern w:val="0"/>
                <w:sz w:val="22"/>
              </w:rPr>
            </w:pPr>
            <w:r>
              <w:rPr>
                <w:rFonts w:hint="eastAsia" w:ascii="宋体" w:hAnsi="宋体" w:cs="宋体"/>
                <w:kern w:val="0"/>
                <w:sz w:val="22"/>
              </w:rPr>
              <w:t>22</w:t>
            </w:r>
          </w:p>
        </w:tc>
        <w:tc>
          <w:tcPr>
            <w:tcW w:w="1072" w:type="dxa"/>
            <w:shd w:val="clear" w:color="auto" w:fill="auto"/>
            <w:vAlign w:val="center"/>
          </w:tcPr>
          <w:p w14:paraId="439A2DF0">
            <w:pPr>
              <w:widowControl/>
              <w:jc w:val="left"/>
              <w:rPr>
                <w:rFonts w:ascii="宋体" w:hAnsi="宋体" w:cs="宋体"/>
                <w:kern w:val="0"/>
                <w:sz w:val="22"/>
              </w:rPr>
            </w:pPr>
            <w:r>
              <w:rPr>
                <w:rFonts w:hint="eastAsia" w:ascii="宋体" w:hAnsi="宋体" w:cs="宋体"/>
                <w:kern w:val="0"/>
                <w:sz w:val="22"/>
              </w:rPr>
              <w:t>风机进出口柔性接头</w:t>
            </w:r>
          </w:p>
        </w:tc>
        <w:tc>
          <w:tcPr>
            <w:tcW w:w="4897" w:type="dxa"/>
            <w:shd w:val="clear" w:color="auto" w:fill="auto"/>
            <w:vAlign w:val="center"/>
          </w:tcPr>
          <w:p w14:paraId="0CE12D8D">
            <w:pPr>
              <w:widowControl/>
              <w:jc w:val="left"/>
              <w:rPr>
                <w:rFonts w:ascii="宋体" w:hAnsi="宋体" w:cs="宋体"/>
                <w:kern w:val="0"/>
                <w:sz w:val="22"/>
              </w:rPr>
            </w:pPr>
            <w:r>
              <w:rPr>
                <w:rFonts w:hint="eastAsia" w:ascii="宋体" w:hAnsi="宋体" w:cs="宋体"/>
                <w:kern w:val="0"/>
                <w:sz w:val="22"/>
              </w:rPr>
              <w:t>柔性材质，通风机与消声器的连接，消除因震动引起的微量错位对通风机的影响。</w:t>
            </w:r>
          </w:p>
        </w:tc>
        <w:tc>
          <w:tcPr>
            <w:tcW w:w="462" w:type="dxa"/>
            <w:shd w:val="clear" w:color="auto" w:fill="auto"/>
            <w:noWrap/>
            <w:vAlign w:val="center"/>
          </w:tcPr>
          <w:p w14:paraId="359D3A23">
            <w:pPr>
              <w:widowControl/>
              <w:jc w:val="left"/>
              <w:rPr>
                <w:rFonts w:ascii="宋体" w:hAnsi="宋体" w:cs="宋体"/>
                <w:kern w:val="0"/>
                <w:sz w:val="22"/>
              </w:rPr>
            </w:pPr>
            <w:r>
              <w:rPr>
                <w:rFonts w:hint="eastAsia" w:ascii="宋体" w:hAnsi="宋体" w:cs="宋体"/>
                <w:kern w:val="0"/>
                <w:sz w:val="22"/>
              </w:rPr>
              <w:t>项</w:t>
            </w:r>
          </w:p>
        </w:tc>
        <w:tc>
          <w:tcPr>
            <w:tcW w:w="605" w:type="dxa"/>
            <w:shd w:val="clear" w:color="auto" w:fill="auto"/>
            <w:noWrap/>
            <w:vAlign w:val="center"/>
          </w:tcPr>
          <w:p w14:paraId="6BCC283B">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12303F45">
            <w:pPr>
              <w:widowControl/>
              <w:jc w:val="left"/>
              <w:rPr>
                <w:rFonts w:ascii="宋体" w:hAnsi="宋体" w:cs="宋体"/>
                <w:kern w:val="0"/>
                <w:sz w:val="22"/>
              </w:rPr>
            </w:pPr>
            <w:r>
              <w:rPr>
                <w:rFonts w:hint="eastAsia" w:ascii="宋体" w:hAnsi="宋体" w:cs="宋体"/>
                <w:kern w:val="0"/>
                <w:sz w:val="22"/>
              </w:rPr>
              <w:t>310</w:t>
            </w:r>
          </w:p>
        </w:tc>
        <w:tc>
          <w:tcPr>
            <w:tcW w:w="1489" w:type="dxa"/>
            <w:shd w:val="clear" w:color="auto" w:fill="auto"/>
            <w:noWrap/>
            <w:vAlign w:val="center"/>
          </w:tcPr>
          <w:p w14:paraId="5FF7F9D4">
            <w:pPr>
              <w:widowControl/>
              <w:jc w:val="left"/>
              <w:rPr>
                <w:rFonts w:ascii="宋体" w:hAnsi="宋体" w:cs="宋体"/>
                <w:kern w:val="0"/>
                <w:sz w:val="22"/>
              </w:rPr>
            </w:pPr>
            <w:r>
              <w:rPr>
                <w:rFonts w:hint="eastAsia" w:ascii="宋体" w:hAnsi="宋体" w:cs="宋体"/>
                <w:kern w:val="0"/>
                <w:sz w:val="22"/>
              </w:rPr>
              <w:t>310</w:t>
            </w:r>
          </w:p>
        </w:tc>
      </w:tr>
      <w:tr w14:paraId="0ED8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AE8414">
            <w:pPr>
              <w:widowControl/>
              <w:jc w:val="center"/>
              <w:rPr>
                <w:rFonts w:ascii="宋体" w:hAnsi="宋体" w:cs="宋体"/>
                <w:kern w:val="0"/>
                <w:sz w:val="22"/>
              </w:rPr>
            </w:pPr>
            <w:r>
              <w:rPr>
                <w:rFonts w:hint="eastAsia" w:ascii="宋体" w:hAnsi="宋体" w:cs="宋体"/>
                <w:kern w:val="0"/>
                <w:sz w:val="22"/>
              </w:rPr>
              <w:t>23</w:t>
            </w:r>
          </w:p>
        </w:tc>
        <w:tc>
          <w:tcPr>
            <w:tcW w:w="1072" w:type="dxa"/>
            <w:shd w:val="clear" w:color="auto" w:fill="auto"/>
            <w:vAlign w:val="center"/>
          </w:tcPr>
          <w:p w14:paraId="520DD891">
            <w:pPr>
              <w:widowControl/>
              <w:jc w:val="left"/>
              <w:rPr>
                <w:rFonts w:ascii="宋体" w:hAnsi="宋体" w:cs="宋体"/>
                <w:kern w:val="0"/>
                <w:sz w:val="22"/>
              </w:rPr>
            </w:pPr>
            <w:r>
              <w:rPr>
                <w:rFonts w:hint="eastAsia" w:ascii="宋体" w:hAnsi="宋体" w:cs="宋体"/>
                <w:kern w:val="0"/>
                <w:sz w:val="22"/>
              </w:rPr>
              <w:t>室内通风支管</w:t>
            </w:r>
          </w:p>
        </w:tc>
        <w:tc>
          <w:tcPr>
            <w:tcW w:w="4897" w:type="dxa"/>
            <w:shd w:val="clear" w:color="auto" w:fill="auto"/>
            <w:vAlign w:val="center"/>
          </w:tcPr>
          <w:p w14:paraId="783A22B1">
            <w:pPr>
              <w:widowControl/>
              <w:jc w:val="left"/>
              <w:rPr>
                <w:rFonts w:ascii="宋体" w:hAnsi="宋体" w:cs="宋体"/>
                <w:kern w:val="0"/>
                <w:sz w:val="22"/>
              </w:rPr>
            </w:pPr>
            <w:r>
              <w:rPr>
                <w:rFonts w:hint="eastAsia" w:ascii="宋体" w:hAnsi="宋体" w:cs="宋体"/>
                <w:kern w:val="0"/>
                <w:sz w:val="22"/>
              </w:rPr>
              <w:t>主管通向学生桌的主支管采用Φ200mm的PVC圆管、支管采用Φ110mm的PVC圆管，合理设计布置通风走向。</w:t>
            </w:r>
          </w:p>
        </w:tc>
        <w:tc>
          <w:tcPr>
            <w:tcW w:w="462" w:type="dxa"/>
            <w:shd w:val="clear" w:color="auto" w:fill="auto"/>
            <w:noWrap/>
            <w:vAlign w:val="center"/>
          </w:tcPr>
          <w:p w14:paraId="6951CF58">
            <w:pPr>
              <w:widowControl/>
              <w:jc w:val="left"/>
              <w:rPr>
                <w:rFonts w:ascii="宋体" w:hAnsi="宋体" w:cs="宋体"/>
                <w:kern w:val="0"/>
                <w:sz w:val="22"/>
              </w:rPr>
            </w:pPr>
            <w:r>
              <w:rPr>
                <w:rFonts w:hint="eastAsia" w:ascii="宋体" w:hAnsi="宋体" w:cs="宋体"/>
                <w:kern w:val="0"/>
                <w:sz w:val="22"/>
              </w:rPr>
              <w:t>项</w:t>
            </w:r>
          </w:p>
        </w:tc>
        <w:tc>
          <w:tcPr>
            <w:tcW w:w="605" w:type="dxa"/>
            <w:shd w:val="clear" w:color="auto" w:fill="auto"/>
            <w:noWrap/>
            <w:vAlign w:val="center"/>
          </w:tcPr>
          <w:p w14:paraId="028C444E">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5A2515F0">
            <w:pPr>
              <w:widowControl/>
              <w:jc w:val="left"/>
              <w:rPr>
                <w:rFonts w:ascii="宋体" w:hAnsi="宋体" w:cs="宋体"/>
                <w:kern w:val="0"/>
                <w:sz w:val="22"/>
              </w:rPr>
            </w:pPr>
            <w:r>
              <w:rPr>
                <w:rFonts w:hint="eastAsia" w:ascii="宋体" w:hAnsi="宋体" w:cs="宋体"/>
                <w:kern w:val="0"/>
                <w:sz w:val="22"/>
              </w:rPr>
              <w:t>6900</w:t>
            </w:r>
          </w:p>
        </w:tc>
        <w:tc>
          <w:tcPr>
            <w:tcW w:w="1489" w:type="dxa"/>
            <w:shd w:val="clear" w:color="auto" w:fill="auto"/>
            <w:noWrap/>
            <w:vAlign w:val="center"/>
          </w:tcPr>
          <w:p w14:paraId="5BC77B78">
            <w:pPr>
              <w:widowControl/>
              <w:jc w:val="left"/>
              <w:rPr>
                <w:rFonts w:ascii="宋体" w:hAnsi="宋体" w:cs="宋体"/>
                <w:kern w:val="0"/>
                <w:sz w:val="22"/>
              </w:rPr>
            </w:pPr>
            <w:r>
              <w:rPr>
                <w:rFonts w:hint="eastAsia" w:ascii="宋体" w:hAnsi="宋体" w:cs="宋体"/>
                <w:kern w:val="0"/>
                <w:sz w:val="22"/>
              </w:rPr>
              <w:t>6900</w:t>
            </w:r>
          </w:p>
        </w:tc>
      </w:tr>
      <w:tr w14:paraId="45A4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4EFD5E4">
            <w:pPr>
              <w:widowControl/>
              <w:jc w:val="center"/>
              <w:rPr>
                <w:rFonts w:ascii="宋体" w:hAnsi="宋体" w:cs="宋体"/>
                <w:kern w:val="0"/>
                <w:sz w:val="22"/>
              </w:rPr>
            </w:pPr>
            <w:r>
              <w:rPr>
                <w:rFonts w:hint="eastAsia" w:ascii="宋体" w:hAnsi="宋体" w:cs="宋体"/>
                <w:kern w:val="0"/>
                <w:sz w:val="22"/>
              </w:rPr>
              <w:t>24</w:t>
            </w:r>
          </w:p>
        </w:tc>
        <w:tc>
          <w:tcPr>
            <w:tcW w:w="1072" w:type="dxa"/>
            <w:shd w:val="clear" w:color="auto" w:fill="auto"/>
            <w:vAlign w:val="center"/>
          </w:tcPr>
          <w:p w14:paraId="1FED63B9">
            <w:pPr>
              <w:widowControl/>
              <w:jc w:val="left"/>
              <w:rPr>
                <w:rFonts w:ascii="宋体" w:hAnsi="宋体" w:cs="宋体"/>
                <w:kern w:val="0"/>
                <w:sz w:val="22"/>
              </w:rPr>
            </w:pPr>
            <w:r>
              <w:rPr>
                <w:rFonts w:hint="eastAsia" w:ascii="宋体" w:hAnsi="宋体" w:cs="宋体"/>
                <w:kern w:val="0"/>
                <w:sz w:val="22"/>
              </w:rPr>
              <w:t>室外通风管道</w:t>
            </w:r>
          </w:p>
        </w:tc>
        <w:tc>
          <w:tcPr>
            <w:tcW w:w="4897" w:type="dxa"/>
            <w:shd w:val="clear" w:color="auto" w:fill="auto"/>
            <w:vAlign w:val="center"/>
          </w:tcPr>
          <w:p w14:paraId="71176627">
            <w:pPr>
              <w:widowControl/>
              <w:jc w:val="left"/>
              <w:rPr>
                <w:rFonts w:ascii="宋体" w:hAnsi="宋体" w:cs="宋体"/>
                <w:kern w:val="0"/>
                <w:sz w:val="22"/>
              </w:rPr>
            </w:pPr>
            <w:r>
              <w:rPr>
                <w:rFonts w:hint="eastAsia" w:ascii="宋体" w:hAnsi="宋体" w:cs="宋体"/>
                <w:kern w:val="0"/>
                <w:sz w:val="22"/>
              </w:rPr>
              <w:t>室外采用Φ400mm的PVC圆管,通至楼顶风机处。合理设计布置通风走向。</w:t>
            </w:r>
          </w:p>
        </w:tc>
        <w:tc>
          <w:tcPr>
            <w:tcW w:w="462" w:type="dxa"/>
            <w:shd w:val="clear" w:color="auto" w:fill="auto"/>
            <w:noWrap/>
            <w:vAlign w:val="center"/>
          </w:tcPr>
          <w:p w14:paraId="29B6DDFB">
            <w:pPr>
              <w:widowControl/>
              <w:jc w:val="left"/>
              <w:rPr>
                <w:rFonts w:ascii="宋体" w:hAnsi="宋体" w:cs="宋体"/>
                <w:kern w:val="0"/>
                <w:sz w:val="22"/>
              </w:rPr>
            </w:pPr>
            <w:r>
              <w:rPr>
                <w:rFonts w:hint="eastAsia" w:ascii="宋体" w:hAnsi="宋体" w:cs="宋体"/>
                <w:kern w:val="0"/>
                <w:sz w:val="22"/>
              </w:rPr>
              <w:t>项</w:t>
            </w:r>
          </w:p>
        </w:tc>
        <w:tc>
          <w:tcPr>
            <w:tcW w:w="605" w:type="dxa"/>
            <w:shd w:val="clear" w:color="auto" w:fill="auto"/>
            <w:noWrap/>
            <w:vAlign w:val="center"/>
          </w:tcPr>
          <w:p w14:paraId="676EAABE">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1B991C95">
            <w:pPr>
              <w:widowControl/>
              <w:jc w:val="left"/>
              <w:rPr>
                <w:rFonts w:ascii="宋体" w:hAnsi="宋体" w:cs="宋体"/>
                <w:kern w:val="0"/>
                <w:sz w:val="22"/>
              </w:rPr>
            </w:pPr>
            <w:r>
              <w:rPr>
                <w:rFonts w:hint="eastAsia" w:ascii="宋体" w:hAnsi="宋体" w:cs="宋体"/>
                <w:kern w:val="0"/>
                <w:sz w:val="22"/>
              </w:rPr>
              <w:t>12100</w:t>
            </w:r>
          </w:p>
        </w:tc>
        <w:tc>
          <w:tcPr>
            <w:tcW w:w="1489" w:type="dxa"/>
            <w:shd w:val="clear" w:color="auto" w:fill="auto"/>
            <w:noWrap/>
            <w:vAlign w:val="center"/>
          </w:tcPr>
          <w:p w14:paraId="5BEA46A3">
            <w:pPr>
              <w:widowControl/>
              <w:jc w:val="left"/>
              <w:rPr>
                <w:rFonts w:ascii="宋体" w:hAnsi="宋体" w:cs="宋体"/>
                <w:kern w:val="0"/>
                <w:sz w:val="22"/>
              </w:rPr>
            </w:pPr>
            <w:r>
              <w:rPr>
                <w:rFonts w:hint="eastAsia" w:ascii="宋体" w:hAnsi="宋体" w:cs="宋体"/>
                <w:kern w:val="0"/>
                <w:sz w:val="22"/>
              </w:rPr>
              <w:t>12100</w:t>
            </w:r>
          </w:p>
        </w:tc>
      </w:tr>
      <w:tr w14:paraId="211B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A5290CD">
            <w:pPr>
              <w:widowControl/>
              <w:jc w:val="center"/>
              <w:rPr>
                <w:rFonts w:ascii="宋体" w:hAnsi="宋体" w:cs="宋体"/>
                <w:kern w:val="0"/>
                <w:sz w:val="22"/>
              </w:rPr>
            </w:pPr>
            <w:r>
              <w:rPr>
                <w:rFonts w:hint="eastAsia" w:ascii="宋体" w:hAnsi="宋体" w:cs="宋体"/>
                <w:kern w:val="0"/>
                <w:sz w:val="22"/>
              </w:rPr>
              <w:t>25</w:t>
            </w:r>
          </w:p>
        </w:tc>
        <w:tc>
          <w:tcPr>
            <w:tcW w:w="1072" w:type="dxa"/>
            <w:shd w:val="clear" w:color="auto" w:fill="auto"/>
            <w:vAlign w:val="center"/>
          </w:tcPr>
          <w:p w14:paraId="2C89E922">
            <w:pPr>
              <w:widowControl/>
              <w:jc w:val="left"/>
              <w:rPr>
                <w:rFonts w:ascii="宋体" w:hAnsi="宋体" w:cs="宋体"/>
                <w:kern w:val="0"/>
                <w:sz w:val="22"/>
              </w:rPr>
            </w:pPr>
            <w:r>
              <w:rPr>
                <w:rFonts w:hint="eastAsia" w:ascii="宋体" w:hAnsi="宋体" w:cs="宋体"/>
                <w:kern w:val="0"/>
                <w:sz w:val="22"/>
              </w:rPr>
              <w:t>辅材及安装</w:t>
            </w:r>
          </w:p>
        </w:tc>
        <w:tc>
          <w:tcPr>
            <w:tcW w:w="4897" w:type="dxa"/>
            <w:shd w:val="clear" w:color="auto" w:fill="auto"/>
            <w:vAlign w:val="center"/>
          </w:tcPr>
          <w:p w14:paraId="41C17CF7">
            <w:pPr>
              <w:widowControl/>
              <w:jc w:val="left"/>
              <w:rPr>
                <w:rFonts w:ascii="宋体" w:hAnsi="宋体" w:cs="宋体"/>
                <w:kern w:val="0"/>
                <w:sz w:val="22"/>
              </w:rPr>
            </w:pPr>
            <w:r>
              <w:rPr>
                <w:rFonts w:hint="eastAsia" w:ascii="宋体" w:hAnsi="宋体" w:cs="宋体"/>
                <w:kern w:val="0"/>
                <w:sz w:val="22"/>
              </w:rPr>
              <w:t>1.材料：各种安装支、HDMI线，铜线电源线，音频线，插座等必备配件，六类网线。 PVC不燃线槽（管）、视频线接头、电源插座等线材设备以及相关的周边设备、音视频线接头及相关配件、材料全部包干并安装（包括仪器上架贴签等）、调试、培训直至设备正常使用；</w:t>
            </w:r>
            <w:r>
              <w:rPr>
                <w:rFonts w:hint="eastAsia" w:ascii="宋体" w:hAnsi="宋体" w:cs="宋体"/>
                <w:kern w:val="0"/>
                <w:sz w:val="22"/>
              </w:rPr>
              <w:br w:type="textWrapping"/>
            </w:r>
            <w:r>
              <w:rPr>
                <w:rFonts w:hint="eastAsia" w:ascii="宋体" w:hAnsi="宋体" w:cs="宋体"/>
                <w:kern w:val="0"/>
                <w:sz w:val="22"/>
              </w:rPr>
              <w:t>2.如有开槽施工，开槽后的回填方案由使用方签字确认后实施。</w:t>
            </w:r>
            <w:r>
              <w:rPr>
                <w:rFonts w:hint="eastAsia" w:ascii="宋体" w:hAnsi="宋体" w:cs="宋体"/>
                <w:kern w:val="0"/>
                <w:sz w:val="22"/>
              </w:rPr>
              <w:br w:type="textWrapping"/>
            </w:r>
            <w:r>
              <w:rPr>
                <w:rFonts w:hint="eastAsia" w:ascii="宋体" w:hAnsi="宋体" w:cs="宋体"/>
                <w:kern w:val="0"/>
                <w:sz w:val="22"/>
              </w:rPr>
              <w:t>3.安装工艺：安装前要把安装方案的思路（如开槽或吊装等）、优点、可能存在的问题事先与学校沟通好，形成书面协议、图样，由学校盖章确认后再实施。</w:t>
            </w:r>
            <w:r>
              <w:rPr>
                <w:rFonts w:hint="eastAsia" w:ascii="宋体" w:hAnsi="宋体" w:cs="宋体"/>
                <w:kern w:val="0"/>
                <w:sz w:val="22"/>
              </w:rPr>
              <w:br w:type="textWrapping"/>
            </w:r>
            <w:r>
              <w:rPr>
                <w:rFonts w:hint="eastAsia" w:ascii="宋体" w:hAnsi="宋体" w:cs="宋体"/>
                <w:kern w:val="0"/>
                <w:sz w:val="22"/>
              </w:rPr>
              <w:t>4.拆装旧设备并搬运至学校指定地点。</w:t>
            </w:r>
          </w:p>
        </w:tc>
        <w:tc>
          <w:tcPr>
            <w:tcW w:w="462" w:type="dxa"/>
            <w:shd w:val="clear" w:color="auto" w:fill="auto"/>
            <w:noWrap/>
            <w:vAlign w:val="center"/>
          </w:tcPr>
          <w:p w14:paraId="36E3F1BD">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61BDA99D">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4420D097">
            <w:pPr>
              <w:widowControl/>
              <w:jc w:val="left"/>
              <w:rPr>
                <w:rFonts w:ascii="宋体" w:hAnsi="宋体" w:cs="宋体"/>
                <w:kern w:val="0"/>
                <w:sz w:val="22"/>
              </w:rPr>
            </w:pPr>
            <w:r>
              <w:rPr>
                <w:rFonts w:hint="eastAsia" w:ascii="宋体" w:hAnsi="宋体" w:cs="宋体"/>
                <w:kern w:val="0"/>
                <w:sz w:val="22"/>
              </w:rPr>
              <w:t>400</w:t>
            </w:r>
          </w:p>
        </w:tc>
        <w:tc>
          <w:tcPr>
            <w:tcW w:w="1489" w:type="dxa"/>
            <w:shd w:val="clear" w:color="auto" w:fill="auto"/>
            <w:noWrap/>
            <w:vAlign w:val="center"/>
          </w:tcPr>
          <w:p w14:paraId="39EF018E">
            <w:pPr>
              <w:widowControl/>
              <w:jc w:val="left"/>
              <w:rPr>
                <w:rFonts w:ascii="宋体" w:hAnsi="宋体" w:cs="宋体"/>
                <w:kern w:val="0"/>
                <w:sz w:val="22"/>
              </w:rPr>
            </w:pPr>
            <w:r>
              <w:rPr>
                <w:rFonts w:hint="eastAsia" w:ascii="宋体" w:hAnsi="宋体" w:cs="宋体"/>
                <w:kern w:val="0"/>
                <w:sz w:val="22"/>
              </w:rPr>
              <w:t>400</w:t>
            </w:r>
          </w:p>
        </w:tc>
      </w:tr>
      <w:tr w14:paraId="4E8B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226" w:type="dxa"/>
            <w:gridSpan w:val="7"/>
            <w:shd w:val="clear" w:color="auto" w:fill="auto"/>
            <w:noWrap/>
            <w:vAlign w:val="center"/>
          </w:tcPr>
          <w:p w14:paraId="34A8E5F9">
            <w:pPr>
              <w:widowControl/>
              <w:jc w:val="left"/>
              <w:textAlignment w:val="center"/>
              <w:rPr>
                <w:rFonts w:ascii="宋体" w:hAnsi="宋体" w:cs="宋体"/>
                <w:color w:val="000000"/>
                <w:sz w:val="22"/>
                <w:szCs w:val="22"/>
              </w:rPr>
            </w:pPr>
            <w:r>
              <w:rPr>
                <w:rFonts w:hint="eastAsia" w:ascii="宋体" w:hAnsi="宋体" w:cs="宋体"/>
                <w:b/>
                <w:bCs/>
                <w:kern w:val="0"/>
                <w:sz w:val="22"/>
              </w:rPr>
              <w:t>七、生物数字化实验室（学科器材）</w:t>
            </w:r>
          </w:p>
        </w:tc>
      </w:tr>
      <w:tr w14:paraId="3AD8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63050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w:t>
            </w:r>
          </w:p>
        </w:tc>
        <w:tc>
          <w:tcPr>
            <w:tcW w:w="1072" w:type="dxa"/>
            <w:shd w:val="clear" w:color="auto" w:fill="auto"/>
            <w:vAlign w:val="center"/>
          </w:tcPr>
          <w:p w14:paraId="01C3B13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计算机</w:t>
            </w:r>
          </w:p>
        </w:tc>
        <w:tc>
          <w:tcPr>
            <w:tcW w:w="4897" w:type="dxa"/>
            <w:shd w:val="clear" w:color="auto" w:fill="auto"/>
            <w:vAlign w:val="center"/>
          </w:tcPr>
          <w:p w14:paraId="4B7220C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台式机。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一、硬件配置（不得低于以下配置参数，可高于）：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▲1.CPU:第12代英特尔酷睿6核I5-12500同类或以上处理器，最高睿频：4.2GHz，12M三级缓存；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▲2.主板：英特尔600系列芯片组同类或以上主板，带BIOS自动控制的可变速CPU风扇，配备智能散热系统包括由BIOS管理的智能风扇通过对机箱内部的温度感应来调节风扇速度，有效的降低噪音的同时高效散热功能；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3.扩展插槽： 1个PCIe x1，1个PCIe x16，1个PCI；</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▲4.内存：16G DDR4 2933，2个DIMM插槽，最高支持128G内存,支持双通道内存；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5.端口和接口：前置1个麦克风/耳机组合插孔，5个USB 3.1 Gen 1；后置1个HDMI， 1个音频输入，1个音频输出，1个麦克风输入，1个RJ-45，1个VGA，2个USB 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▲6.硬盘：本次配置原厂1TB SSD M.2 PL固态硬盘，支持混合双硬盘；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▲7.显卡：Intel UHD Graphics 750高性能同类或以上集成显卡， HDMI+VGA支持双屏屏幕1080P分辨率输出；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8.网络接口：集成千兆网卡10/100/1000M以太网卡；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9.电源：采用要求电源额定300W高效白金级高效率热插拔电源模块，支持睿能技术，噪音优化；兼容市场主流电源.完美适配；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10.键盘/鼠标：原厂同品牌标准键盘和鼠标；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▲11.机箱：前置电源开关, 内置2W扬声器/0.6mm厚精钢防辐射机箱，不大于17L机箱（宽度小于等于18CM）；适配电脑桌尺寸；显示器23.8”英寸宽屏LED IPS背光液晶显示器，最高分辨率≥1920*1080；通过蓝光危害试验，最大可降低70%蓝光危害辐照度值。</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▲二、软件要求：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1.操作系统：出厂预装Windows10正版操作系统。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原厂网络同传管理功能：支持同一硬盘上支持同时安装24个操作系统；在同一硬盘上同时支持40个分区（包括启动分区和数据分区）；支持可由任意一台主机发起网络拷贝、增量拷贝和临时部署；网络传输速度标值：千兆网卡：1GB-7GB/Min；支持断点续传功能：支持多种情况的断点续传功能；支持网络故障定位：支持网络故障定位，便于排查；支持在局域网内分组管理；支持硬盘容量差异网络拷贝；支持6秒内的物理掉线(断路)可自动恢复；支持网络传输数据加密；网络克隆维护：在局域网络内一次可传输250台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三、配置正版管理终端系统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 系统支持全中文界面，B/S架构，管理员只需通过浏览器登录控制中心，即可对系统进p行管理；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 客户端支持WindowsXP、Windows 7、Windows 8、Windows 10、Windows2003、Windows2008、Windows2012等32位/64位微软操作系统，同时应支持Centos、Redhat、Ubuntu等Linux操作系统以及中标麒麟、银河麒麟等国产操作系统；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▲3.客户端安装后占用小于30MB存储资源，病毒库小于3MB，日常内存占用小于10MB，有效节省PC或Server资源；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4.支持本地上传客户端升级包或https/ftp远端同步方式更新客户端，可根据不同网络环境提供在线获取和隔离网获取相应工具；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▲5.支持单个或多个客户端不同管理中心的平滑迁移，迁移过程自动完成，无需手动添加客户端；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6.控制中心支持全网、分组、标签等方式指定某些客户端定制特殊策略，特殊策略包括文件实时监控、恶意行为监控、下载保护、系统加固、软件安装拦截、浏览器保护、黑客入侵拦截、恶意网站拦截等；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7.支持网络准入功能，支持标准802.1x协议，通过与支持该协议的交换机联动，实现有线局域网网络准入；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▲8.支持敏感数据防泄漏，支持敏感信息检查，针对终端存储的word、pdf、Excel、文本文件等进行全盘关键字检查，对含有制定关键字的文档进行禁止发送、禁止打印、禁止拷贝等管控；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▲9.要求对流行病毒的检测能力必须超过98%的检出率，超过98%的清除率，小于0.1%的误报率；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 支持对webshell后门进行扫描检测 , webshell后门库数量大于90000条；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▲11.支持非法外联监控，实时检测内部网络用户通过调制解调器、ADSL、双网卡等任意连接设备非法外联互联网行为，支持报警、断开网络、自动重启等管控措施；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12.支持终端防火墙功能，支持包括但不限于通过协议（TCP、UDP、ICMP、IGMP、GGP、PUP、IDP、ND、ESP、AH、RDP、GRE、SKIP、RAW），端口号，IP地址、进出口方向等控制规则对终端进行防护，从网络层保护终端安全；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 须有正版序列号，支持电话查询真伪；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 投标时提供所竞标产品的节能产品认证证书扫描件（加盖供应商公章）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四、服务及保修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原厂五年有限保修（鼠标键盘1年），365天全年无休。具备微信、QQ等即时通讯群组服务能力，提供自助查询、驱动自动下载、在线技术支持、维修单进度查询等自助售后功能，中标后须提供产品生产厂家官网截图证明（包含官网链接、服务平台微信二维码、功能模块简单介绍、微信服务平台关注流程指引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2.所投产品为商用节能认证产品、环境标志产品产品。供货时提供3年7x24售后支持服务证明，提供原厂基础安装服务。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3.供货时提供防雷击检测报告及证书扫描件证明。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4.为了证明产品可靠性，供货时提供国家认可的第三方检测机构出具的认证产品相关证书。</w:t>
            </w:r>
          </w:p>
        </w:tc>
        <w:tc>
          <w:tcPr>
            <w:tcW w:w="462" w:type="dxa"/>
            <w:shd w:val="clear" w:color="auto" w:fill="auto"/>
            <w:noWrap/>
            <w:vAlign w:val="center"/>
          </w:tcPr>
          <w:p w14:paraId="746093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80342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00943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c>
          <w:tcPr>
            <w:tcW w:w="1489" w:type="dxa"/>
            <w:shd w:val="clear" w:color="auto" w:fill="auto"/>
            <w:noWrap/>
            <w:vAlign w:val="center"/>
          </w:tcPr>
          <w:p w14:paraId="2E7E35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r>
      <w:tr w14:paraId="108B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A51FA8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w:t>
            </w:r>
          </w:p>
        </w:tc>
        <w:tc>
          <w:tcPr>
            <w:tcW w:w="1072" w:type="dxa"/>
            <w:shd w:val="clear" w:color="auto" w:fill="auto"/>
            <w:vAlign w:val="center"/>
          </w:tcPr>
          <w:p w14:paraId="5604FA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实验数据采集处理软件</w:t>
            </w:r>
          </w:p>
        </w:tc>
        <w:tc>
          <w:tcPr>
            <w:tcW w:w="4897" w:type="dxa"/>
            <w:shd w:val="clear" w:color="auto" w:fill="auto"/>
            <w:vAlign w:val="center"/>
          </w:tcPr>
          <w:p w14:paraId="180B5BE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中文简体界面，数据采集器接入计算机后能自动识别数据采集器及其状态，实时显示实验数据或曲线，具备多种对实验数据与图线的数据处理与分析工具，实验数据可以导出为表格或文本格式</w:t>
            </w:r>
          </w:p>
        </w:tc>
        <w:tc>
          <w:tcPr>
            <w:tcW w:w="462" w:type="dxa"/>
            <w:shd w:val="clear" w:color="auto" w:fill="auto"/>
            <w:noWrap/>
            <w:vAlign w:val="center"/>
          </w:tcPr>
          <w:p w14:paraId="06D10D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D0663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048" w:type="dxa"/>
            <w:shd w:val="clear" w:color="auto" w:fill="auto"/>
            <w:noWrap/>
            <w:vAlign w:val="center"/>
          </w:tcPr>
          <w:p w14:paraId="191625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1125</w:t>
            </w:r>
          </w:p>
        </w:tc>
        <w:tc>
          <w:tcPr>
            <w:tcW w:w="1489" w:type="dxa"/>
            <w:shd w:val="clear" w:color="auto" w:fill="auto"/>
            <w:noWrap/>
            <w:vAlign w:val="center"/>
          </w:tcPr>
          <w:p w14:paraId="01B825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9000</w:t>
            </w:r>
          </w:p>
        </w:tc>
      </w:tr>
      <w:tr w14:paraId="116B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0A1D5C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w:t>
            </w:r>
          </w:p>
        </w:tc>
        <w:tc>
          <w:tcPr>
            <w:tcW w:w="1072" w:type="dxa"/>
            <w:shd w:val="clear" w:color="auto" w:fill="auto"/>
            <w:vAlign w:val="center"/>
          </w:tcPr>
          <w:p w14:paraId="3B93EE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数据采集器</w:t>
            </w:r>
          </w:p>
        </w:tc>
        <w:tc>
          <w:tcPr>
            <w:tcW w:w="4897" w:type="dxa"/>
            <w:shd w:val="clear" w:color="auto" w:fill="auto"/>
            <w:vAlign w:val="center"/>
          </w:tcPr>
          <w:p w14:paraId="3534FD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1.软件基于Android系统开发，支持蓝牙和USB两种连接方式；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2.实现与传感器的直接通信，无需其他扩展配件进行二次连接；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3.软件内置操作帮助说明，长按各个按钮出现简要提示，可查看与该按钮对应的详细说明，提高实用性、易用性。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4.提供不低于12种页面布局模板，可依据实验要求选择对应的页面布局方式；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5.提供多种数据显示方式，包含点线图、数据表格、指针仪表、数字仪表等；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6.支持用户自行设计实验模板、设置公式、数据分析等；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7.支持用户对已完成实验进行模板保存，便于分享及后续使用；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8.支持实验保存及回放，利于学生巩固学习；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9.支持对实验数据进行导出及导入，方便实验数据留存，让学生进一步学习探究。</w:t>
            </w:r>
          </w:p>
        </w:tc>
        <w:tc>
          <w:tcPr>
            <w:tcW w:w="462" w:type="dxa"/>
            <w:shd w:val="clear" w:color="auto" w:fill="auto"/>
            <w:noWrap/>
            <w:vAlign w:val="center"/>
          </w:tcPr>
          <w:p w14:paraId="4CFC97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114FBF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048" w:type="dxa"/>
            <w:shd w:val="clear" w:color="auto" w:fill="auto"/>
            <w:noWrap/>
            <w:vAlign w:val="center"/>
          </w:tcPr>
          <w:p w14:paraId="3B6E22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3825</w:t>
            </w:r>
          </w:p>
        </w:tc>
        <w:tc>
          <w:tcPr>
            <w:tcW w:w="1489" w:type="dxa"/>
            <w:shd w:val="clear" w:color="auto" w:fill="auto"/>
            <w:noWrap/>
            <w:vAlign w:val="center"/>
          </w:tcPr>
          <w:p w14:paraId="0B387E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30600</w:t>
            </w:r>
          </w:p>
        </w:tc>
      </w:tr>
      <w:tr w14:paraId="42AB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44D44D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w:t>
            </w:r>
          </w:p>
        </w:tc>
        <w:tc>
          <w:tcPr>
            <w:tcW w:w="1072" w:type="dxa"/>
            <w:shd w:val="clear" w:color="auto" w:fill="auto"/>
            <w:vAlign w:val="center"/>
          </w:tcPr>
          <w:p w14:paraId="0355BC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温度传感器</w:t>
            </w:r>
          </w:p>
        </w:tc>
        <w:tc>
          <w:tcPr>
            <w:tcW w:w="4897" w:type="dxa"/>
            <w:shd w:val="clear" w:color="auto" w:fill="auto"/>
            <w:vAlign w:val="center"/>
          </w:tcPr>
          <w:p w14:paraId="0B2C50C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量程： -40℃ ~ 130℃，分度：0.01℃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3.电池：内置大容量锂离子电池，可通过内置的USB接口对锂离子电池进行充电；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5. 配备不锈钢探头，强度高，耐久性好，稳定性强；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6.功能：应用于与温度或温度变化有关的各类实验。</w:t>
            </w:r>
          </w:p>
        </w:tc>
        <w:tc>
          <w:tcPr>
            <w:tcW w:w="462" w:type="dxa"/>
            <w:shd w:val="clear" w:color="auto" w:fill="auto"/>
            <w:noWrap/>
            <w:vAlign w:val="center"/>
          </w:tcPr>
          <w:p w14:paraId="3E241F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0AD02A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048" w:type="dxa"/>
            <w:shd w:val="clear" w:color="auto" w:fill="auto"/>
            <w:noWrap/>
            <w:vAlign w:val="center"/>
          </w:tcPr>
          <w:p w14:paraId="6F0B9A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665</w:t>
            </w:r>
          </w:p>
        </w:tc>
        <w:tc>
          <w:tcPr>
            <w:tcW w:w="1489" w:type="dxa"/>
            <w:shd w:val="clear" w:color="auto" w:fill="auto"/>
            <w:noWrap/>
            <w:vAlign w:val="center"/>
          </w:tcPr>
          <w:p w14:paraId="2B42F4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5320</w:t>
            </w:r>
          </w:p>
        </w:tc>
      </w:tr>
      <w:tr w14:paraId="4DA5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C34BD9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w:t>
            </w:r>
          </w:p>
        </w:tc>
        <w:tc>
          <w:tcPr>
            <w:tcW w:w="1072" w:type="dxa"/>
            <w:shd w:val="clear" w:color="auto" w:fill="auto"/>
            <w:vAlign w:val="center"/>
          </w:tcPr>
          <w:p w14:paraId="1E597D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溶解氧传感器</w:t>
            </w:r>
          </w:p>
        </w:tc>
        <w:tc>
          <w:tcPr>
            <w:tcW w:w="4897" w:type="dxa"/>
            <w:shd w:val="clear" w:color="auto" w:fill="auto"/>
            <w:vAlign w:val="center"/>
          </w:tcPr>
          <w:p w14:paraId="6A3C13A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量程：0mg/L ～ 20mg/L，分度：0.01mg/L</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2.屏幕：内置显示屏，支持脱离计算机独立显示实时数据;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3.电池：内置大容量锂离子电池，支持通过内置的USB接口对锂离子电池进行充电；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5.功能：用于测量溶解在水中的分子态氧含量或与其含量变化有关的各类实验。</w:t>
            </w:r>
          </w:p>
        </w:tc>
        <w:tc>
          <w:tcPr>
            <w:tcW w:w="462" w:type="dxa"/>
            <w:shd w:val="clear" w:color="auto" w:fill="auto"/>
            <w:noWrap/>
            <w:vAlign w:val="center"/>
          </w:tcPr>
          <w:p w14:paraId="1DCB33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178B5D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048" w:type="dxa"/>
            <w:shd w:val="clear" w:color="auto" w:fill="auto"/>
            <w:noWrap/>
            <w:vAlign w:val="center"/>
          </w:tcPr>
          <w:p w14:paraId="588176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2899</w:t>
            </w:r>
          </w:p>
        </w:tc>
        <w:tc>
          <w:tcPr>
            <w:tcW w:w="1489" w:type="dxa"/>
            <w:shd w:val="clear" w:color="auto" w:fill="auto"/>
            <w:noWrap/>
            <w:vAlign w:val="center"/>
          </w:tcPr>
          <w:p w14:paraId="799B15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23192</w:t>
            </w:r>
          </w:p>
        </w:tc>
      </w:tr>
      <w:tr w14:paraId="3884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9C7855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w:t>
            </w:r>
          </w:p>
        </w:tc>
        <w:tc>
          <w:tcPr>
            <w:tcW w:w="1072" w:type="dxa"/>
            <w:shd w:val="clear" w:color="auto" w:fill="auto"/>
            <w:vAlign w:val="center"/>
          </w:tcPr>
          <w:p w14:paraId="5652E2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光照度传感器</w:t>
            </w:r>
          </w:p>
        </w:tc>
        <w:tc>
          <w:tcPr>
            <w:tcW w:w="4897" w:type="dxa"/>
            <w:shd w:val="clear" w:color="auto" w:fill="auto"/>
            <w:vAlign w:val="center"/>
          </w:tcPr>
          <w:p w14:paraId="44D577E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 xml:space="preserve">量程：0～50000Lux；分度：1Lux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2.屏幕：内置不小于1.8寸显示屏，可脱离计算机独立显示实时数据；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3.电池：内置大容量锂离子电池，通过内置的USB接口充电；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5.可分别支持Android、windows系统。</w:t>
            </w:r>
          </w:p>
        </w:tc>
        <w:tc>
          <w:tcPr>
            <w:tcW w:w="462" w:type="dxa"/>
            <w:shd w:val="clear" w:color="auto" w:fill="auto"/>
            <w:noWrap/>
            <w:vAlign w:val="center"/>
          </w:tcPr>
          <w:p w14:paraId="4C6671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111B25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048" w:type="dxa"/>
            <w:shd w:val="clear" w:color="auto" w:fill="auto"/>
            <w:noWrap/>
            <w:vAlign w:val="center"/>
          </w:tcPr>
          <w:p w14:paraId="5967D4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655</w:t>
            </w:r>
          </w:p>
        </w:tc>
        <w:tc>
          <w:tcPr>
            <w:tcW w:w="1489" w:type="dxa"/>
            <w:shd w:val="clear" w:color="auto" w:fill="auto"/>
            <w:noWrap/>
            <w:vAlign w:val="center"/>
          </w:tcPr>
          <w:p w14:paraId="7F609D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5240</w:t>
            </w:r>
          </w:p>
        </w:tc>
      </w:tr>
      <w:tr w14:paraId="6B5C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9440F7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w:t>
            </w:r>
          </w:p>
        </w:tc>
        <w:tc>
          <w:tcPr>
            <w:tcW w:w="1072" w:type="dxa"/>
            <w:shd w:val="clear" w:color="auto" w:fill="auto"/>
            <w:vAlign w:val="center"/>
          </w:tcPr>
          <w:p w14:paraId="531366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相对湿度传感器</w:t>
            </w:r>
          </w:p>
        </w:tc>
        <w:tc>
          <w:tcPr>
            <w:tcW w:w="4897" w:type="dxa"/>
            <w:shd w:val="clear" w:color="auto" w:fill="auto"/>
            <w:vAlign w:val="center"/>
          </w:tcPr>
          <w:p w14:paraId="2A47CE9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量程： 相对湿度0% ～100%，温度0℃～65℃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分度：相对湿度0.1%、温度0.01℃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3.电池：内置大容量锂离子电池，可通过内置的USB接口对锂离子电池进行充电；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有线：通过USB连接；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5.功能：可直接测量环境温湿度，用于与温湿度变化有关联的各类实验。</w:t>
            </w:r>
          </w:p>
        </w:tc>
        <w:tc>
          <w:tcPr>
            <w:tcW w:w="462" w:type="dxa"/>
            <w:shd w:val="clear" w:color="auto" w:fill="auto"/>
            <w:noWrap/>
            <w:vAlign w:val="center"/>
          </w:tcPr>
          <w:p w14:paraId="1FCE63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4BDB93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048" w:type="dxa"/>
            <w:shd w:val="clear" w:color="auto" w:fill="auto"/>
            <w:noWrap/>
            <w:vAlign w:val="center"/>
          </w:tcPr>
          <w:p w14:paraId="41AF9B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800</w:t>
            </w:r>
          </w:p>
        </w:tc>
        <w:tc>
          <w:tcPr>
            <w:tcW w:w="1489" w:type="dxa"/>
            <w:shd w:val="clear" w:color="auto" w:fill="auto"/>
            <w:noWrap/>
            <w:vAlign w:val="center"/>
          </w:tcPr>
          <w:p w14:paraId="08DB97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6400</w:t>
            </w:r>
          </w:p>
        </w:tc>
      </w:tr>
      <w:tr w14:paraId="58D3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3E4552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w:t>
            </w:r>
          </w:p>
        </w:tc>
        <w:tc>
          <w:tcPr>
            <w:tcW w:w="1072" w:type="dxa"/>
            <w:shd w:val="clear" w:color="auto" w:fill="auto"/>
            <w:vAlign w:val="center"/>
          </w:tcPr>
          <w:p w14:paraId="49A381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pH传感器</w:t>
            </w:r>
          </w:p>
        </w:tc>
        <w:tc>
          <w:tcPr>
            <w:tcW w:w="4897" w:type="dxa"/>
            <w:shd w:val="clear" w:color="auto" w:fill="auto"/>
            <w:vAlign w:val="center"/>
          </w:tcPr>
          <w:p w14:paraId="2099A47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量程：0～14  分度：0.01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3.电池：内置大容量锂离子电池，可通过内置的USB接口对锂离子电池进行充电；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5.功能：用于测定溶液酸碱度以及与之相关的各类实验。</w:t>
            </w:r>
          </w:p>
        </w:tc>
        <w:tc>
          <w:tcPr>
            <w:tcW w:w="462" w:type="dxa"/>
            <w:shd w:val="clear" w:color="auto" w:fill="auto"/>
            <w:noWrap/>
            <w:vAlign w:val="center"/>
          </w:tcPr>
          <w:p w14:paraId="41462D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3C5379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048" w:type="dxa"/>
            <w:shd w:val="clear" w:color="auto" w:fill="auto"/>
            <w:noWrap/>
            <w:vAlign w:val="center"/>
          </w:tcPr>
          <w:p w14:paraId="697B38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1625</w:t>
            </w:r>
          </w:p>
        </w:tc>
        <w:tc>
          <w:tcPr>
            <w:tcW w:w="1489" w:type="dxa"/>
            <w:shd w:val="clear" w:color="auto" w:fill="auto"/>
            <w:noWrap/>
            <w:vAlign w:val="center"/>
          </w:tcPr>
          <w:p w14:paraId="373DCC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13000</w:t>
            </w:r>
          </w:p>
        </w:tc>
      </w:tr>
      <w:tr w14:paraId="782A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306BD0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w:t>
            </w:r>
          </w:p>
        </w:tc>
        <w:tc>
          <w:tcPr>
            <w:tcW w:w="1072" w:type="dxa"/>
            <w:shd w:val="clear" w:color="auto" w:fill="auto"/>
            <w:vAlign w:val="center"/>
          </w:tcPr>
          <w:p w14:paraId="448E79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危险化学品储存柜</w:t>
            </w:r>
          </w:p>
        </w:tc>
        <w:tc>
          <w:tcPr>
            <w:tcW w:w="4897" w:type="dxa"/>
            <w:shd w:val="clear" w:color="auto" w:fill="auto"/>
            <w:vAlign w:val="center"/>
          </w:tcPr>
          <w:p w14:paraId="28CC9A8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不小于900mmX510mmX1200mm，柜整体为两层防火钢板构造，壳体全部采用1.2mm优质冷轧钢板，柜底采用2.0mm冷轧钢板，柜体内胆采用pp板，柜底配有可调风阀，柜体的底板中部有直径为10mm的漏液孔，柜体底部设有高度为160mm的黄沙挡板，最下层留有120mm厚的黄沙填埋腔，柜底装有4个直径是60mm的移动钢轮，前轮后有2个手动调节螺杆，柜中有3个三层阶梯式活动隔板并附有pp板，下层隔板边沿镶有护栏，护栏中间嵌有红黄蓝警示标志，柜子顶部中间带有风机出风口，电源电压220V，控制开关位于柜体右上角，柜门上安装有电子密码锁和机械锁（双锁结构）。防火，防盗，防腐蚀。</w:t>
            </w:r>
          </w:p>
        </w:tc>
        <w:tc>
          <w:tcPr>
            <w:tcW w:w="462" w:type="dxa"/>
            <w:shd w:val="clear" w:color="auto" w:fill="auto"/>
            <w:noWrap/>
            <w:vAlign w:val="center"/>
          </w:tcPr>
          <w:p w14:paraId="4C520B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283DC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7AEC6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3860</w:t>
            </w:r>
          </w:p>
        </w:tc>
        <w:tc>
          <w:tcPr>
            <w:tcW w:w="1489" w:type="dxa"/>
            <w:shd w:val="clear" w:color="auto" w:fill="auto"/>
            <w:noWrap/>
            <w:vAlign w:val="center"/>
          </w:tcPr>
          <w:p w14:paraId="27014E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3860</w:t>
            </w:r>
          </w:p>
        </w:tc>
      </w:tr>
      <w:tr w14:paraId="65B7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433B58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w:t>
            </w:r>
          </w:p>
        </w:tc>
        <w:tc>
          <w:tcPr>
            <w:tcW w:w="1072" w:type="dxa"/>
            <w:shd w:val="clear" w:color="auto" w:fill="auto"/>
            <w:vAlign w:val="center"/>
          </w:tcPr>
          <w:p w14:paraId="1EC6E9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危险化学品储存柜</w:t>
            </w:r>
          </w:p>
        </w:tc>
        <w:tc>
          <w:tcPr>
            <w:tcW w:w="4897" w:type="dxa"/>
            <w:shd w:val="clear" w:color="auto" w:fill="auto"/>
            <w:vAlign w:val="center"/>
          </w:tcPr>
          <w:p w14:paraId="4FF528E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不小于900mmX510mmX1840mm,柜整体为两层防火钢板构造，壳体全部采用1.2mm优质冷轧钢板，柜底采用2.0mm冷轧钢板，柜体内胆采用pp板，柜底配有可调风阀，柜体的底板中部有直径为10mm的漏液孔，柜体底部设有高度为160mm的黄沙挡板，最下层留有120mm厚的黄沙填埋腔，柜底装有4个直径是60mm的移动钢轮，前轮后有2个手动调节螺杆，柜中有3个三层阶梯式活动隔板并附有pp板，下层隔板边沿镶有护栏，护栏中间嵌有红黄蓝警示标志，柜子顶部中间带有风机出风口，电源电压220V，控制开关位于柜体右上角，柜门上安装有电子密码锁和机械锁（双锁结构）。防火，防盗，防腐蚀。</w:t>
            </w:r>
          </w:p>
        </w:tc>
        <w:tc>
          <w:tcPr>
            <w:tcW w:w="462" w:type="dxa"/>
            <w:shd w:val="clear" w:color="auto" w:fill="auto"/>
            <w:noWrap/>
            <w:vAlign w:val="center"/>
          </w:tcPr>
          <w:p w14:paraId="0B2FE6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7A639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EE8C1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5510</w:t>
            </w:r>
          </w:p>
        </w:tc>
        <w:tc>
          <w:tcPr>
            <w:tcW w:w="1489" w:type="dxa"/>
            <w:shd w:val="clear" w:color="auto" w:fill="auto"/>
            <w:noWrap/>
            <w:vAlign w:val="center"/>
          </w:tcPr>
          <w:p w14:paraId="525A1A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5510</w:t>
            </w:r>
          </w:p>
        </w:tc>
      </w:tr>
      <w:tr w14:paraId="7FF0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115A5A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w:t>
            </w:r>
          </w:p>
        </w:tc>
        <w:tc>
          <w:tcPr>
            <w:tcW w:w="1072" w:type="dxa"/>
            <w:shd w:val="clear" w:color="auto" w:fill="auto"/>
            <w:vAlign w:val="center"/>
          </w:tcPr>
          <w:p w14:paraId="467FFD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灭火毯</w:t>
            </w:r>
          </w:p>
        </w:tc>
        <w:tc>
          <w:tcPr>
            <w:tcW w:w="4897" w:type="dxa"/>
            <w:shd w:val="clear" w:color="auto" w:fill="auto"/>
            <w:vAlign w:val="center"/>
          </w:tcPr>
          <w:p w14:paraId="373127A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玻璃纤维材质，1200mmX1800mm</w:t>
            </w:r>
          </w:p>
        </w:tc>
        <w:tc>
          <w:tcPr>
            <w:tcW w:w="462" w:type="dxa"/>
            <w:shd w:val="clear" w:color="auto" w:fill="auto"/>
            <w:noWrap/>
            <w:vAlign w:val="center"/>
          </w:tcPr>
          <w:p w14:paraId="73CA43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noWrap/>
            <w:vAlign w:val="center"/>
          </w:tcPr>
          <w:p w14:paraId="317EE5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C3F80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135</w:t>
            </w:r>
          </w:p>
        </w:tc>
        <w:tc>
          <w:tcPr>
            <w:tcW w:w="1489" w:type="dxa"/>
            <w:shd w:val="clear" w:color="auto" w:fill="auto"/>
            <w:noWrap/>
            <w:vAlign w:val="center"/>
          </w:tcPr>
          <w:p w14:paraId="5B2A46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135</w:t>
            </w:r>
          </w:p>
        </w:tc>
      </w:tr>
      <w:tr w14:paraId="7E93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503F84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w:t>
            </w:r>
          </w:p>
        </w:tc>
        <w:tc>
          <w:tcPr>
            <w:tcW w:w="1072" w:type="dxa"/>
            <w:shd w:val="clear" w:color="auto" w:fill="auto"/>
            <w:vAlign w:val="center"/>
          </w:tcPr>
          <w:p w14:paraId="44587E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实验服</w:t>
            </w:r>
          </w:p>
        </w:tc>
        <w:tc>
          <w:tcPr>
            <w:tcW w:w="4897" w:type="dxa"/>
            <w:shd w:val="clear" w:color="auto" w:fill="auto"/>
            <w:vAlign w:val="center"/>
          </w:tcPr>
          <w:p w14:paraId="120760D7">
            <w:pPr>
              <w:widowControl/>
              <w:textAlignment w:val="center"/>
              <w:rPr>
                <w:rFonts w:ascii="宋体" w:hAnsi="宋体" w:cs="宋体"/>
                <w:kern w:val="0"/>
                <w:sz w:val="22"/>
              </w:rPr>
            </w:pPr>
            <w:r>
              <w:rPr>
                <w:rFonts w:hint="eastAsia" w:ascii="宋体" w:hAnsi="宋体" w:cs="宋体"/>
                <w:color w:val="000000"/>
                <w:kern w:val="0"/>
                <w:sz w:val="22"/>
                <w:szCs w:val="22"/>
                <w:lang w:bidi="ar"/>
              </w:rPr>
              <w:t>耐酸碱，可分为大中小号</w:t>
            </w:r>
          </w:p>
        </w:tc>
        <w:tc>
          <w:tcPr>
            <w:tcW w:w="462" w:type="dxa"/>
            <w:shd w:val="clear" w:color="auto" w:fill="auto"/>
            <w:noWrap/>
            <w:vAlign w:val="center"/>
          </w:tcPr>
          <w:p w14:paraId="401AE4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noWrap/>
            <w:vAlign w:val="center"/>
          </w:tcPr>
          <w:p w14:paraId="62B57A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71AE5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489" w:type="dxa"/>
            <w:shd w:val="clear" w:color="auto" w:fill="auto"/>
            <w:noWrap/>
            <w:vAlign w:val="center"/>
          </w:tcPr>
          <w:p w14:paraId="0DEE00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3600</w:t>
            </w:r>
          </w:p>
        </w:tc>
      </w:tr>
      <w:tr w14:paraId="6450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BC4191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w:t>
            </w:r>
          </w:p>
        </w:tc>
        <w:tc>
          <w:tcPr>
            <w:tcW w:w="1072" w:type="dxa"/>
            <w:shd w:val="clear" w:color="auto" w:fill="auto"/>
            <w:vAlign w:val="center"/>
          </w:tcPr>
          <w:p w14:paraId="5D02AC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护目镜</w:t>
            </w:r>
          </w:p>
        </w:tc>
        <w:tc>
          <w:tcPr>
            <w:tcW w:w="4897" w:type="dxa"/>
            <w:shd w:val="clear" w:color="auto" w:fill="auto"/>
            <w:vAlign w:val="center"/>
          </w:tcPr>
          <w:p w14:paraId="4AAAC454">
            <w:pPr>
              <w:widowControl/>
              <w:textAlignment w:val="center"/>
              <w:rPr>
                <w:rFonts w:ascii="宋体" w:hAnsi="宋体" w:cs="宋体"/>
                <w:kern w:val="0"/>
                <w:sz w:val="22"/>
              </w:rPr>
            </w:pPr>
            <w:r>
              <w:rPr>
                <w:rFonts w:hint="eastAsia" w:ascii="宋体" w:hAnsi="宋体" w:cs="宋体"/>
                <w:color w:val="000000"/>
                <w:kern w:val="0"/>
                <w:sz w:val="22"/>
                <w:szCs w:val="22"/>
                <w:lang w:bidi="ar"/>
              </w:rPr>
              <w:t>侧面完全遮挡，耐酸碱，抗冲击，耐磨，便于清洗</w:t>
            </w:r>
          </w:p>
        </w:tc>
        <w:tc>
          <w:tcPr>
            <w:tcW w:w="462" w:type="dxa"/>
            <w:shd w:val="clear" w:color="auto" w:fill="auto"/>
            <w:noWrap/>
            <w:vAlign w:val="center"/>
          </w:tcPr>
          <w:p w14:paraId="143A9E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7D733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05D446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3B9528F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5801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D7C5D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w:t>
            </w:r>
          </w:p>
        </w:tc>
        <w:tc>
          <w:tcPr>
            <w:tcW w:w="1072" w:type="dxa"/>
            <w:shd w:val="clear" w:color="auto" w:fill="auto"/>
            <w:vAlign w:val="center"/>
          </w:tcPr>
          <w:p w14:paraId="40CD38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学生用数码液晶显微镜</w:t>
            </w:r>
          </w:p>
        </w:tc>
        <w:tc>
          <w:tcPr>
            <w:tcW w:w="4897" w:type="dxa"/>
            <w:shd w:val="clear" w:color="auto" w:fill="auto"/>
            <w:vAlign w:val="center"/>
          </w:tcPr>
          <w:p w14:paraId="1C02071A">
            <w:pPr>
              <w:widowControl/>
              <w:textAlignment w:val="center"/>
              <w:rPr>
                <w:rFonts w:ascii="宋体" w:hAnsi="宋体" w:cs="宋体"/>
                <w:kern w:val="0"/>
                <w:sz w:val="22"/>
              </w:rPr>
            </w:pPr>
            <w:r>
              <w:rPr>
                <w:rFonts w:hint="eastAsia" w:ascii="宋体" w:hAnsi="宋体" w:cs="宋体"/>
                <w:color w:val="000000"/>
                <w:kern w:val="0"/>
                <w:sz w:val="22"/>
                <w:szCs w:val="22"/>
                <w:lang w:bidi="ar"/>
              </w:rPr>
              <w:t>一、光学检测技术参数：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1、成像清晰圆直径（mm）：10倍物镜不小于7.5mm；40倍物镜不小于6.8mm；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2、齐焦（mm）：物镜转换过程中，10→40倍不超过±0.0355mm；10倍物镜景深范围内像面的偏摆≤0.082mm；显微镜目镜放大率准确度不超过±1.183%；</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3、转换器稳定性≤0.0152mm；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4、载物台侧向受5N水平方向作用力最大位移≤0.008mm；不重复性≤0.0036mm；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5、用机械使标本在5mm×5mm范围内移动时的离焦量≤0.010mm；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6、微调机构空回≤0.010mm；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7、显微镜物镜放大率准确度不超过±2.656%；</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8、聚光镜上升到最高位置，顶端低于载物台表面的距离0.03～0.15mm之间。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二、技术参数：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1、总放大倍数：640X；</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2、整机结构件：绝大部分都是由铝和合金制作；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3、目镜：惠更斯10X/16X；</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4、物镜：消色差4X、10X、40X；</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5、镜筒：单目直筒，镜臂可45°倾斜；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6、转换器：三孔同心球轴转换器，定位准确，并带有限位装置；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7、粗微调: 镜架上配有分开调焦的粗微高旋钮，可调节松紧，并有内置滑动离合器，可延长因机械损耗的整机使用寿命；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8、初调范围不小于32mm，微调范围不大于2mm；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9、视场光栏：五孔圆盘光栏，可选孔径为20mm、8mm、5mm、4mm、3mm；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10、照明：固定在机架上的有双边精细螺丝旋紧42mm平凹反光镜，可防止拔出或长期使用后机械磨损脱落；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11、金属载物台尺寸：110mmX120mm。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12、带照明光源和聚光镜，移动式载物台。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13、仪器自带液晶屏（液晶屏≥22.9cm,分辨率≥1280X800）,拍照≥500万像素，录像分辨率≥720p。</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参照GB/ T2985- 2008《生物显微镜》的检测标准。</w:t>
            </w:r>
          </w:p>
        </w:tc>
        <w:tc>
          <w:tcPr>
            <w:tcW w:w="462" w:type="dxa"/>
            <w:shd w:val="clear" w:color="auto" w:fill="auto"/>
            <w:noWrap/>
            <w:vAlign w:val="center"/>
          </w:tcPr>
          <w:p w14:paraId="14D734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EF3EA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0E7BEB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3760</w:t>
            </w:r>
          </w:p>
        </w:tc>
        <w:tc>
          <w:tcPr>
            <w:tcW w:w="1489" w:type="dxa"/>
            <w:shd w:val="clear" w:color="auto" w:fill="auto"/>
            <w:noWrap/>
            <w:vAlign w:val="center"/>
          </w:tcPr>
          <w:p w14:paraId="430CAA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56400</w:t>
            </w:r>
          </w:p>
        </w:tc>
      </w:tr>
      <w:tr w14:paraId="1464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B33B76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w:t>
            </w:r>
          </w:p>
        </w:tc>
        <w:tc>
          <w:tcPr>
            <w:tcW w:w="1072" w:type="dxa"/>
            <w:shd w:val="clear" w:color="auto" w:fill="auto"/>
            <w:vAlign w:val="center"/>
          </w:tcPr>
          <w:p w14:paraId="1A0EAB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双目立体显微镜</w:t>
            </w:r>
          </w:p>
        </w:tc>
        <w:tc>
          <w:tcPr>
            <w:tcW w:w="4897" w:type="dxa"/>
            <w:shd w:val="clear" w:color="auto" w:fill="auto"/>
            <w:vAlign w:val="center"/>
          </w:tcPr>
          <w:p w14:paraId="3FD62E3C">
            <w:pPr>
              <w:widowControl/>
              <w:textAlignment w:val="center"/>
              <w:rPr>
                <w:rFonts w:ascii="宋体" w:hAnsi="宋体" w:cs="宋体"/>
                <w:kern w:val="0"/>
                <w:sz w:val="22"/>
              </w:rPr>
            </w:pPr>
            <w:r>
              <w:rPr>
                <w:rFonts w:hint="eastAsia" w:ascii="宋体" w:hAnsi="宋体" w:cs="宋体"/>
                <w:color w:val="000000"/>
                <w:kern w:val="0"/>
                <w:sz w:val="22"/>
                <w:szCs w:val="22"/>
                <w:lang w:bidi="ar"/>
              </w:rPr>
              <w:t>1、成像清晰范围（以视场直径的百分比计）：上下≥67%，左右≥55%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2、总放大率误差：不超过±2.15%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3、左右系统放大率差≤1.05%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4、左右光学系统像面不一致性：上下方向≤0.15mm,左右方向≤0.25mm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5、左右镜筒出射光束的方位偏差：上下≤13＇</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6、左右光学系统像面方位差≤0.8°</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7、变倍时像平面的横向位移≤0.65mm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8、视场中心最小分辨力（线对/mm）：2倍物镜≥160NA，四倍物镜≥200NA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9、左右光学系统聚焦差≤0.86mm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10、左右光学系统出瞳高度差≤0.42mm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11、放大倍数至少达到40倍，可配有显示屏，方便连接电脑、数码相机等外接设备，便于图像的传输保存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参照GB/ T19864.1-2005《体视显微镜 第1部分：普及型体视显微镜》及 GB/ T19863-2005《体视显微镜试验方法》的检测标准。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规格：双筒7×35，目镜透镜Φ19mm，伸缩可调，物镜透镜Φ35mm，望远距离12m～9880m，配背带。</w:t>
            </w:r>
          </w:p>
        </w:tc>
        <w:tc>
          <w:tcPr>
            <w:tcW w:w="462" w:type="dxa"/>
            <w:shd w:val="clear" w:color="auto" w:fill="auto"/>
            <w:noWrap/>
            <w:vAlign w:val="center"/>
          </w:tcPr>
          <w:p w14:paraId="16B87A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E3BB9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1439CA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2900</w:t>
            </w:r>
          </w:p>
        </w:tc>
        <w:tc>
          <w:tcPr>
            <w:tcW w:w="1489" w:type="dxa"/>
            <w:shd w:val="clear" w:color="auto" w:fill="auto"/>
            <w:noWrap/>
            <w:vAlign w:val="center"/>
          </w:tcPr>
          <w:p w14:paraId="082BD3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43500</w:t>
            </w:r>
          </w:p>
        </w:tc>
      </w:tr>
      <w:tr w14:paraId="1629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75B9DF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w:t>
            </w:r>
          </w:p>
        </w:tc>
        <w:tc>
          <w:tcPr>
            <w:tcW w:w="1072" w:type="dxa"/>
            <w:shd w:val="clear" w:color="auto" w:fill="auto"/>
            <w:vAlign w:val="center"/>
          </w:tcPr>
          <w:p w14:paraId="40C765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望远镜</w:t>
            </w:r>
          </w:p>
        </w:tc>
        <w:tc>
          <w:tcPr>
            <w:tcW w:w="4897" w:type="dxa"/>
            <w:shd w:val="clear" w:color="auto" w:fill="auto"/>
            <w:vAlign w:val="center"/>
          </w:tcPr>
          <w:p w14:paraId="3C8C7F8A">
            <w:pPr>
              <w:widowControl/>
              <w:textAlignment w:val="center"/>
              <w:rPr>
                <w:rFonts w:ascii="宋体" w:hAnsi="宋体" w:cs="宋体"/>
                <w:kern w:val="0"/>
                <w:sz w:val="22"/>
              </w:rPr>
            </w:pPr>
            <w:r>
              <w:rPr>
                <w:rFonts w:hint="eastAsia" w:ascii="宋体" w:hAnsi="宋体" w:cs="宋体"/>
                <w:color w:val="000000"/>
                <w:kern w:val="0"/>
                <w:sz w:val="22"/>
                <w:szCs w:val="22"/>
                <w:lang w:bidi="ar"/>
              </w:rPr>
              <w:t>规格：双筒7×35，目镜透镜Φ19mm，伸缩可调，物镜透镜Φ35mm，望远距离12m～9880m，配背带。</w:t>
            </w:r>
          </w:p>
        </w:tc>
        <w:tc>
          <w:tcPr>
            <w:tcW w:w="462" w:type="dxa"/>
            <w:shd w:val="clear" w:color="auto" w:fill="auto"/>
            <w:noWrap/>
            <w:vAlign w:val="center"/>
          </w:tcPr>
          <w:p w14:paraId="7505AD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5ECFF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2002C1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c>
          <w:tcPr>
            <w:tcW w:w="1489" w:type="dxa"/>
            <w:shd w:val="clear" w:color="auto" w:fill="auto"/>
            <w:noWrap/>
            <w:vAlign w:val="center"/>
          </w:tcPr>
          <w:p w14:paraId="24BA32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288</w:t>
            </w:r>
          </w:p>
        </w:tc>
      </w:tr>
      <w:tr w14:paraId="294D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48F04F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w:t>
            </w:r>
          </w:p>
        </w:tc>
        <w:tc>
          <w:tcPr>
            <w:tcW w:w="1072" w:type="dxa"/>
            <w:shd w:val="clear" w:color="auto" w:fill="auto"/>
            <w:vAlign w:val="center"/>
          </w:tcPr>
          <w:p w14:paraId="3DBE78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放大镜</w:t>
            </w:r>
          </w:p>
        </w:tc>
        <w:tc>
          <w:tcPr>
            <w:tcW w:w="4897" w:type="dxa"/>
            <w:shd w:val="clear" w:color="auto" w:fill="auto"/>
            <w:vAlign w:val="center"/>
          </w:tcPr>
          <w:p w14:paraId="4F147D1C">
            <w:pPr>
              <w:widowControl/>
              <w:textAlignment w:val="center"/>
              <w:rPr>
                <w:rFonts w:ascii="宋体" w:hAnsi="宋体" w:cs="宋体"/>
                <w:kern w:val="0"/>
                <w:sz w:val="22"/>
              </w:rPr>
            </w:pPr>
            <w:r>
              <w:rPr>
                <w:rFonts w:hint="eastAsia" w:ascii="宋体" w:hAnsi="宋体" w:cs="宋体"/>
                <w:color w:val="000000"/>
                <w:kern w:val="0"/>
                <w:sz w:val="22"/>
                <w:szCs w:val="22"/>
                <w:lang w:bidi="ar"/>
              </w:rPr>
              <w:t>手持式，有效通光孔径 50mm, 5倍</w:t>
            </w:r>
          </w:p>
        </w:tc>
        <w:tc>
          <w:tcPr>
            <w:tcW w:w="462" w:type="dxa"/>
            <w:shd w:val="clear" w:color="auto" w:fill="auto"/>
            <w:noWrap/>
            <w:vAlign w:val="center"/>
          </w:tcPr>
          <w:p w14:paraId="601068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07A3B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C57E7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73694A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w:t>
            </w:r>
          </w:p>
        </w:tc>
      </w:tr>
      <w:tr w14:paraId="2CA2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DCE9FB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w:t>
            </w:r>
          </w:p>
        </w:tc>
        <w:tc>
          <w:tcPr>
            <w:tcW w:w="1072" w:type="dxa"/>
            <w:shd w:val="clear" w:color="auto" w:fill="auto"/>
            <w:vAlign w:val="center"/>
          </w:tcPr>
          <w:p w14:paraId="6AD1EB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减数分裂中染色体变化模型组件</w:t>
            </w:r>
          </w:p>
        </w:tc>
        <w:tc>
          <w:tcPr>
            <w:tcW w:w="4897" w:type="dxa"/>
            <w:shd w:val="clear" w:color="auto" w:fill="auto"/>
            <w:vAlign w:val="center"/>
          </w:tcPr>
          <w:p w14:paraId="123BB45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材料环保，便于演示</w:t>
            </w:r>
          </w:p>
        </w:tc>
        <w:tc>
          <w:tcPr>
            <w:tcW w:w="462" w:type="dxa"/>
            <w:shd w:val="clear" w:color="auto" w:fill="auto"/>
            <w:noWrap/>
            <w:vAlign w:val="center"/>
          </w:tcPr>
          <w:p w14:paraId="17818A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5F9EB8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722F7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82</w:t>
            </w:r>
          </w:p>
        </w:tc>
        <w:tc>
          <w:tcPr>
            <w:tcW w:w="1489" w:type="dxa"/>
            <w:shd w:val="clear" w:color="auto" w:fill="auto"/>
            <w:noWrap/>
            <w:vAlign w:val="center"/>
          </w:tcPr>
          <w:p w14:paraId="438050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82</w:t>
            </w:r>
          </w:p>
        </w:tc>
      </w:tr>
      <w:tr w14:paraId="26EE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DE3A3D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w:t>
            </w:r>
          </w:p>
        </w:tc>
        <w:tc>
          <w:tcPr>
            <w:tcW w:w="1072" w:type="dxa"/>
            <w:shd w:val="clear" w:color="auto" w:fill="auto"/>
            <w:vAlign w:val="center"/>
          </w:tcPr>
          <w:p w14:paraId="51129C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DNA结构模型</w:t>
            </w:r>
          </w:p>
        </w:tc>
        <w:tc>
          <w:tcPr>
            <w:tcW w:w="4897" w:type="dxa"/>
            <w:shd w:val="clear" w:color="auto" w:fill="auto"/>
            <w:vAlign w:val="center"/>
          </w:tcPr>
          <w:p w14:paraId="51FFF41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模型为放大一亿倍（中学用）、二亿倍（大学用）的B型DNA分子结构教学示意模型。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 DNA分子是两条核甘酸链以右手螺旋围绕同一根轴旋成的。住链是交替排列的磷酸根（P）和脱氧核糖（D）。 两条多核甘酸链是反向平行的。两条链上的碱基通过氧键形成碱基对，碱基配对的互补关系是A-T,G-C,A-T之间为三对氢键。模型上红色套管表示氢键。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2、双螺旋的表面有两处较明显的两凹下去的槽，一个大且深，一个小且浅。分别称为大沟和小沟。</w:t>
            </w:r>
          </w:p>
        </w:tc>
        <w:tc>
          <w:tcPr>
            <w:tcW w:w="462" w:type="dxa"/>
            <w:shd w:val="clear" w:color="auto" w:fill="auto"/>
            <w:noWrap/>
            <w:vAlign w:val="center"/>
          </w:tcPr>
          <w:p w14:paraId="63434D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807B8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B37E1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214</w:t>
            </w:r>
          </w:p>
        </w:tc>
        <w:tc>
          <w:tcPr>
            <w:tcW w:w="1489" w:type="dxa"/>
            <w:shd w:val="clear" w:color="auto" w:fill="auto"/>
            <w:noWrap/>
            <w:vAlign w:val="center"/>
          </w:tcPr>
          <w:p w14:paraId="39CA74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214</w:t>
            </w:r>
          </w:p>
        </w:tc>
      </w:tr>
      <w:tr w14:paraId="3B66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1352B3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w:t>
            </w:r>
          </w:p>
        </w:tc>
        <w:tc>
          <w:tcPr>
            <w:tcW w:w="1072" w:type="dxa"/>
            <w:shd w:val="clear" w:color="auto" w:fill="auto"/>
            <w:vAlign w:val="center"/>
          </w:tcPr>
          <w:p w14:paraId="5FC80E1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DNA双螺旋结构模型组件</w:t>
            </w:r>
          </w:p>
        </w:tc>
        <w:tc>
          <w:tcPr>
            <w:tcW w:w="4897" w:type="dxa"/>
            <w:shd w:val="clear" w:color="auto" w:fill="auto"/>
            <w:vAlign w:val="center"/>
          </w:tcPr>
          <w:p w14:paraId="18D2314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分组用，模型由脱氧核糖、碱基、磷酸等主要组块构成，包括连接棒A(细)40根，连接棒B(粗)20根；脱氧核糖20个；磷酸20个；碱基A5个，碱基B5个，碱基C5个，碱基D5个。优质塑料盒装，盒体外形规格：150mm×80mm×20mm。</w:t>
            </w:r>
          </w:p>
        </w:tc>
        <w:tc>
          <w:tcPr>
            <w:tcW w:w="462" w:type="dxa"/>
            <w:shd w:val="clear" w:color="auto" w:fill="auto"/>
            <w:noWrap/>
            <w:vAlign w:val="center"/>
          </w:tcPr>
          <w:p w14:paraId="52BA04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4546D9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A2327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w:t>
            </w:r>
          </w:p>
        </w:tc>
        <w:tc>
          <w:tcPr>
            <w:tcW w:w="1489" w:type="dxa"/>
            <w:shd w:val="clear" w:color="auto" w:fill="auto"/>
            <w:noWrap/>
            <w:vAlign w:val="center"/>
          </w:tcPr>
          <w:p w14:paraId="419CE7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825</w:t>
            </w:r>
          </w:p>
        </w:tc>
      </w:tr>
      <w:tr w14:paraId="2AA1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812EA0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w:t>
            </w:r>
          </w:p>
        </w:tc>
        <w:tc>
          <w:tcPr>
            <w:tcW w:w="1072" w:type="dxa"/>
            <w:shd w:val="clear" w:color="auto" w:fill="auto"/>
            <w:vAlign w:val="center"/>
          </w:tcPr>
          <w:p w14:paraId="08A9B0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转录和翻译磁片模型</w:t>
            </w:r>
          </w:p>
        </w:tc>
        <w:tc>
          <w:tcPr>
            <w:tcW w:w="4897" w:type="dxa"/>
            <w:shd w:val="clear" w:color="auto" w:fill="auto"/>
            <w:vAlign w:val="center"/>
          </w:tcPr>
          <w:p w14:paraId="70F6CF1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具有单独构件，可以分步演示。大小适合黑板展示</w:t>
            </w:r>
          </w:p>
        </w:tc>
        <w:tc>
          <w:tcPr>
            <w:tcW w:w="462" w:type="dxa"/>
            <w:shd w:val="clear" w:color="auto" w:fill="auto"/>
            <w:noWrap/>
            <w:vAlign w:val="center"/>
          </w:tcPr>
          <w:p w14:paraId="4772A9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4CF04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4EB53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341</w:t>
            </w:r>
          </w:p>
        </w:tc>
        <w:tc>
          <w:tcPr>
            <w:tcW w:w="1489" w:type="dxa"/>
            <w:shd w:val="clear" w:color="auto" w:fill="auto"/>
            <w:noWrap/>
            <w:vAlign w:val="center"/>
          </w:tcPr>
          <w:p w14:paraId="32E588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341</w:t>
            </w:r>
          </w:p>
        </w:tc>
      </w:tr>
      <w:tr w14:paraId="1A07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AAE6D5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w:t>
            </w:r>
          </w:p>
        </w:tc>
        <w:tc>
          <w:tcPr>
            <w:tcW w:w="1072" w:type="dxa"/>
            <w:shd w:val="clear" w:color="auto" w:fill="auto"/>
            <w:vAlign w:val="center"/>
          </w:tcPr>
          <w:p w14:paraId="60A520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电冰箱</w:t>
            </w:r>
          </w:p>
        </w:tc>
        <w:tc>
          <w:tcPr>
            <w:tcW w:w="4897" w:type="dxa"/>
            <w:shd w:val="clear" w:color="auto" w:fill="auto"/>
            <w:vAlign w:val="center"/>
          </w:tcPr>
          <w:p w14:paraId="39E2B183">
            <w:pPr>
              <w:widowControl/>
              <w:textAlignment w:val="center"/>
              <w:rPr>
                <w:rFonts w:ascii="宋体" w:hAnsi="宋体" w:cs="宋体"/>
                <w:kern w:val="0"/>
                <w:sz w:val="22"/>
              </w:rPr>
            </w:pPr>
            <w:r>
              <w:rPr>
                <w:rFonts w:hint="eastAsia" w:ascii="宋体" w:hAnsi="宋体" w:cs="宋体"/>
                <w:color w:val="000000"/>
                <w:kern w:val="0"/>
                <w:sz w:val="22"/>
                <w:szCs w:val="22"/>
                <w:lang w:bidi="ar"/>
              </w:rPr>
              <w:t>1、智能双循环制冷系统，冷藏、冷冻独立温控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2、可拆换门封条设计，具备优良密封性能，减少能耗，顶灯照明，节省空间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3、钢化玻璃，安全防溢，透明抽屉，轻松制冰；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4、容积：200L</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5、耗电量：0.51Kwh/24h。</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执行GB/T8059.2标准。</w:t>
            </w:r>
          </w:p>
        </w:tc>
        <w:tc>
          <w:tcPr>
            <w:tcW w:w="462" w:type="dxa"/>
            <w:shd w:val="clear" w:color="auto" w:fill="auto"/>
            <w:noWrap/>
            <w:vAlign w:val="center"/>
          </w:tcPr>
          <w:p w14:paraId="48C0B8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246BF1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C1A32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2520</w:t>
            </w:r>
          </w:p>
        </w:tc>
        <w:tc>
          <w:tcPr>
            <w:tcW w:w="1489" w:type="dxa"/>
            <w:shd w:val="clear" w:color="auto" w:fill="auto"/>
            <w:noWrap/>
            <w:vAlign w:val="center"/>
          </w:tcPr>
          <w:p w14:paraId="7419BA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2520</w:t>
            </w:r>
          </w:p>
        </w:tc>
      </w:tr>
      <w:tr w14:paraId="4D4B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5E819F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w:t>
            </w:r>
          </w:p>
        </w:tc>
        <w:tc>
          <w:tcPr>
            <w:tcW w:w="1072" w:type="dxa"/>
            <w:shd w:val="clear" w:color="auto" w:fill="auto"/>
            <w:vAlign w:val="center"/>
          </w:tcPr>
          <w:p w14:paraId="543899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微波炉</w:t>
            </w:r>
          </w:p>
        </w:tc>
        <w:tc>
          <w:tcPr>
            <w:tcW w:w="4897" w:type="dxa"/>
            <w:shd w:val="clear" w:color="auto" w:fill="auto"/>
            <w:vAlign w:val="center"/>
          </w:tcPr>
          <w:p w14:paraId="1A7055F7">
            <w:pPr>
              <w:widowControl/>
              <w:textAlignment w:val="center"/>
              <w:rPr>
                <w:rFonts w:ascii="宋体" w:hAnsi="宋体" w:cs="宋体"/>
                <w:kern w:val="0"/>
                <w:sz w:val="22"/>
              </w:rPr>
            </w:pPr>
            <w:r>
              <w:rPr>
                <w:rFonts w:hint="eastAsia" w:ascii="宋体" w:hAnsi="宋体" w:cs="宋体"/>
                <w:color w:val="000000"/>
                <w:kern w:val="0"/>
                <w:sz w:val="22"/>
                <w:szCs w:val="22"/>
                <w:lang w:bidi="ar"/>
              </w:rPr>
              <w:t>≥20L</w:t>
            </w:r>
          </w:p>
        </w:tc>
        <w:tc>
          <w:tcPr>
            <w:tcW w:w="462" w:type="dxa"/>
            <w:shd w:val="clear" w:color="auto" w:fill="auto"/>
            <w:noWrap/>
            <w:vAlign w:val="center"/>
          </w:tcPr>
          <w:p w14:paraId="629EA3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AE2C8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92629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725</w:t>
            </w:r>
          </w:p>
        </w:tc>
        <w:tc>
          <w:tcPr>
            <w:tcW w:w="1489" w:type="dxa"/>
            <w:shd w:val="clear" w:color="auto" w:fill="auto"/>
            <w:noWrap/>
            <w:vAlign w:val="center"/>
          </w:tcPr>
          <w:p w14:paraId="78180A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725</w:t>
            </w:r>
          </w:p>
        </w:tc>
      </w:tr>
      <w:tr w14:paraId="6D7E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974836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24</w:t>
            </w:r>
          </w:p>
        </w:tc>
        <w:tc>
          <w:tcPr>
            <w:tcW w:w="1072" w:type="dxa"/>
            <w:shd w:val="clear" w:color="auto" w:fill="auto"/>
            <w:vAlign w:val="center"/>
          </w:tcPr>
          <w:p w14:paraId="35E32B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电磁炉</w:t>
            </w:r>
          </w:p>
        </w:tc>
        <w:tc>
          <w:tcPr>
            <w:tcW w:w="4897" w:type="dxa"/>
            <w:shd w:val="clear" w:color="auto" w:fill="auto"/>
            <w:vAlign w:val="center"/>
          </w:tcPr>
          <w:p w14:paraId="671A791F">
            <w:pPr>
              <w:widowControl/>
              <w:textAlignment w:val="center"/>
              <w:rPr>
                <w:rFonts w:ascii="宋体" w:hAnsi="宋体" w:cs="宋体"/>
                <w:kern w:val="0"/>
                <w:sz w:val="22"/>
              </w:rPr>
            </w:pPr>
            <w:r>
              <w:rPr>
                <w:rFonts w:hint="eastAsia" w:ascii="宋体" w:hAnsi="宋体" w:cs="宋体"/>
                <w:color w:val="000000"/>
                <w:kern w:val="0"/>
                <w:sz w:val="22"/>
                <w:szCs w:val="22"/>
                <w:lang w:bidi="ar"/>
              </w:rPr>
              <w:t>功率可调，额定功率≥1600W</w:t>
            </w:r>
          </w:p>
        </w:tc>
        <w:tc>
          <w:tcPr>
            <w:tcW w:w="462" w:type="dxa"/>
            <w:shd w:val="clear" w:color="auto" w:fill="auto"/>
            <w:noWrap/>
            <w:vAlign w:val="center"/>
          </w:tcPr>
          <w:p w14:paraId="7DA584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1DF1E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7A351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c>
          <w:tcPr>
            <w:tcW w:w="1489" w:type="dxa"/>
            <w:shd w:val="clear" w:color="auto" w:fill="auto"/>
            <w:noWrap/>
            <w:vAlign w:val="center"/>
          </w:tcPr>
          <w:p w14:paraId="4F6EEC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34C7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115B5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25</w:t>
            </w:r>
          </w:p>
        </w:tc>
        <w:tc>
          <w:tcPr>
            <w:tcW w:w="1072" w:type="dxa"/>
            <w:shd w:val="clear" w:color="auto" w:fill="auto"/>
            <w:vAlign w:val="center"/>
          </w:tcPr>
          <w:p w14:paraId="0CEA0C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恒温水浴锅</w:t>
            </w:r>
          </w:p>
        </w:tc>
        <w:tc>
          <w:tcPr>
            <w:tcW w:w="4897" w:type="dxa"/>
            <w:shd w:val="clear" w:color="auto" w:fill="auto"/>
            <w:vAlign w:val="center"/>
          </w:tcPr>
          <w:p w14:paraId="09E3A49A">
            <w:pPr>
              <w:widowControl/>
              <w:textAlignment w:val="center"/>
              <w:rPr>
                <w:rFonts w:ascii="宋体" w:hAnsi="宋体" w:cs="宋体"/>
                <w:kern w:val="0"/>
                <w:sz w:val="22"/>
              </w:rPr>
            </w:pPr>
            <w:r>
              <w:rPr>
                <w:rFonts w:hint="eastAsia" w:ascii="宋体" w:hAnsi="宋体" w:cs="宋体"/>
                <w:color w:val="000000"/>
                <w:kern w:val="0"/>
                <w:sz w:val="22"/>
                <w:szCs w:val="22"/>
                <w:lang w:bidi="ar"/>
              </w:rPr>
              <w:t>水浴控温范围：室温5℃~99.9℃,水温控制±0.5℃,不锈钢内胆，数字显示</w:t>
            </w:r>
          </w:p>
        </w:tc>
        <w:tc>
          <w:tcPr>
            <w:tcW w:w="462" w:type="dxa"/>
            <w:shd w:val="clear" w:color="auto" w:fill="auto"/>
            <w:noWrap/>
            <w:vAlign w:val="center"/>
          </w:tcPr>
          <w:p w14:paraId="7D2E5C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6A9CD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B4082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482</w:t>
            </w:r>
          </w:p>
        </w:tc>
        <w:tc>
          <w:tcPr>
            <w:tcW w:w="1489" w:type="dxa"/>
            <w:shd w:val="clear" w:color="auto" w:fill="auto"/>
            <w:noWrap/>
            <w:vAlign w:val="center"/>
          </w:tcPr>
          <w:p w14:paraId="24E308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482</w:t>
            </w:r>
          </w:p>
        </w:tc>
      </w:tr>
      <w:tr w14:paraId="4309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14BE61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26</w:t>
            </w:r>
          </w:p>
        </w:tc>
        <w:tc>
          <w:tcPr>
            <w:tcW w:w="1072" w:type="dxa"/>
            <w:shd w:val="clear" w:color="auto" w:fill="auto"/>
            <w:vAlign w:val="center"/>
          </w:tcPr>
          <w:p w14:paraId="37C5F2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榨汁机（破壁机、粉碎机等）</w:t>
            </w:r>
          </w:p>
        </w:tc>
        <w:tc>
          <w:tcPr>
            <w:tcW w:w="4897" w:type="dxa"/>
            <w:shd w:val="clear" w:color="auto" w:fill="auto"/>
            <w:vAlign w:val="center"/>
          </w:tcPr>
          <w:p w14:paraId="3FFB5174">
            <w:pPr>
              <w:widowControl/>
              <w:textAlignment w:val="center"/>
              <w:rPr>
                <w:rFonts w:ascii="宋体" w:hAnsi="宋体" w:cs="宋体"/>
                <w:kern w:val="0"/>
                <w:sz w:val="22"/>
              </w:rPr>
            </w:pPr>
            <w:r>
              <w:rPr>
                <w:rFonts w:hint="eastAsia" w:ascii="宋体" w:hAnsi="宋体" w:cs="宋体"/>
                <w:color w:val="000000"/>
                <w:kern w:val="0"/>
                <w:sz w:val="22"/>
                <w:szCs w:val="22"/>
                <w:lang w:bidi="ar"/>
              </w:rPr>
              <w:t>≥18000 r/min,≥1.0L</w:t>
            </w:r>
          </w:p>
        </w:tc>
        <w:tc>
          <w:tcPr>
            <w:tcW w:w="462" w:type="dxa"/>
            <w:shd w:val="clear" w:color="auto" w:fill="auto"/>
            <w:noWrap/>
            <w:vAlign w:val="center"/>
          </w:tcPr>
          <w:p w14:paraId="2770A5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279C7C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94EFD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407</w:t>
            </w:r>
          </w:p>
        </w:tc>
        <w:tc>
          <w:tcPr>
            <w:tcW w:w="1489" w:type="dxa"/>
            <w:shd w:val="clear" w:color="auto" w:fill="auto"/>
            <w:noWrap/>
            <w:vAlign w:val="center"/>
          </w:tcPr>
          <w:p w14:paraId="265918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407</w:t>
            </w:r>
          </w:p>
        </w:tc>
      </w:tr>
      <w:tr w14:paraId="47BA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F3BE1D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27</w:t>
            </w:r>
          </w:p>
        </w:tc>
        <w:tc>
          <w:tcPr>
            <w:tcW w:w="1072" w:type="dxa"/>
            <w:shd w:val="clear" w:color="auto" w:fill="auto"/>
            <w:vAlign w:val="center"/>
          </w:tcPr>
          <w:p w14:paraId="7753BF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烘干箱</w:t>
            </w:r>
          </w:p>
        </w:tc>
        <w:tc>
          <w:tcPr>
            <w:tcW w:w="4897" w:type="dxa"/>
            <w:shd w:val="clear" w:color="auto" w:fill="auto"/>
            <w:vAlign w:val="center"/>
          </w:tcPr>
          <w:p w14:paraId="62E3E65B">
            <w:pPr>
              <w:widowControl/>
              <w:textAlignment w:val="center"/>
              <w:rPr>
                <w:rFonts w:ascii="宋体" w:hAnsi="宋体" w:cs="宋体"/>
                <w:kern w:val="0"/>
                <w:sz w:val="22"/>
              </w:rPr>
            </w:pPr>
            <w:r>
              <w:rPr>
                <w:rFonts w:hint="eastAsia" w:ascii="宋体" w:hAnsi="宋体" w:cs="宋体"/>
                <w:color w:val="000000"/>
                <w:kern w:val="0"/>
                <w:sz w:val="22"/>
                <w:szCs w:val="22"/>
                <w:lang w:bidi="ar"/>
              </w:rPr>
              <w:t>电热鼓风型，最高工作温度为250℃，温度波动度限值为±1.0℃，箱体内有隔板，内部容积≥350mmX350mmX350mm</w:t>
            </w:r>
          </w:p>
        </w:tc>
        <w:tc>
          <w:tcPr>
            <w:tcW w:w="462" w:type="dxa"/>
            <w:shd w:val="clear" w:color="auto" w:fill="auto"/>
            <w:noWrap/>
            <w:vAlign w:val="center"/>
          </w:tcPr>
          <w:p w14:paraId="5C0913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63415C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D7BE4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1720</w:t>
            </w:r>
          </w:p>
        </w:tc>
        <w:tc>
          <w:tcPr>
            <w:tcW w:w="1489" w:type="dxa"/>
            <w:shd w:val="clear" w:color="auto" w:fill="auto"/>
            <w:noWrap/>
            <w:vAlign w:val="center"/>
          </w:tcPr>
          <w:p w14:paraId="750479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1720</w:t>
            </w:r>
          </w:p>
        </w:tc>
      </w:tr>
      <w:tr w14:paraId="29B2F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935C50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28</w:t>
            </w:r>
          </w:p>
        </w:tc>
        <w:tc>
          <w:tcPr>
            <w:tcW w:w="1072" w:type="dxa"/>
            <w:shd w:val="clear" w:color="auto" w:fill="auto"/>
            <w:vAlign w:val="center"/>
          </w:tcPr>
          <w:p w14:paraId="2ED528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光照培养箱</w:t>
            </w:r>
          </w:p>
        </w:tc>
        <w:tc>
          <w:tcPr>
            <w:tcW w:w="4897" w:type="dxa"/>
            <w:shd w:val="clear" w:color="auto" w:fill="auto"/>
            <w:vAlign w:val="center"/>
          </w:tcPr>
          <w:p w14:paraId="4271AB32">
            <w:pPr>
              <w:widowControl/>
              <w:jc w:val="left"/>
              <w:textAlignment w:val="center"/>
              <w:rPr>
                <w:rFonts w:ascii="宋体" w:hAnsi="宋体" w:cs="宋体"/>
                <w:kern w:val="0"/>
                <w:sz w:val="22"/>
              </w:rPr>
            </w:pPr>
            <w:r>
              <w:rPr>
                <w:rFonts w:hint="eastAsia" w:ascii="宋体" w:hAnsi="宋体" w:cs="宋体"/>
                <w:color w:val="000000"/>
                <w:kern w:val="0"/>
                <w:sz w:val="20"/>
                <w:szCs w:val="20"/>
                <w:lang w:bidi="ar"/>
              </w:rPr>
              <w:t>容积：250L</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光照强度：0lx～12000lx分级可调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控温范围：10℃～50℃(有光照)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温度波动性：±1℃</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温度均匀度：±2℃</w:t>
            </w:r>
          </w:p>
        </w:tc>
        <w:tc>
          <w:tcPr>
            <w:tcW w:w="462" w:type="dxa"/>
            <w:shd w:val="clear" w:color="auto" w:fill="auto"/>
            <w:noWrap/>
            <w:vAlign w:val="center"/>
          </w:tcPr>
          <w:p w14:paraId="1DC166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F952E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932CB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7365</w:t>
            </w:r>
          </w:p>
        </w:tc>
        <w:tc>
          <w:tcPr>
            <w:tcW w:w="1489" w:type="dxa"/>
            <w:shd w:val="clear" w:color="auto" w:fill="auto"/>
            <w:noWrap/>
            <w:vAlign w:val="center"/>
          </w:tcPr>
          <w:p w14:paraId="6CA8FB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7365</w:t>
            </w:r>
          </w:p>
        </w:tc>
      </w:tr>
      <w:tr w14:paraId="5191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2A7AC0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29</w:t>
            </w:r>
          </w:p>
        </w:tc>
        <w:tc>
          <w:tcPr>
            <w:tcW w:w="1072" w:type="dxa"/>
            <w:shd w:val="clear" w:color="auto" w:fill="auto"/>
            <w:vAlign w:val="center"/>
          </w:tcPr>
          <w:p w14:paraId="058016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光照培养架</w:t>
            </w:r>
          </w:p>
        </w:tc>
        <w:tc>
          <w:tcPr>
            <w:tcW w:w="4897" w:type="dxa"/>
            <w:shd w:val="clear" w:color="auto" w:fill="auto"/>
            <w:vAlign w:val="center"/>
          </w:tcPr>
          <w:p w14:paraId="1DDE0506">
            <w:pPr>
              <w:widowControl/>
              <w:textAlignment w:val="center"/>
              <w:rPr>
                <w:rFonts w:ascii="宋体" w:hAnsi="宋体" w:cs="宋体"/>
                <w:kern w:val="0"/>
                <w:sz w:val="22"/>
              </w:rPr>
            </w:pPr>
            <w:r>
              <w:rPr>
                <w:rFonts w:hint="eastAsia" w:ascii="宋体" w:hAnsi="宋体" w:cs="宋体"/>
                <w:color w:val="000000"/>
                <w:kern w:val="0"/>
                <w:sz w:val="22"/>
                <w:szCs w:val="22"/>
                <w:lang w:bidi="ar"/>
              </w:rPr>
              <w:t>多层，插孔暗式布线，独立开关，光照强度3000 lx/5000 lx/7000 lx三档可调</w:t>
            </w:r>
          </w:p>
        </w:tc>
        <w:tc>
          <w:tcPr>
            <w:tcW w:w="462" w:type="dxa"/>
            <w:shd w:val="clear" w:color="auto" w:fill="auto"/>
            <w:noWrap/>
            <w:vAlign w:val="center"/>
          </w:tcPr>
          <w:p w14:paraId="697375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0D704DF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86B4C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990</w:t>
            </w:r>
          </w:p>
        </w:tc>
        <w:tc>
          <w:tcPr>
            <w:tcW w:w="1489" w:type="dxa"/>
            <w:shd w:val="clear" w:color="auto" w:fill="auto"/>
            <w:noWrap/>
            <w:vAlign w:val="center"/>
          </w:tcPr>
          <w:p w14:paraId="3772FE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990</w:t>
            </w:r>
          </w:p>
        </w:tc>
      </w:tr>
      <w:tr w14:paraId="46CA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7A4F7F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30</w:t>
            </w:r>
          </w:p>
        </w:tc>
        <w:tc>
          <w:tcPr>
            <w:tcW w:w="1072" w:type="dxa"/>
            <w:shd w:val="clear" w:color="auto" w:fill="auto"/>
            <w:vAlign w:val="center"/>
          </w:tcPr>
          <w:p w14:paraId="3EC9C9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恒温震荡器</w:t>
            </w:r>
          </w:p>
        </w:tc>
        <w:tc>
          <w:tcPr>
            <w:tcW w:w="4897" w:type="dxa"/>
            <w:shd w:val="clear" w:color="auto" w:fill="auto"/>
            <w:vAlign w:val="center"/>
          </w:tcPr>
          <w:p w14:paraId="5E32B709">
            <w:pPr>
              <w:widowControl/>
              <w:textAlignment w:val="center"/>
              <w:rPr>
                <w:rFonts w:ascii="宋体" w:hAnsi="宋体" w:cs="宋体"/>
                <w:kern w:val="0"/>
                <w:sz w:val="22"/>
              </w:rPr>
            </w:pPr>
            <w:r>
              <w:rPr>
                <w:rFonts w:hint="eastAsia" w:ascii="宋体" w:hAnsi="宋体" w:cs="宋体"/>
                <w:color w:val="000000"/>
                <w:kern w:val="0"/>
                <w:sz w:val="22"/>
                <w:szCs w:val="22"/>
                <w:lang w:bidi="ar"/>
              </w:rPr>
              <w:t>技术指标：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1.电源电压：AC220V 50Hz。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2.加热功率：300W。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3.振荡方式：回旋式。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4.振荡范围：30-250转/分。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5.振荡幅度：23mm。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6.恒温范围：室温-60℃。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7.控温精度：±0.5℃。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8.外壳金属，尺寸：340mm×380mm×270mm（容量：100mL锥形瓶25个或以上）。</w:t>
            </w:r>
          </w:p>
        </w:tc>
        <w:tc>
          <w:tcPr>
            <w:tcW w:w="462" w:type="dxa"/>
            <w:shd w:val="clear" w:color="auto" w:fill="auto"/>
            <w:noWrap/>
            <w:vAlign w:val="center"/>
          </w:tcPr>
          <w:p w14:paraId="5AA4C0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D83F9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B0CEB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2126</w:t>
            </w:r>
          </w:p>
        </w:tc>
        <w:tc>
          <w:tcPr>
            <w:tcW w:w="1489" w:type="dxa"/>
            <w:shd w:val="clear" w:color="auto" w:fill="auto"/>
            <w:noWrap/>
            <w:vAlign w:val="center"/>
          </w:tcPr>
          <w:p w14:paraId="49B884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2126</w:t>
            </w:r>
          </w:p>
        </w:tc>
      </w:tr>
      <w:tr w14:paraId="69C3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2B99C6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31</w:t>
            </w:r>
          </w:p>
        </w:tc>
        <w:tc>
          <w:tcPr>
            <w:tcW w:w="1072" w:type="dxa"/>
            <w:shd w:val="clear" w:color="auto" w:fill="auto"/>
            <w:vAlign w:val="center"/>
          </w:tcPr>
          <w:p w14:paraId="55B24F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酸度计</w:t>
            </w:r>
          </w:p>
        </w:tc>
        <w:tc>
          <w:tcPr>
            <w:tcW w:w="4897" w:type="dxa"/>
            <w:shd w:val="clear" w:color="auto" w:fill="auto"/>
            <w:vAlign w:val="center"/>
          </w:tcPr>
          <w:p w14:paraId="34ADFA4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笔式：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1.测量范围：0～14.00pH。</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2.电源：3×1.5V（AG-13型钮扣电池）。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3.校准方式：两点校准（PH4.01/6.86）。</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4.外形尺寸：150mm×30mm×15mm。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5.分辨力0.1,读数清晰，有自动关机节电模式，配校准试剂。</w:t>
            </w:r>
          </w:p>
        </w:tc>
        <w:tc>
          <w:tcPr>
            <w:tcW w:w="462" w:type="dxa"/>
            <w:shd w:val="clear" w:color="auto" w:fill="auto"/>
            <w:noWrap/>
            <w:vAlign w:val="center"/>
          </w:tcPr>
          <w:p w14:paraId="1167ED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5B0F5B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72434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112</w:t>
            </w:r>
          </w:p>
        </w:tc>
        <w:tc>
          <w:tcPr>
            <w:tcW w:w="1489" w:type="dxa"/>
            <w:shd w:val="clear" w:color="auto" w:fill="auto"/>
            <w:noWrap/>
            <w:vAlign w:val="center"/>
          </w:tcPr>
          <w:p w14:paraId="430674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112</w:t>
            </w:r>
          </w:p>
        </w:tc>
      </w:tr>
      <w:tr w14:paraId="61BE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C4331B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32</w:t>
            </w:r>
          </w:p>
        </w:tc>
        <w:tc>
          <w:tcPr>
            <w:tcW w:w="1072" w:type="dxa"/>
            <w:shd w:val="clear" w:color="auto" w:fill="auto"/>
            <w:vAlign w:val="center"/>
          </w:tcPr>
          <w:p w14:paraId="38D75E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紫外可见分光光度计</w:t>
            </w:r>
          </w:p>
        </w:tc>
        <w:tc>
          <w:tcPr>
            <w:tcW w:w="4897" w:type="dxa"/>
            <w:shd w:val="clear" w:color="auto" w:fill="auto"/>
            <w:vAlign w:val="center"/>
          </w:tcPr>
          <w:p w14:paraId="394D40F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波长范围：190nm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1100nm,比色皿配备玻璃和石英两种材质，波长调节为1nm数字或机械调节</w:t>
            </w:r>
          </w:p>
        </w:tc>
        <w:tc>
          <w:tcPr>
            <w:tcW w:w="462" w:type="dxa"/>
            <w:shd w:val="clear" w:color="auto" w:fill="auto"/>
            <w:noWrap/>
            <w:vAlign w:val="center"/>
          </w:tcPr>
          <w:p w14:paraId="63C198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50701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8C85A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5570</w:t>
            </w:r>
          </w:p>
        </w:tc>
        <w:tc>
          <w:tcPr>
            <w:tcW w:w="1489" w:type="dxa"/>
            <w:shd w:val="clear" w:color="auto" w:fill="auto"/>
            <w:noWrap/>
            <w:vAlign w:val="center"/>
          </w:tcPr>
          <w:p w14:paraId="4947C7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5570</w:t>
            </w:r>
          </w:p>
        </w:tc>
      </w:tr>
      <w:tr w14:paraId="3EED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3FAA63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33</w:t>
            </w:r>
          </w:p>
        </w:tc>
        <w:tc>
          <w:tcPr>
            <w:tcW w:w="1072" w:type="dxa"/>
            <w:shd w:val="clear" w:color="auto" w:fill="auto"/>
            <w:vAlign w:val="center"/>
          </w:tcPr>
          <w:p w14:paraId="71C839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电泳仪</w:t>
            </w:r>
          </w:p>
        </w:tc>
        <w:tc>
          <w:tcPr>
            <w:tcW w:w="4897" w:type="dxa"/>
            <w:shd w:val="clear" w:color="auto" w:fill="auto"/>
            <w:vAlign w:val="center"/>
          </w:tcPr>
          <w:p w14:paraId="294CAE07">
            <w:pPr>
              <w:widowControl/>
              <w:jc w:val="left"/>
              <w:textAlignment w:val="center"/>
              <w:rPr>
                <w:rFonts w:ascii="宋体" w:hAnsi="宋体" w:cs="宋体"/>
                <w:kern w:val="0"/>
                <w:sz w:val="20"/>
                <w:szCs w:val="20"/>
              </w:rPr>
            </w:pPr>
            <w:r>
              <w:rPr>
                <w:rFonts w:hint="eastAsia" w:ascii="宋体" w:hAnsi="宋体" w:cs="宋体"/>
                <w:color w:val="000000"/>
                <w:kern w:val="0"/>
                <w:sz w:val="22"/>
                <w:szCs w:val="22"/>
                <w:lang w:bidi="ar"/>
              </w:rPr>
              <w:t>四组输出，输出电压：2V</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200V、输出电流：2mA</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200mA,具有36V电压限制、稳压和稳流功能</w:t>
            </w:r>
          </w:p>
        </w:tc>
        <w:tc>
          <w:tcPr>
            <w:tcW w:w="462" w:type="dxa"/>
            <w:shd w:val="clear" w:color="auto" w:fill="auto"/>
            <w:noWrap/>
            <w:vAlign w:val="center"/>
          </w:tcPr>
          <w:p w14:paraId="7DBCF9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55CC68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DDBEA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1854</w:t>
            </w:r>
          </w:p>
        </w:tc>
        <w:tc>
          <w:tcPr>
            <w:tcW w:w="1489" w:type="dxa"/>
            <w:shd w:val="clear" w:color="auto" w:fill="auto"/>
            <w:noWrap/>
            <w:vAlign w:val="center"/>
          </w:tcPr>
          <w:p w14:paraId="18B6FB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1854</w:t>
            </w:r>
          </w:p>
        </w:tc>
      </w:tr>
      <w:tr w14:paraId="5F6B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1BB9B2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34</w:t>
            </w:r>
          </w:p>
        </w:tc>
        <w:tc>
          <w:tcPr>
            <w:tcW w:w="1072" w:type="dxa"/>
            <w:shd w:val="clear" w:color="auto" w:fill="auto"/>
            <w:vAlign w:val="center"/>
          </w:tcPr>
          <w:p w14:paraId="553CD5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水平电泳槽</w:t>
            </w:r>
          </w:p>
        </w:tc>
        <w:tc>
          <w:tcPr>
            <w:tcW w:w="4897" w:type="dxa"/>
            <w:shd w:val="clear" w:color="auto" w:fill="auto"/>
            <w:vAlign w:val="center"/>
          </w:tcPr>
          <w:p w14:paraId="19D78CA2">
            <w:pPr>
              <w:widowControl/>
              <w:jc w:val="left"/>
              <w:textAlignment w:val="center"/>
              <w:rPr>
                <w:rFonts w:ascii="宋体" w:hAnsi="宋体" w:cs="宋体"/>
                <w:kern w:val="0"/>
                <w:sz w:val="20"/>
                <w:szCs w:val="20"/>
              </w:rPr>
            </w:pPr>
            <w:r>
              <w:rPr>
                <w:rFonts w:hint="eastAsia" w:ascii="宋体" w:hAnsi="宋体" w:cs="宋体"/>
                <w:color w:val="000000"/>
                <w:kern w:val="0"/>
                <w:sz w:val="22"/>
                <w:szCs w:val="22"/>
                <w:lang w:bidi="ar"/>
              </w:rPr>
              <w:t>聚碳酸脂注塑成型，凝胶托盘带有荧光标尺，具有开盖断电功能，凝胶板规格：60mmX60mm</w:t>
            </w:r>
          </w:p>
        </w:tc>
        <w:tc>
          <w:tcPr>
            <w:tcW w:w="462" w:type="dxa"/>
            <w:shd w:val="clear" w:color="auto" w:fill="auto"/>
            <w:noWrap/>
            <w:vAlign w:val="center"/>
          </w:tcPr>
          <w:p w14:paraId="7D3AE3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7314F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9CAD1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1989</w:t>
            </w:r>
          </w:p>
        </w:tc>
        <w:tc>
          <w:tcPr>
            <w:tcW w:w="1489" w:type="dxa"/>
            <w:shd w:val="clear" w:color="auto" w:fill="auto"/>
            <w:noWrap/>
            <w:vAlign w:val="center"/>
          </w:tcPr>
          <w:p w14:paraId="14DF8E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1989</w:t>
            </w:r>
          </w:p>
        </w:tc>
      </w:tr>
      <w:tr w14:paraId="4692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D38A7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35</w:t>
            </w:r>
          </w:p>
        </w:tc>
        <w:tc>
          <w:tcPr>
            <w:tcW w:w="1072" w:type="dxa"/>
            <w:shd w:val="clear" w:color="auto" w:fill="auto"/>
            <w:vAlign w:val="center"/>
          </w:tcPr>
          <w:p w14:paraId="2674D1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DNA电泳图谱观察仪</w:t>
            </w:r>
          </w:p>
        </w:tc>
        <w:tc>
          <w:tcPr>
            <w:tcW w:w="4897" w:type="dxa"/>
            <w:shd w:val="clear" w:color="auto" w:fill="auto"/>
            <w:vAlign w:val="center"/>
          </w:tcPr>
          <w:p w14:paraId="6A8F36EA">
            <w:pPr>
              <w:widowControl/>
              <w:textAlignment w:val="center"/>
              <w:rPr>
                <w:rFonts w:ascii="宋体" w:hAnsi="宋体" w:cs="宋体"/>
                <w:kern w:val="0"/>
                <w:sz w:val="22"/>
              </w:rPr>
            </w:pPr>
            <w:r>
              <w:rPr>
                <w:rFonts w:hint="eastAsia" w:ascii="宋体" w:hAnsi="宋体" w:cs="宋体"/>
                <w:color w:val="000000"/>
                <w:kern w:val="0"/>
                <w:sz w:val="22"/>
                <w:szCs w:val="22"/>
                <w:lang w:bidi="ar"/>
              </w:rPr>
              <w:t>非紫外光源，观察凝胶面积＞100mmX100mm</w:t>
            </w:r>
          </w:p>
        </w:tc>
        <w:tc>
          <w:tcPr>
            <w:tcW w:w="462" w:type="dxa"/>
            <w:shd w:val="clear" w:color="auto" w:fill="auto"/>
            <w:noWrap/>
            <w:vAlign w:val="center"/>
          </w:tcPr>
          <w:p w14:paraId="133AA0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4B1BD6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5FD6E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890</w:t>
            </w:r>
          </w:p>
        </w:tc>
        <w:tc>
          <w:tcPr>
            <w:tcW w:w="1489" w:type="dxa"/>
            <w:shd w:val="clear" w:color="auto" w:fill="auto"/>
            <w:noWrap/>
            <w:vAlign w:val="center"/>
          </w:tcPr>
          <w:p w14:paraId="667F8E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890</w:t>
            </w:r>
          </w:p>
        </w:tc>
      </w:tr>
      <w:tr w14:paraId="78E3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F5F06E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36</w:t>
            </w:r>
          </w:p>
        </w:tc>
        <w:tc>
          <w:tcPr>
            <w:tcW w:w="1072" w:type="dxa"/>
            <w:shd w:val="clear" w:color="auto" w:fill="auto"/>
            <w:vAlign w:val="center"/>
          </w:tcPr>
          <w:p w14:paraId="2B9865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解剖盘</w:t>
            </w:r>
          </w:p>
        </w:tc>
        <w:tc>
          <w:tcPr>
            <w:tcW w:w="4897" w:type="dxa"/>
            <w:shd w:val="clear" w:color="auto" w:fill="auto"/>
            <w:vAlign w:val="center"/>
          </w:tcPr>
          <w:p w14:paraId="1073C472">
            <w:pPr>
              <w:widowControl/>
              <w:textAlignment w:val="center"/>
              <w:rPr>
                <w:rFonts w:ascii="宋体" w:hAnsi="宋体" w:cs="宋体"/>
                <w:kern w:val="0"/>
                <w:sz w:val="22"/>
              </w:rPr>
            </w:pPr>
            <w:r>
              <w:rPr>
                <w:rFonts w:hint="eastAsia" w:ascii="宋体" w:hAnsi="宋体" w:cs="宋体"/>
                <w:color w:val="000000"/>
                <w:kern w:val="0"/>
                <w:sz w:val="22"/>
                <w:szCs w:val="22"/>
                <w:lang w:bidi="ar"/>
              </w:rPr>
              <w:t>260mmX200mmX30mm,蜡盘</w:t>
            </w:r>
          </w:p>
        </w:tc>
        <w:tc>
          <w:tcPr>
            <w:tcW w:w="462" w:type="dxa"/>
            <w:shd w:val="clear" w:color="auto" w:fill="auto"/>
            <w:noWrap/>
            <w:vAlign w:val="center"/>
          </w:tcPr>
          <w:p w14:paraId="444412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27703E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2ADD7E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0E5BF5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900</w:t>
            </w:r>
          </w:p>
        </w:tc>
      </w:tr>
      <w:tr w14:paraId="268B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17AF2E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37</w:t>
            </w:r>
          </w:p>
        </w:tc>
        <w:tc>
          <w:tcPr>
            <w:tcW w:w="1072" w:type="dxa"/>
            <w:shd w:val="clear" w:color="auto" w:fill="auto"/>
            <w:vAlign w:val="center"/>
          </w:tcPr>
          <w:p w14:paraId="74C562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研磨过滤器</w:t>
            </w:r>
          </w:p>
        </w:tc>
        <w:tc>
          <w:tcPr>
            <w:tcW w:w="4897" w:type="dxa"/>
            <w:shd w:val="clear" w:color="auto" w:fill="auto"/>
            <w:vAlign w:val="center"/>
          </w:tcPr>
          <w:p w14:paraId="53669F9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容量20mL</w:t>
            </w:r>
          </w:p>
        </w:tc>
        <w:tc>
          <w:tcPr>
            <w:tcW w:w="462" w:type="dxa"/>
            <w:shd w:val="clear" w:color="auto" w:fill="auto"/>
            <w:noWrap/>
            <w:vAlign w:val="center"/>
          </w:tcPr>
          <w:p w14:paraId="23057F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4E736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552518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489" w:type="dxa"/>
            <w:shd w:val="clear" w:color="auto" w:fill="auto"/>
            <w:noWrap/>
            <w:vAlign w:val="center"/>
          </w:tcPr>
          <w:p w14:paraId="0B21B0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264</w:t>
            </w:r>
          </w:p>
        </w:tc>
      </w:tr>
      <w:tr w14:paraId="5A04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FD4B13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38</w:t>
            </w:r>
          </w:p>
        </w:tc>
        <w:tc>
          <w:tcPr>
            <w:tcW w:w="1072" w:type="dxa"/>
            <w:shd w:val="clear" w:color="auto" w:fill="auto"/>
            <w:vAlign w:val="center"/>
          </w:tcPr>
          <w:p w14:paraId="7D9F35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w:t>
            </w:r>
          </w:p>
        </w:tc>
        <w:tc>
          <w:tcPr>
            <w:tcW w:w="4897" w:type="dxa"/>
            <w:shd w:val="clear" w:color="auto" w:fill="auto"/>
            <w:vAlign w:val="center"/>
          </w:tcPr>
          <w:p w14:paraId="5FCD2FF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0.1μL</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2.5μL</w:t>
            </w:r>
          </w:p>
        </w:tc>
        <w:tc>
          <w:tcPr>
            <w:tcW w:w="462" w:type="dxa"/>
            <w:shd w:val="clear" w:color="auto" w:fill="auto"/>
            <w:noWrap/>
            <w:vAlign w:val="center"/>
          </w:tcPr>
          <w:p w14:paraId="5DB581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1725A3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9F0BC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79</w:t>
            </w:r>
          </w:p>
        </w:tc>
        <w:tc>
          <w:tcPr>
            <w:tcW w:w="1489" w:type="dxa"/>
            <w:shd w:val="clear" w:color="auto" w:fill="auto"/>
            <w:noWrap/>
            <w:vAlign w:val="center"/>
          </w:tcPr>
          <w:p w14:paraId="4370D0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869</w:t>
            </w:r>
          </w:p>
        </w:tc>
      </w:tr>
      <w:tr w14:paraId="2B44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4DFF6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39</w:t>
            </w:r>
          </w:p>
        </w:tc>
        <w:tc>
          <w:tcPr>
            <w:tcW w:w="1072" w:type="dxa"/>
            <w:shd w:val="clear" w:color="auto" w:fill="auto"/>
            <w:vAlign w:val="center"/>
          </w:tcPr>
          <w:p w14:paraId="114B40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w:t>
            </w:r>
          </w:p>
        </w:tc>
        <w:tc>
          <w:tcPr>
            <w:tcW w:w="4897" w:type="dxa"/>
            <w:shd w:val="clear" w:color="auto" w:fill="auto"/>
            <w:vAlign w:val="center"/>
          </w:tcPr>
          <w:p w14:paraId="0EFCD9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0.5μL</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10μL</w:t>
            </w:r>
          </w:p>
        </w:tc>
        <w:tc>
          <w:tcPr>
            <w:tcW w:w="462" w:type="dxa"/>
            <w:shd w:val="clear" w:color="auto" w:fill="auto"/>
            <w:noWrap/>
            <w:vAlign w:val="center"/>
          </w:tcPr>
          <w:p w14:paraId="153F6C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3D4362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5D2483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80</w:t>
            </w:r>
          </w:p>
        </w:tc>
        <w:tc>
          <w:tcPr>
            <w:tcW w:w="1489" w:type="dxa"/>
            <w:shd w:val="clear" w:color="auto" w:fill="auto"/>
            <w:noWrap/>
            <w:vAlign w:val="center"/>
          </w:tcPr>
          <w:p w14:paraId="5CE07D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880</w:t>
            </w:r>
          </w:p>
        </w:tc>
      </w:tr>
      <w:tr w14:paraId="05EE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EEED31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40</w:t>
            </w:r>
          </w:p>
        </w:tc>
        <w:tc>
          <w:tcPr>
            <w:tcW w:w="1072" w:type="dxa"/>
            <w:shd w:val="clear" w:color="auto" w:fill="auto"/>
            <w:vAlign w:val="center"/>
          </w:tcPr>
          <w:p w14:paraId="5B2419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w:t>
            </w:r>
          </w:p>
        </w:tc>
        <w:tc>
          <w:tcPr>
            <w:tcW w:w="4897" w:type="dxa"/>
            <w:shd w:val="clear" w:color="auto" w:fill="auto"/>
            <w:vAlign w:val="center"/>
          </w:tcPr>
          <w:p w14:paraId="12FFAE2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10μL</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100μL</w:t>
            </w:r>
          </w:p>
        </w:tc>
        <w:tc>
          <w:tcPr>
            <w:tcW w:w="462" w:type="dxa"/>
            <w:shd w:val="clear" w:color="auto" w:fill="auto"/>
            <w:noWrap/>
            <w:vAlign w:val="center"/>
          </w:tcPr>
          <w:p w14:paraId="75C934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2DF03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008807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84</w:t>
            </w:r>
          </w:p>
        </w:tc>
        <w:tc>
          <w:tcPr>
            <w:tcW w:w="1489" w:type="dxa"/>
            <w:shd w:val="clear" w:color="auto" w:fill="auto"/>
            <w:noWrap/>
            <w:vAlign w:val="center"/>
          </w:tcPr>
          <w:p w14:paraId="7D9631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924</w:t>
            </w:r>
          </w:p>
        </w:tc>
      </w:tr>
      <w:tr w14:paraId="3A33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6D7D8B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41</w:t>
            </w:r>
          </w:p>
        </w:tc>
        <w:tc>
          <w:tcPr>
            <w:tcW w:w="1072" w:type="dxa"/>
            <w:shd w:val="clear" w:color="auto" w:fill="auto"/>
            <w:vAlign w:val="center"/>
          </w:tcPr>
          <w:p w14:paraId="11A190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w:t>
            </w:r>
          </w:p>
        </w:tc>
        <w:tc>
          <w:tcPr>
            <w:tcW w:w="4897" w:type="dxa"/>
            <w:shd w:val="clear" w:color="auto" w:fill="auto"/>
            <w:vAlign w:val="center"/>
          </w:tcPr>
          <w:p w14:paraId="7E32D07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100μL</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1000μL</w:t>
            </w:r>
          </w:p>
        </w:tc>
        <w:tc>
          <w:tcPr>
            <w:tcW w:w="462" w:type="dxa"/>
            <w:shd w:val="clear" w:color="auto" w:fill="auto"/>
            <w:noWrap/>
            <w:vAlign w:val="center"/>
          </w:tcPr>
          <w:p w14:paraId="7E74CA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17897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A5767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87</w:t>
            </w:r>
          </w:p>
        </w:tc>
        <w:tc>
          <w:tcPr>
            <w:tcW w:w="1489" w:type="dxa"/>
            <w:shd w:val="clear" w:color="auto" w:fill="auto"/>
            <w:noWrap/>
            <w:vAlign w:val="center"/>
          </w:tcPr>
          <w:p w14:paraId="361762B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957</w:t>
            </w:r>
          </w:p>
        </w:tc>
      </w:tr>
      <w:tr w14:paraId="09D1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B145F0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42</w:t>
            </w:r>
          </w:p>
        </w:tc>
        <w:tc>
          <w:tcPr>
            <w:tcW w:w="1072" w:type="dxa"/>
            <w:shd w:val="clear" w:color="auto" w:fill="auto"/>
            <w:vAlign w:val="center"/>
          </w:tcPr>
          <w:p w14:paraId="078F8C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w:t>
            </w:r>
          </w:p>
        </w:tc>
        <w:tc>
          <w:tcPr>
            <w:tcW w:w="4897" w:type="dxa"/>
            <w:shd w:val="clear" w:color="auto" w:fill="auto"/>
            <w:vAlign w:val="center"/>
          </w:tcPr>
          <w:p w14:paraId="2915AF8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1mL</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5mL</w:t>
            </w:r>
          </w:p>
        </w:tc>
        <w:tc>
          <w:tcPr>
            <w:tcW w:w="462" w:type="dxa"/>
            <w:shd w:val="clear" w:color="auto" w:fill="auto"/>
            <w:noWrap/>
            <w:vAlign w:val="center"/>
          </w:tcPr>
          <w:p w14:paraId="3FFBBB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375858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535200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92</w:t>
            </w:r>
          </w:p>
        </w:tc>
        <w:tc>
          <w:tcPr>
            <w:tcW w:w="1489" w:type="dxa"/>
            <w:shd w:val="clear" w:color="auto" w:fill="auto"/>
            <w:noWrap/>
            <w:vAlign w:val="center"/>
          </w:tcPr>
          <w:p w14:paraId="0BEC78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1012</w:t>
            </w:r>
          </w:p>
        </w:tc>
      </w:tr>
      <w:tr w14:paraId="3519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4B15A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43</w:t>
            </w:r>
          </w:p>
        </w:tc>
        <w:tc>
          <w:tcPr>
            <w:tcW w:w="1072" w:type="dxa"/>
            <w:shd w:val="clear" w:color="auto" w:fill="auto"/>
            <w:vAlign w:val="center"/>
          </w:tcPr>
          <w:p w14:paraId="268975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接种环</w:t>
            </w:r>
          </w:p>
        </w:tc>
        <w:tc>
          <w:tcPr>
            <w:tcW w:w="4897" w:type="dxa"/>
            <w:shd w:val="clear" w:color="auto" w:fill="auto"/>
            <w:vAlign w:val="center"/>
          </w:tcPr>
          <w:p w14:paraId="027E57B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接种棒为铜或不锈钢材质，接种丝为耐热合金，环内径2mm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3mm</w:t>
            </w:r>
          </w:p>
        </w:tc>
        <w:tc>
          <w:tcPr>
            <w:tcW w:w="462" w:type="dxa"/>
            <w:shd w:val="clear" w:color="auto" w:fill="auto"/>
            <w:noWrap/>
            <w:vAlign w:val="center"/>
          </w:tcPr>
          <w:p w14:paraId="43F81E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20B28F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7D2734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64087F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132</w:t>
            </w:r>
          </w:p>
        </w:tc>
      </w:tr>
      <w:tr w14:paraId="1BB0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D24B4A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44</w:t>
            </w:r>
          </w:p>
        </w:tc>
        <w:tc>
          <w:tcPr>
            <w:tcW w:w="1072" w:type="dxa"/>
            <w:shd w:val="clear" w:color="auto" w:fill="auto"/>
            <w:vAlign w:val="center"/>
          </w:tcPr>
          <w:p w14:paraId="443381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铁架台</w:t>
            </w:r>
          </w:p>
        </w:tc>
        <w:tc>
          <w:tcPr>
            <w:tcW w:w="4897" w:type="dxa"/>
            <w:shd w:val="clear" w:color="auto" w:fill="auto"/>
            <w:vAlign w:val="center"/>
          </w:tcPr>
          <w:p w14:paraId="06F0582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方形座，含铁夹、复夹、铁圈，重心稳定不晃动，夹持器内侧应有石棉垫或橡胶垫衬</w:t>
            </w:r>
          </w:p>
        </w:tc>
        <w:tc>
          <w:tcPr>
            <w:tcW w:w="462" w:type="dxa"/>
            <w:shd w:val="clear" w:color="auto" w:fill="auto"/>
            <w:noWrap/>
            <w:vAlign w:val="center"/>
          </w:tcPr>
          <w:p w14:paraId="4D725C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74EE6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8E8FB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83</w:t>
            </w:r>
          </w:p>
        </w:tc>
        <w:tc>
          <w:tcPr>
            <w:tcW w:w="1489" w:type="dxa"/>
            <w:shd w:val="clear" w:color="auto" w:fill="auto"/>
            <w:noWrap/>
            <w:vAlign w:val="center"/>
          </w:tcPr>
          <w:p w14:paraId="4D0D8B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913</w:t>
            </w:r>
          </w:p>
        </w:tc>
      </w:tr>
      <w:tr w14:paraId="2F5F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6E20DC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45</w:t>
            </w:r>
          </w:p>
        </w:tc>
        <w:tc>
          <w:tcPr>
            <w:tcW w:w="1072" w:type="dxa"/>
            <w:shd w:val="clear" w:color="auto" w:fill="auto"/>
            <w:vAlign w:val="center"/>
          </w:tcPr>
          <w:p w14:paraId="3937A2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三脚架</w:t>
            </w:r>
          </w:p>
        </w:tc>
        <w:tc>
          <w:tcPr>
            <w:tcW w:w="4897" w:type="dxa"/>
            <w:shd w:val="clear" w:color="auto" w:fill="auto"/>
            <w:vAlign w:val="center"/>
          </w:tcPr>
          <w:p w14:paraId="265EF13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铁质，环内径75mm,高150mm</w:t>
            </w:r>
          </w:p>
        </w:tc>
        <w:tc>
          <w:tcPr>
            <w:tcW w:w="462" w:type="dxa"/>
            <w:shd w:val="clear" w:color="auto" w:fill="auto"/>
            <w:noWrap/>
            <w:vAlign w:val="center"/>
          </w:tcPr>
          <w:p w14:paraId="235969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8230B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336EB9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39C756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77</w:t>
            </w:r>
          </w:p>
        </w:tc>
      </w:tr>
      <w:tr w14:paraId="0CF8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C7824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46</w:t>
            </w:r>
          </w:p>
        </w:tc>
        <w:tc>
          <w:tcPr>
            <w:tcW w:w="1072" w:type="dxa"/>
            <w:shd w:val="clear" w:color="auto" w:fill="auto"/>
            <w:vAlign w:val="center"/>
          </w:tcPr>
          <w:p w14:paraId="46DE55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试管架</w:t>
            </w:r>
          </w:p>
        </w:tc>
        <w:tc>
          <w:tcPr>
            <w:tcW w:w="4897" w:type="dxa"/>
            <w:shd w:val="clear" w:color="auto" w:fill="auto"/>
            <w:vAlign w:val="center"/>
          </w:tcPr>
          <w:p w14:paraId="5A80433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木质或塑料质，8孔，孔径21mm，立柱黏结牢固</w:t>
            </w:r>
          </w:p>
        </w:tc>
        <w:tc>
          <w:tcPr>
            <w:tcW w:w="462" w:type="dxa"/>
            <w:shd w:val="clear" w:color="auto" w:fill="auto"/>
            <w:noWrap/>
            <w:vAlign w:val="center"/>
          </w:tcPr>
          <w:p w14:paraId="05A052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29096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2FF177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5D792E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143</w:t>
            </w:r>
          </w:p>
        </w:tc>
      </w:tr>
      <w:tr w14:paraId="4766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F615FB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47</w:t>
            </w:r>
          </w:p>
        </w:tc>
        <w:tc>
          <w:tcPr>
            <w:tcW w:w="1072" w:type="dxa"/>
            <w:shd w:val="clear" w:color="auto" w:fill="auto"/>
            <w:vAlign w:val="center"/>
          </w:tcPr>
          <w:p w14:paraId="45A0B0D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注射器架</w:t>
            </w:r>
          </w:p>
        </w:tc>
        <w:tc>
          <w:tcPr>
            <w:tcW w:w="4897" w:type="dxa"/>
            <w:shd w:val="clear" w:color="auto" w:fill="auto"/>
            <w:vAlign w:val="center"/>
          </w:tcPr>
          <w:p w14:paraId="40ADE48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有机玻璃，高度25cm，孔径35mm</w:t>
            </w:r>
          </w:p>
        </w:tc>
        <w:tc>
          <w:tcPr>
            <w:tcW w:w="462" w:type="dxa"/>
            <w:shd w:val="clear" w:color="auto" w:fill="auto"/>
            <w:noWrap/>
            <w:vAlign w:val="center"/>
          </w:tcPr>
          <w:p w14:paraId="6A24EB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56B93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2AFCBA7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w:t>
            </w:r>
          </w:p>
        </w:tc>
        <w:tc>
          <w:tcPr>
            <w:tcW w:w="1489" w:type="dxa"/>
            <w:shd w:val="clear" w:color="auto" w:fill="auto"/>
            <w:noWrap/>
            <w:vAlign w:val="center"/>
          </w:tcPr>
          <w:p w14:paraId="3C8B4F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297</w:t>
            </w:r>
          </w:p>
        </w:tc>
      </w:tr>
      <w:tr w14:paraId="2511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E24ABF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48</w:t>
            </w:r>
          </w:p>
        </w:tc>
        <w:tc>
          <w:tcPr>
            <w:tcW w:w="1072" w:type="dxa"/>
            <w:shd w:val="clear" w:color="auto" w:fill="auto"/>
            <w:vAlign w:val="center"/>
          </w:tcPr>
          <w:p w14:paraId="6FE5AB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移液器架</w:t>
            </w:r>
          </w:p>
        </w:tc>
        <w:tc>
          <w:tcPr>
            <w:tcW w:w="4897" w:type="dxa"/>
            <w:shd w:val="clear" w:color="auto" w:fill="auto"/>
            <w:vAlign w:val="center"/>
          </w:tcPr>
          <w:p w14:paraId="58F9AA4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塑料或亚克力材质，可放置5支移液器</w:t>
            </w:r>
          </w:p>
        </w:tc>
        <w:tc>
          <w:tcPr>
            <w:tcW w:w="462" w:type="dxa"/>
            <w:shd w:val="clear" w:color="auto" w:fill="auto"/>
            <w:noWrap/>
            <w:vAlign w:val="center"/>
          </w:tcPr>
          <w:p w14:paraId="7D0555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0B00F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0D50EA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156</w:t>
            </w:r>
          </w:p>
        </w:tc>
        <w:tc>
          <w:tcPr>
            <w:tcW w:w="1489" w:type="dxa"/>
            <w:shd w:val="clear" w:color="auto" w:fill="auto"/>
            <w:noWrap/>
            <w:vAlign w:val="center"/>
          </w:tcPr>
          <w:p w14:paraId="744C10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1716</w:t>
            </w:r>
          </w:p>
        </w:tc>
      </w:tr>
      <w:tr w14:paraId="6BA9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BABFEB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49</w:t>
            </w:r>
          </w:p>
        </w:tc>
        <w:tc>
          <w:tcPr>
            <w:tcW w:w="1072" w:type="dxa"/>
            <w:shd w:val="clear" w:color="auto" w:fill="auto"/>
            <w:vAlign w:val="center"/>
          </w:tcPr>
          <w:p w14:paraId="30588B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移液管架</w:t>
            </w:r>
          </w:p>
        </w:tc>
        <w:tc>
          <w:tcPr>
            <w:tcW w:w="4897" w:type="dxa"/>
            <w:shd w:val="clear" w:color="auto" w:fill="auto"/>
            <w:vAlign w:val="center"/>
          </w:tcPr>
          <w:p w14:paraId="4FDF1F9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塑料或亚克力材质</w:t>
            </w:r>
          </w:p>
        </w:tc>
        <w:tc>
          <w:tcPr>
            <w:tcW w:w="462" w:type="dxa"/>
            <w:shd w:val="clear" w:color="auto" w:fill="auto"/>
            <w:noWrap/>
            <w:vAlign w:val="center"/>
          </w:tcPr>
          <w:p w14:paraId="3DCD09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DEE8A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435011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156</w:t>
            </w:r>
          </w:p>
        </w:tc>
        <w:tc>
          <w:tcPr>
            <w:tcW w:w="1489" w:type="dxa"/>
            <w:shd w:val="clear" w:color="auto" w:fill="auto"/>
            <w:noWrap/>
            <w:vAlign w:val="center"/>
          </w:tcPr>
          <w:p w14:paraId="71BFF1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1716</w:t>
            </w:r>
          </w:p>
        </w:tc>
      </w:tr>
      <w:tr w14:paraId="15E8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3AC4DC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50</w:t>
            </w:r>
          </w:p>
        </w:tc>
        <w:tc>
          <w:tcPr>
            <w:tcW w:w="1072" w:type="dxa"/>
            <w:shd w:val="clear" w:color="auto" w:fill="auto"/>
            <w:vAlign w:val="center"/>
          </w:tcPr>
          <w:p w14:paraId="142FDA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直尺</w:t>
            </w:r>
          </w:p>
        </w:tc>
        <w:tc>
          <w:tcPr>
            <w:tcW w:w="4897" w:type="dxa"/>
            <w:shd w:val="clear" w:color="auto" w:fill="auto"/>
            <w:vAlign w:val="center"/>
          </w:tcPr>
          <w:p w14:paraId="0AD3B93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500mm</w:t>
            </w:r>
          </w:p>
        </w:tc>
        <w:tc>
          <w:tcPr>
            <w:tcW w:w="462" w:type="dxa"/>
            <w:shd w:val="clear" w:color="auto" w:fill="auto"/>
            <w:noWrap/>
            <w:vAlign w:val="center"/>
          </w:tcPr>
          <w:p w14:paraId="77762E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0BE8A0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76559A3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4D0A0E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w:t>
            </w:r>
          </w:p>
        </w:tc>
      </w:tr>
      <w:tr w14:paraId="60A0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617C32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51</w:t>
            </w:r>
          </w:p>
        </w:tc>
        <w:tc>
          <w:tcPr>
            <w:tcW w:w="1072" w:type="dxa"/>
            <w:shd w:val="clear" w:color="auto" w:fill="auto"/>
            <w:vAlign w:val="center"/>
          </w:tcPr>
          <w:p w14:paraId="58A74E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软尺</w:t>
            </w:r>
          </w:p>
        </w:tc>
        <w:tc>
          <w:tcPr>
            <w:tcW w:w="4897" w:type="dxa"/>
            <w:shd w:val="clear" w:color="auto" w:fill="auto"/>
            <w:vAlign w:val="center"/>
          </w:tcPr>
          <w:p w14:paraId="256ACF4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1500mm</w:t>
            </w:r>
          </w:p>
        </w:tc>
        <w:tc>
          <w:tcPr>
            <w:tcW w:w="462" w:type="dxa"/>
            <w:shd w:val="clear" w:color="auto" w:fill="auto"/>
            <w:noWrap/>
            <w:vAlign w:val="center"/>
          </w:tcPr>
          <w:p w14:paraId="0D9E75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131D6D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B0E8B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28159F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r>
      <w:tr w14:paraId="783F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9EB8C5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52</w:t>
            </w:r>
          </w:p>
        </w:tc>
        <w:tc>
          <w:tcPr>
            <w:tcW w:w="1072" w:type="dxa"/>
            <w:shd w:val="clear" w:color="auto" w:fill="auto"/>
            <w:vAlign w:val="center"/>
          </w:tcPr>
          <w:p w14:paraId="5C736E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电子天平</w:t>
            </w:r>
          </w:p>
        </w:tc>
        <w:tc>
          <w:tcPr>
            <w:tcW w:w="4897" w:type="dxa"/>
            <w:shd w:val="clear" w:color="auto" w:fill="auto"/>
            <w:vAlign w:val="center"/>
          </w:tcPr>
          <w:p w14:paraId="5375150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1、量程200g。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2、读数精度：0.1g。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3、采用高精度应变式称量传感器。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4、自动外置砝码校准，标配砝码操作简便。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5、可拆卸式方形透明防风罩。</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6、数码显示。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7、具有超载保护及去皮，计数等功能。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8、产品应符合JJG1036-2008《电子天平》。</w:t>
            </w:r>
          </w:p>
        </w:tc>
        <w:tc>
          <w:tcPr>
            <w:tcW w:w="462" w:type="dxa"/>
            <w:shd w:val="clear" w:color="auto" w:fill="auto"/>
            <w:noWrap/>
            <w:vAlign w:val="center"/>
          </w:tcPr>
          <w:p w14:paraId="4DB5A8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4D14F8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389F3E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291</w:t>
            </w:r>
          </w:p>
        </w:tc>
        <w:tc>
          <w:tcPr>
            <w:tcW w:w="1489" w:type="dxa"/>
            <w:shd w:val="clear" w:color="auto" w:fill="auto"/>
            <w:noWrap/>
            <w:vAlign w:val="center"/>
          </w:tcPr>
          <w:p w14:paraId="50340F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3201</w:t>
            </w:r>
          </w:p>
        </w:tc>
      </w:tr>
      <w:tr w14:paraId="4B81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5D4588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53</w:t>
            </w:r>
          </w:p>
        </w:tc>
        <w:tc>
          <w:tcPr>
            <w:tcW w:w="1072" w:type="dxa"/>
            <w:shd w:val="clear" w:color="auto" w:fill="auto"/>
            <w:vAlign w:val="center"/>
          </w:tcPr>
          <w:p w14:paraId="2E53F5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电子天平</w:t>
            </w:r>
          </w:p>
        </w:tc>
        <w:tc>
          <w:tcPr>
            <w:tcW w:w="4897" w:type="dxa"/>
            <w:shd w:val="clear" w:color="auto" w:fill="auto"/>
            <w:vAlign w:val="center"/>
          </w:tcPr>
          <w:p w14:paraId="65F46E6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1、量程：100g；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2、计数精度：0.001g。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3、称盘尺寸：圆盘ф130mm。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4、电源电压：220VAC。</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5、采用高精度电磁平衡传达室感器，LED显示。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6、具有计数、确认、清零、校准。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7、防风罩一套，采用透明塑料注塑成型。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8、校准砝码1个。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9、主机形尺寸：185mm×235mm×50mm。</w:t>
            </w:r>
          </w:p>
        </w:tc>
        <w:tc>
          <w:tcPr>
            <w:tcW w:w="462" w:type="dxa"/>
            <w:shd w:val="clear" w:color="auto" w:fill="auto"/>
            <w:noWrap/>
            <w:vAlign w:val="center"/>
          </w:tcPr>
          <w:p w14:paraId="6D3CD4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51ABD7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86F14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424</w:t>
            </w:r>
          </w:p>
        </w:tc>
        <w:tc>
          <w:tcPr>
            <w:tcW w:w="1489" w:type="dxa"/>
            <w:shd w:val="clear" w:color="auto" w:fill="auto"/>
            <w:noWrap/>
            <w:vAlign w:val="center"/>
          </w:tcPr>
          <w:p w14:paraId="68637B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424</w:t>
            </w:r>
          </w:p>
        </w:tc>
      </w:tr>
      <w:tr w14:paraId="4A22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85F14E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54</w:t>
            </w:r>
          </w:p>
        </w:tc>
        <w:tc>
          <w:tcPr>
            <w:tcW w:w="1072" w:type="dxa"/>
            <w:shd w:val="clear" w:color="auto" w:fill="auto"/>
            <w:vAlign w:val="center"/>
          </w:tcPr>
          <w:p w14:paraId="02B289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电子秒表</w:t>
            </w:r>
          </w:p>
        </w:tc>
        <w:tc>
          <w:tcPr>
            <w:tcW w:w="4897" w:type="dxa"/>
            <w:shd w:val="clear" w:color="auto" w:fill="auto"/>
            <w:vAlign w:val="center"/>
          </w:tcPr>
          <w:p w14:paraId="1640F0C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专用型，全时段分辨力0.01s；有防震、防水功能，电池更换周期≥1.5年</w:t>
            </w:r>
          </w:p>
        </w:tc>
        <w:tc>
          <w:tcPr>
            <w:tcW w:w="462" w:type="dxa"/>
            <w:shd w:val="clear" w:color="auto" w:fill="auto"/>
            <w:noWrap/>
            <w:vAlign w:val="center"/>
          </w:tcPr>
          <w:p w14:paraId="54628E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405F8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542D3D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w:t>
            </w:r>
          </w:p>
        </w:tc>
        <w:tc>
          <w:tcPr>
            <w:tcW w:w="1489" w:type="dxa"/>
            <w:shd w:val="clear" w:color="auto" w:fill="auto"/>
            <w:noWrap/>
            <w:vAlign w:val="center"/>
          </w:tcPr>
          <w:p w14:paraId="669A57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286</w:t>
            </w:r>
          </w:p>
        </w:tc>
      </w:tr>
      <w:tr w14:paraId="7337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51E89E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55</w:t>
            </w:r>
          </w:p>
        </w:tc>
        <w:tc>
          <w:tcPr>
            <w:tcW w:w="1072" w:type="dxa"/>
            <w:shd w:val="clear" w:color="auto" w:fill="auto"/>
            <w:vAlign w:val="center"/>
          </w:tcPr>
          <w:p w14:paraId="6F9D53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红液温度计</w:t>
            </w:r>
          </w:p>
        </w:tc>
        <w:tc>
          <w:tcPr>
            <w:tcW w:w="4897" w:type="dxa"/>
            <w:shd w:val="clear" w:color="auto" w:fill="auto"/>
            <w:vAlign w:val="center"/>
          </w:tcPr>
          <w:p w14:paraId="01A3287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 红液。</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 全长：约280mm；外径：5mm－6mm；头长：约10mm。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 测量范围：0－100℃；最小分度值：1℃；允许误差±1℃。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4．玻管要直，不得弯曲，不得崩损缺口，红液不得断线。</w:t>
            </w:r>
          </w:p>
        </w:tc>
        <w:tc>
          <w:tcPr>
            <w:tcW w:w="462" w:type="dxa"/>
            <w:shd w:val="clear" w:color="auto" w:fill="auto"/>
            <w:noWrap/>
            <w:vAlign w:val="center"/>
          </w:tcPr>
          <w:p w14:paraId="6B5377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7C2409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0D8DB2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1010E5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20A15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0F752B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56</w:t>
            </w:r>
          </w:p>
        </w:tc>
        <w:tc>
          <w:tcPr>
            <w:tcW w:w="1072" w:type="dxa"/>
            <w:shd w:val="clear" w:color="auto" w:fill="auto"/>
            <w:vAlign w:val="center"/>
          </w:tcPr>
          <w:p w14:paraId="1B2DDD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水银温度计</w:t>
            </w:r>
          </w:p>
        </w:tc>
        <w:tc>
          <w:tcPr>
            <w:tcW w:w="4897" w:type="dxa"/>
            <w:shd w:val="clear" w:color="auto" w:fill="auto"/>
            <w:vAlign w:val="center"/>
          </w:tcPr>
          <w:p w14:paraId="499C091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   感温物质：水银。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2．测量范围：0－200℃；最小分度值：1℃；允许误差±1℃。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3．玻璃应光洁透明，不得有裂痕。毛细管不得有明显的弯曲现象，其孔径应均匀，管壁内应清洁无杂质。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4．感温液体（水银）必须纯洁、无杂质。液线不得中断。</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   有保护套。</w:t>
            </w:r>
          </w:p>
        </w:tc>
        <w:tc>
          <w:tcPr>
            <w:tcW w:w="462" w:type="dxa"/>
            <w:shd w:val="clear" w:color="auto" w:fill="auto"/>
            <w:noWrap/>
            <w:vAlign w:val="center"/>
          </w:tcPr>
          <w:p w14:paraId="021643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2B2F08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4670BE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6E507B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r>
      <w:tr w14:paraId="4866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9E39FD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57</w:t>
            </w:r>
          </w:p>
        </w:tc>
        <w:tc>
          <w:tcPr>
            <w:tcW w:w="1072" w:type="dxa"/>
            <w:shd w:val="clear" w:color="auto" w:fill="auto"/>
            <w:vAlign w:val="center"/>
          </w:tcPr>
          <w:p w14:paraId="5C78F4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干湿球温度计</w:t>
            </w:r>
          </w:p>
        </w:tc>
        <w:tc>
          <w:tcPr>
            <w:tcW w:w="4897" w:type="dxa"/>
            <w:shd w:val="clear" w:color="auto" w:fill="auto"/>
            <w:vAlign w:val="center"/>
          </w:tcPr>
          <w:p w14:paraId="2740C99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-10℃-50℃,分度值0.5℃；测量湿度0-100%</w:t>
            </w:r>
          </w:p>
        </w:tc>
        <w:tc>
          <w:tcPr>
            <w:tcW w:w="462" w:type="dxa"/>
            <w:shd w:val="clear" w:color="auto" w:fill="auto"/>
            <w:noWrap/>
            <w:vAlign w:val="center"/>
          </w:tcPr>
          <w:p w14:paraId="7B83B3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68CED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790DA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3B18FB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88</w:t>
            </w:r>
          </w:p>
        </w:tc>
      </w:tr>
      <w:tr w14:paraId="00A7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C9B1B9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58</w:t>
            </w:r>
          </w:p>
        </w:tc>
        <w:tc>
          <w:tcPr>
            <w:tcW w:w="1072" w:type="dxa"/>
            <w:shd w:val="clear" w:color="auto" w:fill="auto"/>
            <w:vAlign w:val="center"/>
          </w:tcPr>
          <w:p w14:paraId="057D32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计数器</w:t>
            </w:r>
          </w:p>
        </w:tc>
        <w:tc>
          <w:tcPr>
            <w:tcW w:w="4897" w:type="dxa"/>
            <w:shd w:val="clear" w:color="auto" w:fill="auto"/>
            <w:vAlign w:val="center"/>
          </w:tcPr>
          <w:p w14:paraId="2F0D64F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手持式</w:t>
            </w:r>
          </w:p>
        </w:tc>
        <w:tc>
          <w:tcPr>
            <w:tcW w:w="462" w:type="dxa"/>
            <w:shd w:val="clear" w:color="auto" w:fill="auto"/>
            <w:noWrap/>
            <w:vAlign w:val="center"/>
          </w:tcPr>
          <w:p w14:paraId="2FE672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6CF08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3F9824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noWrap/>
            <w:vAlign w:val="center"/>
          </w:tcPr>
          <w:p w14:paraId="4ACB9F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121</w:t>
            </w:r>
          </w:p>
        </w:tc>
      </w:tr>
      <w:tr w14:paraId="3B5D2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902A95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59</w:t>
            </w:r>
          </w:p>
        </w:tc>
        <w:tc>
          <w:tcPr>
            <w:tcW w:w="1072" w:type="dxa"/>
            <w:shd w:val="clear" w:color="auto" w:fill="auto"/>
            <w:vAlign w:val="center"/>
          </w:tcPr>
          <w:p w14:paraId="362876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血球计数板</w:t>
            </w:r>
          </w:p>
        </w:tc>
        <w:tc>
          <w:tcPr>
            <w:tcW w:w="4897" w:type="dxa"/>
            <w:shd w:val="clear" w:color="auto" w:fill="auto"/>
            <w:vAlign w:val="center"/>
          </w:tcPr>
          <w:p w14:paraId="494D91A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H型凹槽，两个计数池，计数池深度0.1mm</w:t>
            </w:r>
          </w:p>
        </w:tc>
        <w:tc>
          <w:tcPr>
            <w:tcW w:w="462" w:type="dxa"/>
            <w:shd w:val="clear" w:color="auto" w:fill="auto"/>
            <w:noWrap/>
            <w:vAlign w:val="center"/>
          </w:tcPr>
          <w:p w14:paraId="3FD884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7053EF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5F24F3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489" w:type="dxa"/>
            <w:shd w:val="clear" w:color="auto" w:fill="auto"/>
            <w:noWrap/>
            <w:vAlign w:val="center"/>
          </w:tcPr>
          <w:p w14:paraId="278F31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396</w:t>
            </w:r>
          </w:p>
        </w:tc>
      </w:tr>
      <w:tr w14:paraId="46AF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F8FFAA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60</w:t>
            </w:r>
          </w:p>
        </w:tc>
        <w:tc>
          <w:tcPr>
            <w:tcW w:w="1072" w:type="dxa"/>
            <w:shd w:val="clear" w:color="auto" w:fill="auto"/>
            <w:vAlign w:val="center"/>
          </w:tcPr>
          <w:p w14:paraId="518F970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0CA1065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10mL;透明钠钙玻璃制，分度线、数字和标志应完整、清晰和耐久，容积为20℃时充满量筒刻度线所容纳体积</w:t>
            </w:r>
          </w:p>
        </w:tc>
        <w:tc>
          <w:tcPr>
            <w:tcW w:w="462" w:type="dxa"/>
            <w:shd w:val="clear" w:color="auto" w:fill="auto"/>
            <w:noWrap/>
            <w:vAlign w:val="center"/>
          </w:tcPr>
          <w:p w14:paraId="187DE1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0304DB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482298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723DC4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415C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A57097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61</w:t>
            </w:r>
          </w:p>
        </w:tc>
        <w:tc>
          <w:tcPr>
            <w:tcW w:w="1072" w:type="dxa"/>
            <w:shd w:val="clear" w:color="auto" w:fill="auto"/>
            <w:vAlign w:val="center"/>
          </w:tcPr>
          <w:p w14:paraId="581208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46CE5F7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25mL；透明钠钙玻璃制，分度线、数字和标志应完整、清晰和耐久，容积为20℃时充满量筒刻度线所容纳体积</w:t>
            </w:r>
          </w:p>
        </w:tc>
        <w:tc>
          <w:tcPr>
            <w:tcW w:w="462" w:type="dxa"/>
            <w:shd w:val="clear" w:color="auto" w:fill="auto"/>
            <w:noWrap/>
            <w:vAlign w:val="center"/>
          </w:tcPr>
          <w:p w14:paraId="7630EF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E5981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5AC79A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367F01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4FE0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B49FA3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62</w:t>
            </w:r>
          </w:p>
        </w:tc>
        <w:tc>
          <w:tcPr>
            <w:tcW w:w="1072" w:type="dxa"/>
            <w:shd w:val="clear" w:color="auto" w:fill="auto"/>
            <w:vAlign w:val="center"/>
          </w:tcPr>
          <w:p w14:paraId="301199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2E443F4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50mL；透明钠钙玻璃制，分度线、数字和标志应完整、清晰和耐久，容积为20℃时充满量筒刻度线所容纳体积</w:t>
            </w:r>
          </w:p>
        </w:tc>
        <w:tc>
          <w:tcPr>
            <w:tcW w:w="462" w:type="dxa"/>
            <w:shd w:val="clear" w:color="auto" w:fill="auto"/>
            <w:noWrap/>
            <w:vAlign w:val="center"/>
          </w:tcPr>
          <w:p w14:paraId="0B3D64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D3378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AAE07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11644C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w:t>
            </w:r>
          </w:p>
        </w:tc>
      </w:tr>
      <w:tr w14:paraId="058D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41311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63</w:t>
            </w:r>
          </w:p>
        </w:tc>
        <w:tc>
          <w:tcPr>
            <w:tcW w:w="1072" w:type="dxa"/>
            <w:shd w:val="clear" w:color="auto" w:fill="auto"/>
            <w:vAlign w:val="center"/>
          </w:tcPr>
          <w:p w14:paraId="1A04AE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40B29C7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100mL；透明钠钙玻璃制，分度线、数字和标志应完整、清晰和耐久，容积为20℃时充满量筒刻度线所容纳体积</w:t>
            </w:r>
          </w:p>
        </w:tc>
        <w:tc>
          <w:tcPr>
            <w:tcW w:w="462" w:type="dxa"/>
            <w:shd w:val="clear" w:color="auto" w:fill="auto"/>
            <w:noWrap/>
            <w:vAlign w:val="center"/>
          </w:tcPr>
          <w:p w14:paraId="1F29F9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85161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55275A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61DA0F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162</w:t>
            </w:r>
          </w:p>
        </w:tc>
      </w:tr>
      <w:tr w14:paraId="741E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1D0B9F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64</w:t>
            </w:r>
          </w:p>
        </w:tc>
        <w:tc>
          <w:tcPr>
            <w:tcW w:w="1072" w:type="dxa"/>
            <w:shd w:val="clear" w:color="auto" w:fill="auto"/>
            <w:vAlign w:val="center"/>
          </w:tcPr>
          <w:p w14:paraId="5F7B93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22D17E6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500mL；透明钠钙玻璃制，分度线、数字和标志应完整、清晰和耐久，容积为20℃时充满量筒刻度线所容纳体积</w:t>
            </w:r>
          </w:p>
        </w:tc>
        <w:tc>
          <w:tcPr>
            <w:tcW w:w="462" w:type="dxa"/>
            <w:shd w:val="clear" w:color="auto" w:fill="auto"/>
            <w:noWrap/>
            <w:vAlign w:val="center"/>
          </w:tcPr>
          <w:p w14:paraId="59EAF5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5DB350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658D61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c>
          <w:tcPr>
            <w:tcW w:w="1489" w:type="dxa"/>
            <w:shd w:val="clear" w:color="auto" w:fill="auto"/>
            <w:noWrap/>
            <w:vAlign w:val="center"/>
          </w:tcPr>
          <w:p w14:paraId="7BD6A2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522</w:t>
            </w:r>
          </w:p>
        </w:tc>
      </w:tr>
      <w:tr w14:paraId="59119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B05E83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65</w:t>
            </w:r>
          </w:p>
        </w:tc>
        <w:tc>
          <w:tcPr>
            <w:tcW w:w="1072" w:type="dxa"/>
            <w:shd w:val="clear" w:color="auto" w:fill="auto"/>
            <w:vAlign w:val="center"/>
          </w:tcPr>
          <w:p w14:paraId="0CA9B0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64EFFB1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1000mL；透明钠钙玻璃制，分度线、数字和标志应完整、清晰和耐久，容积为20℃时充满量筒刻度线所容纳体积</w:t>
            </w:r>
          </w:p>
        </w:tc>
        <w:tc>
          <w:tcPr>
            <w:tcW w:w="462" w:type="dxa"/>
            <w:shd w:val="clear" w:color="auto" w:fill="auto"/>
            <w:noWrap/>
            <w:vAlign w:val="center"/>
          </w:tcPr>
          <w:p w14:paraId="657F92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A1751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noWrap/>
            <w:vAlign w:val="center"/>
          </w:tcPr>
          <w:p w14:paraId="1B8CC9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w:t>
            </w:r>
          </w:p>
        </w:tc>
        <w:tc>
          <w:tcPr>
            <w:tcW w:w="1489" w:type="dxa"/>
            <w:shd w:val="clear" w:color="auto" w:fill="auto"/>
            <w:noWrap/>
            <w:vAlign w:val="center"/>
          </w:tcPr>
          <w:p w14:paraId="030E5C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552</w:t>
            </w:r>
          </w:p>
        </w:tc>
      </w:tr>
      <w:tr w14:paraId="3DB8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71EB4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66</w:t>
            </w:r>
          </w:p>
        </w:tc>
        <w:tc>
          <w:tcPr>
            <w:tcW w:w="1072" w:type="dxa"/>
            <w:shd w:val="clear" w:color="auto" w:fill="auto"/>
            <w:vAlign w:val="center"/>
          </w:tcPr>
          <w:p w14:paraId="145B66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11826FF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100mL；透明硼硅酸盐玻璃制，刻度线应在瓶颈下部三分之二处，清晰耐久，粗细均匀</w:t>
            </w:r>
          </w:p>
        </w:tc>
        <w:tc>
          <w:tcPr>
            <w:tcW w:w="462" w:type="dxa"/>
            <w:shd w:val="clear" w:color="auto" w:fill="auto"/>
            <w:noWrap/>
            <w:vAlign w:val="center"/>
          </w:tcPr>
          <w:p w14:paraId="540DBC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DF44B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100D45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683113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w:t>
            </w:r>
          </w:p>
        </w:tc>
      </w:tr>
      <w:tr w14:paraId="142C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3DBCA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67</w:t>
            </w:r>
          </w:p>
        </w:tc>
        <w:tc>
          <w:tcPr>
            <w:tcW w:w="1072" w:type="dxa"/>
            <w:shd w:val="clear" w:color="auto" w:fill="auto"/>
            <w:vAlign w:val="center"/>
          </w:tcPr>
          <w:p w14:paraId="5D7B36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5ADFD7F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Φ12mmX70mm；透明硼硅酸盐玻璃制</w:t>
            </w:r>
          </w:p>
        </w:tc>
        <w:tc>
          <w:tcPr>
            <w:tcW w:w="462" w:type="dxa"/>
            <w:shd w:val="clear" w:color="auto" w:fill="auto"/>
            <w:noWrap/>
            <w:vAlign w:val="center"/>
          </w:tcPr>
          <w:p w14:paraId="586CA8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5B8DB4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665A28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2BC3DE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2AC8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3CC6F0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68</w:t>
            </w:r>
          </w:p>
        </w:tc>
        <w:tc>
          <w:tcPr>
            <w:tcW w:w="1072" w:type="dxa"/>
            <w:shd w:val="clear" w:color="auto" w:fill="auto"/>
            <w:vAlign w:val="center"/>
          </w:tcPr>
          <w:p w14:paraId="54CB09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0C3FE26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Φ15mmX150mm；透明硼硅酸盐玻璃制</w:t>
            </w:r>
          </w:p>
        </w:tc>
        <w:tc>
          <w:tcPr>
            <w:tcW w:w="462" w:type="dxa"/>
            <w:shd w:val="clear" w:color="auto" w:fill="auto"/>
            <w:noWrap/>
            <w:vAlign w:val="center"/>
          </w:tcPr>
          <w:p w14:paraId="09DE7DF7">
            <w:pPr>
              <w:jc w:val="center"/>
              <w:rPr>
                <w:rFonts w:ascii="宋体" w:hAnsi="宋体" w:cs="宋体"/>
                <w:kern w:val="0"/>
                <w:sz w:val="22"/>
              </w:rPr>
            </w:pPr>
          </w:p>
        </w:tc>
        <w:tc>
          <w:tcPr>
            <w:tcW w:w="605" w:type="dxa"/>
            <w:shd w:val="clear" w:color="auto" w:fill="auto"/>
            <w:noWrap/>
            <w:vAlign w:val="center"/>
          </w:tcPr>
          <w:p w14:paraId="379324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22F3DB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002BC8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5777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839671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69</w:t>
            </w:r>
          </w:p>
        </w:tc>
        <w:tc>
          <w:tcPr>
            <w:tcW w:w="1072" w:type="dxa"/>
            <w:shd w:val="clear" w:color="auto" w:fill="auto"/>
            <w:vAlign w:val="center"/>
          </w:tcPr>
          <w:p w14:paraId="2D356E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75EA2DD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33EE1F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12DC0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340F9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EC0D9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7E88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5E03D0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70</w:t>
            </w:r>
          </w:p>
        </w:tc>
        <w:tc>
          <w:tcPr>
            <w:tcW w:w="1072" w:type="dxa"/>
            <w:shd w:val="clear" w:color="auto" w:fill="auto"/>
            <w:vAlign w:val="center"/>
          </w:tcPr>
          <w:p w14:paraId="56924D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45AE295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45740E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05930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489B09D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7ED64E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1BF6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54E4DD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71</w:t>
            </w:r>
          </w:p>
        </w:tc>
        <w:tc>
          <w:tcPr>
            <w:tcW w:w="1072" w:type="dxa"/>
            <w:shd w:val="clear" w:color="auto" w:fill="auto"/>
            <w:vAlign w:val="center"/>
          </w:tcPr>
          <w:p w14:paraId="080D7B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0858749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447C92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9F9F4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051644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4256EE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252</w:t>
            </w:r>
          </w:p>
        </w:tc>
      </w:tr>
      <w:tr w14:paraId="7F6E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AFFCB3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72</w:t>
            </w:r>
          </w:p>
        </w:tc>
        <w:tc>
          <w:tcPr>
            <w:tcW w:w="1072" w:type="dxa"/>
            <w:shd w:val="clear" w:color="auto" w:fill="auto"/>
            <w:vAlign w:val="center"/>
          </w:tcPr>
          <w:p w14:paraId="2222CD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2C43B12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3BEF0E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D0300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57473C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62F22B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135</w:t>
            </w:r>
          </w:p>
        </w:tc>
      </w:tr>
      <w:tr w14:paraId="62CD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3B6C77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73</w:t>
            </w:r>
          </w:p>
        </w:tc>
        <w:tc>
          <w:tcPr>
            <w:tcW w:w="1072" w:type="dxa"/>
            <w:shd w:val="clear" w:color="auto" w:fill="auto"/>
            <w:vAlign w:val="center"/>
          </w:tcPr>
          <w:p w14:paraId="560EDF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1397448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2D2C1A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FF405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1F7E87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c>
          <w:tcPr>
            <w:tcW w:w="1489" w:type="dxa"/>
            <w:shd w:val="clear" w:color="auto" w:fill="auto"/>
            <w:noWrap/>
            <w:vAlign w:val="center"/>
          </w:tcPr>
          <w:p w14:paraId="54191F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69FD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B6A6C6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74</w:t>
            </w:r>
          </w:p>
        </w:tc>
        <w:tc>
          <w:tcPr>
            <w:tcW w:w="1072" w:type="dxa"/>
            <w:shd w:val="clear" w:color="auto" w:fill="auto"/>
            <w:vAlign w:val="center"/>
          </w:tcPr>
          <w:p w14:paraId="3CCDDE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40CF2D5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50mL；透明硼硅酸盐玻璃制，放在平台上应直立不摇晃、不转动</w:t>
            </w:r>
          </w:p>
        </w:tc>
        <w:tc>
          <w:tcPr>
            <w:tcW w:w="462" w:type="dxa"/>
            <w:shd w:val="clear" w:color="auto" w:fill="auto"/>
            <w:noWrap/>
            <w:vAlign w:val="center"/>
          </w:tcPr>
          <w:p w14:paraId="670B59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98460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266DBB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489" w:type="dxa"/>
            <w:shd w:val="clear" w:color="auto" w:fill="auto"/>
            <w:noWrap/>
            <w:vAlign w:val="center"/>
          </w:tcPr>
          <w:p w14:paraId="5ABB99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31FF2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F9F58C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75</w:t>
            </w:r>
          </w:p>
        </w:tc>
        <w:tc>
          <w:tcPr>
            <w:tcW w:w="1072" w:type="dxa"/>
            <w:shd w:val="clear" w:color="auto" w:fill="auto"/>
            <w:vAlign w:val="center"/>
          </w:tcPr>
          <w:p w14:paraId="0F1D8C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7B93C78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100mL；透明硼硅酸盐玻璃制，放在平台上应直立不摇晃、不转动</w:t>
            </w:r>
          </w:p>
        </w:tc>
        <w:tc>
          <w:tcPr>
            <w:tcW w:w="462" w:type="dxa"/>
            <w:shd w:val="clear" w:color="auto" w:fill="auto"/>
            <w:noWrap/>
            <w:vAlign w:val="center"/>
          </w:tcPr>
          <w:p w14:paraId="6F5ABE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7516F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5A22EF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noWrap/>
            <w:vAlign w:val="center"/>
          </w:tcPr>
          <w:p w14:paraId="093ADB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396</w:t>
            </w:r>
          </w:p>
        </w:tc>
      </w:tr>
      <w:tr w14:paraId="6522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4A99E1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76</w:t>
            </w:r>
          </w:p>
        </w:tc>
        <w:tc>
          <w:tcPr>
            <w:tcW w:w="1072" w:type="dxa"/>
            <w:shd w:val="clear" w:color="auto" w:fill="auto"/>
            <w:vAlign w:val="center"/>
          </w:tcPr>
          <w:p w14:paraId="1A2260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33CC879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250mL；透明硼硅酸盐玻璃制，放在平台上应直立不摇晃、不转动</w:t>
            </w:r>
          </w:p>
        </w:tc>
        <w:tc>
          <w:tcPr>
            <w:tcW w:w="462" w:type="dxa"/>
            <w:shd w:val="clear" w:color="auto" w:fill="auto"/>
            <w:noWrap/>
            <w:vAlign w:val="center"/>
          </w:tcPr>
          <w:p w14:paraId="487A07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C9068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AFFDB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648533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468</w:t>
            </w:r>
          </w:p>
        </w:tc>
      </w:tr>
      <w:tr w14:paraId="1B7D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3A9E5C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77</w:t>
            </w:r>
          </w:p>
        </w:tc>
        <w:tc>
          <w:tcPr>
            <w:tcW w:w="1072" w:type="dxa"/>
            <w:shd w:val="clear" w:color="auto" w:fill="auto"/>
            <w:vAlign w:val="center"/>
          </w:tcPr>
          <w:p w14:paraId="57E133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757F9E1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500mL；透明硼硅酸盐玻璃制，放在平台上应直立不摇晃、不转动</w:t>
            </w:r>
          </w:p>
        </w:tc>
        <w:tc>
          <w:tcPr>
            <w:tcW w:w="462" w:type="dxa"/>
            <w:shd w:val="clear" w:color="auto" w:fill="auto"/>
            <w:noWrap/>
            <w:vAlign w:val="center"/>
          </w:tcPr>
          <w:p w14:paraId="3BE1A8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B0970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43CBE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c>
          <w:tcPr>
            <w:tcW w:w="1489" w:type="dxa"/>
            <w:shd w:val="clear" w:color="auto" w:fill="auto"/>
            <w:noWrap/>
            <w:vAlign w:val="center"/>
          </w:tcPr>
          <w:p w14:paraId="796464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720</w:t>
            </w:r>
          </w:p>
        </w:tc>
      </w:tr>
      <w:tr w14:paraId="5AD6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580658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78</w:t>
            </w:r>
          </w:p>
        </w:tc>
        <w:tc>
          <w:tcPr>
            <w:tcW w:w="1072" w:type="dxa"/>
            <w:shd w:val="clear" w:color="auto" w:fill="auto"/>
            <w:vAlign w:val="center"/>
          </w:tcPr>
          <w:p w14:paraId="69C2D0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蒸馏烧瓶</w:t>
            </w:r>
          </w:p>
        </w:tc>
        <w:tc>
          <w:tcPr>
            <w:tcW w:w="4897" w:type="dxa"/>
            <w:shd w:val="clear" w:color="auto" w:fill="auto"/>
            <w:vAlign w:val="center"/>
          </w:tcPr>
          <w:p w14:paraId="71CB080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w:t>
            </w:r>
          </w:p>
        </w:tc>
        <w:tc>
          <w:tcPr>
            <w:tcW w:w="462" w:type="dxa"/>
            <w:shd w:val="clear" w:color="auto" w:fill="auto"/>
            <w:noWrap/>
            <w:vAlign w:val="center"/>
          </w:tcPr>
          <w:p w14:paraId="1500F1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03141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5CA543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4B1AB6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4918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8A64DA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79</w:t>
            </w:r>
          </w:p>
        </w:tc>
        <w:tc>
          <w:tcPr>
            <w:tcW w:w="1072" w:type="dxa"/>
            <w:shd w:val="clear" w:color="auto" w:fill="auto"/>
            <w:vAlign w:val="center"/>
          </w:tcPr>
          <w:p w14:paraId="4EFCE7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5740E40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125mL；透明钠钙玻璃制；瓶塞与瓶口紧实，不晃动；口部应圆整光滑，底部应平整，放置平台上不应摇晃或转动</w:t>
            </w:r>
          </w:p>
        </w:tc>
        <w:tc>
          <w:tcPr>
            <w:tcW w:w="462" w:type="dxa"/>
            <w:shd w:val="clear" w:color="auto" w:fill="auto"/>
            <w:noWrap/>
            <w:vAlign w:val="center"/>
          </w:tcPr>
          <w:p w14:paraId="6F7805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A752B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2C164F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6F05B5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0CAD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379EF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80</w:t>
            </w:r>
          </w:p>
        </w:tc>
        <w:tc>
          <w:tcPr>
            <w:tcW w:w="1072" w:type="dxa"/>
            <w:shd w:val="clear" w:color="auto" w:fill="auto"/>
            <w:vAlign w:val="center"/>
          </w:tcPr>
          <w:p w14:paraId="00D9DE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412818F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250mL；透明钠钙玻璃制；瓶塞与瓶口紧实，不晃动；口部应圆整光滑，底部应平整，放置平台上不应摇晃或转动</w:t>
            </w:r>
          </w:p>
        </w:tc>
        <w:tc>
          <w:tcPr>
            <w:tcW w:w="462" w:type="dxa"/>
            <w:shd w:val="clear" w:color="auto" w:fill="auto"/>
            <w:noWrap/>
            <w:vAlign w:val="center"/>
          </w:tcPr>
          <w:p w14:paraId="3A51EA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3A426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7B5912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2318E2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432</w:t>
            </w:r>
          </w:p>
        </w:tc>
      </w:tr>
      <w:tr w14:paraId="39FA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A2380C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81</w:t>
            </w:r>
          </w:p>
        </w:tc>
        <w:tc>
          <w:tcPr>
            <w:tcW w:w="1072" w:type="dxa"/>
            <w:shd w:val="clear" w:color="auto" w:fill="auto"/>
            <w:vAlign w:val="center"/>
          </w:tcPr>
          <w:p w14:paraId="0F10D9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1486B9F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500mL；透明钠钙玻璃制；瓶塞与瓶口紧实，不晃动；口部应圆整光滑，底部应平整，放置平台上不应摇晃或转动</w:t>
            </w:r>
          </w:p>
        </w:tc>
        <w:tc>
          <w:tcPr>
            <w:tcW w:w="462" w:type="dxa"/>
            <w:shd w:val="clear" w:color="auto" w:fill="auto"/>
            <w:noWrap/>
            <w:vAlign w:val="center"/>
          </w:tcPr>
          <w:p w14:paraId="0F99EF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F957E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4529CC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6F981F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648</w:t>
            </w:r>
          </w:p>
        </w:tc>
      </w:tr>
      <w:tr w14:paraId="45AC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4F167D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82</w:t>
            </w:r>
          </w:p>
        </w:tc>
        <w:tc>
          <w:tcPr>
            <w:tcW w:w="1072" w:type="dxa"/>
            <w:shd w:val="clear" w:color="auto" w:fill="auto"/>
            <w:vAlign w:val="center"/>
          </w:tcPr>
          <w:p w14:paraId="4C2AA0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1A618A1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250mL；透明钠钙玻璃制；瓶塞与瓶口紧实，不晃动；口部应圆整光滑，底部应平整，放置平台上不应摇晃或转动</w:t>
            </w:r>
          </w:p>
        </w:tc>
        <w:tc>
          <w:tcPr>
            <w:tcW w:w="462" w:type="dxa"/>
            <w:shd w:val="clear" w:color="auto" w:fill="auto"/>
            <w:noWrap/>
            <w:vAlign w:val="center"/>
          </w:tcPr>
          <w:p w14:paraId="2AFC99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78F61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12A3CD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3119CB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432</w:t>
            </w:r>
          </w:p>
        </w:tc>
      </w:tr>
      <w:tr w14:paraId="3A74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746C0E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83</w:t>
            </w:r>
          </w:p>
        </w:tc>
        <w:tc>
          <w:tcPr>
            <w:tcW w:w="1072" w:type="dxa"/>
            <w:shd w:val="clear" w:color="auto" w:fill="auto"/>
            <w:vAlign w:val="center"/>
          </w:tcPr>
          <w:p w14:paraId="106313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43F27D9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500mL；透明钠钙玻璃制；瓶塞与瓶口紧实，不晃动；口部应圆整光滑，底部应平整，放置平台上不应摇晃或转动</w:t>
            </w:r>
          </w:p>
        </w:tc>
        <w:tc>
          <w:tcPr>
            <w:tcW w:w="462" w:type="dxa"/>
            <w:shd w:val="clear" w:color="auto" w:fill="auto"/>
            <w:noWrap/>
            <w:vAlign w:val="center"/>
          </w:tcPr>
          <w:p w14:paraId="48C9C5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F9790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748D8A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7514CF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648</w:t>
            </w:r>
          </w:p>
        </w:tc>
      </w:tr>
      <w:tr w14:paraId="2803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4B83C6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84</w:t>
            </w:r>
          </w:p>
        </w:tc>
        <w:tc>
          <w:tcPr>
            <w:tcW w:w="1072" w:type="dxa"/>
            <w:shd w:val="clear" w:color="auto" w:fill="auto"/>
            <w:vAlign w:val="center"/>
          </w:tcPr>
          <w:p w14:paraId="4AF23E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4A61AED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1000mL；透明钠钙玻璃制；瓶塞与瓶口紧实，不晃动；口部应圆整光滑，底部应平整，放置平台上不应摇晃或转动</w:t>
            </w:r>
          </w:p>
        </w:tc>
        <w:tc>
          <w:tcPr>
            <w:tcW w:w="462" w:type="dxa"/>
            <w:shd w:val="clear" w:color="auto" w:fill="auto"/>
            <w:noWrap/>
            <w:vAlign w:val="center"/>
          </w:tcPr>
          <w:p w14:paraId="207E89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15B16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0E7821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31A528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1008</w:t>
            </w:r>
          </w:p>
        </w:tc>
      </w:tr>
      <w:tr w14:paraId="4244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2572E2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85</w:t>
            </w:r>
          </w:p>
        </w:tc>
        <w:tc>
          <w:tcPr>
            <w:tcW w:w="1072" w:type="dxa"/>
            <w:shd w:val="clear" w:color="auto" w:fill="auto"/>
            <w:vAlign w:val="center"/>
          </w:tcPr>
          <w:p w14:paraId="059204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滴瓶</w:t>
            </w:r>
          </w:p>
        </w:tc>
        <w:tc>
          <w:tcPr>
            <w:tcW w:w="4897" w:type="dxa"/>
            <w:shd w:val="clear" w:color="auto" w:fill="auto"/>
            <w:vAlign w:val="center"/>
          </w:tcPr>
          <w:p w14:paraId="4DCC31C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30mL；透明钠钙玻璃制，瓶口细磨，磨砂面应均匀细腻，滴管应附橡胶帽，吸放弹性好，开口直径6mm，与滴管口套合牢固稳定</w:t>
            </w:r>
          </w:p>
        </w:tc>
        <w:tc>
          <w:tcPr>
            <w:tcW w:w="462" w:type="dxa"/>
            <w:shd w:val="clear" w:color="auto" w:fill="auto"/>
            <w:noWrap/>
            <w:vAlign w:val="center"/>
          </w:tcPr>
          <w:p w14:paraId="2D9D9F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2F5B6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noWrap/>
            <w:vAlign w:val="center"/>
          </w:tcPr>
          <w:p w14:paraId="777952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045B6B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0292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EC305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86</w:t>
            </w:r>
          </w:p>
        </w:tc>
        <w:tc>
          <w:tcPr>
            <w:tcW w:w="1072" w:type="dxa"/>
            <w:shd w:val="clear" w:color="auto" w:fill="auto"/>
            <w:vAlign w:val="center"/>
          </w:tcPr>
          <w:p w14:paraId="3306E5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滴瓶</w:t>
            </w:r>
          </w:p>
        </w:tc>
        <w:tc>
          <w:tcPr>
            <w:tcW w:w="4897" w:type="dxa"/>
            <w:shd w:val="clear" w:color="auto" w:fill="auto"/>
            <w:vAlign w:val="center"/>
          </w:tcPr>
          <w:p w14:paraId="2A9D4BF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60mL；透明钠钙玻璃制，瓶口细磨，磨砂面应均匀细腻，滴管应附橡胶帽，吸放弹性好，开口直径6mm，与滴管口套合牢固稳定</w:t>
            </w:r>
          </w:p>
        </w:tc>
        <w:tc>
          <w:tcPr>
            <w:tcW w:w="462" w:type="dxa"/>
            <w:shd w:val="clear" w:color="auto" w:fill="auto"/>
            <w:noWrap/>
            <w:vAlign w:val="center"/>
          </w:tcPr>
          <w:p w14:paraId="6F7703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3DD03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noWrap/>
            <w:vAlign w:val="center"/>
          </w:tcPr>
          <w:p w14:paraId="10CF4B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7B8042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4356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96698B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87</w:t>
            </w:r>
          </w:p>
        </w:tc>
        <w:tc>
          <w:tcPr>
            <w:tcW w:w="1072" w:type="dxa"/>
            <w:shd w:val="clear" w:color="auto" w:fill="auto"/>
            <w:vAlign w:val="center"/>
          </w:tcPr>
          <w:p w14:paraId="4FFD8F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茶色滴瓶</w:t>
            </w:r>
          </w:p>
        </w:tc>
        <w:tc>
          <w:tcPr>
            <w:tcW w:w="4897" w:type="dxa"/>
            <w:shd w:val="clear" w:color="auto" w:fill="auto"/>
            <w:vAlign w:val="center"/>
          </w:tcPr>
          <w:p w14:paraId="4D81BA5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30mL；透明钠钙玻璃制，瓶口细磨，磨砂面应均匀细腻，滴管应附橡胶帽，吸放弹性好，开口直径6mm，与滴管口套合牢固稳定</w:t>
            </w:r>
          </w:p>
        </w:tc>
        <w:tc>
          <w:tcPr>
            <w:tcW w:w="462" w:type="dxa"/>
            <w:shd w:val="clear" w:color="auto" w:fill="auto"/>
            <w:noWrap/>
            <w:vAlign w:val="center"/>
          </w:tcPr>
          <w:p w14:paraId="04D61E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54CBE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noWrap/>
            <w:vAlign w:val="center"/>
          </w:tcPr>
          <w:p w14:paraId="0C43A0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197F4A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55FD0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9DDAAA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88</w:t>
            </w:r>
          </w:p>
        </w:tc>
        <w:tc>
          <w:tcPr>
            <w:tcW w:w="1072" w:type="dxa"/>
            <w:shd w:val="clear" w:color="auto" w:fill="auto"/>
            <w:vAlign w:val="center"/>
          </w:tcPr>
          <w:p w14:paraId="27E7EC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茶色滴瓶</w:t>
            </w:r>
          </w:p>
        </w:tc>
        <w:tc>
          <w:tcPr>
            <w:tcW w:w="4897" w:type="dxa"/>
            <w:shd w:val="clear" w:color="auto" w:fill="auto"/>
            <w:vAlign w:val="center"/>
          </w:tcPr>
          <w:p w14:paraId="0760616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60mL；透明钠钙玻璃制，瓶口细磨，磨砂面应均匀细腻，滴管应附橡胶帽，吸放弹性好，开口直径6mm，与滴管口套合牢固稳定</w:t>
            </w:r>
          </w:p>
        </w:tc>
        <w:tc>
          <w:tcPr>
            <w:tcW w:w="462" w:type="dxa"/>
            <w:shd w:val="clear" w:color="auto" w:fill="auto"/>
            <w:noWrap/>
            <w:vAlign w:val="center"/>
          </w:tcPr>
          <w:p w14:paraId="178628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0DA0B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noWrap/>
            <w:vAlign w:val="center"/>
          </w:tcPr>
          <w:p w14:paraId="17E547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1F242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5B55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840DB1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89</w:t>
            </w:r>
          </w:p>
        </w:tc>
        <w:tc>
          <w:tcPr>
            <w:tcW w:w="1072" w:type="dxa"/>
            <w:shd w:val="clear" w:color="auto" w:fill="auto"/>
            <w:vAlign w:val="center"/>
          </w:tcPr>
          <w:p w14:paraId="1B2193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泡菜坛</w:t>
            </w:r>
          </w:p>
        </w:tc>
        <w:tc>
          <w:tcPr>
            <w:tcW w:w="4897" w:type="dxa"/>
            <w:shd w:val="clear" w:color="auto" w:fill="auto"/>
            <w:vAlign w:val="center"/>
          </w:tcPr>
          <w:p w14:paraId="723259F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w:t>
            </w:r>
          </w:p>
        </w:tc>
        <w:tc>
          <w:tcPr>
            <w:tcW w:w="462" w:type="dxa"/>
            <w:shd w:val="clear" w:color="auto" w:fill="auto"/>
            <w:noWrap/>
            <w:vAlign w:val="center"/>
          </w:tcPr>
          <w:p w14:paraId="10B1C9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F8152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noWrap/>
            <w:vAlign w:val="center"/>
          </w:tcPr>
          <w:p w14:paraId="6F4B59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noWrap/>
            <w:vAlign w:val="center"/>
          </w:tcPr>
          <w:p w14:paraId="38A635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384</w:t>
            </w:r>
          </w:p>
        </w:tc>
      </w:tr>
      <w:tr w14:paraId="0448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5B43EF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90</w:t>
            </w:r>
          </w:p>
        </w:tc>
        <w:tc>
          <w:tcPr>
            <w:tcW w:w="1072" w:type="dxa"/>
            <w:shd w:val="clear" w:color="auto" w:fill="auto"/>
            <w:vAlign w:val="center"/>
          </w:tcPr>
          <w:p w14:paraId="6EDFEC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培养皿</w:t>
            </w:r>
          </w:p>
        </w:tc>
        <w:tc>
          <w:tcPr>
            <w:tcW w:w="4897" w:type="dxa"/>
            <w:shd w:val="clear" w:color="auto" w:fill="auto"/>
            <w:vAlign w:val="center"/>
          </w:tcPr>
          <w:p w14:paraId="1F72B7DC">
            <w:pPr>
              <w:widowControl/>
              <w:textAlignment w:val="center"/>
              <w:rPr>
                <w:rFonts w:ascii="宋体" w:hAnsi="宋体" w:cs="宋体"/>
                <w:kern w:val="0"/>
                <w:sz w:val="22"/>
              </w:rPr>
            </w:pPr>
            <w:r>
              <w:rPr>
                <w:rFonts w:hint="eastAsia" w:ascii="宋体" w:hAnsi="宋体" w:cs="宋体"/>
                <w:color w:val="000000"/>
                <w:kern w:val="0"/>
                <w:sz w:val="22"/>
                <w:szCs w:val="22"/>
                <w:lang w:bidi="ar"/>
              </w:rPr>
              <w:t>60mm；玻璃薄厚均匀、耐高温高压</w:t>
            </w:r>
          </w:p>
        </w:tc>
        <w:tc>
          <w:tcPr>
            <w:tcW w:w="462" w:type="dxa"/>
            <w:shd w:val="clear" w:color="auto" w:fill="auto"/>
            <w:noWrap/>
            <w:vAlign w:val="center"/>
          </w:tcPr>
          <w:p w14:paraId="0F042E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2E83DA3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c>
          <w:tcPr>
            <w:tcW w:w="1048" w:type="dxa"/>
            <w:shd w:val="clear" w:color="auto" w:fill="auto"/>
            <w:noWrap/>
            <w:vAlign w:val="center"/>
          </w:tcPr>
          <w:p w14:paraId="135854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3EB6C24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1260</w:t>
            </w:r>
          </w:p>
        </w:tc>
      </w:tr>
      <w:tr w14:paraId="520D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C77AEF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91</w:t>
            </w:r>
          </w:p>
        </w:tc>
        <w:tc>
          <w:tcPr>
            <w:tcW w:w="1072" w:type="dxa"/>
            <w:shd w:val="clear" w:color="auto" w:fill="auto"/>
            <w:vAlign w:val="center"/>
          </w:tcPr>
          <w:p w14:paraId="167FB9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培养皿</w:t>
            </w:r>
          </w:p>
        </w:tc>
        <w:tc>
          <w:tcPr>
            <w:tcW w:w="4897" w:type="dxa"/>
            <w:shd w:val="clear" w:color="auto" w:fill="auto"/>
            <w:vAlign w:val="center"/>
          </w:tcPr>
          <w:p w14:paraId="3CFC753C">
            <w:pPr>
              <w:widowControl/>
              <w:textAlignment w:val="center"/>
              <w:rPr>
                <w:rFonts w:ascii="宋体" w:hAnsi="宋体" w:cs="宋体"/>
                <w:kern w:val="0"/>
                <w:sz w:val="22"/>
              </w:rPr>
            </w:pPr>
            <w:r>
              <w:rPr>
                <w:rFonts w:hint="eastAsia" w:ascii="宋体" w:hAnsi="宋体" w:cs="宋体"/>
                <w:color w:val="000000"/>
                <w:kern w:val="0"/>
                <w:sz w:val="22"/>
                <w:szCs w:val="22"/>
                <w:lang w:bidi="ar"/>
              </w:rPr>
              <w:t>90mm；玻璃薄厚均匀、耐高温高压</w:t>
            </w:r>
          </w:p>
        </w:tc>
        <w:tc>
          <w:tcPr>
            <w:tcW w:w="462" w:type="dxa"/>
            <w:shd w:val="clear" w:color="auto" w:fill="auto"/>
            <w:noWrap/>
            <w:vAlign w:val="center"/>
          </w:tcPr>
          <w:p w14:paraId="3C2A63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4143839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c>
          <w:tcPr>
            <w:tcW w:w="1048" w:type="dxa"/>
            <w:shd w:val="clear" w:color="auto" w:fill="auto"/>
            <w:noWrap/>
            <w:vAlign w:val="center"/>
          </w:tcPr>
          <w:p w14:paraId="561D1D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489" w:type="dxa"/>
            <w:shd w:val="clear" w:color="auto" w:fill="auto"/>
            <w:noWrap/>
            <w:vAlign w:val="center"/>
          </w:tcPr>
          <w:p w14:paraId="3603FC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1800</w:t>
            </w:r>
          </w:p>
        </w:tc>
      </w:tr>
      <w:tr w14:paraId="1817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EF6A8F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92</w:t>
            </w:r>
          </w:p>
        </w:tc>
        <w:tc>
          <w:tcPr>
            <w:tcW w:w="1072" w:type="dxa"/>
            <w:shd w:val="clear" w:color="auto" w:fill="auto"/>
            <w:vAlign w:val="center"/>
          </w:tcPr>
          <w:p w14:paraId="07BCF7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干燥器</w:t>
            </w:r>
          </w:p>
        </w:tc>
        <w:tc>
          <w:tcPr>
            <w:tcW w:w="4897" w:type="dxa"/>
            <w:shd w:val="clear" w:color="auto" w:fill="auto"/>
            <w:vAlign w:val="center"/>
          </w:tcPr>
          <w:p w14:paraId="77636577">
            <w:pPr>
              <w:widowControl/>
              <w:textAlignment w:val="center"/>
              <w:rPr>
                <w:rFonts w:ascii="宋体" w:hAnsi="宋体" w:cs="宋体"/>
                <w:kern w:val="0"/>
                <w:sz w:val="22"/>
              </w:rPr>
            </w:pPr>
            <w:r>
              <w:rPr>
                <w:rFonts w:hint="eastAsia" w:ascii="宋体" w:hAnsi="宋体" w:cs="宋体"/>
                <w:color w:val="000000"/>
                <w:kern w:val="0"/>
                <w:sz w:val="22"/>
                <w:szCs w:val="22"/>
                <w:lang w:bidi="ar"/>
              </w:rPr>
              <w:t>磨口平整，密封严实，隔板大小合适，不少于5个圆孔</w:t>
            </w:r>
          </w:p>
        </w:tc>
        <w:tc>
          <w:tcPr>
            <w:tcW w:w="462" w:type="dxa"/>
            <w:shd w:val="clear" w:color="auto" w:fill="auto"/>
            <w:noWrap/>
            <w:vAlign w:val="center"/>
          </w:tcPr>
          <w:p w14:paraId="3B388A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3283B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96D8C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61</w:t>
            </w:r>
          </w:p>
        </w:tc>
        <w:tc>
          <w:tcPr>
            <w:tcW w:w="1489" w:type="dxa"/>
            <w:shd w:val="clear" w:color="auto" w:fill="auto"/>
            <w:noWrap/>
            <w:vAlign w:val="center"/>
          </w:tcPr>
          <w:p w14:paraId="3ABDA2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61</w:t>
            </w:r>
          </w:p>
        </w:tc>
      </w:tr>
      <w:tr w14:paraId="5358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08874A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93</w:t>
            </w:r>
          </w:p>
        </w:tc>
        <w:tc>
          <w:tcPr>
            <w:tcW w:w="1072" w:type="dxa"/>
            <w:shd w:val="clear" w:color="auto" w:fill="auto"/>
            <w:vAlign w:val="center"/>
          </w:tcPr>
          <w:p w14:paraId="6DF023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干燥管</w:t>
            </w:r>
          </w:p>
        </w:tc>
        <w:tc>
          <w:tcPr>
            <w:tcW w:w="4897" w:type="dxa"/>
            <w:shd w:val="clear" w:color="auto" w:fill="auto"/>
            <w:vAlign w:val="center"/>
          </w:tcPr>
          <w:p w14:paraId="309B4AD7">
            <w:pPr>
              <w:widowControl/>
              <w:textAlignment w:val="center"/>
              <w:rPr>
                <w:rFonts w:ascii="宋体" w:hAnsi="宋体" w:cs="宋体"/>
                <w:kern w:val="0"/>
                <w:sz w:val="22"/>
              </w:rPr>
            </w:pPr>
            <w:r>
              <w:rPr>
                <w:rFonts w:hint="eastAsia" w:ascii="宋体" w:hAnsi="宋体" w:cs="宋体"/>
                <w:color w:val="000000"/>
                <w:kern w:val="0"/>
                <w:sz w:val="22"/>
                <w:szCs w:val="22"/>
                <w:lang w:bidi="ar"/>
              </w:rPr>
              <w:t>U型，Φ15mmX150mm,硼硅酸盐玻璃制，玻璃壁厚度适中，球体圆润，导气管长度≥2cm,最好有防滑脱沟槽</w:t>
            </w:r>
          </w:p>
        </w:tc>
        <w:tc>
          <w:tcPr>
            <w:tcW w:w="462" w:type="dxa"/>
            <w:shd w:val="clear" w:color="auto" w:fill="auto"/>
            <w:noWrap/>
            <w:vAlign w:val="center"/>
          </w:tcPr>
          <w:p w14:paraId="5092F73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123D6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6F7F3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3134D8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6771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29D03E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94</w:t>
            </w:r>
          </w:p>
        </w:tc>
        <w:tc>
          <w:tcPr>
            <w:tcW w:w="1072" w:type="dxa"/>
            <w:shd w:val="clear" w:color="auto" w:fill="auto"/>
            <w:vAlign w:val="center"/>
          </w:tcPr>
          <w:p w14:paraId="2CAC81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比色管</w:t>
            </w:r>
          </w:p>
        </w:tc>
        <w:tc>
          <w:tcPr>
            <w:tcW w:w="4897" w:type="dxa"/>
            <w:shd w:val="clear" w:color="auto" w:fill="auto"/>
            <w:vAlign w:val="center"/>
          </w:tcPr>
          <w:p w14:paraId="70F796DF">
            <w:pPr>
              <w:widowControl/>
              <w:textAlignment w:val="center"/>
              <w:rPr>
                <w:rFonts w:ascii="宋体" w:hAnsi="宋体" w:cs="宋体"/>
                <w:kern w:val="0"/>
                <w:sz w:val="22"/>
              </w:rPr>
            </w:pPr>
            <w:r>
              <w:rPr>
                <w:rFonts w:hint="eastAsia" w:ascii="宋体" w:hAnsi="宋体" w:cs="宋体"/>
                <w:color w:val="000000"/>
                <w:kern w:val="0"/>
                <w:sz w:val="22"/>
                <w:szCs w:val="22"/>
                <w:lang w:bidi="ar"/>
              </w:rPr>
              <w:t>25mL，透明硼硅酸盐玻璃制</w:t>
            </w:r>
          </w:p>
        </w:tc>
        <w:tc>
          <w:tcPr>
            <w:tcW w:w="462" w:type="dxa"/>
            <w:shd w:val="clear" w:color="auto" w:fill="auto"/>
            <w:noWrap/>
            <w:vAlign w:val="center"/>
          </w:tcPr>
          <w:p w14:paraId="6563DE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36446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c>
          <w:tcPr>
            <w:tcW w:w="1048" w:type="dxa"/>
            <w:shd w:val="clear" w:color="auto" w:fill="auto"/>
            <w:noWrap/>
            <w:vAlign w:val="center"/>
          </w:tcPr>
          <w:p w14:paraId="78FE3B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4C334F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1620</w:t>
            </w:r>
          </w:p>
        </w:tc>
      </w:tr>
      <w:tr w14:paraId="267F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338614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95</w:t>
            </w:r>
          </w:p>
        </w:tc>
        <w:tc>
          <w:tcPr>
            <w:tcW w:w="1072" w:type="dxa"/>
            <w:shd w:val="clear" w:color="auto" w:fill="auto"/>
            <w:vAlign w:val="center"/>
          </w:tcPr>
          <w:p w14:paraId="24F815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长颈漏斗</w:t>
            </w:r>
          </w:p>
        </w:tc>
        <w:tc>
          <w:tcPr>
            <w:tcW w:w="4897" w:type="dxa"/>
            <w:shd w:val="clear" w:color="auto" w:fill="auto"/>
            <w:vAlign w:val="center"/>
          </w:tcPr>
          <w:p w14:paraId="5C68C70B">
            <w:pPr>
              <w:widowControl/>
              <w:textAlignment w:val="center"/>
              <w:rPr>
                <w:rFonts w:ascii="宋体" w:hAnsi="宋体" w:cs="宋体"/>
                <w:kern w:val="0"/>
                <w:sz w:val="22"/>
              </w:rPr>
            </w:pPr>
            <w:r>
              <w:rPr>
                <w:rFonts w:hint="eastAsia" w:ascii="宋体" w:hAnsi="宋体" w:cs="宋体"/>
                <w:color w:val="000000"/>
                <w:kern w:val="0"/>
                <w:sz w:val="22"/>
                <w:szCs w:val="22"/>
                <w:lang w:bidi="ar"/>
              </w:rPr>
              <w:t>上口直径45mm,球形直径42mm,下管长250mm,下管外径8mm</w:t>
            </w:r>
          </w:p>
        </w:tc>
        <w:tc>
          <w:tcPr>
            <w:tcW w:w="462" w:type="dxa"/>
            <w:shd w:val="clear" w:color="auto" w:fill="auto"/>
            <w:noWrap/>
            <w:vAlign w:val="center"/>
          </w:tcPr>
          <w:p w14:paraId="3AA8C7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7FEAA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7FF203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0280E9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34A1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76B5BC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96</w:t>
            </w:r>
          </w:p>
        </w:tc>
        <w:tc>
          <w:tcPr>
            <w:tcW w:w="1072" w:type="dxa"/>
            <w:shd w:val="clear" w:color="auto" w:fill="auto"/>
            <w:vAlign w:val="center"/>
          </w:tcPr>
          <w:p w14:paraId="3CAD91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漏斗</w:t>
            </w:r>
          </w:p>
        </w:tc>
        <w:tc>
          <w:tcPr>
            <w:tcW w:w="4897" w:type="dxa"/>
            <w:shd w:val="clear" w:color="auto" w:fill="auto"/>
            <w:vAlign w:val="center"/>
          </w:tcPr>
          <w:p w14:paraId="69BF4681">
            <w:pPr>
              <w:widowControl/>
              <w:textAlignment w:val="center"/>
              <w:rPr>
                <w:rFonts w:ascii="宋体" w:hAnsi="宋体" w:cs="宋体"/>
                <w:kern w:val="0"/>
                <w:sz w:val="22"/>
              </w:rPr>
            </w:pPr>
            <w:r>
              <w:rPr>
                <w:rFonts w:hint="eastAsia" w:ascii="宋体" w:hAnsi="宋体" w:cs="宋体"/>
                <w:color w:val="000000"/>
                <w:kern w:val="0"/>
                <w:sz w:val="22"/>
                <w:szCs w:val="22"/>
                <w:lang w:bidi="ar"/>
              </w:rPr>
              <w:t>60mm,直径准确，锥度适中</w:t>
            </w:r>
          </w:p>
        </w:tc>
        <w:tc>
          <w:tcPr>
            <w:tcW w:w="462" w:type="dxa"/>
            <w:shd w:val="clear" w:color="auto" w:fill="auto"/>
            <w:noWrap/>
            <w:vAlign w:val="center"/>
          </w:tcPr>
          <w:p w14:paraId="6A00A5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5D308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7BEE0B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7640F2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69ED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F4C25D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97</w:t>
            </w:r>
          </w:p>
        </w:tc>
        <w:tc>
          <w:tcPr>
            <w:tcW w:w="1072" w:type="dxa"/>
            <w:shd w:val="clear" w:color="auto" w:fill="auto"/>
            <w:vAlign w:val="center"/>
          </w:tcPr>
          <w:p w14:paraId="175431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漏斗</w:t>
            </w:r>
          </w:p>
        </w:tc>
        <w:tc>
          <w:tcPr>
            <w:tcW w:w="4897" w:type="dxa"/>
            <w:shd w:val="clear" w:color="auto" w:fill="auto"/>
            <w:vAlign w:val="center"/>
          </w:tcPr>
          <w:p w14:paraId="13F5FC6D">
            <w:pPr>
              <w:widowControl/>
              <w:textAlignment w:val="center"/>
              <w:rPr>
                <w:rFonts w:ascii="宋体" w:hAnsi="宋体" w:cs="宋体"/>
                <w:kern w:val="0"/>
                <w:sz w:val="22"/>
              </w:rPr>
            </w:pPr>
            <w:r>
              <w:rPr>
                <w:rFonts w:hint="eastAsia" w:ascii="宋体" w:hAnsi="宋体" w:cs="宋体"/>
                <w:color w:val="000000"/>
                <w:kern w:val="0"/>
                <w:sz w:val="22"/>
                <w:szCs w:val="22"/>
                <w:lang w:bidi="ar"/>
              </w:rPr>
              <w:t>90mm,直径准确，锥度适中</w:t>
            </w:r>
          </w:p>
        </w:tc>
        <w:tc>
          <w:tcPr>
            <w:tcW w:w="462" w:type="dxa"/>
            <w:shd w:val="clear" w:color="auto" w:fill="auto"/>
            <w:noWrap/>
            <w:vAlign w:val="center"/>
          </w:tcPr>
          <w:p w14:paraId="5EE193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EF5AD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020E6B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7E3C49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w:t>
            </w:r>
          </w:p>
        </w:tc>
      </w:tr>
      <w:tr w14:paraId="6368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599171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98</w:t>
            </w:r>
          </w:p>
        </w:tc>
        <w:tc>
          <w:tcPr>
            <w:tcW w:w="1072" w:type="dxa"/>
            <w:shd w:val="clear" w:color="auto" w:fill="auto"/>
            <w:vAlign w:val="center"/>
          </w:tcPr>
          <w:p w14:paraId="1D171CF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三通连接管</w:t>
            </w:r>
          </w:p>
        </w:tc>
        <w:tc>
          <w:tcPr>
            <w:tcW w:w="4897" w:type="dxa"/>
            <w:shd w:val="clear" w:color="auto" w:fill="auto"/>
            <w:vAlign w:val="center"/>
          </w:tcPr>
          <w:p w14:paraId="1ABE8972">
            <w:pPr>
              <w:widowControl/>
              <w:textAlignment w:val="center"/>
              <w:rPr>
                <w:rFonts w:ascii="宋体" w:hAnsi="宋体" w:cs="宋体"/>
                <w:kern w:val="0"/>
                <w:sz w:val="22"/>
              </w:rPr>
            </w:pPr>
            <w:r>
              <w:rPr>
                <w:rFonts w:hint="eastAsia" w:ascii="宋体" w:hAnsi="宋体" w:cs="宋体"/>
                <w:color w:val="000000"/>
                <w:kern w:val="0"/>
                <w:sz w:val="22"/>
                <w:szCs w:val="22"/>
                <w:lang w:bidi="ar"/>
              </w:rPr>
              <w:t>Y形，Φ7mm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Φ8mm,连接完好，管口应作打磨或烧结处理</w:t>
            </w:r>
          </w:p>
        </w:tc>
        <w:tc>
          <w:tcPr>
            <w:tcW w:w="462" w:type="dxa"/>
            <w:shd w:val="clear" w:color="auto" w:fill="auto"/>
            <w:noWrap/>
            <w:vAlign w:val="center"/>
          </w:tcPr>
          <w:p w14:paraId="1AAB94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37A89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EF8C0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380643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0598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C800F6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99</w:t>
            </w:r>
          </w:p>
        </w:tc>
        <w:tc>
          <w:tcPr>
            <w:tcW w:w="1072" w:type="dxa"/>
            <w:shd w:val="clear" w:color="auto" w:fill="auto"/>
            <w:vAlign w:val="center"/>
          </w:tcPr>
          <w:p w14:paraId="47DAF1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滴管</w:t>
            </w:r>
          </w:p>
        </w:tc>
        <w:tc>
          <w:tcPr>
            <w:tcW w:w="4897" w:type="dxa"/>
            <w:shd w:val="clear" w:color="auto" w:fill="auto"/>
            <w:vAlign w:val="center"/>
          </w:tcPr>
          <w:p w14:paraId="357DFEF5">
            <w:pPr>
              <w:widowControl/>
              <w:textAlignment w:val="center"/>
              <w:rPr>
                <w:rFonts w:ascii="宋体" w:hAnsi="宋体" w:cs="宋体"/>
                <w:kern w:val="0"/>
                <w:sz w:val="22"/>
              </w:rPr>
            </w:pPr>
            <w:r>
              <w:rPr>
                <w:rFonts w:hint="eastAsia" w:ascii="宋体" w:hAnsi="宋体" w:cs="宋体"/>
                <w:color w:val="000000"/>
                <w:kern w:val="0"/>
                <w:sz w:val="22"/>
                <w:szCs w:val="22"/>
                <w:lang w:bidi="ar"/>
              </w:rPr>
              <w:t>100mm,直形，滴管尖嘴口径1mm,上端有防滑脱翻口，翻口处直径比滴管直径略多1mm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2mm</w:t>
            </w:r>
          </w:p>
        </w:tc>
        <w:tc>
          <w:tcPr>
            <w:tcW w:w="462" w:type="dxa"/>
            <w:shd w:val="clear" w:color="auto" w:fill="auto"/>
            <w:noWrap/>
            <w:vAlign w:val="center"/>
          </w:tcPr>
          <w:p w14:paraId="3DAADC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5EC745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c>
          <w:tcPr>
            <w:tcW w:w="1048" w:type="dxa"/>
            <w:shd w:val="clear" w:color="auto" w:fill="auto"/>
            <w:noWrap/>
            <w:vAlign w:val="center"/>
          </w:tcPr>
          <w:p w14:paraId="1DB73E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19F5CB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75FE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CAB838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100</w:t>
            </w:r>
          </w:p>
        </w:tc>
        <w:tc>
          <w:tcPr>
            <w:tcW w:w="1072" w:type="dxa"/>
            <w:shd w:val="clear" w:color="auto" w:fill="auto"/>
            <w:vAlign w:val="center"/>
          </w:tcPr>
          <w:p w14:paraId="6AE14D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玻璃钟罩</w:t>
            </w:r>
          </w:p>
        </w:tc>
        <w:tc>
          <w:tcPr>
            <w:tcW w:w="4897" w:type="dxa"/>
            <w:shd w:val="clear" w:color="auto" w:fill="auto"/>
            <w:vAlign w:val="center"/>
          </w:tcPr>
          <w:p w14:paraId="607A10D1">
            <w:pPr>
              <w:widowControl/>
              <w:textAlignment w:val="center"/>
              <w:rPr>
                <w:rFonts w:ascii="宋体" w:hAnsi="宋体" w:cs="宋体"/>
                <w:kern w:val="0"/>
                <w:sz w:val="22"/>
              </w:rPr>
            </w:pPr>
            <w:r>
              <w:rPr>
                <w:rFonts w:hint="eastAsia" w:ascii="宋体" w:hAnsi="宋体" w:cs="宋体"/>
                <w:color w:val="000000"/>
                <w:kern w:val="0"/>
                <w:sz w:val="22"/>
                <w:szCs w:val="22"/>
                <w:lang w:bidi="ar"/>
              </w:rPr>
              <w:t>Φ150mmX280mm,玻璃壁厚度＞3mm</w:t>
            </w:r>
          </w:p>
        </w:tc>
        <w:tc>
          <w:tcPr>
            <w:tcW w:w="462" w:type="dxa"/>
            <w:shd w:val="clear" w:color="auto" w:fill="auto"/>
            <w:noWrap/>
            <w:vAlign w:val="center"/>
          </w:tcPr>
          <w:p w14:paraId="45E412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9A278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4901D8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99</w:t>
            </w:r>
          </w:p>
        </w:tc>
        <w:tc>
          <w:tcPr>
            <w:tcW w:w="1489" w:type="dxa"/>
            <w:shd w:val="clear" w:color="auto" w:fill="auto"/>
            <w:noWrap/>
            <w:vAlign w:val="center"/>
          </w:tcPr>
          <w:p w14:paraId="66E4E3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w:t>
            </w:r>
          </w:p>
        </w:tc>
      </w:tr>
      <w:tr w14:paraId="40FAA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A2AE73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101</w:t>
            </w:r>
          </w:p>
        </w:tc>
        <w:tc>
          <w:tcPr>
            <w:tcW w:w="1072" w:type="dxa"/>
            <w:shd w:val="clear" w:color="auto" w:fill="auto"/>
            <w:vAlign w:val="center"/>
          </w:tcPr>
          <w:p w14:paraId="6AF48D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载玻片</w:t>
            </w:r>
          </w:p>
        </w:tc>
        <w:tc>
          <w:tcPr>
            <w:tcW w:w="4897" w:type="dxa"/>
            <w:shd w:val="clear" w:color="auto" w:fill="auto"/>
            <w:vAlign w:val="center"/>
          </w:tcPr>
          <w:p w14:paraId="42D34F43">
            <w:pPr>
              <w:widowControl/>
              <w:textAlignment w:val="center"/>
              <w:rPr>
                <w:rFonts w:ascii="宋体" w:hAnsi="宋体" w:cs="宋体"/>
                <w:kern w:val="0"/>
                <w:sz w:val="22"/>
              </w:rPr>
            </w:pPr>
            <w:r>
              <w:rPr>
                <w:rFonts w:hint="eastAsia" w:ascii="宋体" w:hAnsi="宋体" w:cs="宋体"/>
                <w:color w:val="000000"/>
                <w:kern w:val="0"/>
                <w:sz w:val="22"/>
                <w:szCs w:val="22"/>
                <w:lang w:bidi="ar"/>
              </w:rPr>
              <w:t>无色透明，平整</w:t>
            </w:r>
          </w:p>
        </w:tc>
        <w:tc>
          <w:tcPr>
            <w:tcW w:w="462" w:type="dxa"/>
            <w:shd w:val="clear" w:color="auto" w:fill="auto"/>
            <w:noWrap/>
            <w:vAlign w:val="center"/>
          </w:tcPr>
          <w:p w14:paraId="3F9491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noWrap/>
            <w:vAlign w:val="center"/>
          </w:tcPr>
          <w:p w14:paraId="41A99A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22A06D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7FA390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43CF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B72E16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102</w:t>
            </w:r>
          </w:p>
        </w:tc>
        <w:tc>
          <w:tcPr>
            <w:tcW w:w="1072" w:type="dxa"/>
            <w:shd w:val="clear" w:color="auto" w:fill="auto"/>
            <w:vAlign w:val="center"/>
          </w:tcPr>
          <w:p w14:paraId="313E007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盖玻片</w:t>
            </w:r>
          </w:p>
        </w:tc>
        <w:tc>
          <w:tcPr>
            <w:tcW w:w="4897" w:type="dxa"/>
            <w:shd w:val="clear" w:color="auto" w:fill="auto"/>
            <w:vAlign w:val="center"/>
          </w:tcPr>
          <w:p w14:paraId="32A58DC2">
            <w:pPr>
              <w:widowControl/>
              <w:textAlignment w:val="center"/>
              <w:rPr>
                <w:rFonts w:ascii="宋体" w:hAnsi="宋体" w:cs="宋体"/>
                <w:kern w:val="0"/>
                <w:sz w:val="22"/>
              </w:rPr>
            </w:pPr>
            <w:r>
              <w:rPr>
                <w:rFonts w:hint="eastAsia" w:ascii="宋体" w:hAnsi="宋体" w:cs="宋体"/>
                <w:color w:val="000000"/>
                <w:kern w:val="0"/>
                <w:sz w:val="22"/>
                <w:szCs w:val="22"/>
                <w:lang w:bidi="ar"/>
              </w:rPr>
              <w:t>无色透明，平整</w:t>
            </w:r>
          </w:p>
        </w:tc>
        <w:tc>
          <w:tcPr>
            <w:tcW w:w="462" w:type="dxa"/>
            <w:shd w:val="clear" w:color="auto" w:fill="auto"/>
            <w:noWrap/>
            <w:vAlign w:val="center"/>
          </w:tcPr>
          <w:p w14:paraId="143C16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包</w:t>
            </w:r>
          </w:p>
        </w:tc>
        <w:tc>
          <w:tcPr>
            <w:tcW w:w="605" w:type="dxa"/>
            <w:shd w:val="clear" w:color="auto" w:fill="auto"/>
            <w:noWrap/>
            <w:vAlign w:val="center"/>
          </w:tcPr>
          <w:p w14:paraId="60459F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9F3D1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9BBC7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1804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D678C0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103</w:t>
            </w:r>
          </w:p>
        </w:tc>
        <w:tc>
          <w:tcPr>
            <w:tcW w:w="1072" w:type="dxa"/>
            <w:shd w:val="clear" w:color="auto" w:fill="auto"/>
            <w:vAlign w:val="center"/>
          </w:tcPr>
          <w:p w14:paraId="28749F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酒精灯</w:t>
            </w:r>
          </w:p>
        </w:tc>
        <w:tc>
          <w:tcPr>
            <w:tcW w:w="4897" w:type="dxa"/>
            <w:shd w:val="clear" w:color="auto" w:fill="auto"/>
            <w:vAlign w:val="center"/>
          </w:tcPr>
          <w:p w14:paraId="1D11DDE5">
            <w:pPr>
              <w:widowControl/>
              <w:textAlignment w:val="center"/>
              <w:rPr>
                <w:rFonts w:ascii="宋体" w:hAnsi="宋体" w:cs="宋体"/>
                <w:kern w:val="0"/>
                <w:sz w:val="22"/>
              </w:rPr>
            </w:pPr>
            <w:r>
              <w:rPr>
                <w:rFonts w:hint="eastAsia" w:ascii="宋体" w:hAnsi="宋体" w:cs="宋体"/>
                <w:color w:val="000000"/>
                <w:kern w:val="0"/>
                <w:sz w:val="22"/>
                <w:szCs w:val="22"/>
                <w:lang w:bidi="ar"/>
              </w:rPr>
              <w:t>150mL,透明钠钙玻璃制，无明显黄绿色；灯口应平整，瓷灯头与灯口平面间隙不应超过1.5mm；玻璃灯罩应磨口；瓷灯头应为白色，完全覆盖灯口，表面无缺陷，配置与灯口孔径相适应的整齐完整的棉线灯芯</w:t>
            </w:r>
          </w:p>
        </w:tc>
        <w:tc>
          <w:tcPr>
            <w:tcW w:w="462" w:type="dxa"/>
            <w:shd w:val="clear" w:color="auto" w:fill="auto"/>
            <w:noWrap/>
            <w:vAlign w:val="center"/>
          </w:tcPr>
          <w:p w14:paraId="517A55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D2A7D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21C61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55E39C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2243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2FE5BA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104</w:t>
            </w:r>
          </w:p>
        </w:tc>
        <w:tc>
          <w:tcPr>
            <w:tcW w:w="1072" w:type="dxa"/>
            <w:shd w:val="clear" w:color="auto" w:fill="auto"/>
            <w:vAlign w:val="center"/>
          </w:tcPr>
          <w:p w14:paraId="230FDD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离心管</w:t>
            </w:r>
          </w:p>
        </w:tc>
        <w:tc>
          <w:tcPr>
            <w:tcW w:w="4897" w:type="dxa"/>
            <w:shd w:val="clear" w:color="auto" w:fill="auto"/>
            <w:vAlign w:val="center"/>
          </w:tcPr>
          <w:p w14:paraId="32BEE484">
            <w:pPr>
              <w:widowControl/>
              <w:textAlignment w:val="center"/>
              <w:rPr>
                <w:rFonts w:ascii="宋体" w:hAnsi="宋体" w:cs="宋体"/>
                <w:kern w:val="0"/>
                <w:sz w:val="22"/>
              </w:rPr>
            </w:pPr>
            <w:r>
              <w:rPr>
                <w:rFonts w:hint="eastAsia" w:ascii="宋体" w:hAnsi="宋体" w:cs="宋体"/>
                <w:color w:val="000000"/>
                <w:kern w:val="0"/>
                <w:sz w:val="22"/>
                <w:szCs w:val="22"/>
                <w:lang w:bidi="ar"/>
              </w:rPr>
              <w:t>0.5mL,塑料</w:t>
            </w:r>
          </w:p>
        </w:tc>
        <w:tc>
          <w:tcPr>
            <w:tcW w:w="462" w:type="dxa"/>
            <w:shd w:val="clear" w:color="auto" w:fill="auto"/>
            <w:noWrap/>
            <w:vAlign w:val="center"/>
          </w:tcPr>
          <w:p w14:paraId="60515A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2BFC0E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7FB746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351C85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0605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ADD855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105</w:t>
            </w:r>
          </w:p>
        </w:tc>
        <w:tc>
          <w:tcPr>
            <w:tcW w:w="1072" w:type="dxa"/>
            <w:shd w:val="clear" w:color="auto" w:fill="auto"/>
            <w:vAlign w:val="center"/>
          </w:tcPr>
          <w:p w14:paraId="3F50E9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离心管</w:t>
            </w:r>
          </w:p>
        </w:tc>
        <w:tc>
          <w:tcPr>
            <w:tcW w:w="4897" w:type="dxa"/>
            <w:shd w:val="clear" w:color="auto" w:fill="auto"/>
            <w:vAlign w:val="center"/>
          </w:tcPr>
          <w:p w14:paraId="1E2C8BA3">
            <w:pPr>
              <w:widowControl/>
              <w:textAlignment w:val="center"/>
              <w:rPr>
                <w:rFonts w:ascii="宋体" w:hAnsi="宋体" w:cs="宋体"/>
                <w:kern w:val="0"/>
                <w:sz w:val="22"/>
              </w:rPr>
            </w:pPr>
            <w:r>
              <w:rPr>
                <w:rFonts w:hint="eastAsia" w:ascii="宋体" w:hAnsi="宋体" w:cs="宋体"/>
                <w:color w:val="000000"/>
                <w:kern w:val="0"/>
                <w:sz w:val="22"/>
                <w:szCs w:val="22"/>
                <w:lang w:bidi="ar"/>
              </w:rPr>
              <w:t>1.5mL,塑料</w:t>
            </w:r>
          </w:p>
        </w:tc>
        <w:tc>
          <w:tcPr>
            <w:tcW w:w="462" w:type="dxa"/>
            <w:shd w:val="clear" w:color="auto" w:fill="auto"/>
            <w:noWrap/>
            <w:vAlign w:val="center"/>
          </w:tcPr>
          <w:p w14:paraId="2DF5BD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762E8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3875C0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187971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774A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2EB3B3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106</w:t>
            </w:r>
          </w:p>
        </w:tc>
        <w:tc>
          <w:tcPr>
            <w:tcW w:w="1072" w:type="dxa"/>
            <w:shd w:val="clear" w:color="auto" w:fill="auto"/>
            <w:vAlign w:val="center"/>
          </w:tcPr>
          <w:p w14:paraId="354AAD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离心管</w:t>
            </w:r>
          </w:p>
        </w:tc>
        <w:tc>
          <w:tcPr>
            <w:tcW w:w="4897" w:type="dxa"/>
            <w:shd w:val="clear" w:color="auto" w:fill="auto"/>
            <w:vAlign w:val="center"/>
          </w:tcPr>
          <w:p w14:paraId="0CDEAFC9">
            <w:pPr>
              <w:widowControl/>
              <w:textAlignment w:val="center"/>
              <w:rPr>
                <w:rFonts w:ascii="宋体" w:hAnsi="宋体" w:cs="宋体"/>
                <w:kern w:val="0"/>
                <w:sz w:val="22"/>
              </w:rPr>
            </w:pPr>
            <w:r>
              <w:rPr>
                <w:rFonts w:hint="eastAsia" w:ascii="宋体" w:hAnsi="宋体" w:cs="宋体"/>
                <w:color w:val="000000"/>
                <w:kern w:val="0"/>
                <w:sz w:val="22"/>
                <w:szCs w:val="22"/>
                <w:lang w:bidi="ar"/>
              </w:rPr>
              <w:t>10mL,塑料</w:t>
            </w:r>
          </w:p>
        </w:tc>
        <w:tc>
          <w:tcPr>
            <w:tcW w:w="462" w:type="dxa"/>
            <w:shd w:val="clear" w:color="auto" w:fill="auto"/>
            <w:noWrap/>
            <w:vAlign w:val="center"/>
          </w:tcPr>
          <w:p w14:paraId="560A6B7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8CA80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3BAF17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47327F4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r>
      <w:tr w14:paraId="695A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CC181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107</w:t>
            </w:r>
          </w:p>
        </w:tc>
        <w:tc>
          <w:tcPr>
            <w:tcW w:w="1072" w:type="dxa"/>
            <w:shd w:val="clear" w:color="auto" w:fill="auto"/>
            <w:vAlign w:val="center"/>
          </w:tcPr>
          <w:p w14:paraId="6AC52E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玻璃管</w:t>
            </w:r>
          </w:p>
        </w:tc>
        <w:tc>
          <w:tcPr>
            <w:tcW w:w="4897" w:type="dxa"/>
            <w:shd w:val="clear" w:color="auto" w:fill="auto"/>
            <w:vAlign w:val="center"/>
          </w:tcPr>
          <w:p w14:paraId="29887B6B">
            <w:pPr>
              <w:widowControl/>
              <w:textAlignment w:val="center"/>
              <w:rPr>
                <w:rFonts w:ascii="宋体" w:hAnsi="宋体" w:cs="宋体"/>
                <w:kern w:val="0"/>
                <w:sz w:val="22"/>
              </w:rPr>
            </w:pPr>
            <w:r>
              <w:rPr>
                <w:rFonts w:hint="eastAsia" w:ascii="宋体" w:hAnsi="宋体" w:cs="宋体"/>
                <w:color w:val="000000"/>
                <w:kern w:val="0"/>
                <w:sz w:val="22"/>
                <w:szCs w:val="22"/>
                <w:lang w:bidi="ar"/>
              </w:rPr>
              <w:t>Φ5mm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Φ6mm,中性料，管口应打磨或烧结，避免划伤事故</w:t>
            </w:r>
          </w:p>
        </w:tc>
        <w:tc>
          <w:tcPr>
            <w:tcW w:w="462" w:type="dxa"/>
            <w:shd w:val="clear" w:color="auto" w:fill="auto"/>
            <w:noWrap/>
            <w:vAlign w:val="center"/>
          </w:tcPr>
          <w:p w14:paraId="73F37B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kg</w:t>
            </w:r>
          </w:p>
        </w:tc>
        <w:tc>
          <w:tcPr>
            <w:tcW w:w="605" w:type="dxa"/>
            <w:shd w:val="clear" w:color="auto" w:fill="auto"/>
            <w:noWrap/>
            <w:vAlign w:val="center"/>
          </w:tcPr>
          <w:p w14:paraId="5EE82A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BAB5E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noWrap/>
            <w:vAlign w:val="center"/>
          </w:tcPr>
          <w:p w14:paraId="485469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r>
      <w:tr w14:paraId="25CB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B7B7A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108</w:t>
            </w:r>
          </w:p>
        </w:tc>
        <w:tc>
          <w:tcPr>
            <w:tcW w:w="1072" w:type="dxa"/>
            <w:shd w:val="clear" w:color="auto" w:fill="auto"/>
            <w:vAlign w:val="center"/>
          </w:tcPr>
          <w:p w14:paraId="330C76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玻璃弯管</w:t>
            </w:r>
          </w:p>
        </w:tc>
        <w:tc>
          <w:tcPr>
            <w:tcW w:w="4897" w:type="dxa"/>
            <w:shd w:val="clear" w:color="auto" w:fill="auto"/>
            <w:vAlign w:val="center"/>
          </w:tcPr>
          <w:p w14:paraId="002067A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Φ8mm,一端长度为6cm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7cm,一端长度约20cm,形状为直角和钝角两种，管口应打磨或烧结，避免划伤事故</w:t>
            </w:r>
          </w:p>
        </w:tc>
        <w:tc>
          <w:tcPr>
            <w:tcW w:w="462" w:type="dxa"/>
            <w:shd w:val="clear" w:color="auto" w:fill="auto"/>
            <w:noWrap/>
            <w:vAlign w:val="center"/>
          </w:tcPr>
          <w:p w14:paraId="7634A6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kg</w:t>
            </w:r>
          </w:p>
        </w:tc>
        <w:tc>
          <w:tcPr>
            <w:tcW w:w="605" w:type="dxa"/>
            <w:shd w:val="clear" w:color="auto" w:fill="auto"/>
            <w:noWrap/>
            <w:vAlign w:val="center"/>
          </w:tcPr>
          <w:p w14:paraId="5CE4E8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4BF0B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c>
          <w:tcPr>
            <w:tcW w:w="1489" w:type="dxa"/>
            <w:shd w:val="clear" w:color="auto" w:fill="auto"/>
            <w:noWrap/>
            <w:vAlign w:val="center"/>
          </w:tcPr>
          <w:p w14:paraId="40194D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r>
      <w:tr w14:paraId="5F7D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22FB4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109</w:t>
            </w:r>
          </w:p>
        </w:tc>
        <w:tc>
          <w:tcPr>
            <w:tcW w:w="1072" w:type="dxa"/>
            <w:shd w:val="clear" w:color="auto" w:fill="auto"/>
            <w:vAlign w:val="center"/>
          </w:tcPr>
          <w:p w14:paraId="1F0FBA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玻璃棒</w:t>
            </w:r>
          </w:p>
        </w:tc>
        <w:tc>
          <w:tcPr>
            <w:tcW w:w="4897" w:type="dxa"/>
            <w:shd w:val="clear" w:color="auto" w:fill="auto"/>
            <w:vAlign w:val="center"/>
          </w:tcPr>
          <w:p w14:paraId="3979428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Φ3mm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Φ4mm,粗细均匀</w:t>
            </w:r>
          </w:p>
        </w:tc>
        <w:tc>
          <w:tcPr>
            <w:tcW w:w="462" w:type="dxa"/>
            <w:shd w:val="clear" w:color="auto" w:fill="auto"/>
            <w:noWrap/>
            <w:vAlign w:val="center"/>
          </w:tcPr>
          <w:p w14:paraId="7BF94F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kg</w:t>
            </w:r>
          </w:p>
        </w:tc>
        <w:tc>
          <w:tcPr>
            <w:tcW w:w="605" w:type="dxa"/>
            <w:shd w:val="clear" w:color="auto" w:fill="auto"/>
            <w:noWrap/>
            <w:vAlign w:val="center"/>
          </w:tcPr>
          <w:p w14:paraId="267AAF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BA8BB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c>
          <w:tcPr>
            <w:tcW w:w="1489" w:type="dxa"/>
            <w:shd w:val="clear" w:color="auto" w:fill="auto"/>
            <w:noWrap/>
            <w:vAlign w:val="center"/>
          </w:tcPr>
          <w:p w14:paraId="231E61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r>
      <w:tr w14:paraId="1643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779D3E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110</w:t>
            </w:r>
          </w:p>
        </w:tc>
        <w:tc>
          <w:tcPr>
            <w:tcW w:w="1072" w:type="dxa"/>
            <w:shd w:val="clear" w:color="auto" w:fill="auto"/>
            <w:vAlign w:val="center"/>
          </w:tcPr>
          <w:p w14:paraId="47C3A9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试管夹</w:t>
            </w:r>
          </w:p>
        </w:tc>
        <w:tc>
          <w:tcPr>
            <w:tcW w:w="4897" w:type="dxa"/>
            <w:shd w:val="clear" w:color="auto" w:fill="auto"/>
            <w:vAlign w:val="center"/>
          </w:tcPr>
          <w:p w14:paraId="385C99D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木制或竹制，长度≥200mm,宽度20mm,厚度20mm；试管夹闭口缝≤1mm,开口距≥25mm；毡块黏结牢固，试管夹弹簧作防锈处理，试管夹持部位圆弧内径不大于15mm</w:t>
            </w:r>
          </w:p>
        </w:tc>
        <w:tc>
          <w:tcPr>
            <w:tcW w:w="462" w:type="dxa"/>
            <w:shd w:val="clear" w:color="auto" w:fill="auto"/>
            <w:noWrap/>
            <w:vAlign w:val="center"/>
          </w:tcPr>
          <w:p w14:paraId="538776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0EC87E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048" w:type="dxa"/>
            <w:shd w:val="clear" w:color="auto" w:fill="auto"/>
            <w:noWrap/>
            <w:vAlign w:val="center"/>
          </w:tcPr>
          <w:p w14:paraId="3C9B94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37A37E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r>
      <w:tr w14:paraId="33EA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E349C7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111</w:t>
            </w:r>
          </w:p>
        </w:tc>
        <w:tc>
          <w:tcPr>
            <w:tcW w:w="1072" w:type="dxa"/>
            <w:shd w:val="clear" w:color="auto" w:fill="auto"/>
            <w:vAlign w:val="center"/>
          </w:tcPr>
          <w:p w14:paraId="3362A0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水止皮管夹</w:t>
            </w:r>
          </w:p>
        </w:tc>
        <w:tc>
          <w:tcPr>
            <w:tcW w:w="4897" w:type="dxa"/>
            <w:shd w:val="clear" w:color="auto" w:fill="auto"/>
            <w:vAlign w:val="center"/>
          </w:tcPr>
          <w:p w14:paraId="69BF94B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Φ3mm钢丝制成，作防锈处理，夹持角度不小于60°,弹性好，不漏液</w:t>
            </w:r>
          </w:p>
        </w:tc>
        <w:tc>
          <w:tcPr>
            <w:tcW w:w="462" w:type="dxa"/>
            <w:shd w:val="clear" w:color="auto" w:fill="auto"/>
            <w:noWrap/>
            <w:vAlign w:val="center"/>
          </w:tcPr>
          <w:p w14:paraId="75B90B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7073A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4B6A77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4E6C82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r>
      <w:tr w14:paraId="49C8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190957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112</w:t>
            </w:r>
          </w:p>
        </w:tc>
        <w:tc>
          <w:tcPr>
            <w:tcW w:w="1072" w:type="dxa"/>
            <w:shd w:val="clear" w:color="auto" w:fill="auto"/>
            <w:vAlign w:val="center"/>
          </w:tcPr>
          <w:p w14:paraId="62C25C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陶土网</w:t>
            </w:r>
          </w:p>
        </w:tc>
        <w:tc>
          <w:tcPr>
            <w:tcW w:w="4897" w:type="dxa"/>
            <w:shd w:val="clear" w:color="auto" w:fill="auto"/>
            <w:vAlign w:val="center"/>
          </w:tcPr>
          <w:p w14:paraId="55535C6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功能等同于石棉网，尺寸不小于125mmX125mm,耐火材料为陶土</w:t>
            </w:r>
          </w:p>
        </w:tc>
        <w:tc>
          <w:tcPr>
            <w:tcW w:w="462" w:type="dxa"/>
            <w:shd w:val="clear" w:color="auto" w:fill="auto"/>
            <w:noWrap/>
            <w:vAlign w:val="center"/>
          </w:tcPr>
          <w:p w14:paraId="7A0CE6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BEA62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49C11C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10633A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r>
      <w:tr w14:paraId="419A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A5727E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113</w:t>
            </w:r>
          </w:p>
        </w:tc>
        <w:tc>
          <w:tcPr>
            <w:tcW w:w="1072" w:type="dxa"/>
            <w:shd w:val="clear" w:color="auto" w:fill="auto"/>
            <w:vAlign w:val="center"/>
          </w:tcPr>
          <w:p w14:paraId="1CA340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药匙</w:t>
            </w:r>
          </w:p>
        </w:tc>
        <w:tc>
          <w:tcPr>
            <w:tcW w:w="4897" w:type="dxa"/>
            <w:shd w:val="clear" w:color="auto" w:fill="auto"/>
            <w:vAlign w:val="center"/>
          </w:tcPr>
          <w:p w14:paraId="3DF62D8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中号13.5cm,一端带小勺，材质可选金属、牛角、塑料</w:t>
            </w:r>
          </w:p>
        </w:tc>
        <w:tc>
          <w:tcPr>
            <w:tcW w:w="462" w:type="dxa"/>
            <w:shd w:val="clear" w:color="auto" w:fill="auto"/>
            <w:noWrap/>
            <w:vAlign w:val="center"/>
          </w:tcPr>
          <w:p w14:paraId="283D82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5ACC64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E44AA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5B5E09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r>
      <w:tr w14:paraId="410B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B9B0EF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114</w:t>
            </w:r>
          </w:p>
        </w:tc>
        <w:tc>
          <w:tcPr>
            <w:tcW w:w="1072" w:type="dxa"/>
            <w:shd w:val="clear" w:color="auto" w:fill="auto"/>
            <w:vAlign w:val="center"/>
          </w:tcPr>
          <w:p w14:paraId="3699E2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橡胶塞</w:t>
            </w:r>
          </w:p>
        </w:tc>
        <w:tc>
          <w:tcPr>
            <w:tcW w:w="4897" w:type="dxa"/>
            <w:shd w:val="clear" w:color="auto" w:fill="auto"/>
            <w:vAlign w:val="center"/>
          </w:tcPr>
          <w:p w14:paraId="4881580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000、00、0</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10号，白色，质地均匀</w:t>
            </w:r>
          </w:p>
        </w:tc>
        <w:tc>
          <w:tcPr>
            <w:tcW w:w="462" w:type="dxa"/>
            <w:shd w:val="clear" w:color="auto" w:fill="auto"/>
            <w:noWrap/>
            <w:vAlign w:val="center"/>
          </w:tcPr>
          <w:p w14:paraId="251BA9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kg</w:t>
            </w:r>
          </w:p>
        </w:tc>
        <w:tc>
          <w:tcPr>
            <w:tcW w:w="605" w:type="dxa"/>
            <w:shd w:val="clear" w:color="auto" w:fill="auto"/>
            <w:noWrap/>
            <w:vAlign w:val="center"/>
          </w:tcPr>
          <w:p w14:paraId="315427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48B5A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71255A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6EDB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07BE68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115</w:t>
            </w:r>
          </w:p>
        </w:tc>
        <w:tc>
          <w:tcPr>
            <w:tcW w:w="1072" w:type="dxa"/>
            <w:shd w:val="clear" w:color="auto" w:fill="auto"/>
            <w:vAlign w:val="center"/>
          </w:tcPr>
          <w:p w14:paraId="0C47C3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橡胶管</w:t>
            </w:r>
          </w:p>
        </w:tc>
        <w:tc>
          <w:tcPr>
            <w:tcW w:w="4897" w:type="dxa"/>
            <w:shd w:val="clear" w:color="auto" w:fill="auto"/>
            <w:vAlign w:val="center"/>
          </w:tcPr>
          <w:p w14:paraId="3822F18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外径9mm,内径6mm,乳白色，具有耐油、耐酸碱、耐压等特性</w:t>
            </w:r>
          </w:p>
        </w:tc>
        <w:tc>
          <w:tcPr>
            <w:tcW w:w="462" w:type="dxa"/>
            <w:shd w:val="clear" w:color="auto" w:fill="auto"/>
            <w:noWrap/>
            <w:vAlign w:val="center"/>
          </w:tcPr>
          <w:p w14:paraId="2F9838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kg</w:t>
            </w:r>
          </w:p>
        </w:tc>
        <w:tc>
          <w:tcPr>
            <w:tcW w:w="605" w:type="dxa"/>
            <w:shd w:val="clear" w:color="auto" w:fill="auto"/>
            <w:noWrap/>
            <w:vAlign w:val="center"/>
          </w:tcPr>
          <w:p w14:paraId="7DC642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9E72C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74AB68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16C8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43F16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116</w:t>
            </w:r>
          </w:p>
        </w:tc>
        <w:tc>
          <w:tcPr>
            <w:tcW w:w="1072" w:type="dxa"/>
            <w:shd w:val="clear" w:color="auto" w:fill="auto"/>
            <w:vAlign w:val="center"/>
          </w:tcPr>
          <w:p w14:paraId="0391BE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试管刷</w:t>
            </w:r>
          </w:p>
        </w:tc>
        <w:tc>
          <w:tcPr>
            <w:tcW w:w="4897" w:type="dxa"/>
            <w:shd w:val="clear" w:color="auto" w:fill="auto"/>
            <w:vAlign w:val="center"/>
          </w:tcPr>
          <w:p w14:paraId="0952E23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Φ12mm；手持部分顶端应为环状，顶部要有刷丝，铁丝不可外露</w:t>
            </w:r>
          </w:p>
        </w:tc>
        <w:tc>
          <w:tcPr>
            <w:tcW w:w="462" w:type="dxa"/>
            <w:shd w:val="clear" w:color="auto" w:fill="auto"/>
            <w:noWrap/>
            <w:vAlign w:val="center"/>
          </w:tcPr>
          <w:p w14:paraId="4BBD84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40898C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77E351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66AD05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3A57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1FFCE1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117</w:t>
            </w:r>
          </w:p>
        </w:tc>
        <w:tc>
          <w:tcPr>
            <w:tcW w:w="1072" w:type="dxa"/>
            <w:shd w:val="clear" w:color="auto" w:fill="auto"/>
            <w:vAlign w:val="center"/>
          </w:tcPr>
          <w:p w14:paraId="6D9172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试管刷</w:t>
            </w:r>
          </w:p>
        </w:tc>
        <w:tc>
          <w:tcPr>
            <w:tcW w:w="4897" w:type="dxa"/>
            <w:shd w:val="clear" w:color="auto" w:fill="auto"/>
            <w:vAlign w:val="center"/>
          </w:tcPr>
          <w:p w14:paraId="7FEA98B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Φ18mm；手持部分顶端应为环状，顶部要有刷丝，铁丝不可外露</w:t>
            </w:r>
          </w:p>
        </w:tc>
        <w:tc>
          <w:tcPr>
            <w:tcW w:w="462" w:type="dxa"/>
            <w:shd w:val="clear" w:color="auto" w:fill="auto"/>
            <w:noWrap/>
            <w:vAlign w:val="center"/>
          </w:tcPr>
          <w:p w14:paraId="65F194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7FCF3B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4C34ED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257CA8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4FA4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C401AC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118</w:t>
            </w:r>
          </w:p>
        </w:tc>
        <w:tc>
          <w:tcPr>
            <w:tcW w:w="1072" w:type="dxa"/>
            <w:shd w:val="clear" w:color="auto" w:fill="auto"/>
            <w:vAlign w:val="center"/>
          </w:tcPr>
          <w:p w14:paraId="024F0E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点滴板</w:t>
            </w:r>
          </w:p>
        </w:tc>
        <w:tc>
          <w:tcPr>
            <w:tcW w:w="4897" w:type="dxa"/>
            <w:shd w:val="clear" w:color="auto" w:fill="auto"/>
            <w:vAlign w:val="center"/>
          </w:tcPr>
          <w:p w14:paraId="2DF2849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12孔穴</w:t>
            </w:r>
          </w:p>
        </w:tc>
        <w:tc>
          <w:tcPr>
            <w:tcW w:w="462" w:type="dxa"/>
            <w:shd w:val="clear" w:color="auto" w:fill="auto"/>
            <w:noWrap/>
            <w:vAlign w:val="center"/>
          </w:tcPr>
          <w:p w14:paraId="4BD4B5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A4B6A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7A4714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13F8EC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216</w:t>
            </w:r>
          </w:p>
        </w:tc>
      </w:tr>
      <w:tr w14:paraId="10DD1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EDEE5D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119</w:t>
            </w:r>
          </w:p>
        </w:tc>
        <w:tc>
          <w:tcPr>
            <w:tcW w:w="1072" w:type="dxa"/>
            <w:shd w:val="clear" w:color="auto" w:fill="auto"/>
            <w:vAlign w:val="center"/>
          </w:tcPr>
          <w:p w14:paraId="78234A5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研钵</w:t>
            </w:r>
          </w:p>
        </w:tc>
        <w:tc>
          <w:tcPr>
            <w:tcW w:w="4897" w:type="dxa"/>
            <w:shd w:val="clear" w:color="auto" w:fill="auto"/>
            <w:vAlign w:val="center"/>
          </w:tcPr>
          <w:p w14:paraId="7CE77CC3">
            <w:pPr>
              <w:widowControl/>
              <w:textAlignment w:val="center"/>
              <w:rPr>
                <w:rFonts w:ascii="宋体" w:hAnsi="宋体" w:cs="宋体"/>
                <w:kern w:val="0"/>
                <w:sz w:val="22"/>
              </w:rPr>
            </w:pPr>
            <w:r>
              <w:rPr>
                <w:rFonts w:hint="eastAsia" w:ascii="宋体" w:hAnsi="宋体" w:cs="宋体"/>
                <w:color w:val="000000"/>
                <w:kern w:val="0"/>
                <w:sz w:val="22"/>
                <w:szCs w:val="22"/>
                <w:lang w:bidi="ar"/>
              </w:rPr>
              <w:t>60mm,手持部分顶端应为环状，顶部要有刷丝，铁丝不可外露</w:t>
            </w:r>
          </w:p>
        </w:tc>
        <w:tc>
          <w:tcPr>
            <w:tcW w:w="462" w:type="dxa"/>
            <w:shd w:val="clear" w:color="auto" w:fill="auto"/>
            <w:noWrap/>
            <w:vAlign w:val="center"/>
          </w:tcPr>
          <w:p w14:paraId="57AA35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7D763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5D0C8B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45600C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w:t>
            </w:r>
          </w:p>
        </w:tc>
      </w:tr>
      <w:tr w14:paraId="6664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D82F4D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120</w:t>
            </w:r>
          </w:p>
        </w:tc>
        <w:tc>
          <w:tcPr>
            <w:tcW w:w="1072" w:type="dxa"/>
            <w:shd w:val="clear" w:color="auto" w:fill="auto"/>
            <w:vAlign w:val="center"/>
          </w:tcPr>
          <w:p w14:paraId="73F759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记数载玻片（计数板）</w:t>
            </w:r>
          </w:p>
        </w:tc>
        <w:tc>
          <w:tcPr>
            <w:tcW w:w="4897" w:type="dxa"/>
            <w:shd w:val="clear" w:color="auto" w:fill="auto"/>
            <w:vAlign w:val="center"/>
          </w:tcPr>
          <w:p w14:paraId="732DD64D">
            <w:pPr>
              <w:widowControl/>
              <w:textAlignment w:val="center"/>
              <w:rPr>
                <w:rFonts w:ascii="宋体" w:hAnsi="宋体" w:cs="宋体"/>
                <w:kern w:val="0"/>
                <w:sz w:val="22"/>
              </w:rPr>
            </w:pPr>
            <w:r>
              <w:rPr>
                <w:rFonts w:hint="eastAsia" w:ascii="宋体" w:hAnsi="宋体" w:cs="宋体"/>
                <w:color w:val="000000"/>
                <w:kern w:val="0"/>
                <w:sz w:val="22"/>
                <w:szCs w:val="22"/>
                <w:lang w:bidi="ar"/>
              </w:rPr>
              <w:t>22mmX26mm,厚0.5mm</w:t>
            </w:r>
          </w:p>
        </w:tc>
        <w:tc>
          <w:tcPr>
            <w:tcW w:w="462" w:type="dxa"/>
            <w:shd w:val="clear" w:color="auto" w:fill="auto"/>
            <w:noWrap/>
            <w:vAlign w:val="center"/>
          </w:tcPr>
          <w:p w14:paraId="40833A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057ACE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535E84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w:t>
            </w:r>
          </w:p>
        </w:tc>
        <w:tc>
          <w:tcPr>
            <w:tcW w:w="1489" w:type="dxa"/>
            <w:shd w:val="clear" w:color="auto" w:fill="auto"/>
            <w:noWrap/>
            <w:vAlign w:val="center"/>
          </w:tcPr>
          <w:p w14:paraId="6C0712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660</w:t>
            </w:r>
          </w:p>
        </w:tc>
      </w:tr>
      <w:tr w14:paraId="7A9C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BCFAA8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121</w:t>
            </w:r>
          </w:p>
        </w:tc>
        <w:tc>
          <w:tcPr>
            <w:tcW w:w="1072" w:type="dxa"/>
            <w:shd w:val="clear" w:color="auto" w:fill="auto"/>
            <w:vAlign w:val="center"/>
          </w:tcPr>
          <w:p w14:paraId="28CCCC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标记笔</w:t>
            </w:r>
          </w:p>
        </w:tc>
        <w:tc>
          <w:tcPr>
            <w:tcW w:w="4897" w:type="dxa"/>
            <w:shd w:val="clear" w:color="auto" w:fill="auto"/>
            <w:vAlign w:val="center"/>
          </w:tcPr>
          <w:p w14:paraId="53C8D9C9">
            <w:pPr>
              <w:widowControl/>
              <w:textAlignment w:val="center"/>
              <w:rPr>
                <w:rFonts w:ascii="宋体" w:hAnsi="宋体" w:cs="宋体"/>
                <w:kern w:val="0"/>
                <w:sz w:val="22"/>
              </w:rPr>
            </w:pPr>
            <w:r>
              <w:rPr>
                <w:rFonts w:hint="eastAsia" w:ascii="宋体" w:hAnsi="宋体" w:cs="宋体"/>
                <w:color w:val="000000"/>
                <w:kern w:val="0"/>
                <w:sz w:val="22"/>
                <w:szCs w:val="22"/>
                <w:lang w:bidi="ar"/>
              </w:rPr>
              <w:t>双头，油性墨水</w:t>
            </w:r>
          </w:p>
        </w:tc>
        <w:tc>
          <w:tcPr>
            <w:tcW w:w="462" w:type="dxa"/>
            <w:shd w:val="clear" w:color="auto" w:fill="auto"/>
            <w:noWrap/>
            <w:vAlign w:val="center"/>
          </w:tcPr>
          <w:p w14:paraId="5B57D1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53029C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264537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48763A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45</w:t>
            </w:r>
          </w:p>
        </w:tc>
      </w:tr>
      <w:tr w14:paraId="312A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54DC7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122</w:t>
            </w:r>
          </w:p>
        </w:tc>
        <w:tc>
          <w:tcPr>
            <w:tcW w:w="1072" w:type="dxa"/>
            <w:shd w:val="clear" w:color="auto" w:fill="auto"/>
            <w:vAlign w:val="center"/>
          </w:tcPr>
          <w:p w14:paraId="549AA9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喷壶</w:t>
            </w:r>
          </w:p>
        </w:tc>
        <w:tc>
          <w:tcPr>
            <w:tcW w:w="4897" w:type="dxa"/>
            <w:shd w:val="clear" w:color="auto" w:fill="auto"/>
            <w:vAlign w:val="center"/>
          </w:tcPr>
          <w:p w14:paraId="4C6F39D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w:t>
            </w:r>
          </w:p>
        </w:tc>
        <w:tc>
          <w:tcPr>
            <w:tcW w:w="462" w:type="dxa"/>
            <w:shd w:val="clear" w:color="auto" w:fill="auto"/>
            <w:noWrap/>
            <w:vAlign w:val="center"/>
          </w:tcPr>
          <w:p w14:paraId="620BAA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49BBA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5560A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20E5F6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154</w:t>
            </w:r>
          </w:p>
        </w:tc>
      </w:tr>
      <w:tr w14:paraId="10C1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1C042B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123</w:t>
            </w:r>
          </w:p>
        </w:tc>
        <w:tc>
          <w:tcPr>
            <w:tcW w:w="1072" w:type="dxa"/>
            <w:shd w:val="clear" w:color="auto" w:fill="auto"/>
            <w:vAlign w:val="center"/>
          </w:tcPr>
          <w:p w14:paraId="57CBBB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透析袋</w:t>
            </w:r>
          </w:p>
        </w:tc>
        <w:tc>
          <w:tcPr>
            <w:tcW w:w="4897" w:type="dxa"/>
            <w:shd w:val="clear" w:color="auto" w:fill="auto"/>
            <w:vAlign w:val="center"/>
          </w:tcPr>
          <w:p w14:paraId="3DDE210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16mm</w:t>
            </w:r>
          </w:p>
        </w:tc>
        <w:tc>
          <w:tcPr>
            <w:tcW w:w="462" w:type="dxa"/>
            <w:shd w:val="clear" w:color="auto" w:fill="auto"/>
            <w:noWrap/>
            <w:vAlign w:val="center"/>
          </w:tcPr>
          <w:p w14:paraId="0DA563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卷</w:t>
            </w:r>
          </w:p>
        </w:tc>
        <w:tc>
          <w:tcPr>
            <w:tcW w:w="605" w:type="dxa"/>
            <w:shd w:val="clear" w:color="auto" w:fill="auto"/>
            <w:noWrap/>
            <w:vAlign w:val="center"/>
          </w:tcPr>
          <w:p w14:paraId="1CE075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A0087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105</w:t>
            </w:r>
          </w:p>
        </w:tc>
        <w:tc>
          <w:tcPr>
            <w:tcW w:w="1489" w:type="dxa"/>
            <w:shd w:val="clear" w:color="auto" w:fill="auto"/>
            <w:noWrap/>
            <w:vAlign w:val="center"/>
          </w:tcPr>
          <w:p w14:paraId="3161D1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105</w:t>
            </w:r>
          </w:p>
        </w:tc>
      </w:tr>
      <w:tr w14:paraId="6BFA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EDAC79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124</w:t>
            </w:r>
          </w:p>
        </w:tc>
        <w:tc>
          <w:tcPr>
            <w:tcW w:w="1072" w:type="dxa"/>
            <w:shd w:val="clear" w:color="auto" w:fill="auto"/>
            <w:vAlign w:val="center"/>
          </w:tcPr>
          <w:p w14:paraId="5A2914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毛细吸管</w:t>
            </w:r>
          </w:p>
        </w:tc>
        <w:tc>
          <w:tcPr>
            <w:tcW w:w="4897" w:type="dxa"/>
            <w:shd w:val="clear" w:color="auto" w:fill="auto"/>
            <w:vAlign w:val="center"/>
          </w:tcPr>
          <w:p w14:paraId="7511ACD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玻璃材质，50支/盒</w:t>
            </w:r>
          </w:p>
        </w:tc>
        <w:tc>
          <w:tcPr>
            <w:tcW w:w="462" w:type="dxa"/>
            <w:shd w:val="clear" w:color="auto" w:fill="auto"/>
            <w:noWrap/>
            <w:vAlign w:val="center"/>
          </w:tcPr>
          <w:p w14:paraId="422160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noWrap/>
            <w:vAlign w:val="center"/>
          </w:tcPr>
          <w:p w14:paraId="158283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AF024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c>
          <w:tcPr>
            <w:tcW w:w="1489" w:type="dxa"/>
            <w:shd w:val="clear" w:color="auto" w:fill="auto"/>
            <w:noWrap/>
            <w:vAlign w:val="center"/>
          </w:tcPr>
          <w:p w14:paraId="79AC8F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r>
      <w:tr w14:paraId="1B99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25B6EC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125</w:t>
            </w:r>
          </w:p>
        </w:tc>
        <w:tc>
          <w:tcPr>
            <w:tcW w:w="1072" w:type="dxa"/>
            <w:shd w:val="clear" w:color="auto" w:fill="auto"/>
            <w:vAlign w:val="center"/>
          </w:tcPr>
          <w:p w14:paraId="38B5FC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移液器吸头盒</w:t>
            </w:r>
          </w:p>
        </w:tc>
        <w:tc>
          <w:tcPr>
            <w:tcW w:w="4897" w:type="dxa"/>
            <w:shd w:val="clear" w:color="auto" w:fill="auto"/>
            <w:vAlign w:val="center"/>
          </w:tcPr>
          <w:p w14:paraId="38B5A75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10μL，96孔</w:t>
            </w:r>
          </w:p>
        </w:tc>
        <w:tc>
          <w:tcPr>
            <w:tcW w:w="462" w:type="dxa"/>
            <w:shd w:val="clear" w:color="auto" w:fill="auto"/>
            <w:noWrap/>
            <w:vAlign w:val="center"/>
          </w:tcPr>
          <w:p w14:paraId="2BE226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DFC15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AE14D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6075A0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77</w:t>
            </w:r>
          </w:p>
        </w:tc>
      </w:tr>
      <w:tr w14:paraId="6838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2D470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126</w:t>
            </w:r>
          </w:p>
        </w:tc>
        <w:tc>
          <w:tcPr>
            <w:tcW w:w="1072" w:type="dxa"/>
            <w:shd w:val="clear" w:color="auto" w:fill="auto"/>
            <w:vAlign w:val="center"/>
          </w:tcPr>
          <w:p w14:paraId="660A75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移液器吸头盒</w:t>
            </w:r>
          </w:p>
        </w:tc>
        <w:tc>
          <w:tcPr>
            <w:tcW w:w="4897" w:type="dxa"/>
            <w:shd w:val="clear" w:color="auto" w:fill="auto"/>
            <w:vAlign w:val="center"/>
          </w:tcPr>
          <w:p w14:paraId="3A4DF57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200μL，96孔</w:t>
            </w:r>
          </w:p>
        </w:tc>
        <w:tc>
          <w:tcPr>
            <w:tcW w:w="462" w:type="dxa"/>
            <w:shd w:val="clear" w:color="auto" w:fill="auto"/>
            <w:noWrap/>
            <w:vAlign w:val="center"/>
          </w:tcPr>
          <w:p w14:paraId="5BCF18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2DB40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204E35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735D95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88</w:t>
            </w:r>
          </w:p>
        </w:tc>
      </w:tr>
      <w:tr w14:paraId="3876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DB0EFE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127</w:t>
            </w:r>
          </w:p>
        </w:tc>
        <w:tc>
          <w:tcPr>
            <w:tcW w:w="1072" w:type="dxa"/>
            <w:shd w:val="clear" w:color="auto" w:fill="auto"/>
            <w:vAlign w:val="center"/>
          </w:tcPr>
          <w:p w14:paraId="37EF90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移液器吸头盒</w:t>
            </w:r>
          </w:p>
        </w:tc>
        <w:tc>
          <w:tcPr>
            <w:tcW w:w="4897" w:type="dxa"/>
            <w:shd w:val="clear" w:color="auto" w:fill="auto"/>
            <w:vAlign w:val="center"/>
          </w:tcPr>
          <w:p w14:paraId="7C7E283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1000μL，60孔</w:t>
            </w:r>
          </w:p>
        </w:tc>
        <w:tc>
          <w:tcPr>
            <w:tcW w:w="462" w:type="dxa"/>
            <w:shd w:val="clear" w:color="auto" w:fill="auto"/>
            <w:noWrap/>
            <w:vAlign w:val="center"/>
          </w:tcPr>
          <w:p w14:paraId="0ED8AF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9C14C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77A5CF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2F21A2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88</w:t>
            </w:r>
          </w:p>
        </w:tc>
      </w:tr>
      <w:tr w14:paraId="7654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2BDF6A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128</w:t>
            </w:r>
          </w:p>
        </w:tc>
        <w:tc>
          <w:tcPr>
            <w:tcW w:w="1072" w:type="dxa"/>
            <w:shd w:val="clear" w:color="auto" w:fill="auto"/>
            <w:vAlign w:val="center"/>
          </w:tcPr>
          <w:p w14:paraId="0CAB83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移液器吸头盒</w:t>
            </w:r>
          </w:p>
        </w:tc>
        <w:tc>
          <w:tcPr>
            <w:tcW w:w="4897" w:type="dxa"/>
            <w:shd w:val="clear" w:color="auto" w:fill="auto"/>
            <w:vAlign w:val="center"/>
          </w:tcPr>
          <w:p w14:paraId="2AD4963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5mL，28孔</w:t>
            </w:r>
          </w:p>
        </w:tc>
        <w:tc>
          <w:tcPr>
            <w:tcW w:w="462" w:type="dxa"/>
            <w:shd w:val="clear" w:color="auto" w:fill="auto"/>
            <w:noWrap/>
            <w:vAlign w:val="center"/>
          </w:tcPr>
          <w:p w14:paraId="389384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E46C9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4CA26E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noWrap/>
            <w:vAlign w:val="center"/>
          </w:tcPr>
          <w:p w14:paraId="0E6FE9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253</w:t>
            </w:r>
          </w:p>
        </w:tc>
      </w:tr>
      <w:tr w14:paraId="04B3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946B85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129</w:t>
            </w:r>
          </w:p>
        </w:tc>
        <w:tc>
          <w:tcPr>
            <w:tcW w:w="1072" w:type="dxa"/>
            <w:shd w:val="clear" w:color="auto" w:fill="auto"/>
            <w:vAlign w:val="center"/>
          </w:tcPr>
          <w:p w14:paraId="4919A5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w:t>
            </w:r>
          </w:p>
        </w:tc>
        <w:tc>
          <w:tcPr>
            <w:tcW w:w="4897" w:type="dxa"/>
            <w:shd w:val="clear" w:color="auto" w:fill="auto"/>
            <w:vAlign w:val="center"/>
          </w:tcPr>
          <w:p w14:paraId="77F335A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10μL</w:t>
            </w:r>
          </w:p>
        </w:tc>
        <w:tc>
          <w:tcPr>
            <w:tcW w:w="462" w:type="dxa"/>
            <w:shd w:val="clear" w:color="auto" w:fill="auto"/>
            <w:noWrap/>
            <w:vAlign w:val="center"/>
          </w:tcPr>
          <w:p w14:paraId="485D20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包</w:t>
            </w:r>
          </w:p>
        </w:tc>
        <w:tc>
          <w:tcPr>
            <w:tcW w:w="605" w:type="dxa"/>
            <w:shd w:val="clear" w:color="auto" w:fill="auto"/>
            <w:noWrap/>
            <w:vAlign w:val="center"/>
          </w:tcPr>
          <w:p w14:paraId="37C045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62598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4B5486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r>
      <w:tr w14:paraId="5C92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38DE44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130</w:t>
            </w:r>
          </w:p>
        </w:tc>
        <w:tc>
          <w:tcPr>
            <w:tcW w:w="1072" w:type="dxa"/>
            <w:shd w:val="clear" w:color="auto" w:fill="auto"/>
            <w:vAlign w:val="center"/>
          </w:tcPr>
          <w:p w14:paraId="557A9F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w:t>
            </w:r>
          </w:p>
        </w:tc>
        <w:tc>
          <w:tcPr>
            <w:tcW w:w="4897" w:type="dxa"/>
            <w:shd w:val="clear" w:color="auto" w:fill="auto"/>
            <w:vAlign w:val="center"/>
          </w:tcPr>
          <w:p w14:paraId="5C4C98A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200μL</w:t>
            </w:r>
          </w:p>
        </w:tc>
        <w:tc>
          <w:tcPr>
            <w:tcW w:w="462" w:type="dxa"/>
            <w:shd w:val="clear" w:color="auto" w:fill="auto"/>
            <w:noWrap/>
            <w:vAlign w:val="center"/>
          </w:tcPr>
          <w:p w14:paraId="0189DC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包</w:t>
            </w:r>
          </w:p>
        </w:tc>
        <w:tc>
          <w:tcPr>
            <w:tcW w:w="605" w:type="dxa"/>
            <w:shd w:val="clear" w:color="auto" w:fill="auto"/>
            <w:noWrap/>
            <w:vAlign w:val="center"/>
          </w:tcPr>
          <w:p w14:paraId="20E652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EEC14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c>
          <w:tcPr>
            <w:tcW w:w="1489" w:type="dxa"/>
            <w:shd w:val="clear" w:color="auto" w:fill="auto"/>
            <w:noWrap/>
            <w:vAlign w:val="center"/>
          </w:tcPr>
          <w:p w14:paraId="01DED4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r>
      <w:tr w14:paraId="7D37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F0B877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131</w:t>
            </w:r>
          </w:p>
        </w:tc>
        <w:tc>
          <w:tcPr>
            <w:tcW w:w="1072" w:type="dxa"/>
            <w:shd w:val="clear" w:color="auto" w:fill="auto"/>
            <w:vAlign w:val="center"/>
          </w:tcPr>
          <w:p w14:paraId="285944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w:t>
            </w:r>
          </w:p>
        </w:tc>
        <w:tc>
          <w:tcPr>
            <w:tcW w:w="4897" w:type="dxa"/>
            <w:shd w:val="clear" w:color="auto" w:fill="auto"/>
            <w:vAlign w:val="center"/>
          </w:tcPr>
          <w:p w14:paraId="03A7274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1000μL</w:t>
            </w:r>
          </w:p>
        </w:tc>
        <w:tc>
          <w:tcPr>
            <w:tcW w:w="462" w:type="dxa"/>
            <w:shd w:val="clear" w:color="auto" w:fill="auto"/>
            <w:noWrap/>
            <w:vAlign w:val="center"/>
          </w:tcPr>
          <w:p w14:paraId="3E9B34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包</w:t>
            </w:r>
          </w:p>
        </w:tc>
        <w:tc>
          <w:tcPr>
            <w:tcW w:w="605" w:type="dxa"/>
            <w:shd w:val="clear" w:color="auto" w:fill="auto"/>
            <w:noWrap/>
            <w:vAlign w:val="center"/>
          </w:tcPr>
          <w:p w14:paraId="63464E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B4077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noWrap/>
            <w:vAlign w:val="center"/>
          </w:tcPr>
          <w:p w14:paraId="133542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r>
      <w:tr w14:paraId="3173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9E008E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132</w:t>
            </w:r>
          </w:p>
        </w:tc>
        <w:tc>
          <w:tcPr>
            <w:tcW w:w="1072" w:type="dxa"/>
            <w:shd w:val="clear" w:color="auto" w:fill="auto"/>
            <w:vAlign w:val="center"/>
          </w:tcPr>
          <w:p w14:paraId="32C381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w:t>
            </w:r>
          </w:p>
        </w:tc>
        <w:tc>
          <w:tcPr>
            <w:tcW w:w="4897" w:type="dxa"/>
            <w:shd w:val="clear" w:color="auto" w:fill="auto"/>
            <w:vAlign w:val="center"/>
          </w:tcPr>
          <w:p w14:paraId="113DB3B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5mL</w:t>
            </w:r>
          </w:p>
        </w:tc>
        <w:tc>
          <w:tcPr>
            <w:tcW w:w="462" w:type="dxa"/>
            <w:shd w:val="clear" w:color="auto" w:fill="auto"/>
            <w:noWrap/>
            <w:vAlign w:val="center"/>
          </w:tcPr>
          <w:p w14:paraId="07236B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包</w:t>
            </w:r>
          </w:p>
        </w:tc>
        <w:tc>
          <w:tcPr>
            <w:tcW w:w="605" w:type="dxa"/>
            <w:shd w:val="clear" w:color="auto" w:fill="auto"/>
            <w:noWrap/>
            <w:vAlign w:val="center"/>
          </w:tcPr>
          <w:p w14:paraId="74F099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D3C95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489" w:type="dxa"/>
            <w:shd w:val="clear" w:color="auto" w:fill="auto"/>
            <w:noWrap/>
            <w:vAlign w:val="center"/>
          </w:tcPr>
          <w:p w14:paraId="28326C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5A90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F30053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133</w:t>
            </w:r>
          </w:p>
        </w:tc>
        <w:tc>
          <w:tcPr>
            <w:tcW w:w="1072" w:type="dxa"/>
            <w:shd w:val="clear" w:color="auto" w:fill="auto"/>
            <w:vAlign w:val="center"/>
          </w:tcPr>
          <w:p w14:paraId="3045B4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塑料多用滴管</w:t>
            </w:r>
          </w:p>
        </w:tc>
        <w:tc>
          <w:tcPr>
            <w:tcW w:w="4897" w:type="dxa"/>
            <w:shd w:val="clear" w:color="auto" w:fill="auto"/>
            <w:vAlign w:val="center"/>
          </w:tcPr>
          <w:p w14:paraId="7D37D1C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4mL</w:t>
            </w:r>
          </w:p>
        </w:tc>
        <w:tc>
          <w:tcPr>
            <w:tcW w:w="462" w:type="dxa"/>
            <w:shd w:val="clear" w:color="auto" w:fill="auto"/>
            <w:noWrap/>
            <w:vAlign w:val="center"/>
          </w:tcPr>
          <w:p w14:paraId="6178B8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F38EF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c>
          <w:tcPr>
            <w:tcW w:w="1048" w:type="dxa"/>
            <w:shd w:val="clear" w:color="auto" w:fill="auto"/>
            <w:noWrap/>
            <w:vAlign w:val="center"/>
          </w:tcPr>
          <w:p w14:paraId="7655B1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509761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50E9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2BC1DE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134</w:t>
            </w:r>
          </w:p>
        </w:tc>
        <w:tc>
          <w:tcPr>
            <w:tcW w:w="1072" w:type="dxa"/>
            <w:shd w:val="clear" w:color="auto" w:fill="auto"/>
            <w:vAlign w:val="center"/>
          </w:tcPr>
          <w:p w14:paraId="65D3B6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定性滤纸</w:t>
            </w:r>
          </w:p>
        </w:tc>
        <w:tc>
          <w:tcPr>
            <w:tcW w:w="4897" w:type="dxa"/>
            <w:shd w:val="clear" w:color="auto" w:fill="auto"/>
            <w:vAlign w:val="center"/>
          </w:tcPr>
          <w:p w14:paraId="0604A4B4">
            <w:pPr>
              <w:widowControl/>
              <w:textAlignment w:val="center"/>
              <w:rPr>
                <w:rFonts w:ascii="宋体" w:hAnsi="宋体" w:cs="宋体"/>
                <w:kern w:val="0"/>
                <w:sz w:val="22"/>
              </w:rPr>
            </w:pPr>
            <w:r>
              <w:rPr>
                <w:rFonts w:hint="eastAsia" w:ascii="宋体" w:hAnsi="宋体" w:cs="宋体"/>
                <w:color w:val="000000"/>
                <w:kern w:val="0"/>
                <w:sz w:val="22"/>
                <w:szCs w:val="22"/>
                <w:lang w:bidi="ar"/>
              </w:rPr>
              <w:t>快速，9cm</w:t>
            </w:r>
          </w:p>
        </w:tc>
        <w:tc>
          <w:tcPr>
            <w:tcW w:w="462" w:type="dxa"/>
            <w:shd w:val="clear" w:color="auto" w:fill="auto"/>
            <w:noWrap/>
            <w:vAlign w:val="center"/>
          </w:tcPr>
          <w:p w14:paraId="7B2F37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noWrap/>
            <w:vAlign w:val="center"/>
          </w:tcPr>
          <w:p w14:paraId="5D7F65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noWrap/>
            <w:vAlign w:val="center"/>
          </w:tcPr>
          <w:p w14:paraId="7B72BE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7C0117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108</w:t>
            </w:r>
          </w:p>
        </w:tc>
      </w:tr>
      <w:tr w14:paraId="7DD2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7510DF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135</w:t>
            </w:r>
          </w:p>
        </w:tc>
        <w:tc>
          <w:tcPr>
            <w:tcW w:w="1072" w:type="dxa"/>
            <w:shd w:val="clear" w:color="auto" w:fill="auto"/>
            <w:vAlign w:val="center"/>
          </w:tcPr>
          <w:p w14:paraId="6B920D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诱虫器</w:t>
            </w:r>
          </w:p>
        </w:tc>
        <w:tc>
          <w:tcPr>
            <w:tcW w:w="4897" w:type="dxa"/>
            <w:shd w:val="clear" w:color="auto" w:fill="auto"/>
            <w:vAlign w:val="center"/>
          </w:tcPr>
          <w:p w14:paraId="5D2782F4">
            <w:pPr>
              <w:widowControl/>
              <w:textAlignment w:val="center"/>
              <w:rPr>
                <w:rFonts w:ascii="宋体" w:hAnsi="宋体" w:cs="宋体"/>
                <w:kern w:val="0"/>
                <w:sz w:val="22"/>
              </w:rPr>
            </w:pPr>
            <w:r>
              <w:rPr>
                <w:rFonts w:hint="eastAsia" w:ascii="宋体" w:hAnsi="宋体" w:cs="宋体"/>
                <w:color w:val="000000"/>
                <w:kern w:val="0"/>
                <w:sz w:val="22"/>
                <w:szCs w:val="22"/>
                <w:lang w:bidi="ar"/>
              </w:rPr>
              <w:t>包括灯泡、灯罩、漏斗、金属网、铁架台、试管</w:t>
            </w:r>
          </w:p>
        </w:tc>
        <w:tc>
          <w:tcPr>
            <w:tcW w:w="462" w:type="dxa"/>
            <w:shd w:val="clear" w:color="auto" w:fill="auto"/>
            <w:noWrap/>
            <w:vAlign w:val="center"/>
          </w:tcPr>
          <w:p w14:paraId="4FD7A7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F468E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0E5DF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w:t>
            </w:r>
          </w:p>
        </w:tc>
        <w:tc>
          <w:tcPr>
            <w:tcW w:w="1489" w:type="dxa"/>
            <w:shd w:val="clear" w:color="auto" w:fill="auto"/>
            <w:noWrap/>
            <w:vAlign w:val="center"/>
          </w:tcPr>
          <w:p w14:paraId="3DC9B2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w:t>
            </w:r>
          </w:p>
        </w:tc>
      </w:tr>
      <w:tr w14:paraId="7526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C3048B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136</w:t>
            </w:r>
          </w:p>
        </w:tc>
        <w:tc>
          <w:tcPr>
            <w:tcW w:w="1072" w:type="dxa"/>
            <w:shd w:val="clear" w:color="auto" w:fill="auto"/>
            <w:vAlign w:val="center"/>
          </w:tcPr>
          <w:p w14:paraId="336162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吸虫器</w:t>
            </w:r>
          </w:p>
        </w:tc>
        <w:tc>
          <w:tcPr>
            <w:tcW w:w="4897" w:type="dxa"/>
            <w:shd w:val="clear" w:color="auto" w:fill="auto"/>
            <w:vAlign w:val="center"/>
          </w:tcPr>
          <w:p w14:paraId="3A135F6A">
            <w:pPr>
              <w:widowControl/>
              <w:textAlignment w:val="center"/>
              <w:rPr>
                <w:rFonts w:ascii="宋体" w:hAnsi="宋体" w:cs="宋体"/>
                <w:kern w:val="0"/>
                <w:sz w:val="22"/>
              </w:rPr>
            </w:pPr>
            <w:r>
              <w:rPr>
                <w:rFonts w:hint="eastAsia" w:ascii="宋体" w:hAnsi="宋体" w:cs="宋体"/>
                <w:color w:val="000000"/>
                <w:kern w:val="0"/>
                <w:sz w:val="22"/>
                <w:szCs w:val="22"/>
                <w:lang w:bidi="ar"/>
              </w:rPr>
              <w:t>小，储虫瓶40mmx100mm，带有吸虫管和吸气管</w:t>
            </w:r>
          </w:p>
        </w:tc>
        <w:tc>
          <w:tcPr>
            <w:tcW w:w="462" w:type="dxa"/>
            <w:shd w:val="clear" w:color="auto" w:fill="auto"/>
            <w:noWrap/>
            <w:vAlign w:val="center"/>
          </w:tcPr>
          <w:p w14:paraId="144033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noWrap/>
            <w:vAlign w:val="center"/>
          </w:tcPr>
          <w:p w14:paraId="7E105E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55164B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w:t>
            </w:r>
          </w:p>
        </w:tc>
        <w:tc>
          <w:tcPr>
            <w:tcW w:w="1489" w:type="dxa"/>
            <w:shd w:val="clear" w:color="auto" w:fill="auto"/>
            <w:noWrap/>
            <w:vAlign w:val="center"/>
          </w:tcPr>
          <w:p w14:paraId="535EC1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504</w:t>
            </w:r>
          </w:p>
        </w:tc>
      </w:tr>
      <w:tr w14:paraId="00B7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39C20B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137</w:t>
            </w:r>
          </w:p>
        </w:tc>
        <w:tc>
          <w:tcPr>
            <w:tcW w:w="1072" w:type="dxa"/>
            <w:shd w:val="clear" w:color="auto" w:fill="auto"/>
            <w:vAlign w:val="center"/>
          </w:tcPr>
          <w:p w14:paraId="279F40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玻璃三角刮刀</w:t>
            </w:r>
          </w:p>
        </w:tc>
        <w:tc>
          <w:tcPr>
            <w:tcW w:w="4897" w:type="dxa"/>
            <w:shd w:val="clear" w:color="auto" w:fill="auto"/>
            <w:vAlign w:val="center"/>
          </w:tcPr>
          <w:p w14:paraId="237787CA">
            <w:pPr>
              <w:widowControl/>
              <w:textAlignment w:val="center"/>
              <w:rPr>
                <w:rFonts w:ascii="宋体" w:hAnsi="宋体" w:cs="宋体"/>
                <w:kern w:val="0"/>
                <w:sz w:val="22"/>
              </w:rPr>
            </w:pPr>
            <w:r>
              <w:rPr>
                <w:rFonts w:hint="eastAsia" w:ascii="宋体" w:hAnsi="宋体" w:cs="宋体"/>
                <w:color w:val="000000"/>
                <w:kern w:val="0"/>
                <w:sz w:val="22"/>
                <w:szCs w:val="22"/>
                <w:lang w:bidi="ar"/>
              </w:rPr>
              <w:t>涂布器</w:t>
            </w:r>
          </w:p>
        </w:tc>
        <w:tc>
          <w:tcPr>
            <w:tcW w:w="462" w:type="dxa"/>
            <w:shd w:val="clear" w:color="auto" w:fill="auto"/>
            <w:noWrap/>
            <w:vAlign w:val="center"/>
          </w:tcPr>
          <w:p w14:paraId="3BA1235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FD52A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FC3BA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32DDC4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88</w:t>
            </w:r>
          </w:p>
        </w:tc>
      </w:tr>
      <w:tr w14:paraId="58BD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8FDC6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138</w:t>
            </w:r>
          </w:p>
        </w:tc>
        <w:tc>
          <w:tcPr>
            <w:tcW w:w="1072" w:type="dxa"/>
            <w:shd w:val="clear" w:color="auto" w:fill="auto"/>
            <w:vAlign w:val="center"/>
          </w:tcPr>
          <w:p w14:paraId="110669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基因分离模拟材料</w:t>
            </w:r>
          </w:p>
        </w:tc>
        <w:tc>
          <w:tcPr>
            <w:tcW w:w="4897" w:type="dxa"/>
            <w:shd w:val="clear" w:color="auto" w:fill="auto"/>
            <w:vAlign w:val="center"/>
          </w:tcPr>
          <w:p w14:paraId="3E0E21A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1、玉米穗；</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2、标本选用父代穗、母代穗、子一代穗、子二代穗及子二代测交穗5穗玉米穗组成，各有不同的基因型；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3、标本盒为木质材料制作，内分5格；标本盒尺寸为25×20×5cm。</w:t>
            </w:r>
          </w:p>
        </w:tc>
        <w:tc>
          <w:tcPr>
            <w:tcW w:w="462" w:type="dxa"/>
            <w:shd w:val="clear" w:color="auto" w:fill="auto"/>
            <w:noWrap/>
            <w:vAlign w:val="center"/>
          </w:tcPr>
          <w:p w14:paraId="3F2E11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654FCD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17941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w:t>
            </w:r>
          </w:p>
        </w:tc>
        <w:tc>
          <w:tcPr>
            <w:tcW w:w="1489" w:type="dxa"/>
            <w:shd w:val="clear" w:color="auto" w:fill="auto"/>
            <w:noWrap/>
            <w:vAlign w:val="center"/>
          </w:tcPr>
          <w:p w14:paraId="63DAB7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1188</w:t>
            </w:r>
          </w:p>
        </w:tc>
      </w:tr>
      <w:tr w14:paraId="6389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BCA983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139</w:t>
            </w:r>
          </w:p>
        </w:tc>
        <w:tc>
          <w:tcPr>
            <w:tcW w:w="1072" w:type="dxa"/>
            <w:shd w:val="clear" w:color="auto" w:fill="auto"/>
            <w:vAlign w:val="center"/>
          </w:tcPr>
          <w:p w14:paraId="763E75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打孔器</w:t>
            </w:r>
          </w:p>
        </w:tc>
        <w:tc>
          <w:tcPr>
            <w:tcW w:w="4897" w:type="dxa"/>
            <w:shd w:val="clear" w:color="auto" w:fill="auto"/>
            <w:vAlign w:val="center"/>
          </w:tcPr>
          <w:p w14:paraId="5531BBC8">
            <w:pPr>
              <w:widowControl/>
              <w:textAlignment w:val="center"/>
              <w:rPr>
                <w:rFonts w:ascii="宋体" w:hAnsi="宋体" w:cs="宋体"/>
                <w:kern w:val="0"/>
                <w:sz w:val="22"/>
              </w:rPr>
            </w:pPr>
            <w:r>
              <w:rPr>
                <w:rFonts w:hint="eastAsia" w:ascii="宋体" w:hAnsi="宋体" w:cs="宋体"/>
                <w:color w:val="000000"/>
                <w:kern w:val="0"/>
                <w:sz w:val="22"/>
                <w:szCs w:val="22"/>
                <w:lang w:bidi="ar"/>
              </w:rPr>
              <w:t>刀口式，材质为不锈钢管、钢管或黄铜管，每组不少于4支，外径分别为9mm、8mm、7mm、6mm，并配一支带柄金属通扦</w:t>
            </w:r>
          </w:p>
        </w:tc>
        <w:tc>
          <w:tcPr>
            <w:tcW w:w="462" w:type="dxa"/>
            <w:shd w:val="clear" w:color="auto" w:fill="auto"/>
            <w:noWrap/>
            <w:vAlign w:val="center"/>
          </w:tcPr>
          <w:p w14:paraId="6FFDBB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741A80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37C5CD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3A582B7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0EEB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F3688F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140</w:t>
            </w:r>
          </w:p>
        </w:tc>
        <w:tc>
          <w:tcPr>
            <w:tcW w:w="1072" w:type="dxa"/>
            <w:shd w:val="clear" w:color="auto" w:fill="auto"/>
            <w:vAlign w:val="center"/>
          </w:tcPr>
          <w:p w14:paraId="0A3210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打孔夹板</w:t>
            </w:r>
          </w:p>
        </w:tc>
        <w:tc>
          <w:tcPr>
            <w:tcW w:w="4897" w:type="dxa"/>
            <w:shd w:val="clear" w:color="auto" w:fill="auto"/>
            <w:vAlign w:val="center"/>
          </w:tcPr>
          <w:p w14:paraId="3DBD44DA">
            <w:pPr>
              <w:widowControl/>
              <w:textAlignment w:val="center"/>
              <w:rPr>
                <w:rFonts w:ascii="宋体" w:hAnsi="宋体" w:cs="宋体"/>
                <w:kern w:val="0"/>
                <w:sz w:val="22"/>
              </w:rPr>
            </w:pPr>
            <w:r>
              <w:rPr>
                <w:rFonts w:hint="eastAsia" w:ascii="宋体" w:hAnsi="宋体" w:cs="宋体"/>
                <w:color w:val="000000"/>
                <w:kern w:val="0"/>
                <w:sz w:val="22"/>
                <w:szCs w:val="22"/>
                <w:lang w:bidi="ar"/>
              </w:rPr>
              <w:t>硬木或硬塑料制</w:t>
            </w:r>
          </w:p>
        </w:tc>
        <w:tc>
          <w:tcPr>
            <w:tcW w:w="462" w:type="dxa"/>
            <w:shd w:val="clear" w:color="auto" w:fill="auto"/>
            <w:noWrap/>
            <w:vAlign w:val="center"/>
          </w:tcPr>
          <w:p w14:paraId="210727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A919D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F5640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noWrap/>
            <w:vAlign w:val="center"/>
          </w:tcPr>
          <w:p w14:paraId="1B07A2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r>
      <w:tr w14:paraId="2785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89284C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141</w:t>
            </w:r>
          </w:p>
        </w:tc>
        <w:tc>
          <w:tcPr>
            <w:tcW w:w="1072" w:type="dxa"/>
            <w:shd w:val="clear" w:color="auto" w:fill="auto"/>
            <w:vAlign w:val="center"/>
          </w:tcPr>
          <w:p w14:paraId="77FC06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打孔器刮刀</w:t>
            </w:r>
          </w:p>
        </w:tc>
        <w:tc>
          <w:tcPr>
            <w:tcW w:w="4897" w:type="dxa"/>
            <w:shd w:val="clear" w:color="auto" w:fill="auto"/>
            <w:vAlign w:val="center"/>
          </w:tcPr>
          <w:p w14:paraId="1A9BF2C2">
            <w:pPr>
              <w:widowControl/>
              <w:textAlignment w:val="center"/>
              <w:rPr>
                <w:rFonts w:ascii="宋体" w:hAnsi="宋体" w:cs="宋体"/>
                <w:kern w:val="0"/>
                <w:sz w:val="22"/>
              </w:rPr>
            </w:pPr>
            <w:r>
              <w:rPr>
                <w:rFonts w:hint="eastAsia" w:ascii="宋体" w:hAnsi="宋体" w:cs="宋体"/>
                <w:color w:val="000000"/>
                <w:kern w:val="0"/>
                <w:sz w:val="22"/>
                <w:szCs w:val="22"/>
                <w:lang w:bidi="ar"/>
              </w:rPr>
              <w:t>刀宜用65M板制成，表面热处理，55HRC</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60HRC,总长为70mm±0.5mm,宽14.5mm±0.1mm,厚1.8mm±0.5mm；刀口角度宜为60°±5°，锋刃小于0.1mm</w:t>
            </w:r>
          </w:p>
        </w:tc>
        <w:tc>
          <w:tcPr>
            <w:tcW w:w="462" w:type="dxa"/>
            <w:shd w:val="clear" w:color="auto" w:fill="auto"/>
            <w:noWrap/>
            <w:vAlign w:val="center"/>
          </w:tcPr>
          <w:p w14:paraId="6BBCAB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00A7D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D6D06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0A923E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34D0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6C0BBA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142</w:t>
            </w:r>
          </w:p>
        </w:tc>
        <w:tc>
          <w:tcPr>
            <w:tcW w:w="1072" w:type="dxa"/>
            <w:shd w:val="clear" w:color="auto" w:fill="auto"/>
            <w:vAlign w:val="center"/>
          </w:tcPr>
          <w:p w14:paraId="6AEBF0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低压测电器</w:t>
            </w:r>
          </w:p>
        </w:tc>
        <w:tc>
          <w:tcPr>
            <w:tcW w:w="4897" w:type="dxa"/>
            <w:shd w:val="clear" w:color="auto" w:fill="auto"/>
            <w:vAlign w:val="center"/>
          </w:tcPr>
          <w:p w14:paraId="786F8740">
            <w:pPr>
              <w:widowControl/>
              <w:textAlignment w:val="center"/>
              <w:rPr>
                <w:rFonts w:ascii="宋体" w:hAnsi="宋体" w:cs="宋体"/>
                <w:kern w:val="0"/>
                <w:sz w:val="22"/>
              </w:rPr>
            </w:pPr>
            <w:r>
              <w:rPr>
                <w:rFonts w:hint="eastAsia" w:ascii="宋体" w:hAnsi="宋体" w:cs="宋体"/>
                <w:color w:val="000000"/>
                <w:kern w:val="0"/>
                <w:sz w:val="22"/>
                <w:szCs w:val="22"/>
                <w:lang w:bidi="ar"/>
              </w:rPr>
              <w:t>笔式，氖泡式，测电极长≤10mm,测量范围100V</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500V,辉光应稳定不闪烁</w:t>
            </w:r>
          </w:p>
        </w:tc>
        <w:tc>
          <w:tcPr>
            <w:tcW w:w="462" w:type="dxa"/>
            <w:shd w:val="clear" w:color="auto" w:fill="auto"/>
            <w:noWrap/>
            <w:vAlign w:val="center"/>
          </w:tcPr>
          <w:p w14:paraId="69A4A0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B9D12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3C961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FA76B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6886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50D88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143</w:t>
            </w:r>
          </w:p>
        </w:tc>
        <w:tc>
          <w:tcPr>
            <w:tcW w:w="1072" w:type="dxa"/>
            <w:shd w:val="clear" w:color="auto" w:fill="auto"/>
            <w:vAlign w:val="center"/>
          </w:tcPr>
          <w:p w14:paraId="039003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一字螺丝刀</w:t>
            </w:r>
          </w:p>
        </w:tc>
        <w:tc>
          <w:tcPr>
            <w:tcW w:w="4897" w:type="dxa"/>
            <w:shd w:val="clear" w:color="auto" w:fill="auto"/>
            <w:vAlign w:val="center"/>
          </w:tcPr>
          <w:p w14:paraId="46F41E46">
            <w:pPr>
              <w:widowControl/>
              <w:textAlignment w:val="center"/>
              <w:rPr>
                <w:rFonts w:ascii="宋体" w:hAnsi="宋体" w:cs="宋体"/>
                <w:kern w:val="0"/>
                <w:sz w:val="22"/>
              </w:rPr>
            </w:pPr>
            <w:r>
              <w:rPr>
                <w:rFonts w:hint="eastAsia" w:ascii="宋体" w:hAnsi="宋体" w:cs="宋体"/>
                <w:color w:val="000000"/>
                <w:kern w:val="0"/>
                <w:sz w:val="22"/>
                <w:szCs w:val="22"/>
                <w:lang w:bidi="ar"/>
              </w:rPr>
              <w:t>每套2个：Φ6mm,长150mm；Φ3mm,长75mm,工作部带磁性，硬度不低于48HRC；旋杆采用铬钒钢，旋杆长度≥100mm,应经镀铬防锈处理</w:t>
            </w:r>
          </w:p>
        </w:tc>
        <w:tc>
          <w:tcPr>
            <w:tcW w:w="462" w:type="dxa"/>
            <w:shd w:val="clear" w:color="auto" w:fill="auto"/>
            <w:noWrap/>
            <w:vAlign w:val="center"/>
          </w:tcPr>
          <w:p w14:paraId="1E3A48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CFF5E3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BCE0E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1B10A4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4C08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C7CD0C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144</w:t>
            </w:r>
          </w:p>
        </w:tc>
        <w:tc>
          <w:tcPr>
            <w:tcW w:w="1072" w:type="dxa"/>
            <w:shd w:val="clear" w:color="auto" w:fill="auto"/>
            <w:vAlign w:val="center"/>
          </w:tcPr>
          <w:p w14:paraId="5B616B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十字螺丝刀</w:t>
            </w:r>
          </w:p>
        </w:tc>
        <w:tc>
          <w:tcPr>
            <w:tcW w:w="4897" w:type="dxa"/>
            <w:shd w:val="clear" w:color="auto" w:fill="auto"/>
            <w:vAlign w:val="center"/>
          </w:tcPr>
          <w:p w14:paraId="435E7E74">
            <w:pPr>
              <w:widowControl/>
              <w:textAlignment w:val="center"/>
              <w:rPr>
                <w:rFonts w:ascii="宋体" w:hAnsi="宋体" w:cs="宋体"/>
                <w:kern w:val="0"/>
                <w:sz w:val="22"/>
              </w:rPr>
            </w:pPr>
            <w:r>
              <w:rPr>
                <w:rFonts w:hint="eastAsia" w:ascii="宋体" w:hAnsi="宋体" w:cs="宋体"/>
                <w:color w:val="000000"/>
                <w:kern w:val="0"/>
                <w:sz w:val="22"/>
                <w:szCs w:val="22"/>
                <w:lang w:bidi="ar"/>
              </w:rPr>
              <w:t>每套2个：Φ6mm,长150mm；Φ3mm,长75mm,工作部带磁性，硬度不低于48HRC；旋杆采用铬钒钢，旋杆长度≥100mm,应经镀铬防锈处理</w:t>
            </w:r>
          </w:p>
        </w:tc>
        <w:tc>
          <w:tcPr>
            <w:tcW w:w="462" w:type="dxa"/>
            <w:shd w:val="clear" w:color="auto" w:fill="auto"/>
            <w:noWrap/>
            <w:vAlign w:val="center"/>
          </w:tcPr>
          <w:p w14:paraId="1B2610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E4BD3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DF06B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6B4834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0525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0E609A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145</w:t>
            </w:r>
          </w:p>
        </w:tc>
        <w:tc>
          <w:tcPr>
            <w:tcW w:w="1072" w:type="dxa"/>
            <w:shd w:val="clear" w:color="auto" w:fill="auto"/>
            <w:vAlign w:val="center"/>
          </w:tcPr>
          <w:p w14:paraId="140D47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钢手锯</w:t>
            </w:r>
          </w:p>
        </w:tc>
        <w:tc>
          <w:tcPr>
            <w:tcW w:w="4897" w:type="dxa"/>
            <w:shd w:val="clear" w:color="auto" w:fill="auto"/>
            <w:vAlign w:val="center"/>
          </w:tcPr>
          <w:p w14:paraId="5C69A41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A型（单面）300mm，齿数：18（每25mm）；可调钢锯架，前后固定销与相应孔的配合间隙≤0.3mm。安装锯条后，锯条中心平面与锯架中心平面的平行度≤2mm。钢锯在达到99N拉力后经1min,不应有永久变形，拉钉不得松动脱落。钢板制锯架在达到900N张力时，侧弯不得超过1.8mm</w:t>
            </w:r>
          </w:p>
        </w:tc>
        <w:tc>
          <w:tcPr>
            <w:tcW w:w="462" w:type="dxa"/>
            <w:shd w:val="clear" w:color="auto" w:fill="auto"/>
            <w:noWrap/>
            <w:vAlign w:val="center"/>
          </w:tcPr>
          <w:p w14:paraId="5BC8EA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45DBCD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C7658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031CDB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71EE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6F7022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146</w:t>
            </w:r>
          </w:p>
        </w:tc>
        <w:tc>
          <w:tcPr>
            <w:tcW w:w="1072" w:type="dxa"/>
            <w:shd w:val="clear" w:color="auto" w:fill="auto"/>
            <w:vAlign w:val="center"/>
          </w:tcPr>
          <w:p w14:paraId="1D1A78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剥线钳</w:t>
            </w:r>
          </w:p>
        </w:tc>
        <w:tc>
          <w:tcPr>
            <w:tcW w:w="4897" w:type="dxa"/>
            <w:shd w:val="clear" w:color="auto" w:fill="auto"/>
            <w:vAlign w:val="center"/>
          </w:tcPr>
          <w:p w14:paraId="1B7CC99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自动剥线钳，Φ0.5mm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Φ2.5mm；刃口在闭合状态，刃口间隙应不大于0.3mm；刃口错位应不大于0.2mm；钳口硬度应不低于65HRA或30HRC</w:t>
            </w:r>
          </w:p>
        </w:tc>
        <w:tc>
          <w:tcPr>
            <w:tcW w:w="462" w:type="dxa"/>
            <w:shd w:val="clear" w:color="auto" w:fill="auto"/>
            <w:noWrap/>
            <w:vAlign w:val="center"/>
          </w:tcPr>
          <w:p w14:paraId="1D4EFB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7A169B7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0582B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6196D1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48AA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7B5A96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147</w:t>
            </w:r>
          </w:p>
        </w:tc>
        <w:tc>
          <w:tcPr>
            <w:tcW w:w="1072" w:type="dxa"/>
            <w:shd w:val="clear" w:color="auto" w:fill="auto"/>
            <w:vAlign w:val="center"/>
          </w:tcPr>
          <w:p w14:paraId="3F31B8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钢丝钳</w:t>
            </w:r>
          </w:p>
        </w:tc>
        <w:tc>
          <w:tcPr>
            <w:tcW w:w="4897" w:type="dxa"/>
            <w:shd w:val="clear" w:color="auto" w:fill="auto"/>
            <w:vAlign w:val="center"/>
          </w:tcPr>
          <w:p w14:paraId="717C20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160mm,抗弯强度：1120N；扭力：15N</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m,15°；嘴顶缝隙：0.4mm；剪切性能：Φ16mm钢丝，580N；夹持面硬度≥44 HRC,在≤18 N的力作用下撑开角度≥22°</w:t>
            </w:r>
          </w:p>
        </w:tc>
        <w:tc>
          <w:tcPr>
            <w:tcW w:w="462" w:type="dxa"/>
            <w:shd w:val="clear" w:color="auto" w:fill="auto"/>
            <w:noWrap/>
            <w:vAlign w:val="center"/>
          </w:tcPr>
          <w:p w14:paraId="41EF545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158303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E1E3F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c>
          <w:tcPr>
            <w:tcW w:w="1489" w:type="dxa"/>
            <w:shd w:val="clear" w:color="auto" w:fill="auto"/>
            <w:noWrap/>
            <w:vAlign w:val="center"/>
          </w:tcPr>
          <w:p w14:paraId="49687D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r>
      <w:tr w14:paraId="20E9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1D4FD0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148</w:t>
            </w:r>
          </w:p>
        </w:tc>
        <w:tc>
          <w:tcPr>
            <w:tcW w:w="1072" w:type="dxa"/>
            <w:shd w:val="clear" w:color="auto" w:fill="auto"/>
            <w:vAlign w:val="center"/>
          </w:tcPr>
          <w:p w14:paraId="22FCC0B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羊角锤</w:t>
            </w:r>
          </w:p>
        </w:tc>
        <w:tc>
          <w:tcPr>
            <w:tcW w:w="4897" w:type="dxa"/>
            <w:shd w:val="clear" w:color="auto" w:fill="auto"/>
            <w:vAlign w:val="center"/>
          </w:tcPr>
          <w:p w14:paraId="557A73B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0.25kg</w:t>
            </w:r>
          </w:p>
        </w:tc>
        <w:tc>
          <w:tcPr>
            <w:tcW w:w="462" w:type="dxa"/>
            <w:shd w:val="clear" w:color="auto" w:fill="auto"/>
            <w:noWrap/>
            <w:vAlign w:val="center"/>
          </w:tcPr>
          <w:p w14:paraId="55B60C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440FF5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34ED33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noWrap/>
            <w:vAlign w:val="center"/>
          </w:tcPr>
          <w:p w14:paraId="720ABC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r>
      <w:tr w14:paraId="5049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CD227E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149</w:t>
            </w:r>
          </w:p>
        </w:tc>
        <w:tc>
          <w:tcPr>
            <w:tcW w:w="1072" w:type="dxa"/>
            <w:shd w:val="clear" w:color="auto" w:fill="auto"/>
            <w:vAlign w:val="center"/>
          </w:tcPr>
          <w:p w14:paraId="6551F3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活扳手</w:t>
            </w:r>
          </w:p>
        </w:tc>
        <w:tc>
          <w:tcPr>
            <w:tcW w:w="4897" w:type="dxa"/>
            <w:shd w:val="clear" w:color="auto" w:fill="auto"/>
            <w:vAlign w:val="center"/>
          </w:tcPr>
          <w:p w14:paraId="13FB529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200mm，活动扳口和扳体头部以及蜗杆的硬度≥40HRC</w:t>
            </w:r>
          </w:p>
        </w:tc>
        <w:tc>
          <w:tcPr>
            <w:tcW w:w="462" w:type="dxa"/>
            <w:shd w:val="clear" w:color="auto" w:fill="auto"/>
            <w:noWrap/>
            <w:vAlign w:val="center"/>
          </w:tcPr>
          <w:p w14:paraId="2B9CE1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3C7904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9A1FC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26561A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7EBC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CEE3D5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150</w:t>
            </w:r>
          </w:p>
        </w:tc>
        <w:tc>
          <w:tcPr>
            <w:tcW w:w="1072" w:type="dxa"/>
            <w:shd w:val="clear" w:color="auto" w:fill="auto"/>
            <w:vAlign w:val="center"/>
          </w:tcPr>
          <w:p w14:paraId="4AB460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砂轮片</w:t>
            </w:r>
          </w:p>
        </w:tc>
        <w:tc>
          <w:tcPr>
            <w:tcW w:w="4897" w:type="dxa"/>
            <w:shd w:val="clear" w:color="auto" w:fill="auto"/>
            <w:vAlign w:val="center"/>
          </w:tcPr>
          <w:p w14:paraId="04DED26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断玻璃管用</w:t>
            </w:r>
          </w:p>
        </w:tc>
        <w:tc>
          <w:tcPr>
            <w:tcW w:w="462" w:type="dxa"/>
            <w:shd w:val="clear" w:color="auto" w:fill="auto"/>
            <w:noWrap/>
            <w:vAlign w:val="center"/>
          </w:tcPr>
          <w:p w14:paraId="733958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79F31C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7EA1BB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1DAC86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r>
      <w:tr w14:paraId="5B46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A6D7A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151</w:t>
            </w:r>
          </w:p>
        </w:tc>
        <w:tc>
          <w:tcPr>
            <w:tcW w:w="1072" w:type="dxa"/>
            <w:shd w:val="clear" w:color="auto" w:fill="auto"/>
            <w:vAlign w:val="center"/>
          </w:tcPr>
          <w:p w14:paraId="6BACD1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手动切纸机</w:t>
            </w:r>
          </w:p>
        </w:tc>
        <w:tc>
          <w:tcPr>
            <w:tcW w:w="4897" w:type="dxa"/>
            <w:shd w:val="clear" w:color="auto" w:fill="auto"/>
            <w:vAlign w:val="center"/>
          </w:tcPr>
          <w:p w14:paraId="5FEE0A8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钢质板面，切纸导向尺，可调节切纸尺寸，切口无断裂</w:t>
            </w:r>
          </w:p>
        </w:tc>
        <w:tc>
          <w:tcPr>
            <w:tcW w:w="462" w:type="dxa"/>
            <w:shd w:val="clear" w:color="auto" w:fill="auto"/>
            <w:noWrap/>
            <w:vAlign w:val="center"/>
          </w:tcPr>
          <w:p w14:paraId="4A1757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C9137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A1D7B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262</w:t>
            </w:r>
          </w:p>
        </w:tc>
        <w:tc>
          <w:tcPr>
            <w:tcW w:w="1489" w:type="dxa"/>
            <w:shd w:val="clear" w:color="auto" w:fill="auto"/>
            <w:noWrap/>
            <w:vAlign w:val="center"/>
          </w:tcPr>
          <w:p w14:paraId="081651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262</w:t>
            </w:r>
          </w:p>
        </w:tc>
      </w:tr>
      <w:tr w14:paraId="42A4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A9D092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152</w:t>
            </w:r>
          </w:p>
        </w:tc>
        <w:tc>
          <w:tcPr>
            <w:tcW w:w="1072" w:type="dxa"/>
            <w:shd w:val="clear" w:color="auto" w:fill="auto"/>
            <w:vAlign w:val="center"/>
          </w:tcPr>
          <w:p w14:paraId="357520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仪器车</w:t>
            </w:r>
          </w:p>
        </w:tc>
        <w:tc>
          <w:tcPr>
            <w:tcW w:w="4897" w:type="dxa"/>
            <w:shd w:val="clear" w:color="auto" w:fill="auto"/>
            <w:vAlign w:val="center"/>
          </w:tcPr>
          <w:p w14:paraId="6964B22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600 mmX400 mmX800 mm,不锈钢材质，至少两层，各层带可拆卸护栏，总载重≥60kg</w:t>
            </w:r>
          </w:p>
        </w:tc>
        <w:tc>
          <w:tcPr>
            <w:tcW w:w="462" w:type="dxa"/>
            <w:shd w:val="clear" w:color="auto" w:fill="auto"/>
            <w:noWrap/>
            <w:vAlign w:val="center"/>
          </w:tcPr>
          <w:p w14:paraId="5712E1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辆</w:t>
            </w:r>
          </w:p>
        </w:tc>
        <w:tc>
          <w:tcPr>
            <w:tcW w:w="605" w:type="dxa"/>
            <w:shd w:val="clear" w:color="auto" w:fill="auto"/>
            <w:noWrap/>
            <w:vAlign w:val="center"/>
          </w:tcPr>
          <w:p w14:paraId="0A563E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9A351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576</w:t>
            </w:r>
          </w:p>
        </w:tc>
        <w:tc>
          <w:tcPr>
            <w:tcW w:w="1489" w:type="dxa"/>
            <w:shd w:val="clear" w:color="auto" w:fill="auto"/>
            <w:noWrap/>
            <w:vAlign w:val="center"/>
          </w:tcPr>
          <w:p w14:paraId="79801B4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576</w:t>
            </w:r>
          </w:p>
        </w:tc>
      </w:tr>
      <w:tr w14:paraId="3E9E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67F3F3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153</w:t>
            </w:r>
          </w:p>
        </w:tc>
        <w:tc>
          <w:tcPr>
            <w:tcW w:w="1072" w:type="dxa"/>
            <w:shd w:val="clear" w:color="auto" w:fill="auto"/>
            <w:vAlign w:val="center"/>
          </w:tcPr>
          <w:p w14:paraId="4AA867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整理箱</w:t>
            </w:r>
          </w:p>
        </w:tc>
        <w:tc>
          <w:tcPr>
            <w:tcW w:w="4897" w:type="dxa"/>
            <w:shd w:val="clear" w:color="auto" w:fill="auto"/>
            <w:vAlign w:val="center"/>
          </w:tcPr>
          <w:p w14:paraId="398F3A9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矮型，储存及分发试剂用</w:t>
            </w:r>
          </w:p>
        </w:tc>
        <w:tc>
          <w:tcPr>
            <w:tcW w:w="462" w:type="dxa"/>
            <w:shd w:val="clear" w:color="auto" w:fill="auto"/>
            <w:noWrap/>
            <w:vAlign w:val="center"/>
          </w:tcPr>
          <w:p w14:paraId="46C813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48F52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095B14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noWrap/>
            <w:vAlign w:val="center"/>
          </w:tcPr>
          <w:p w14:paraId="0631C6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192</w:t>
            </w:r>
          </w:p>
        </w:tc>
      </w:tr>
      <w:tr w14:paraId="5E11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6A2890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154</w:t>
            </w:r>
          </w:p>
        </w:tc>
        <w:tc>
          <w:tcPr>
            <w:tcW w:w="1072" w:type="dxa"/>
            <w:shd w:val="clear" w:color="auto" w:fill="auto"/>
            <w:vAlign w:val="center"/>
          </w:tcPr>
          <w:p w14:paraId="34703A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大托盘</w:t>
            </w:r>
          </w:p>
        </w:tc>
        <w:tc>
          <w:tcPr>
            <w:tcW w:w="4897" w:type="dxa"/>
            <w:shd w:val="clear" w:color="auto" w:fill="auto"/>
            <w:vAlign w:val="center"/>
          </w:tcPr>
          <w:p w14:paraId="5083C92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400mmX300mmX60mm</w:t>
            </w:r>
          </w:p>
        </w:tc>
        <w:tc>
          <w:tcPr>
            <w:tcW w:w="462" w:type="dxa"/>
            <w:shd w:val="clear" w:color="auto" w:fill="auto"/>
            <w:noWrap/>
            <w:vAlign w:val="center"/>
          </w:tcPr>
          <w:p w14:paraId="6AC7EB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2B0D8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255B59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3C95E8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900</w:t>
            </w:r>
          </w:p>
        </w:tc>
      </w:tr>
      <w:tr w14:paraId="3D5A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54CA2B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155</w:t>
            </w:r>
          </w:p>
        </w:tc>
        <w:tc>
          <w:tcPr>
            <w:tcW w:w="1072" w:type="dxa"/>
            <w:shd w:val="clear" w:color="auto" w:fill="auto"/>
            <w:vAlign w:val="center"/>
          </w:tcPr>
          <w:p w14:paraId="780A7C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小托盘</w:t>
            </w:r>
          </w:p>
        </w:tc>
        <w:tc>
          <w:tcPr>
            <w:tcW w:w="4897" w:type="dxa"/>
            <w:shd w:val="clear" w:color="auto" w:fill="auto"/>
            <w:vAlign w:val="center"/>
          </w:tcPr>
          <w:p w14:paraId="4546D6F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300mmX200mmX40mm</w:t>
            </w:r>
          </w:p>
        </w:tc>
        <w:tc>
          <w:tcPr>
            <w:tcW w:w="462" w:type="dxa"/>
            <w:shd w:val="clear" w:color="auto" w:fill="auto"/>
            <w:noWrap/>
            <w:vAlign w:val="center"/>
          </w:tcPr>
          <w:p w14:paraId="49B0C7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DD1F0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1A036A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101CD6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3370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67008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156</w:t>
            </w:r>
          </w:p>
        </w:tc>
        <w:tc>
          <w:tcPr>
            <w:tcW w:w="1072" w:type="dxa"/>
            <w:shd w:val="clear" w:color="auto" w:fill="auto"/>
            <w:vAlign w:val="center"/>
          </w:tcPr>
          <w:p w14:paraId="558B23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实验用品提篮</w:t>
            </w:r>
          </w:p>
        </w:tc>
        <w:tc>
          <w:tcPr>
            <w:tcW w:w="4897" w:type="dxa"/>
            <w:shd w:val="clear" w:color="auto" w:fill="auto"/>
            <w:vAlign w:val="center"/>
          </w:tcPr>
          <w:p w14:paraId="55DC547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木制，配有提手，490 mmX360 mmX290 mm</w:t>
            </w:r>
          </w:p>
        </w:tc>
        <w:tc>
          <w:tcPr>
            <w:tcW w:w="462" w:type="dxa"/>
            <w:shd w:val="clear" w:color="auto" w:fill="auto"/>
            <w:noWrap/>
            <w:vAlign w:val="center"/>
          </w:tcPr>
          <w:p w14:paraId="00A110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E06C6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2501AA4E">
            <w:pPr>
              <w:widowControl/>
              <w:jc w:val="right"/>
              <w:textAlignment w:val="center"/>
              <w:rPr>
                <w:rFonts w:ascii="宋体" w:hAnsi="宋体" w:cs="宋体"/>
                <w:kern w:val="0"/>
                <w:sz w:val="22"/>
              </w:rPr>
            </w:pPr>
            <w:r>
              <w:rPr>
                <w:rFonts w:hint="eastAsia" w:ascii="宋体" w:hAnsi="宋体" w:cs="宋体"/>
                <w:color w:val="000000"/>
                <w:kern w:val="0"/>
                <w:sz w:val="22"/>
                <w:szCs w:val="22"/>
                <w:lang w:bidi="ar"/>
              </w:rPr>
              <w:t>116</w:t>
            </w:r>
          </w:p>
        </w:tc>
        <w:tc>
          <w:tcPr>
            <w:tcW w:w="1489" w:type="dxa"/>
            <w:shd w:val="clear" w:color="auto" w:fill="auto"/>
            <w:noWrap/>
            <w:vAlign w:val="center"/>
          </w:tcPr>
          <w:p w14:paraId="4BEF39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232</w:t>
            </w:r>
          </w:p>
        </w:tc>
      </w:tr>
      <w:tr w14:paraId="4097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CAA84F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157</w:t>
            </w:r>
          </w:p>
        </w:tc>
        <w:tc>
          <w:tcPr>
            <w:tcW w:w="1072" w:type="dxa"/>
            <w:shd w:val="clear" w:color="auto" w:fill="auto"/>
            <w:vAlign w:val="center"/>
          </w:tcPr>
          <w:p w14:paraId="64BC4C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000000" w:fill="FFFFFF"/>
            <w:vAlign w:val="center"/>
          </w:tcPr>
          <w:p w14:paraId="26E1EAD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蚕豆叶下表皮装片</w:t>
            </w:r>
          </w:p>
        </w:tc>
        <w:tc>
          <w:tcPr>
            <w:tcW w:w="462" w:type="dxa"/>
            <w:shd w:val="clear" w:color="auto" w:fill="auto"/>
            <w:noWrap/>
            <w:vAlign w:val="center"/>
          </w:tcPr>
          <w:p w14:paraId="43FBE4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316D35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459E5E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678A52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0941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E07710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158</w:t>
            </w:r>
          </w:p>
        </w:tc>
        <w:tc>
          <w:tcPr>
            <w:tcW w:w="1072" w:type="dxa"/>
            <w:shd w:val="clear" w:color="auto" w:fill="auto"/>
            <w:vAlign w:val="center"/>
          </w:tcPr>
          <w:p w14:paraId="1E8888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76DAA78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胞间连丝切片</w:t>
            </w:r>
          </w:p>
        </w:tc>
        <w:tc>
          <w:tcPr>
            <w:tcW w:w="462" w:type="dxa"/>
            <w:shd w:val="clear" w:color="auto" w:fill="auto"/>
            <w:noWrap/>
            <w:vAlign w:val="center"/>
          </w:tcPr>
          <w:p w14:paraId="3D5B0F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69796F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72AA22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0409DB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5FB4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402C56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159</w:t>
            </w:r>
          </w:p>
        </w:tc>
        <w:tc>
          <w:tcPr>
            <w:tcW w:w="1072" w:type="dxa"/>
            <w:shd w:val="clear" w:color="auto" w:fill="auto"/>
            <w:vAlign w:val="center"/>
          </w:tcPr>
          <w:p w14:paraId="395C49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247AA7B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迎春叶横切</w:t>
            </w:r>
          </w:p>
        </w:tc>
        <w:tc>
          <w:tcPr>
            <w:tcW w:w="462" w:type="dxa"/>
            <w:shd w:val="clear" w:color="auto" w:fill="auto"/>
            <w:noWrap/>
            <w:vAlign w:val="center"/>
          </w:tcPr>
          <w:p w14:paraId="10817A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5242FB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6EC284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75555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5C91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B79C7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160</w:t>
            </w:r>
          </w:p>
        </w:tc>
        <w:tc>
          <w:tcPr>
            <w:tcW w:w="1072" w:type="dxa"/>
            <w:shd w:val="clear" w:color="auto" w:fill="auto"/>
            <w:vAlign w:val="center"/>
          </w:tcPr>
          <w:p w14:paraId="76F9A7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62A308D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黑藻叶装片</w:t>
            </w:r>
          </w:p>
        </w:tc>
        <w:tc>
          <w:tcPr>
            <w:tcW w:w="462" w:type="dxa"/>
            <w:shd w:val="clear" w:color="auto" w:fill="auto"/>
            <w:noWrap/>
            <w:vAlign w:val="center"/>
          </w:tcPr>
          <w:p w14:paraId="239619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50670D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C7EDD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9F1CE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1D63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8FD19F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161</w:t>
            </w:r>
          </w:p>
        </w:tc>
        <w:tc>
          <w:tcPr>
            <w:tcW w:w="1072" w:type="dxa"/>
            <w:shd w:val="clear" w:color="auto" w:fill="auto"/>
            <w:vAlign w:val="center"/>
          </w:tcPr>
          <w:p w14:paraId="00DA42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503F525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线粒体切片</w:t>
            </w:r>
          </w:p>
        </w:tc>
        <w:tc>
          <w:tcPr>
            <w:tcW w:w="462" w:type="dxa"/>
            <w:shd w:val="clear" w:color="auto" w:fill="auto"/>
            <w:noWrap/>
            <w:vAlign w:val="center"/>
          </w:tcPr>
          <w:p w14:paraId="284662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F3E4C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04180E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2A01AD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3F49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A519C9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162</w:t>
            </w:r>
          </w:p>
        </w:tc>
        <w:tc>
          <w:tcPr>
            <w:tcW w:w="1072" w:type="dxa"/>
            <w:shd w:val="clear" w:color="auto" w:fill="auto"/>
            <w:vAlign w:val="center"/>
          </w:tcPr>
          <w:p w14:paraId="77EFFA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4C6DF24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酵母菌装片</w:t>
            </w:r>
          </w:p>
        </w:tc>
        <w:tc>
          <w:tcPr>
            <w:tcW w:w="462" w:type="dxa"/>
            <w:shd w:val="clear" w:color="auto" w:fill="auto"/>
            <w:noWrap/>
            <w:vAlign w:val="center"/>
          </w:tcPr>
          <w:p w14:paraId="30F4BC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37F430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2E0395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A7B17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55A9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2D33DE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163</w:t>
            </w:r>
          </w:p>
        </w:tc>
        <w:tc>
          <w:tcPr>
            <w:tcW w:w="1072" w:type="dxa"/>
            <w:shd w:val="clear" w:color="auto" w:fill="auto"/>
            <w:vAlign w:val="center"/>
          </w:tcPr>
          <w:p w14:paraId="2CF9F6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0C67AA9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水绵装片</w:t>
            </w:r>
          </w:p>
        </w:tc>
        <w:tc>
          <w:tcPr>
            <w:tcW w:w="462" w:type="dxa"/>
            <w:shd w:val="clear" w:color="auto" w:fill="auto"/>
            <w:noWrap/>
            <w:vAlign w:val="center"/>
          </w:tcPr>
          <w:p w14:paraId="00076F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385D4B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6E3127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6EC34E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7C82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EE4BE8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164</w:t>
            </w:r>
          </w:p>
        </w:tc>
        <w:tc>
          <w:tcPr>
            <w:tcW w:w="1072" w:type="dxa"/>
            <w:shd w:val="clear" w:color="auto" w:fill="auto"/>
            <w:vAlign w:val="center"/>
          </w:tcPr>
          <w:p w14:paraId="086E7E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11EAD66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细菌三型涂片</w:t>
            </w:r>
          </w:p>
        </w:tc>
        <w:tc>
          <w:tcPr>
            <w:tcW w:w="462" w:type="dxa"/>
            <w:shd w:val="clear" w:color="auto" w:fill="auto"/>
            <w:noWrap/>
            <w:vAlign w:val="center"/>
          </w:tcPr>
          <w:p w14:paraId="793093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57956E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AC3E3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67EFFB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340A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BB2734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165</w:t>
            </w:r>
          </w:p>
        </w:tc>
        <w:tc>
          <w:tcPr>
            <w:tcW w:w="1072" w:type="dxa"/>
            <w:shd w:val="clear" w:color="auto" w:fill="auto"/>
            <w:vAlign w:val="center"/>
          </w:tcPr>
          <w:p w14:paraId="77FC96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301AF99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草履虫分裂生殖装片</w:t>
            </w:r>
          </w:p>
        </w:tc>
        <w:tc>
          <w:tcPr>
            <w:tcW w:w="462" w:type="dxa"/>
            <w:shd w:val="clear" w:color="auto" w:fill="auto"/>
            <w:noWrap/>
            <w:vAlign w:val="center"/>
          </w:tcPr>
          <w:p w14:paraId="15E618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37508A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27DCD5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DFFA9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4FC8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724CD8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166</w:t>
            </w:r>
          </w:p>
        </w:tc>
        <w:tc>
          <w:tcPr>
            <w:tcW w:w="1072" w:type="dxa"/>
            <w:shd w:val="clear" w:color="auto" w:fill="auto"/>
            <w:vAlign w:val="center"/>
          </w:tcPr>
          <w:p w14:paraId="79ED65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2352EED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人血涂片</w:t>
            </w:r>
          </w:p>
        </w:tc>
        <w:tc>
          <w:tcPr>
            <w:tcW w:w="462" w:type="dxa"/>
            <w:shd w:val="clear" w:color="auto" w:fill="auto"/>
            <w:noWrap/>
            <w:vAlign w:val="center"/>
          </w:tcPr>
          <w:p w14:paraId="3FA29C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5C5DC3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41318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B949F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2D11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105729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167</w:t>
            </w:r>
          </w:p>
        </w:tc>
        <w:tc>
          <w:tcPr>
            <w:tcW w:w="1072" w:type="dxa"/>
            <w:shd w:val="clear" w:color="auto" w:fill="auto"/>
            <w:vAlign w:val="center"/>
          </w:tcPr>
          <w:p w14:paraId="290B29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2C35E25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蛙血涂片</w:t>
            </w:r>
          </w:p>
        </w:tc>
        <w:tc>
          <w:tcPr>
            <w:tcW w:w="462" w:type="dxa"/>
            <w:shd w:val="clear" w:color="auto" w:fill="auto"/>
            <w:noWrap/>
            <w:vAlign w:val="center"/>
          </w:tcPr>
          <w:p w14:paraId="2A3991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7D8451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582665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41B0E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54ED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5BC1CF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168</w:t>
            </w:r>
          </w:p>
        </w:tc>
        <w:tc>
          <w:tcPr>
            <w:tcW w:w="1072" w:type="dxa"/>
            <w:shd w:val="clear" w:color="auto" w:fill="auto"/>
            <w:vAlign w:val="center"/>
          </w:tcPr>
          <w:p w14:paraId="3CAEE9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1D34097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动物上皮细胞装片</w:t>
            </w:r>
          </w:p>
        </w:tc>
        <w:tc>
          <w:tcPr>
            <w:tcW w:w="462" w:type="dxa"/>
            <w:shd w:val="clear" w:color="auto" w:fill="auto"/>
            <w:noWrap/>
            <w:vAlign w:val="center"/>
          </w:tcPr>
          <w:p w14:paraId="705CC5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320B9F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02DFC1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D16F6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65A4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6F27E9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169</w:t>
            </w:r>
          </w:p>
        </w:tc>
        <w:tc>
          <w:tcPr>
            <w:tcW w:w="1072" w:type="dxa"/>
            <w:shd w:val="clear" w:color="auto" w:fill="auto"/>
            <w:vAlign w:val="center"/>
          </w:tcPr>
          <w:p w14:paraId="5FEE3D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51A99E7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骨骼肌纵横切</w:t>
            </w:r>
          </w:p>
        </w:tc>
        <w:tc>
          <w:tcPr>
            <w:tcW w:w="462" w:type="dxa"/>
            <w:shd w:val="clear" w:color="auto" w:fill="auto"/>
            <w:noWrap/>
            <w:vAlign w:val="center"/>
          </w:tcPr>
          <w:p w14:paraId="733083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731007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DECB0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1C3CDA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21AE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4A82FA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170</w:t>
            </w:r>
          </w:p>
        </w:tc>
        <w:tc>
          <w:tcPr>
            <w:tcW w:w="1072" w:type="dxa"/>
            <w:shd w:val="clear" w:color="auto" w:fill="auto"/>
            <w:vAlign w:val="center"/>
          </w:tcPr>
          <w:p w14:paraId="733922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71E4434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平滑肌分离装片</w:t>
            </w:r>
          </w:p>
        </w:tc>
        <w:tc>
          <w:tcPr>
            <w:tcW w:w="462" w:type="dxa"/>
            <w:shd w:val="clear" w:color="auto" w:fill="auto"/>
            <w:noWrap/>
            <w:vAlign w:val="center"/>
          </w:tcPr>
          <w:p w14:paraId="5CF5B3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58FA55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6AEFA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1BB83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1441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4129F8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171</w:t>
            </w:r>
          </w:p>
        </w:tc>
        <w:tc>
          <w:tcPr>
            <w:tcW w:w="1072" w:type="dxa"/>
            <w:shd w:val="clear" w:color="auto" w:fill="auto"/>
            <w:vAlign w:val="center"/>
          </w:tcPr>
          <w:p w14:paraId="497E6B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11DC26B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心肌切片</w:t>
            </w:r>
          </w:p>
        </w:tc>
        <w:tc>
          <w:tcPr>
            <w:tcW w:w="462" w:type="dxa"/>
            <w:shd w:val="clear" w:color="auto" w:fill="auto"/>
            <w:noWrap/>
            <w:vAlign w:val="center"/>
          </w:tcPr>
          <w:p w14:paraId="45C4E4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D72CC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281819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F860A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08F5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0FE27A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172</w:t>
            </w:r>
          </w:p>
        </w:tc>
        <w:tc>
          <w:tcPr>
            <w:tcW w:w="1072" w:type="dxa"/>
            <w:shd w:val="clear" w:color="auto" w:fill="auto"/>
            <w:vAlign w:val="center"/>
          </w:tcPr>
          <w:p w14:paraId="5144F1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5CEA5F4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运动神经元装片</w:t>
            </w:r>
          </w:p>
        </w:tc>
        <w:tc>
          <w:tcPr>
            <w:tcW w:w="462" w:type="dxa"/>
            <w:shd w:val="clear" w:color="auto" w:fill="auto"/>
            <w:noWrap/>
            <w:vAlign w:val="center"/>
          </w:tcPr>
          <w:p w14:paraId="26552E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CE9E3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23B73A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74DA6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5C67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BDEF03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173</w:t>
            </w:r>
          </w:p>
        </w:tc>
        <w:tc>
          <w:tcPr>
            <w:tcW w:w="1072" w:type="dxa"/>
            <w:shd w:val="clear" w:color="auto" w:fill="auto"/>
            <w:vAlign w:val="center"/>
          </w:tcPr>
          <w:p w14:paraId="12B2C7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层析瓶</w:t>
            </w:r>
          </w:p>
        </w:tc>
        <w:tc>
          <w:tcPr>
            <w:tcW w:w="4897" w:type="dxa"/>
            <w:shd w:val="clear" w:color="auto" w:fill="auto"/>
            <w:vAlign w:val="center"/>
          </w:tcPr>
          <w:p w14:paraId="6F8DD93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柱型，玻璃制，外径15mm*长200mm</w:t>
            </w:r>
          </w:p>
        </w:tc>
        <w:tc>
          <w:tcPr>
            <w:tcW w:w="462" w:type="dxa"/>
            <w:shd w:val="clear" w:color="auto" w:fill="auto"/>
            <w:noWrap/>
            <w:vAlign w:val="center"/>
          </w:tcPr>
          <w:p w14:paraId="2FD3BE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952FB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2F7BC7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w:t>
            </w:r>
          </w:p>
        </w:tc>
        <w:tc>
          <w:tcPr>
            <w:tcW w:w="1489" w:type="dxa"/>
            <w:shd w:val="clear" w:color="auto" w:fill="auto"/>
            <w:noWrap/>
            <w:vAlign w:val="center"/>
          </w:tcPr>
          <w:p w14:paraId="3A90B4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570</w:t>
            </w:r>
          </w:p>
        </w:tc>
      </w:tr>
      <w:tr w14:paraId="6389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AC283F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174</w:t>
            </w:r>
          </w:p>
        </w:tc>
        <w:tc>
          <w:tcPr>
            <w:tcW w:w="1072" w:type="dxa"/>
            <w:shd w:val="clear" w:color="auto" w:fill="auto"/>
            <w:vAlign w:val="center"/>
          </w:tcPr>
          <w:p w14:paraId="334E3A0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生物材料</w:t>
            </w:r>
          </w:p>
        </w:tc>
        <w:tc>
          <w:tcPr>
            <w:tcW w:w="4897" w:type="dxa"/>
            <w:shd w:val="clear" w:color="auto" w:fill="auto"/>
            <w:vAlign w:val="center"/>
          </w:tcPr>
          <w:p w14:paraId="5B1421F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动物细胞有丝分裂切片（马蛔虫受精卵切片）</w:t>
            </w:r>
          </w:p>
        </w:tc>
        <w:tc>
          <w:tcPr>
            <w:tcW w:w="462" w:type="dxa"/>
            <w:shd w:val="clear" w:color="auto" w:fill="auto"/>
            <w:noWrap/>
            <w:vAlign w:val="center"/>
          </w:tcPr>
          <w:p w14:paraId="2E66CB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389618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714001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3F7AC2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216</w:t>
            </w:r>
          </w:p>
        </w:tc>
      </w:tr>
      <w:tr w14:paraId="6D2E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B9F8FA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175</w:t>
            </w:r>
          </w:p>
        </w:tc>
        <w:tc>
          <w:tcPr>
            <w:tcW w:w="1072" w:type="dxa"/>
            <w:shd w:val="clear" w:color="auto" w:fill="auto"/>
            <w:vAlign w:val="center"/>
          </w:tcPr>
          <w:p w14:paraId="7355FB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生物材料</w:t>
            </w:r>
          </w:p>
        </w:tc>
        <w:tc>
          <w:tcPr>
            <w:tcW w:w="4897" w:type="dxa"/>
            <w:shd w:val="clear" w:color="auto" w:fill="auto"/>
            <w:vAlign w:val="center"/>
          </w:tcPr>
          <w:p w14:paraId="449AE8E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植物细胞有丝分裂切片</w:t>
            </w:r>
          </w:p>
        </w:tc>
        <w:tc>
          <w:tcPr>
            <w:tcW w:w="462" w:type="dxa"/>
            <w:shd w:val="clear" w:color="auto" w:fill="auto"/>
            <w:noWrap/>
            <w:vAlign w:val="center"/>
          </w:tcPr>
          <w:p w14:paraId="05E4AB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309124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B22D9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12FC1E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70AF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28914A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176</w:t>
            </w:r>
          </w:p>
        </w:tc>
        <w:tc>
          <w:tcPr>
            <w:tcW w:w="1072" w:type="dxa"/>
            <w:shd w:val="clear" w:color="auto" w:fill="auto"/>
            <w:vAlign w:val="center"/>
          </w:tcPr>
          <w:p w14:paraId="7FEA28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生物材料</w:t>
            </w:r>
          </w:p>
        </w:tc>
        <w:tc>
          <w:tcPr>
            <w:tcW w:w="4897" w:type="dxa"/>
            <w:shd w:val="clear" w:color="auto" w:fill="auto"/>
            <w:vAlign w:val="center"/>
          </w:tcPr>
          <w:p w14:paraId="552859A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蝗虫精巢减数分裂切片</w:t>
            </w:r>
          </w:p>
        </w:tc>
        <w:tc>
          <w:tcPr>
            <w:tcW w:w="462" w:type="dxa"/>
            <w:shd w:val="clear" w:color="auto" w:fill="auto"/>
            <w:noWrap/>
            <w:vAlign w:val="center"/>
          </w:tcPr>
          <w:p w14:paraId="08045A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A22CD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14285B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6B427C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162</w:t>
            </w:r>
          </w:p>
        </w:tc>
      </w:tr>
      <w:tr w14:paraId="501E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8A3A3A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177</w:t>
            </w:r>
          </w:p>
        </w:tc>
        <w:tc>
          <w:tcPr>
            <w:tcW w:w="1072" w:type="dxa"/>
            <w:shd w:val="clear" w:color="auto" w:fill="auto"/>
            <w:vAlign w:val="center"/>
          </w:tcPr>
          <w:p w14:paraId="28CA0F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生物材料</w:t>
            </w:r>
          </w:p>
        </w:tc>
        <w:tc>
          <w:tcPr>
            <w:tcW w:w="4897" w:type="dxa"/>
            <w:shd w:val="clear" w:color="auto" w:fill="auto"/>
            <w:vAlign w:val="center"/>
          </w:tcPr>
          <w:p w14:paraId="6AB2B66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植物花粉减数分裂装片</w:t>
            </w:r>
          </w:p>
        </w:tc>
        <w:tc>
          <w:tcPr>
            <w:tcW w:w="462" w:type="dxa"/>
            <w:shd w:val="clear" w:color="auto" w:fill="auto"/>
            <w:noWrap/>
            <w:vAlign w:val="center"/>
          </w:tcPr>
          <w:p w14:paraId="650BA8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0B402A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37A894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5955EA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108</w:t>
            </w:r>
          </w:p>
        </w:tc>
      </w:tr>
      <w:tr w14:paraId="2C12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BE991A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178</w:t>
            </w:r>
          </w:p>
        </w:tc>
        <w:tc>
          <w:tcPr>
            <w:tcW w:w="1072" w:type="dxa"/>
            <w:shd w:val="clear" w:color="auto" w:fill="auto"/>
            <w:vAlign w:val="center"/>
          </w:tcPr>
          <w:p w14:paraId="5A86B3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基础器材</w:t>
            </w:r>
          </w:p>
        </w:tc>
        <w:tc>
          <w:tcPr>
            <w:tcW w:w="4897" w:type="dxa"/>
            <w:shd w:val="clear" w:color="auto" w:fill="auto"/>
            <w:vAlign w:val="center"/>
          </w:tcPr>
          <w:p w14:paraId="7CAD89E7">
            <w:pPr>
              <w:widowControl/>
              <w:textAlignment w:val="center"/>
              <w:rPr>
                <w:rFonts w:ascii="宋体" w:hAnsi="宋体" w:cs="宋体"/>
                <w:kern w:val="0"/>
                <w:sz w:val="22"/>
              </w:rPr>
            </w:pPr>
            <w:r>
              <w:rPr>
                <w:rFonts w:hint="eastAsia" w:ascii="宋体" w:hAnsi="宋体" w:cs="宋体"/>
                <w:color w:val="000000"/>
                <w:kern w:val="0"/>
                <w:sz w:val="22"/>
                <w:szCs w:val="22"/>
                <w:lang w:bidi="ar"/>
              </w:rPr>
              <w:t>正常人染色体装片</w:t>
            </w:r>
          </w:p>
        </w:tc>
        <w:tc>
          <w:tcPr>
            <w:tcW w:w="462" w:type="dxa"/>
            <w:shd w:val="clear" w:color="auto" w:fill="auto"/>
            <w:noWrap/>
            <w:vAlign w:val="center"/>
          </w:tcPr>
          <w:p w14:paraId="289064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466B2B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187795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EA070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47DF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B6086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179</w:t>
            </w:r>
          </w:p>
        </w:tc>
        <w:tc>
          <w:tcPr>
            <w:tcW w:w="1072" w:type="dxa"/>
            <w:shd w:val="clear" w:color="auto" w:fill="auto"/>
            <w:vAlign w:val="center"/>
          </w:tcPr>
          <w:p w14:paraId="156CAB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基础器材</w:t>
            </w:r>
          </w:p>
        </w:tc>
        <w:tc>
          <w:tcPr>
            <w:tcW w:w="4897" w:type="dxa"/>
            <w:shd w:val="clear" w:color="auto" w:fill="auto"/>
            <w:vAlign w:val="center"/>
          </w:tcPr>
          <w:p w14:paraId="050DC8B9">
            <w:pPr>
              <w:widowControl/>
              <w:textAlignment w:val="center"/>
              <w:rPr>
                <w:rFonts w:ascii="宋体" w:hAnsi="宋体" w:cs="宋体"/>
                <w:kern w:val="0"/>
                <w:sz w:val="22"/>
              </w:rPr>
            </w:pPr>
            <w:r>
              <w:rPr>
                <w:rFonts w:hint="eastAsia" w:ascii="宋体" w:hAnsi="宋体" w:cs="宋体"/>
                <w:color w:val="000000"/>
                <w:kern w:val="0"/>
                <w:sz w:val="22"/>
                <w:szCs w:val="22"/>
                <w:lang w:bidi="ar"/>
              </w:rPr>
              <w:t>植物染色体加倍装片</w:t>
            </w:r>
          </w:p>
        </w:tc>
        <w:tc>
          <w:tcPr>
            <w:tcW w:w="462" w:type="dxa"/>
            <w:shd w:val="clear" w:color="auto" w:fill="auto"/>
            <w:noWrap/>
            <w:vAlign w:val="center"/>
          </w:tcPr>
          <w:p w14:paraId="7CDA18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55DF69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76D26E3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31</w:t>
            </w:r>
          </w:p>
        </w:tc>
        <w:tc>
          <w:tcPr>
            <w:tcW w:w="1489" w:type="dxa"/>
            <w:shd w:val="clear" w:color="auto" w:fill="auto"/>
            <w:noWrap/>
            <w:vAlign w:val="center"/>
          </w:tcPr>
          <w:p w14:paraId="01DAF4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558</w:t>
            </w:r>
          </w:p>
        </w:tc>
      </w:tr>
      <w:tr w14:paraId="7BA1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67637D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180</w:t>
            </w:r>
          </w:p>
        </w:tc>
        <w:tc>
          <w:tcPr>
            <w:tcW w:w="1072" w:type="dxa"/>
            <w:shd w:val="clear" w:color="auto" w:fill="auto"/>
            <w:vAlign w:val="center"/>
          </w:tcPr>
          <w:p w14:paraId="604872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基础器材</w:t>
            </w:r>
          </w:p>
        </w:tc>
        <w:tc>
          <w:tcPr>
            <w:tcW w:w="4897" w:type="dxa"/>
            <w:shd w:val="clear" w:color="auto" w:fill="auto"/>
            <w:vAlign w:val="center"/>
          </w:tcPr>
          <w:p w14:paraId="566F5B59">
            <w:pPr>
              <w:widowControl/>
              <w:textAlignment w:val="center"/>
              <w:rPr>
                <w:rFonts w:ascii="宋体" w:hAnsi="宋体" w:cs="宋体"/>
                <w:kern w:val="0"/>
                <w:sz w:val="22"/>
              </w:rPr>
            </w:pPr>
            <w:r>
              <w:rPr>
                <w:rFonts w:hint="eastAsia" w:ascii="宋体" w:hAnsi="宋体" w:cs="宋体"/>
                <w:color w:val="000000"/>
                <w:kern w:val="0"/>
                <w:sz w:val="22"/>
                <w:szCs w:val="22"/>
                <w:lang w:bidi="ar"/>
              </w:rPr>
              <w:t>人类染色体组型分析照片</w:t>
            </w:r>
          </w:p>
        </w:tc>
        <w:tc>
          <w:tcPr>
            <w:tcW w:w="462" w:type="dxa"/>
            <w:shd w:val="clear" w:color="auto" w:fill="auto"/>
            <w:noWrap/>
            <w:vAlign w:val="center"/>
          </w:tcPr>
          <w:p w14:paraId="09105B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5395BB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324C66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w:t>
            </w:r>
          </w:p>
        </w:tc>
        <w:tc>
          <w:tcPr>
            <w:tcW w:w="1489" w:type="dxa"/>
            <w:shd w:val="clear" w:color="auto" w:fill="auto"/>
            <w:noWrap/>
            <w:vAlign w:val="center"/>
          </w:tcPr>
          <w:p w14:paraId="381794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486</w:t>
            </w:r>
          </w:p>
        </w:tc>
      </w:tr>
      <w:tr w14:paraId="30F9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B17CE4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181</w:t>
            </w:r>
          </w:p>
        </w:tc>
        <w:tc>
          <w:tcPr>
            <w:tcW w:w="1072" w:type="dxa"/>
            <w:shd w:val="clear" w:color="auto" w:fill="auto"/>
            <w:vAlign w:val="center"/>
          </w:tcPr>
          <w:p w14:paraId="5B516E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生物分类图鉴资料</w:t>
            </w:r>
          </w:p>
        </w:tc>
        <w:tc>
          <w:tcPr>
            <w:tcW w:w="4897" w:type="dxa"/>
            <w:shd w:val="clear" w:color="auto" w:fill="auto"/>
            <w:vAlign w:val="center"/>
          </w:tcPr>
          <w:p w14:paraId="5DFBD1D1">
            <w:pPr>
              <w:widowControl/>
              <w:textAlignment w:val="center"/>
              <w:rPr>
                <w:rFonts w:ascii="宋体" w:hAnsi="宋体" w:cs="宋体"/>
                <w:kern w:val="0"/>
                <w:sz w:val="22"/>
              </w:rPr>
            </w:pPr>
            <w:r>
              <w:rPr>
                <w:rFonts w:hint="eastAsia" w:ascii="宋体" w:hAnsi="宋体" w:cs="宋体"/>
                <w:color w:val="000000"/>
                <w:kern w:val="0"/>
                <w:sz w:val="22"/>
                <w:szCs w:val="22"/>
                <w:lang w:bidi="ar"/>
              </w:rPr>
              <w:t>植物图鉴、土壤动物图鉴、昆虫图鉴、鸟类图鉴等</w:t>
            </w:r>
          </w:p>
        </w:tc>
        <w:tc>
          <w:tcPr>
            <w:tcW w:w="462" w:type="dxa"/>
            <w:shd w:val="clear" w:color="auto" w:fill="auto"/>
            <w:noWrap/>
            <w:vAlign w:val="center"/>
          </w:tcPr>
          <w:p w14:paraId="20AD1E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本</w:t>
            </w:r>
          </w:p>
        </w:tc>
        <w:tc>
          <w:tcPr>
            <w:tcW w:w="605" w:type="dxa"/>
            <w:shd w:val="clear" w:color="auto" w:fill="auto"/>
            <w:noWrap/>
            <w:vAlign w:val="center"/>
          </w:tcPr>
          <w:p w14:paraId="2C6DBF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955E4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489" w:type="dxa"/>
            <w:shd w:val="clear" w:color="auto" w:fill="auto"/>
            <w:noWrap/>
            <w:vAlign w:val="center"/>
          </w:tcPr>
          <w:p w14:paraId="3F36B6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4778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A2CE6A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182</w:t>
            </w:r>
          </w:p>
        </w:tc>
        <w:tc>
          <w:tcPr>
            <w:tcW w:w="1072" w:type="dxa"/>
            <w:shd w:val="clear" w:color="auto" w:fill="auto"/>
            <w:vAlign w:val="center"/>
          </w:tcPr>
          <w:p w14:paraId="27987E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植物分类图谱</w:t>
            </w:r>
          </w:p>
        </w:tc>
        <w:tc>
          <w:tcPr>
            <w:tcW w:w="4897" w:type="dxa"/>
            <w:shd w:val="clear" w:color="auto" w:fill="auto"/>
            <w:vAlign w:val="center"/>
          </w:tcPr>
          <w:p w14:paraId="20400106">
            <w:pPr>
              <w:widowControl/>
              <w:textAlignment w:val="center"/>
              <w:rPr>
                <w:rFonts w:ascii="宋体" w:hAnsi="宋体" w:cs="宋体"/>
                <w:kern w:val="0"/>
                <w:sz w:val="22"/>
              </w:rPr>
            </w:pPr>
            <w:r>
              <w:rPr>
                <w:rFonts w:hint="eastAsia" w:ascii="宋体" w:hAnsi="宋体" w:cs="宋体"/>
                <w:color w:val="000000"/>
                <w:kern w:val="0"/>
                <w:sz w:val="22"/>
                <w:szCs w:val="22"/>
                <w:lang w:bidi="ar"/>
              </w:rPr>
              <w:t>图片内容包含但不限于：植物分类方法；藻类植物、苔藓植物、蕨类植物、种子植物；植物的一生、植物的根茎和叶、植物的花、果实和种子；植物和人类的关系；保护植物的方法等</w:t>
            </w:r>
          </w:p>
        </w:tc>
        <w:tc>
          <w:tcPr>
            <w:tcW w:w="462" w:type="dxa"/>
            <w:shd w:val="clear" w:color="auto" w:fill="auto"/>
            <w:noWrap/>
            <w:vAlign w:val="center"/>
          </w:tcPr>
          <w:p w14:paraId="5273FE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本</w:t>
            </w:r>
          </w:p>
        </w:tc>
        <w:tc>
          <w:tcPr>
            <w:tcW w:w="605" w:type="dxa"/>
            <w:shd w:val="clear" w:color="auto" w:fill="auto"/>
            <w:noWrap/>
            <w:vAlign w:val="center"/>
          </w:tcPr>
          <w:p w14:paraId="46FDEED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6C181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489" w:type="dxa"/>
            <w:shd w:val="clear" w:color="auto" w:fill="auto"/>
            <w:noWrap/>
            <w:vAlign w:val="center"/>
          </w:tcPr>
          <w:p w14:paraId="1881D2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0CB1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CC8A58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183</w:t>
            </w:r>
          </w:p>
        </w:tc>
        <w:tc>
          <w:tcPr>
            <w:tcW w:w="1072" w:type="dxa"/>
            <w:shd w:val="clear" w:color="auto" w:fill="auto"/>
            <w:vAlign w:val="center"/>
          </w:tcPr>
          <w:p w14:paraId="6882EF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动物分类图谱</w:t>
            </w:r>
          </w:p>
        </w:tc>
        <w:tc>
          <w:tcPr>
            <w:tcW w:w="4897" w:type="dxa"/>
            <w:shd w:val="clear" w:color="auto" w:fill="auto"/>
            <w:vAlign w:val="center"/>
          </w:tcPr>
          <w:p w14:paraId="021E87F7">
            <w:pPr>
              <w:widowControl/>
              <w:textAlignment w:val="center"/>
              <w:rPr>
                <w:rFonts w:ascii="宋体" w:hAnsi="宋体" w:cs="宋体"/>
                <w:kern w:val="0"/>
                <w:sz w:val="22"/>
              </w:rPr>
            </w:pPr>
            <w:r>
              <w:rPr>
                <w:rFonts w:hint="eastAsia" w:ascii="宋体" w:hAnsi="宋体" w:cs="宋体"/>
                <w:color w:val="000000"/>
                <w:kern w:val="0"/>
                <w:sz w:val="22"/>
                <w:szCs w:val="22"/>
                <w:lang w:bidi="ar"/>
              </w:rPr>
              <w:t>图片内容包含但不限于：无脊椎动物、脊椎动物、动物的繁殖和成长历程、动物怎样捕食、动物的运动、动物怎样保护自己、动物与人类生活的关系、保护动物等</w:t>
            </w:r>
          </w:p>
        </w:tc>
        <w:tc>
          <w:tcPr>
            <w:tcW w:w="462" w:type="dxa"/>
            <w:shd w:val="clear" w:color="auto" w:fill="auto"/>
            <w:noWrap/>
            <w:vAlign w:val="center"/>
          </w:tcPr>
          <w:p w14:paraId="6852B0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本</w:t>
            </w:r>
          </w:p>
        </w:tc>
        <w:tc>
          <w:tcPr>
            <w:tcW w:w="605" w:type="dxa"/>
            <w:shd w:val="clear" w:color="auto" w:fill="auto"/>
            <w:noWrap/>
            <w:vAlign w:val="center"/>
          </w:tcPr>
          <w:p w14:paraId="4747FB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F8B38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489" w:type="dxa"/>
            <w:shd w:val="clear" w:color="auto" w:fill="auto"/>
            <w:noWrap/>
            <w:vAlign w:val="center"/>
          </w:tcPr>
          <w:p w14:paraId="0AFFA6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676A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B76E97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184</w:t>
            </w:r>
          </w:p>
        </w:tc>
        <w:tc>
          <w:tcPr>
            <w:tcW w:w="1072" w:type="dxa"/>
            <w:shd w:val="clear" w:color="auto" w:fill="auto"/>
            <w:vAlign w:val="center"/>
          </w:tcPr>
          <w:p w14:paraId="3BE871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细菌分类图谱</w:t>
            </w:r>
          </w:p>
        </w:tc>
        <w:tc>
          <w:tcPr>
            <w:tcW w:w="4897" w:type="dxa"/>
            <w:shd w:val="clear" w:color="auto" w:fill="auto"/>
            <w:vAlign w:val="center"/>
          </w:tcPr>
          <w:p w14:paraId="5F479C4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内容包含但不限于：细菌、真菌、其它微生物、人体内微生物、微生物与人类生活点滴</w:t>
            </w:r>
          </w:p>
        </w:tc>
        <w:tc>
          <w:tcPr>
            <w:tcW w:w="462" w:type="dxa"/>
            <w:shd w:val="clear" w:color="auto" w:fill="auto"/>
            <w:noWrap/>
            <w:vAlign w:val="center"/>
          </w:tcPr>
          <w:p w14:paraId="594251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本</w:t>
            </w:r>
          </w:p>
        </w:tc>
        <w:tc>
          <w:tcPr>
            <w:tcW w:w="605" w:type="dxa"/>
            <w:shd w:val="clear" w:color="auto" w:fill="auto"/>
            <w:noWrap/>
            <w:vAlign w:val="center"/>
          </w:tcPr>
          <w:p w14:paraId="602DB34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4436F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411</w:t>
            </w:r>
          </w:p>
        </w:tc>
        <w:tc>
          <w:tcPr>
            <w:tcW w:w="1489" w:type="dxa"/>
            <w:shd w:val="clear" w:color="auto" w:fill="auto"/>
            <w:noWrap/>
            <w:vAlign w:val="center"/>
          </w:tcPr>
          <w:p w14:paraId="3A0831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411</w:t>
            </w:r>
          </w:p>
        </w:tc>
      </w:tr>
      <w:tr w14:paraId="400C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EC9285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185</w:t>
            </w:r>
          </w:p>
        </w:tc>
        <w:tc>
          <w:tcPr>
            <w:tcW w:w="1072" w:type="dxa"/>
            <w:shd w:val="clear" w:color="auto" w:fill="auto"/>
            <w:vAlign w:val="center"/>
          </w:tcPr>
          <w:p w14:paraId="361E7A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病毒分类图谱</w:t>
            </w:r>
          </w:p>
        </w:tc>
        <w:tc>
          <w:tcPr>
            <w:tcW w:w="4897" w:type="dxa"/>
            <w:shd w:val="clear" w:color="auto" w:fill="auto"/>
            <w:vAlign w:val="center"/>
          </w:tcPr>
          <w:p w14:paraId="4A55720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图谱内容包含但不限于：流感病毒、登革热病毒、艾滋病毒、狂犬病毒、烟草花叶病毒、腺病毒、噬菌体、B-肝炎病毒、细小病毒、泡疹病毒、副粘病毒（腮腺炎）、痘病毒、冠状病毒、骨髓灰质炎病毒、大肠杆菌病毒、SARS （非典）冠状病毒、小麦矮丛病毒、花生病毒、细菌病毒等</w:t>
            </w:r>
          </w:p>
        </w:tc>
        <w:tc>
          <w:tcPr>
            <w:tcW w:w="462" w:type="dxa"/>
            <w:shd w:val="clear" w:color="auto" w:fill="auto"/>
            <w:noWrap/>
            <w:vAlign w:val="center"/>
          </w:tcPr>
          <w:p w14:paraId="4B034F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本</w:t>
            </w:r>
          </w:p>
        </w:tc>
        <w:tc>
          <w:tcPr>
            <w:tcW w:w="605" w:type="dxa"/>
            <w:shd w:val="clear" w:color="auto" w:fill="auto"/>
            <w:noWrap/>
            <w:vAlign w:val="center"/>
          </w:tcPr>
          <w:p w14:paraId="590BEC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985A8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761</w:t>
            </w:r>
          </w:p>
        </w:tc>
        <w:tc>
          <w:tcPr>
            <w:tcW w:w="1489" w:type="dxa"/>
            <w:shd w:val="clear" w:color="auto" w:fill="auto"/>
            <w:noWrap/>
            <w:vAlign w:val="center"/>
          </w:tcPr>
          <w:p w14:paraId="57A716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761</w:t>
            </w:r>
          </w:p>
        </w:tc>
      </w:tr>
      <w:tr w14:paraId="4C90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E40298C">
            <w:pPr>
              <w:keepNext w:val="0"/>
              <w:keepLines w:val="0"/>
              <w:widowControl/>
              <w:suppressLineNumbers w:val="0"/>
              <w:jc w:val="right"/>
              <w:textAlignment w:val="center"/>
              <w:rPr>
                <w:rFonts w:hint="default" w:ascii="宋体" w:hAnsi="宋体" w:cs="宋体"/>
                <w:kern w:val="0"/>
                <w:sz w:val="22"/>
                <w:lang w:val="en-US"/>
              </w:rPr>
            </w:pPr>
            <w:r>
              <w:rPr>
                <w:rFonts w:hint="eastAsia" w:ascii="宋体" w:hAnsi="宋体" w:cs="宋体"/>
                <w:i w:val="0"/>
                <w:iCs w:val="0"/>
                <w:color w:val="000000"/>
                <w:kern w:val="0"/>
                <w:sz w:val="24"/>
                <w:szCs w:val="24"/>
                <w:u w:val="none"/>
                <w:lang w:val="en-US" w:eastAsia="zh-CN" w:bidi="ar"/>
              </w:rPr>
              <w:t>186</w:t>
            </w:r>
          </w:p>
        </w:tc>
        <w:tc>
          <w:tcPr>
            <w:tcW w:w="1072" w:type="dxa"/>
            <w:shd w:val="clear" w:color="auto" w:fill="auto"/>
            <w:vAlign w:val="center"/>
          </w:tcPr>
          <w:p w14:paraId="3E86B0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仪器柜</w:t>
            </w:r>
          </w:p>
        </w:tc>
        <w:tc>
          <w:tcPr>
            <w:tcW w:w="4897" w:type="dxa"/>
            <w:shd w:val="clear" w:color="auto" w:fill="auto"/>
            <w:vAlign w:val="center"/>
          </w:tcPr>
          <w:p w14:paraId="5021CA1F">
            <w:pPr>
              <w:widowControl/>
              <w:textAlignment w:val="center"/>
              <w:rPr>
                <w:rFonts w:ascii="宋体" w:hAnsi="宋体" w:cs="宋体"/>
                <w:kern w:val="0"/>
                <w:sz w:val="22"/>
              </w:rPr>
            </w:pPr>
            <w:r>
              <w:rPr>
                <w:rFonts w:hint="eastAsia" w:ascii="宋体" w:hAnsi="宋体" w:cs="宋体"/>
                <w:color w:val="000000"/>
                <w:kern w:val="0"/>
                <w:sz w:val="22"/>
                <w:szCs w:val="22"/>
                <w:lang w:bidi="ar"/>
              </w:rPr>
              <w:t>1．规格：≥1000*500*1850mm；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2．用料：不小于0.8mm厚优质钢板，经酸洗磷化处理，采用聚酯粉末涂料静电喷涂，内侧涂层厚度不低于0.1mm，颜色灰白，表面涂层不脱落。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3．结构：共分六层(可调)；上下搁板各为三层；对开玻璃门，玻璃厚度≥3mm。</w:t>
            </w:r>
          </w:p>
        </w:tc>
        <w:tc>
          <w:tcPr>
            <w:tcW w:w="462" w:type="dxa"/>
            <w:shd w:val="clear" w:color="auto" w:fill="auto"/>
            <w:noWrap/>
            <w:vAlign w:val="center"/>
          </w:tcPr>
          <w:p w14:paraId="3B53F9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F8FEA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91</w:t>
            </w:r>
          </w:p>
        </w:tc>
        <w:tc>
          <w:tcPr>
            <w:tcW w:w="1048" w:type="dxa"/>
            <w:shd w:val="clear" w:color="auto" w:fill="auto"/>
            <w:noWrap/>
            <w:vAlign w:val="center"/>
          </w:tcPr>
          <w:p w14:paraId="6F1E16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1000</w:t>
            </w:r>
          </w:p>
        </w:tc>
        <w:tc>
          <w:tcPr>
            <w:tcW w:w="1489" w:type="dxa"/>
            <w:shd w:val="clear" w:color="auto" w:fill="auto"/>
            <w:noWrap/>
            <w:vAlign w:val="center"/>
          </w:tcPr>
          <w:p w14:paraId="706422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91000</w:t>
            </w:r>
          </w:p>
        </w:tc>
      </w:tr>
      <w:tr w14:paraId="01E2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226" w:type="dxa"/>
            <w:gridSpan w:val="7"/>
            <w:shd w:val="clear" w:color="auto" w:fill="auto"/>
            <w:noWrap/>
            <w:vAlign w:val="center"/>
          </w:tcPr>
          <w:p w14:paraId="5607BCCD">
            <w:pPr>
              <w:widowControl/>
              <w:jc w:val="left"/>
              <w:textAlignment w:val="center"/>
              <w:rPr>
                <w:rFonts w:ascii="宋体" w:hAnsi="宋体" w:cs="宋体"/>
                <w:color w:val="000000"/>
                <w:sz w:val="22"/>
                <w:szCs w:val="22"/>
              </w:rPr>
            </w:pPr>
            <w:r>
              <w:rPr>
                <w:rFonts w:hint="eastAsia" w:ascii="宋体" w:hAnsi="宋体" w:cs="宋体"/>
                <w:b/>
                <w:bCs/>
                <w:kern w:val="0"/>
                <w:sz w:val="22"/>
              </w:rPr>
              <w:t>八、生物普通实验室（学科器材）</w:t>
            </w:r>
          </w:p>
        </w:tc>
      </w:tr>
      <w:tr w14:paraId="0B96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7A292C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w:t>
            </w:r>
          </w:p>
        </w:tc>
        <w:tc>
          <w:tcPr>
            <w:tcW w:w="1072" w:type="dxa"/>
            <w:shd w:val="clear" w:color="auto" w:fill="auto"/>
            <w:vAlign w:val="center"/>
          </w:tcPr>
          <w:p w14:paraId="32E65E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计算机</w:t>
            </w:r>
          </w:p>
        </w:tc>
        <w:tc>
          <w:tcPr>
            <w:tcW w:w="4897" w:type="dxa"/>
            <w:shd w:val="clear" w:color="auto" w:fill="auto"/>
            <w:vAlign w:val="center"/>
          </w:tcPr>
          <w:p w14:paraId="4AB2DD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台式机。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一、硬件配置（不得低于以下配置参数，可高于）：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▲1.CPU:第12代英特尔酷睿6核I5-12500同类或以上处理器，最高睿频：4.2GHz，12M三级缓存；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▲2.主板：英特尔600系列芯片组同类或以上主板，带BIOS自动控制的可变速CPU风扇，配备智能散热系统包括由BIOS管理的智能风扇通过对机箱内部的温度感应来调节风扇速度，有效的降低噪音的同时高效散热功能；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3.扩展插槽： 1个PCIe x1，1个PCIe x16，1个PCI；</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▲4.内存：16G DDR4 2933，2个DIMM插槽，最高支持128G内存,支持双通道内存；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5.端口和接口：前置1个麦克风/耳机组合插孔，5个USB 3.1 Gen 1；后置1个HDMI， 1个音频输入，1个音频输出，1个麦克风输入，1个RJ-45，1个VGA，2个USB 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▲6.硬盘：本次配置原厂1TB SSD M.2 PL固态硬盘，支持混合双硬盘；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▲7.显卡：Intel UHD Graphics 750高性能同类或以上集成显卡， HDMI+VGA支持双屏屏幕1080P分辨率输出；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8.网络接口：集成千兆网卡10/100/1000M以太网卡；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9.电源：采用要求电源额定300W高效白金级高效率热插拔电源模块，支持睿能技术，噪音优化；兼容市场主流电源.完美适配；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10.键盘/鼠标：原厂同品牌标准键盘和鼠标；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▲11.机箱：前置电源开关, 内置2W扬声器/0.6mm厚精钢防辐射机箱，不大于17L机箱（宽度小于等于18CM）；适配电脑桌尺寸；显示器23.8”英寸宽屏LED IPS背光液晶显示器，最高分辨率≥1920*1080；通过蓝光危害试验，最大可降低70%蓝光危害辐照度值。</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▲二、软件要求：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1.操作系统：出厂预装Windows10正版操作系统。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原厂网络同传管理功能：支持同一硬盘上支持同时安装24个操作系统；在同一硬盘上同时支持40个分区（包括启动分区和数据分区）；支持可由任意一台主机发起网络拷贝、增量拷贝和临时部署；网络传输速度标值：千兆网卡：1GB-7GB/Min；支持断点续传功能：支持多种情况的断点续传功能；支持网络故障定位：支持网络故障定位，便于排查；支持在局域网内分组管理；支持硬盘容量差异网络拷贝；支持6秒内的物理掉线(断路)可自动恢复；支持网络传输数据加密；网络克隆维护：在局域网络内一次可传输250台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三、配置正版管理终端系统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 系统支持全中文界面，B/S架构，管理员只需通过浏览器登录控制中心，即可对系统进p行管理；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 客户端支持WindowsXP、Windows 7、Windows 8、Windows 10、Windows2003、Windows2008、Windows2012等32位/64位微软操作系统，同时应支持Centos、Redhat、Ubuntu等Linux操作系统以及中标麒麟、银河麒麟等国产操作系统；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▲3.客户端安装后占用小于30MB存储资源，病毒库小于3MB，日常内存占用小于10MB，有效节省PC或Server资源；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4.支持本地上传客户端升级包或https/ftp远端同步方式更新客户端，可根据不同网络环境提供在线获取和隔离网获取相应工具；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▲5.支持单个或多个客户端不同管理中心的平滑迁移，迁移过程自动完成，无需手动添加客户端；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6.控制中心支持全网、分组、标签等方式指定某些客户端定制特殊策略，特殊策略包括文件实时监控、恶意行为监控、下载保护、系统加固、软件安装拦截、浏览器保护、黑客入侵拦截、恶意网站拦截等；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7.支持网络准入功能，支持标准802.1x协议，通过与支持该协议的交换机联动，实现有线局域网网络准入；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▲8.支持敏感数据防泄漏，支持敏感信息检查，针对终端存储的word、pdf、Excel、文本文件等进行全盘关键字检查，对含有制定关键字的文档进行禁止发送、禁止打印、禁止拷贝等管控；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▲9.要求对流行病毒的检测能力必须超过98%的检出率，超过98%的清除率，小于0.1%的误报率；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 支持对webshell后门进行扫描检测 , webshell后门库数量大于90000条；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▲11.支持非法外联监控，实时检测内部网络用户通过调制解调器、ADSL、双网卡等任意连接设备非法外联互联网行为，支持报警、断开网络、自动重启等管控措施；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12.支持终端防火墙功能，支持包括但不限于通过协议（TCP、UDP、ICMP、IGMP、GGP、PUP、IDP、ND、ESP、AH、RDP、GRE、SKIP、RAW），端口号，IP地址、进出口方向等控制规则对终端进行防护，从网络层保护终端安全；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 须有正版序列号，支持电话查询真伪；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 投标时提供所竞标产品的节能产品认证证书扫描件（加盖供应商公章）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四、服务及保修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原厂五年有限保修（鼠标键盘1年），365天全年无休。具备微信、QQ等即时通讯群组服务能力，提供自助查询、驱动自动下载、在线技术支持、维修单进度查询等自助售后功能，中标后须提供产品生产厂家官网截图证明（包含官网链接、服务平台微信二维码、功能模块简单介绍、微信服务平台关注流程指引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2.所投产品为商用节能认证产品、环境标志产品产品。供货时提供3年7x24售后支持服务证明，提供原厂基础安装服务。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3.供货时提供防雷击检测报告及证书扫描件证明。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4.为了证明产品可靠性，供货时提供国家认可的第三方检测机构出具的认证产品相关证书。</w:t>
            </w:r>
          </w:p>
        </w:tc>
        <w:tc>
          <w:tcPr>
            <w:tcW w:w="462" w:type="dxa"/>
            <w:shd w:val="clear" w:color="auto" w:fill="auto"/>
            <w:noWrap/>
            <w:vAlign w:val="center"/>
          </w:tcPr>
          <w:p w14:paraId="4ADFF4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0CBBD6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D337E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c>
          <w:tcPr>
            <w:tcW w:w="1489" w:type="dxa"/>
            <w:shd w:val="clear" w:color="auto" w:fill="auto"/>
            <w:noWrap/>
            <w:vAlign w:val="center"/>
          </w:tcPr>
          <w:p w14:paraId="5B9559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r>
      <w:tr w14:paraId="0C1A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62C8C7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w:t>
            </w:r>
          </w:p>
        </w:tc>
        <w:tc>
          <w:tcPr>
            <w:tcW w:w="1072" w:type="dxa"/>
            <w:shd w:val="clear" w:color="auto" w:fill="auto"/>
            <w:vAlign w:val="center"/>
          </w:tcPr>
          <w:p w14:paraId="4614AD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危险化学品储存柜</w:t>
            </w:r>
          </w:p>
        </w:tc>
        <w:tc>
          <w:tcPr>
            <w:tcW w:w="4897" w:type="dxa"/>
            <w:shd w:val="clear" w:color="auto" w:fill="auto"/>
            <w:vAlign w:val="center"/>
          </w:tcPr>
          <w:p w14:paraId="223FE26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不小于900mmX510mmX1200mm，柜整体为两层防火钢板构造，壳体全部采用1.2mm优质冷轧钢板，柜底采用2.0mm冷轧钢板，柜体内胆采用pp板，柜底配有可调风阀，柜体的底板中部有直径为10mm的漏液孔，柜体底部设有高度为160mm的黄沙挡板，最下层留有120mm厚的黄沙填埋腔，柜底装有4个直径是60mm的移动钢轮，前轮后有2个手动调节螺杆，柜中有3个三层阶梯式活动隔板并附有pp板，下层隔板边沿镶有护栏，护栏中间嵌有红黄蓝警示标志，柜子顶部中间带有风机出风口，电源电压220V，控制开关位于柜体右上角，柜门上安装有电子密码锁和机械锁（双锁结构）。防火，防盗，防腐蚀。</w:t>
            </w:r>
          </w:p>
        </w:tc>
        <w:tc>
          <w:tcPr>
            <w:tcW w:w="462" w:type="dxa"/>
            <w:shd w:val="clear" w:color="auto" w:fill="auto"/>
            <w:noWrap/>
            <w:vAlign w:val="center"/>
          </w:tcPr>
          <w:p w14:paraId="07DD6D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4D0BA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6825C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3860</w:t>
            </w:r>
          </w:p>
        </w:tc>
        <w:tc>
          <w:tcPr>
            <w:tcW w:w="1489" w:type="dxa"/>
            <w:shd w:val="clear" w:color="auto" w:fill="auto"/>
            <w:noWrap/>
            <w:vAlign w:val="center"/>
          </w:tcPr>
          <w:p w14:paraId="321288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3860</w:t>
            </w:r>
          </w:p>
        </w:tc>
      </w:tr>
      <w:tr w14:paraId="0BCA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430B0B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w:t>
            </w:r>
          </w:p>
        </w:tc>
        <w:tc>
          <w:tcPr>
            <w:tcW w:w="1072" w:type="dxa"/>
            <w:shd w:val="clear" w:color="auto" w:fill="auto"/>
            <w:vAlign w:val="center"/>
          </w:tcPr>
          <w:p w14:paraId="3AF8AF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危险化学品储存柜</w:t>
            </w:r>
          </w:p>
        </w:tc>
        <w:tc>
          <w:tcPr>
            <w:tcW w:w="4897" w:type="dxa"/>
            <w:shd w:val="clear" w:color="auto" w:fill="auto"/>
            <w:vAlign w:val="center"/>
          </w:tcPr>
          <w:p w14:paraId="717C47D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不小于900mmX510mmX1840mm,柜整体为两层防火钢板构造，壳体全部采用1.2mm优质冷轧钢板，柜底采用2.0mm冷轧钢板，柜体内胆采用pp板，柜底配有可调风阀，柜体的底板中部有直径为10mm的漏液孔，柜体底部设有高度为160mm的黄沙挡板，最下层留有120mm厚的黄沙填埋腔，柜底装有4个直径是60mm的移动钢轮，前轮后有2个手动调节螺杆，柜中有3个三层阶梯式活动隔板并附有pp板，下层隔板边沿镶有护栏，护栏中间嵌有红黄蓝警示标志，柜子顶部中间带有风机出风口，电源电压220V，控制开关位于柜体右上角，柜门上安装有电子密码锁和机械锁（双锁结构）。防火，防盗，防腐蚀。</w:t>
            </w:r>
          </w:p>
        </w:tc>
        <w:tc>
          <w:tcPr>
            <w:tcW w:w="462" w:type="dxa"/>
            <w:shd w:val="clear" w:color="auto" w:fill="auto"/>
            <w:noWrap/>
            <w:vAlign w:val="center"/>
          </w:tcPr>
          <w:p w14:paraId="47DC3E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74434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E8D1E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5510</w:t>
            </w:r>
          </w:p>
        </w:tc>
        <w:tc>
          <w:tcPr>
            <w:tcW w:w="1489" w:type="dxa"/>
            <w:shd w:val="clear" w:color="auto" w:fill="auto"/>
            <w:noWrap/>
            <w:vAlign w:val="center"/>
          </w:tcPr>
          <w:p w14:paraId="46D8F2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5510</w:t>
            </w:r>
          </w:p>
        </w:tc>
      </w:tr>
      <w:tr w14:paraId="67B9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B93933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w:t>
            </w:r>
          </w:p>
        </w:tc>
        <w:tc>
          <w:tcPr>
            <w:tcW w:w="1072" w:type="dxa"/>
            <w:shd w:val="clear" w:color="auto" w:fill="auto"/>
            <w:vAlign w:val="center"/>
          </w:tcPr>
          <w:p w14:paraId="1783BA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灭火毯</w:t>
            </w:r>
          </w:p>
        </w:tc>
        <w:tc>
          <w:tcPr>
            <w:tcW w:w="4897" w:type="dxa"/>
            <w:shd w:val="clear" w:color="auto" w:fill="auto"/>
            <w:vAlign w:val="center"/>
          </w:tcPr>
          <w:p w14:paraId="3386C9D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玻璃纤维材质，1200mmX1800mm</w:t>
            </w:r>
          </w:p>
        </w:tc>
        <w:tc>
          <w:tcPr>
            <w:tcW w:w="462" w:type="dxa"/>
            <w:shd w:val="clear" w:color="auto" w:fill="auto"/>
            <w:noWrap/>
            <w:vAlign w:val="center"/>
          </w:tcPr>
          <w:p w14:paraId="54F919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noWrap/>
            <w:vAlign w:val="center"/>
          </w:tcPr>
          <w:p w14:paraId="734169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F876B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135</w:t>
            </w:r>
          </w:p>
        </w:tc>
        <w:tc>
          <w:tcPr>
            <w:tcW w:w="1489" w:type="dxa"/>
            <w:shd w:val="clear" w:color="auto" w:fill="auto"/>
            <w:noWrap/>
            <w:vAlign w:val="center"/>
          </w:tcPr>
          <w:p w14:paraId="7930FF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135</w:t>
            </w:r>
          </w:p>
        </w:tc>
      </w:tr>
      <w:tr w14:paraId="616D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A75314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w:t>
            </w:r>
          </w:p>
        </w:tc>
        <w:tc>
          <w:tcPr>
            <w:tcW w:w="1072" w:type="dxa"/>
            <w:shd w:val="clear" w:color="auto" w:fill="auto"/>
            <w:vAlign w:val="center"/>
          </w:tcPr>
          <w:p w14:paraId="0CEFDA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实验服</w:t>
            </w:r>
          </w:p>
        </w:tc>
        <w:tc>
          <w:tcPr>
            <w:tcW w:w="4897" w:type="dxa"/>
            <w:shd w:val="clear" w:color="auto" w:fill="auto"/>
            <w:vAlign w:val="center"/>
          </w:tcPr>
          <w:p w14:paraId="68915CA4">
            <w:pPr>
              <w:widowControl/>
              <w:textAlignment w:val="center"/>
              <w:rPr>
                <w:rFonts w:ascii="宋体" w:hAnsi="宋体" w:cs="宋体"/>
                <w:kern w:val="0"/>
                <w:sz w:val="22"/>
              </w:rPr>
            </w:pPr>
            <w:r>
              <w:rPr>
                <w:rFonts w:hint="eastAsia" w:ascii="宋体" w:hAnsi="宋体" w:cs="宋体"/>
                <w:color w:val="000000"/>
                <w:kern w:val="0"/>
                <w:sz w:val="22"/>
                <w:szCs w:val="22"/>
                <w:lang w:bidi="ar"/>
              </w:rPr>
              <w:t>耐酸碱，可分为大中小号</w:t>
            </w:r>
          </w:p>
        </w:tc>
        <w:tc>
          <w:tcPr>
            <w:tcW w:w="462" w:type="dxa"/>
            <w:shd w:val="clear" w:color="auto" w:fill="auto"/>
            <w:noWrap/>
            <w:vAlign w:val="center"/>
          </w:tcPr>
          <w:p w14:paraId="2B9BE2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noWrap/>
            <w:vAlign w:val="center"/>
          </w:tcPr>
          <w:p w14:paraId="164100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56B9A6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489" w:type="dxa"/>
            <w:shd w:val="clear" w:color="auto" w:fill="auto"/>
            <w:noWrap/>
            <w:vAlign w:val="center"/>
          </w:tcPr>
          <w:p w14:paraId="2B25BA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3600</w:t>
            </w:r>
          </w:p>
        </w:tc>
      </w:tr>
      <w:tr w14:paraId="35DF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C5651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w:t>
            </w:r>
          </w:p>
        </w:tc>
        <w:tc>
          <w:tcPr>
            <w:tcW w:w="1072" w:type="dxa"/>
            <w:shd w:val="clear" w:color="auto" w:fill="auto"/>
            <w:vAlign w:val="center"/>
          </w:tcPr>
          <w:p w14:paraId="07C505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护目镜</w:t>
            </w:r>
          </w:p>
        </w:tc>
        <w:tc>
          <w:tcPr>
            <w:tcW w:w="4897" w:type="dxa"/>
            <w:shd w:val="clear" w:color="auto" w:fill="auto"/>
            <w:vAlign w:val="center"/>
          </w:tcPr>
          <w:p w14:paraId="2C7B1030">
            <w:pPr>
              <w:widowControl/>
              <w:textAlignment w:val="center"/>
              <w:rPr>
                <w:rFonts w:ascii="宋体" w:hAnsi="宋体" w:cs="宋体"/>
                <w:kern w:val="0"/>
                <w:sz w:val="22"/>
              </w:rPr>
            </w:pPr>
            <w:r>
              <w:rPr>
                <w:rFonts w:hint="eastAsia" w:ascii="宋体" w:hAnsi="宋体" w:cs="宋体"/>
                <w:color w:val="000000"/>
                <w:kern w:val="0"/>
                <w:sz w:val="22"/>
                <w:szCs w:val="22"/>
                <w:lang w:bidi="ar"/>
              </w:rPr>
              <w:t>侧面完全遮挡，耐酸碱，抗冲击，耐磨，便于清洗</w:t>
            </w:r>
          </w:p>
        </w:tc>
        <w:tc>
          <w:tcPr>
            <w:tcW w:w="462" w:type="dxa"/>
            <w:shd w:val="clear" w:color="auto" w:fill="auto"/>
            <w:noWrap/>
            <w:vAlign w:val="center"/>
          </w:tcPr>
          <w:p w14:paraId="0828CF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09C79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2DEFB6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6036EA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2D2D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45C7FF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w:t>
            </w:r>
          </w:p>
        </w:tc>
        <w:tc>
          <w:tcPr>
            <w:tcW w:w="1072" w:type="dxa"/>
            <w:shd w:val="clear" w:color="auto" w:fill="auto"/>
            <w:vAlign w:val="center"/>
          </w:tcPr>
          <w:p w14:paraId="4BA6C9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学生用数码液晶显微镜</w:t>
            </w:r>
          </w:p>
        </w:tc>
        <w:tc>
          <w:tcPr>
            <w:tcW w:w="4897" w:type="dxa"/>
            <w:shd w:val="clear" w:color="auto" w:fill="auto"/>
            <w:vAlign w:val="center"/>
          </w:tcPr>
          <w:p w14:paraId="5879F8C3">
            <w:pPr>
              <w:widowControl/>
              <w:textAlignment w:val="center"/>
              <w:rPr>
                <w:rFonts w:ascii="宋体" w:hAnsi="宋体" w:cs="宋体"/>
                <w:kern w:val="0"/>
                <w:sz w:val="22"/>
              </w:rPr>
            </w:pPr>
            <w:r>
              <w:rPr>
                <w:rFonts w:hint="eastAsia" w:ascii="宋体" w:hAnsi="宋体" w:cs="宋体"/>
                <w:color w:val="000000"/>
                <w:kern w:val="0"/>
                <w:sz w:val="22"/>
                <w:szCs w:val="22"/>
                <w:lang w:bidi="ar"/>
              </w:rPr>
              <w:t>一、光学检测技术参数：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1、成像清晰圆直径（mm）：10倍物镜不小于7.5mm；40倍物镜不小于6.8mm；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2、齐焦（mm）：物镜转换过程中，10→40倍不超过±0.0355mm；10倍物镜景深范围内像面的偏摆≤0.082mm；显微镜目镜放大率准确度不超过±1.183%；</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3、转换器稳定性≤0.0152mm；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4、载物台侧向受5N水平方向作用力最大位移≤0.008mm；不重复性≤0.0036mm；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5、用机械使标本在5mm×5mm范围内移动时的离焦量≤0.010mm；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6、微调机构空回≤0.010mm；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7、显微镜物镜放大率准确度不超过±2.656%；</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8、聚光镜上升到最高位置，顶端低于载物台表面的距离0.03～0.15mm之间。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二、技术参数：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1、总放大倍数：640X；</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2、整机结构件：绝大部分都是由铝和合金制作；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3、目镜：惠更斯10X/16X；</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4、物镜：消色差4X、10X、40X；</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5、镜筒：单目直筒，镜臂可45°倾斜；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6、转换器：三孔同心球轴转换器，定位准确，并带有限位装置；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7、粗微调: 镜架上配有分开调焦的粗微高旋钮，可调节松紧，并有内置滑动离合器，可延长因机械损耗的整机使用寿命；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8、初调范围不小于32mm，微调范围不大于2mm；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9、视场光栏：五孔圆盘光栏，可选孔径为20mm、8mm、5mm、4mm、3mm；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10、照明：固定在机架上的有双边精细螺丝旋紧42mm平凹反光镜，可防止拔出或长期使用后机械磨损脱落；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11、金属载物台尺寸：110mmX120mm。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12、带照明光源和聚光镜，移动式载物台。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13、仪器自带液晶屏（液晶屏≥22.9cm,分辨率≥1280X800）,拍照≥500万像素，录像分辨率≥720p。</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参照GB/ T2985- 2008《生物显微镜》的检测标准。</w:t>
            </w:r>
          </w:p>
        </w:tc>
        <w:tc>
          <w:tcPr>
            <w:tcW w:w="462" w:type="dxa"/>
            <w:shd w:val="clear" w:color="auto" w:fill="auto"/>
            <w:noWrap/>
            <w:vAlign w:val="center"/>
          </w:tcPr>
          <w:p w14:paraId="5A4943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479D5C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7AFFF3F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3760</w:t>
            </w:r>
          </w:p>
        </w:tc>
        <w:tc>
          <w:tcPr>
            <w:tcW w:w="1489" w:type="dxa"/>
            <w:shd w:val="clear" w:color="auto" w:fill="auto"/>
            <w:noWrap/>
            <w:vAlign w:val="center"/>
          </w:tcPr>
          <w:p w14:paraId="483ED2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11280</w:t>
            </w:r>
          </w:p>
        </w:tc>
      </w:tr>
      <w:tr w14:paraId="6C31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88A108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w:t>
            </w:r>
          </w:p>
        </w:tc>
        <w:tc>
          <w:tcPr>
            <w:tcW w:w="1072" w:type="dxa"/>
            <w:shd w:val="clear" w:color="auto" w:fill="auto"/>
            <w:vAlign w:val="center"/>
          </w:tcPr>
          <w:p w14:paraId="73A9EF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双目立体显微镜</w:t>
            </w:r>
          </w:p>
        </w:tc>
        <w:tc>
          <w:tcPr>
            <w:tcW w:w="4897" w:type="dxa"/>
            <w:shd w:val="clear" w:color="auto" w:fill="auto"/>
            <w:vAlign w:val="center"/>
          </w:tcPr>
          <w:p w14:paraId="594F37E4">
            <w:pPr>
              <w:widowControl/>
              <w:textAlignment w:val="center"/>
              <w:rPr>
                <w:rFonts w:ascii="宋体" w:hAnsi="宋体" w:cs="宋体"/>
                <w:kern w:val="0"/>
                <w:sz w:val="22"/>
              </w:rPr>
            </w:pPr>
            <w:r>
              <w:rPr>
                <w:rFonts w:hint="eastAsia" w:ascii="宋体" w:hAnsi="宋体" w:cs="宋体"/>
                <w:color w:val="000000"/>
                <w:kern w:val="0"/>
                <w:sz w:val="22"/>
                <w:szCs w:val="22"/>
                <w:lang w:bidi="ar"/>
              </w:rPr>
              <w:t>1、成像清晰范围（以视场直径的百分比计）：上下≥67%，左右≥55%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2、总放大率误差：不超过±2.15%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3、左右系统放大率差≤1.05%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4、左右光学系统像面不一致性：上下方向≤0.15mm,左右方向≤0.25mm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5、左右镜筒出射光束的方位偏差：上下≤13＇</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6、左右光学系统像面方位差≤0.8°</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7、变倍时像平面的横向位移≤0.65mm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8、视场中心最小分辨力（线对/mm）：2倍物镜≥160NA，四倍物镜≥200NA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9、左右光学系统聚焦差≤0.86mm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10、左右光学系统出瞳高度差≤0.42mm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11、放大倍数至少达到40倍，可配有显示屏，方便连接电脑、数码相机等外接设备，便于图像的传输保存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参照GB/ T19864.1-2005《体视显微镜 第1部分：普及型体视显微镜》及 GB/ T19863-2005《体视显微镜试验方法》的检测标准。</w:t>
            </w:r>
          </w:p>
        </w:tc>
        <w:tc>
          <w:tcPr>
            <w:tcW w:w="462" w:type="dxa"/>
            <w:shd w:val="clear" w:color="auto" w:fill="auto"/>
            <w:noWrap/>
            <w:vAlign w:val="center"/>
          </w:tcPr>
          <w:p w14:paraId="4F1FFF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9A014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2D4A89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2900</w:t>
            </w:r>
          </w:p>
        </w:tc>
        <w:tc>
          <w:tcPr>
            <w:tcW w:w="1489" w:type="dxa"/>
            <w:shd w:val="clear" w:color="auto" w:fill="auto"/>
            <w:noWrap/>
            <w:vAlign w:val="center"/>
          </w:tcPr>
          <w:p w14:paraId="1F7BD1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8700</w:t>
            </w:r>
          </w:p>
        </w:tc>
      </w:tr>
      <w:tr w14:paraId="3762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EF73A5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w:t>
            </w:r>
          </w:p>
        </w:tc>
        <w:tc>
          <w:tcPr>
            <w:tcW w:w="1072" w:type="dxa"/>
            <w:shd w:val="clear" w:color="auto" w:fill="auto"/>
            <w:vAlign w:val="center"/>
          </w:tcPr>
          <w:p w14:paraId="7D84F0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望远镜</w:t>
            </w:r>
          </w:p>
        </w:tc>
        <w:tc>
          <w:tcPr>
            <w:tcW w:w="4897" w:type="dxa"/>
            <w:shd w:val="clear" w:color="auto" w:fill="auto"/>
            <w:vAlign w:val="center"/>
          </w:tcPr>
          <w:p w14:paraId="6FFBAB2C">
            <w:pPr>
              <w:widowControl/>
              <w:textAlignment w:val="center"/>
              <w:rPr>
                <w:rFonts w:ascii="宋体" w:hAnsi="宋体" w:cs="宋体"/>
                <w:kern w:val="0"/>
                <w:sz w:val="22"/>
              </w:rPr>
            </w:pPr>
            <w:r>
              <w:rPr>
                <w:rFonts w:hint="eastAsia" w:ascii="宋体" w:hAnsi="宋体" w:cs="宋体"/>
                <w:color w:val="000000"/>
                <w:kern w:val="0"/>
                <w:sz w:val="22"/>
                <w:szCs w:val="22"/>
                <w:lang w:bidi="ar"/>
              </w:rPr>
              <w:t>规格：双筒7×35，目镜透镜Φ19mm，伸缩可调，物镜透镜Φ35mm，望远距离12m～9880m，配背带。</w:t>
            </w:r>
          </w:p>
        </w:tc>
        <w:tc>
          <w:tcPr>
            <w:tcW w:w="462" w:type="dxa"/>
            <w:shd w:val="clear" w:color="auto" w:fill="auto"/>
            <w:noWrap/>
            <w:vAlign w:val="center"/>
          </w:tcPr>
          <w:p w14:paraId="24E2AA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26C313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24CBDB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c>
          <w:tcPr>
            <w:tcW w:w="1489" w:type="dxa"/>
            <w:shd w:val="clear" w:color="auto" w:fill="auto"/>
            <w:noWrap/>
            <w:vAlign w:val="center"/>
          </w:tcPr>
          <w:p w14:paraId="3BAB58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288</w:t>
            </w:r>
          </w:p>
        </w:tc>
      </w:tr>
      <w:tr w14:paraId="1D20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984C72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w:t>
            </w:r>
          </w:p>
        </w:tc>
        <w:tc>
          <w:tcPr>
            <w:tcW w:w="1072" w:type="dxa"/>
            <w:shd w:val="clear" w:color="auto" w:fill="auto"/>
            <w:vAlign w:val="center"/>
          </w:tcPr>
          <w:p w14:paraId="55D915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放大镜</w:t>
            </w:r>
          </w:p>
        </w:tc>
        <w:tc>
          <w:tcPr>
            <w:tcW w:w="4897" w:type="dxa"/>
            <w:shd w:val="clear" w:color="auto" w:fill="auto"/>
            <w:vAlign w:val="center"/>
          </w:tcPr>
          <w:p w14:paraId="041AFD1D">
            <w:pPr>
              <w:widowControl/>
              <w:textAlignment w:val="center"/>
              <w:rPr>
                <w:rFonts w:ascii="宋体" w:hAnsi="宋体" w:cs="宋体"/>
                <w:kern w:val="0"/>
                <w:sz w:val="22"/>
              </w:rPr>
            </w:pPr>
            <w:r>
              <w:rPr>
                <w:rFonts w:hint="eastAsia" w:ascii="宋体" w:hAnsi="宋体" w:cs="宋体"/>
                <w:color w:val="000000"/>
                <w:kern w:val="0"/>
                <w:sz w:val="22"/>
                <w:szCs w:val="22"/>
                <w:lang w:bidi="ar"/>
              </w:rPr>
              <w:t>手持式，有效通光孔径 50mm, 5倍</w:t>
            </w:r>
          </w:p>
        </w:tc>
        <w:tc>
          <w:tcPr>
            <w:tcW w:w="462" w:type="dxa"/>
            <w:shd w:val="clear" w:color="auto" w:fill="auto"/>
            <w:noWrap/>
            <w:vAlign w:val="center"/>
          </w:tcPr>
          <w:p w14:paraId="1A6CEF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0342E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4CF9C4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25071E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w:t>
            </w:r>
          </w:p>
        </w:tc>
      </w:tr>
      <w:tr w14:paraId="1A2F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D66E6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w:t>
            </w:r>
          </w:p>
        </w:tc>
        <w:tc>
          <w:tcPr>
            <w:tcW w:w="1072" w:type="dxa"/>
            <w:shd w:val="clear" w:color="auto" w:fill="auto"/>
            <w:vAlign w:val="center"/>
          </w:tcPr>
          <w:p w14:paraId="53571A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减数分裂中染色体变化模型组件</w:t>
            </w:r>
          </w:p>
        </w:tc>
        <w:tc>
          <w:tcPr>
            <w:tcW w:w="4897" w:type="dxa"/>
            <w:shd w:val="clear" w:color="auto" w:fill="auto"/>
            <w:vAlign w:val="center"/>
          </w:tcPr>
          <w:p w14:paraId="4FA33E1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材料环保，便于演示</w:t>
            </w:r>
          </w:p>
        </w:tc>
        <w:tc>
          <w:tcPr>
            <w:tcW w:w="462" w:type="dxa"/>
            <w:shd w:val="clear" w:color="auto" w:fill="auto"/>
            <w:noWrap/>
            <w:vAlign w:val="center"/>
          </w:tcPr>
          <w:p w14:paraId="4492A7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493709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F6FF2A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82</w:t>
            </w:r>
          </w:p>
        </w:tc>
        <w:tc>
          <w:tcPr>
            <w:tcW w:w="1489" w:type="dxa"/>
            <w:shd w:val="clear" w:color="auto" w:fill="auto"/>
            <w:noWrap/>
            <w:vAlign w:val="center"/>
          </w:tcPr>
          <w:p w14:paraId="64BBF8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82</w:t>
            </w:r>
          </w:p>
        </w:tc>
      </w:tr>
      <w:tr w14:paraId="726D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C2DDB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w:t>
            </w:r>
          </w:p>
        </w:tc>
        <w:tc>
          <w:tcPr>
            <w:tcW w:w="1072" w:type="dxa"/>
            <w:shd w:val="clear" w:color="auto" w:fill="auto"/>
            <w:vAlign w:val="center"/>
          </w:tcPr>
          <w:p w14:paraId="26C1A7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DNA结构模型</w:t>
            </w:r>
          </w:p>
        </w:tc>
        <w:tc>
          <w:tcPr>
            <w:tcW w:w="4897" w:type="dxa"/>
            <w:shd w:val="clear" w:color="auto" w:fill="auto"/>
            <w:vAlign w:val="center"/>
          </w:tcPr>
          <w:p w14:paraId="6E374B6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模型为放大一亿倍（中学用）、二亿倍（大学用）的B型DNA分子结构教学示意模型。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 DNA分子是两条核甘酸链以右手螺旋围绕同一根轴旋成的。住链是交替排列的磷酸根（P）和脱氧核糖（D）。 两条多核甘酸链是反向平行的。两条链上的碱基通过氧键形成碱基对，碱基配对的互补关系是A-T,G-C,A-T之间为三对氢键。模型上红色套管表示氢键。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2、双螺旋的表面有两处较明显的两凹下去的槽，一个大且深，一个小且浅。分别称为大沟和小沟。</w:t>
            </w:r>
          </w:p>
        </w:tc>
        <w:tc>
          <w:tcPr>
            <w:tcW w:w="462" w:type="dxa"/>
            <w:shd w:val="clear" w:color="auto" w:fill="auto"/>
            <w:noWrap/>
            <w:vAlign w:val="center"/>
          </w:tcPr>
          <w:p w14:paraId="5A558B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EE43D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51981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214</w:t>
            </w:r>
          </w:p>
        </w:tc>
        <w:tc>
          <w:tcPr>
            <w:tcW w:w="1489" w:type="dxa"/>
            <w:shd w:val="clear" w:color="auto" w:fill="auto"/>
            <w:noWrap/>
            <w:vAlign w:val="center"/>
          </w:tcPr>
          <w:p w14:paraId="2E9703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214</w:t>
            </w:r>
          </w:p>
        </w:tc>
      </w:tr>
      <w:tr w14:paraId="0F9E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0AA28E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w:t>
            </w:r>
          </w:p>
        </w:tc>
        <w:tc>
          <w:tcPr>
            <w:tcW w:w="1072" w:type="dxa"/>
            <w:shd w:val="clear" w:color="auto" w:fill="auto"/>
            <w:vAlign w:val="center"/>
          </w:tcPr>
          <w:p w14:paraId="7AF0CD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DNA双螺旋结构模型组件</w:t>
            </w:r>
          </w:p>
        </w:tc>
        <w:tc>
          <w:tcPr>
            <w:tcW w:w="4897" w:type="dxa"/>
            <w:shd w:val="clear" w:color="auto" w:fill="auto"/>
            <w:vAlign w:val="center"/>
          </w:tcPr>
          <w:p w14:paraId="031A233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分组用，模型由脱氧核糖、碱基、磷酸等主要组块构成，包括连接棒A(细)40根，连接棒B(粗)20根；脱氧核糖20个；磷酸20个；碱基A5个，碱基B5个，碱基C5个，碱基D5个。优质塑料盒装，盒体外形规格：150mm×80mm×20mm。</w:t>
            </w:r>
          </w:p>
        </w:tc>
        <w:tc>
          <w:tcPr>
            <w:tcW w:w="462" w:type="dxa"/>
            <w:shd w:val="clear" w:color="auto" w:fill="auto"/>
            <w:noWrap/>
            <w:vAlign w:val="center"/>
          </w:tcPr>
          <w:p w14:paraId="1CC6E9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5F6B8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5034C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w:t>
            </w:r>
          </w:p>
        </w:tc>
        <w:tc>
          <w:tcPr>
            <w:tcW w:w="1489" w:type="dxa"/>
            <w:shd w:val="clear" w:color="auto" w:fill="auto"/>
            <w:noWrap/>
            <w:vAlign w:val="center"/>
          </w:tcPr>
          <w:p w14:paraId="5A948A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825</w:t>
            </w:r>
          </w:p>
        </w:tc>
      </w:tr>
      <w:tr w14:paraId="56D4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060A6C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w:t>
            </w:r>
          </w:p>
        </w:tc>
        <w:tc>
          <w:tcPr>
            <w:tcW w:w="1072" w:type="dxa"/>
            <w:shd w:val="clear" w:color="auto" w:fill="auto"/>
            <w:vAlign w:val="center"/>
          </w:tcPr>
          <w:p w14:paraId="76EA67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转录和翻译磁片模型</w:t>
            </w:r>
          </w:p>
        </w:tc>
        <w:tc>
          <w:tcPr>
            <w:tcW w:w="4897" w:type="dxa"/>
            <w:shd w:val="clear" w:color="auto" w:fill="auto"/>
            <w:vAlign w:val="center"/>
          </w:tcPr>
          <w:p w14:paraId="199718D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具有单独构件，可以分步演示。大小适合黑板展示</w:t>
            </w:r>
          </w:p>
        </w:tc>
        <w:tc>
          <w:tcPr>
            <w:tcW w:w="462" w:type="dxa"/>
            <w:shd w:val="clear" w:color="auto" w:fill="auto"/>
            <w:noWrap/>
            <w:vAlign w:val="center"/>
          </w:tcPr>
          <w:p w14:paraId="54A163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4E6F11B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607E5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341</w:t>
            </w:r>
          </w:p>
        </w:tc>
        <w:tc>
          <w:tcPr>
            <w:tcW w:w="1489" w:type="dxa"/>
            <w:shd w:val="clear" w:color="auto" w:fill="auto"/>
            <w:noWrap/>
            <w:vAlign w:val="center"/>
          </w:tcPr>
          <w:p w14:paraId="480DDC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341</w:t>
            </w:r>
          </w:p>
        </w:tc>
      </w:tr>
      <w:tr w14:paraId="57BA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117E27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w:t>
            </w:r>
          </w:p>
        </w:tc>
        <w:tc>
          <w:tcPr>
            <w:tcW w:w="1072" w:type="dxa"/>
            <w:shd w:val="clear" w:color="auto" w:fill="auto"/>
            <w:vAlign w:val="center"/>
          </w:tcPr>
          <w:p w14:paraId="7C569D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电冰箱</w:t>
            </w:r>
          </w:p>
        </w:tc>
        <w:tc>
          <w:tcPr>
            <w:tcW w:w="4897" w:type="dxa"/>
            <w:shd w:val="clear" w:color="auto" w:fill="auto"/>
            <w:vAlign w:val="center"/>
          </w:tcPr>
          <w:p w14:paraId="21D9CEC6">
            <w:pPr>
              <w:widowControl/>
              <w:textAlignment w:val="center"/>
              <w:rPr>
                <w:rFonts w:ascii="宋体" w:hAnsi="宋体" w:cs="宋体"/>
                <w:kern w:val="0"/>
                <w:sz w:val="22"/>
              </w:rPr>
            </w:pPr>
            <w:r>
              <w:rPr>
                <w:rFonts w:hint="eastAsia" w:ascii="宋体" w:hAnsi="宋体" w:cs="宋体"/>
                <w:color w:val="000000"/>
                <w:kern w:val="0"/>
                <w:sz w:val="22"/>
                <w:szCs w:val="22"/>
                <w:lang w:bidi="ar"/>
              </w:rPr>
              <w:t>1、智能双循环制冷系统，冷藏、冷冻独立温控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2、可拆换门封条设计，具备优良密封性能，减少能耗，顶灯照明，节省空间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3、钢化玻璃，安全防溢，透明抽屉，轻松制冰；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4、容积：200L</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5、耗电量：0.51Kwh/24h。</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执行GB/T8059.2标准。</w:t>
            </w:r>
          </w:p>
        </w:tc>
        <w:tc>
          <w:tcPr>
            <w:tcW w:w="462" w:type="dxa"/>
            <w:shd w:val="clear" w:color="auto" w:fill="auto"/>
            <w:noWrap/>
            <w:vAlign w:val="center"/>
          </w:tcPr>
          <w:p w14:paraId="3BDE57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5BD26D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2BEE1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2520</w:t>
            </w:r>
          </w:p>
        </w:tc>
        <w:tc>
          <w:tcPr>
            <w:tcW w:w="1489" w:type="dxa"/>
            <w:shd w:val="clear" w:color="auto" w:fill="auto"/>
            <w:noWrap/>
            <w:vAlign w:val="center"/>
          </w:tcPr>
          <w:p w14:paraId="5FE463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2520</w:t>
            </w:r>
          </w:p>
        </w:tc>
      </w:tr>
      <w:tr w14:paraId="5CF6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422F3A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w:t>
            </w:r>
          </w:p>
        </w:tc>
        <w:tc>
          <w:tcPr>
            <w:tcW w:w="1072" w:type="dxa"/>
            <w:shd w:val="clear" w:color="auto" w:fill="auto"/>
            <w:vAlign w:val="center"/>
          </w:tcPr>
          <w:p w14:paraId="6BE905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微波炉</w:t>
            </w:r>
          </w:p>
        </w:tc>
        <w:tc>
          <w:tcPr>
            <w:tcW w:w="4897" w:type="dxa"/>
            <w:shd w:val="clear" w:color="auto" w:fill="auto"/>
            <w:vAlign w:val="center"/>
          </w:tcPr>
          <w:p w14:paraId="6591ABDF">
            <w:pPr>
              <w:widowControl/>
              <w:textAlignment w:val="center"/>
              <w:rPr>
                <w:rFonts w:ascii="宋体" w:hAnsi="宋体" w:cs="宋体"/>
                <w:kern w:val="0"/>
                <w:sz w:val="22"/>
              </w:rPr>
            </w:pPr>
            <w:r>
              <w:rPr>
                <w:rFonts w:hint="eastAsia" w:ascii="宋体" w:hAnsi="宋体" w:cs="宋体"/>
                <w:color w:val="000000"/>
                <w:kern w:val="0"/>
                <w:sz w:val="22"/>
                <w:szCs w:val="22"/>
                <w:lang w:bidi="ar"/>
              </w:rPr>
              <w:t>≥20L</w:t>
            </w:r>
          </w:p>
        </w:tc>
        <w:tc>
          <w:tcPr>
            <w:tcW w:w="462" w:type="dxa"/>
            <w:shd w:val="clear" w:color="auto" w:fill="auto"/>
            <w:noWrap/>
            <w:vAlign w:val="center"/>
          </w:tcPr>
          <w:p w14:paraId="207B6E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A5061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8AF75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725</w:t>
            </w:r>
          </w:p>
        </w:tc>
        <w:tc>
          <w:tcPr>
            <w:tcW w:w="1489" w:type="dxa"/>
            <w:shd w:val="clear" w:color="auto" w:fill="auto"/>
            <w:noWrap/>
            <w:vAlign w:val="center"/>
          </w:tcPr>
          <w:p w14:paraId="3E339C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725</w:t>
            </w:r>
          </w:p>
        </w:tc>
      </w:tr>
      <w:tr w14:paraId="6A97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9D205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w:t>
            </w:r>
          </w:p>
        </w:tc>
        <w:tc>
          <w:tcPr>
            <w:tcW w:w="1072" w:type="dxa"/>
            <w:shd w:val="clear" w:color="auto" w:fill="auto"/>
            <w:vAlign w:val="center"/>
          </w:tcPr>
          <w:p w14:paraId="6CEEFE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电磁炉</w:t>
            </w:r>
          </w:p>
        </w:tc>
        <w:tc>
          <w:tcPr>
            <w:tcW w:w="4897" w:type="dxa"/>
            <w:shd w:val="clear" w:color="auto" w:fill="auto"/>
            <w:vAlign w:val="center"/>
          </w:tcPr>
          <w:p w14:paraId="27B0E94B">
            <w:pPr>
              <w:widowControl/>
              <w:textAlignment w:val="center"/>
              <w:rPr>
                <w:rFonts w:ascii="宋体" w:hAnsi="宋体" w:cs="宋体"/>
                <w:kern w:val="0"/>
                <w:sz w:val="22"/>
              </w:rPr>
            </w:pPr>
            <w:r>
              <w:rPr>
                <w:rFonts w:hint="eastAsia" w:ascii="宋体" w:hAnsi="宋体" w:cs="宋体"/>
                <w:color w:val="000000"/>
                <w:kern w:val="0"/>
                <w:sz w:val="22"/>
                <w:szCs w:val="22"/>
                <w:lang w:bidi="ar"/>
              </w:rPr>
              <w:t>功率可调，额定功率≥1600W</w:t>
            </w:r>
          </w:p>
        </w:tc>
        <w:tc>
          <w:tcPr>
            <w:tcW w:w="462" w:type="dxa"/>
            <w:shd w:val="clear" w:color="auto" w:fill="auto"/>
            <w:noWrap/>
            <w:vAlign w:val="center"/>
          </w:tcPr>
          <w:p w14:paraId="48F2A3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F71D4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CEBF8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c>
          <w:tcPr>
            <w:tcW w:w="1489" w:type="dxa"/>
            <w:shd w:val="clear" w:color="auto" w:fill="auto"/>
            <w:noWrap/>
            <w:vAlign w:val="center"/>
          </w:tcPr>
          <w:p w14:paraId="339EB5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5D6E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15BBDF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w:t>
            </w:r>
          </w:p>
        </w:tc>
        <w:tc>
          <w:tcPr>
            <w:tcW w:w="1072" w:type="dxa"/>
            <w:shd w:val="clear" w:color="auto" w:fill="auto"/>
            <w:vAlign w:val="center"/>
          </w:tcPr>
          <w:p w14:paraId="779467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恒温水浴锅</w:t>
            </w:r>
          </w:p>
        </w:tc>
        <w:tc>
          <w:tcPr>
            <w:tcW w:w="4897" w:type="dxa"/>
            <w:shd w:val="clear" w:color="auto" w:fill="auto"/>
            <w:vAlign w:val="center"/>
          </w:tcPr>
          <w:p w14:paraId="13481CFF">
            <w:pPr>
              <w:widowControl/>
              <w:textAlignment w:val="center"/>
              <w:rPr>
                <w:rFonts w:ascii="宋体" w:hAnsi="宋体" w:cs="宋体"/>
                <w:kern w:val="0"/>
                <w:sz w:val="22"/>
              </w:rPr>
            </w:pPr>
            <w:r>
              <w:rPr>
                <w:rFonts w:hint="eastAsia" w:ascii="宋体" w:hAnsi="宋体" w:cs="宋体"/>
                <w:color w:val="000000"/>
                <w:kern w:val="0"/>
                <w:sz w:val="22"/>
                <w:szCs w:val="22"/>
                <w:lang w:bidi="ar"/>
              </w:rPr>
              <w:t>水浴控温范围：室温5℃~99.9℃,水温控制±0.5℃,不锈钢内胆，数字显示</w:t>
            </w:r>
          </w:p>
        </w:tc>
        <w:tc>
          <w:tcPr>
            <w:tcW w:w="462" w:type="dxa"/>
            <w:shd w:val="clear" w:color="auto" w:fill="auto"/>
            <w:noWrap/>
            <w:vAlign w:val="center"/>
          </w:tcPr>
          <w:p w14:paraId="508D13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4F3A2C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5C416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482</w:t>
            </w:r>
          </w:p>
        </w:tc>
        <w:tc>
          <w:tcPr>
            <w:tcW w:w="1489" w:type="dxa"/>
            <w:shd w:val="clear" w:color="auto" w:fill="auto"/>
            <w:noWrap/>
            <w:vAlign w:val="center"/>
          </w:tcPr>
          <w:p w14:paraId="4E924B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482</w:t>
            </w:r>
          </w:p>
        </w:tc>
      </w:tr>
      <w:tr w14:paraId="192E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4245CD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w:t>
            </w:r>
          </w:p>
        </w:tc>
        <w:tc>
          <w:tcPr>
            <w:tcW w:w="1072" w:type="dxa"/>
            <w:shd w:val="clear" w:color="auto" w:fill="auto"/>
            <w:vAlign w:val="center"/>
          </w:tcPr>
          <w:p w14:paraId="620ABC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榨汁机（破壁机、粉碎机等）</w:t>
            </w:r>
          </w:p>
        </w:tc>
        <w:tc>
          <w:tcPr>
            <w:tcW w:w="4897" w:type="dxa"/>
            <w:shd w:val="clear" w:color="auto" w:fill="auto"/>
            <w:vAlign w:val="center"/>
          </w:tcPr>
          <w:p w14:paraId="50E0533F">
            <w:pPr>
              <w:widowControl/>
              <w:textAlignment w:val="center"/>
              <w:rPr>
                <w:rFonts w:ascii="宋体" w:hAnsi="宋体" w:cs="宋体"/>
                <w:kern w:val="0"/>
                <w:sz w:val="22"/>
              </w:rPr>
            </w:pPr>
            <w:r>
              <w:rPr>
                <w:rFonts w:hint="eastAsia" w:ascii="宋体" w:hAnsi="宋体" w:cs="宋体"/>
                <w:color w:val="000000"/>
                <w:kern w:val="0"/>
                <w:sz w:val="22"/>
                <w:szCs w:val="22"/>
                <w:lang w:bidi="ar"/>
              </w:rPr>
              <w:t>≥18000 r/min,≥1.0L</w:t>
            </w:r>
          </w:p>
        </w:tc>
        <w:tc>
          <w:tcPr>
            <w:tcW w:w="462" w:type="dxa"/>
            <w:shd w:val="clear" w:color="auto" w:fill="auto"/>
            <w:noWrap/>
            <w:vAlign w:val="center"/>
          </w:tcPr>
          <w:p w14:paraId="48E66B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4AA8C9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84BC3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407</w:t>
            </w:r>
          </w:p>
        </w:tc>
        <w:tc>
          <w:tcPr>
            <w:tcW w:w="1489" w:type="dxa"/>
            <w:shd w:val="clear" w:color="auto" w:fill="auto"/>
            <w:noWrap/>
            <w:vAlign w:val="center"/>
          </w:tcPr>
          <w:p w14:paraId="1D9932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407</w:t>
            </w:r>
          </w:p>
        </w:tc>
      </w:tr>
      <w:tr w14:paraId="5FEA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C31BB6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w:t>
            </w:r>
          </w:p>
        </w:tc>
        <w:tc>
          <w:tcPr>
            <w:tcW w:w="1072" w:type="dxa"/>
            <w:shd w:val="clear" w:color="auto" w:fill="auto"/>
            <w:vAlign w:val="center"/>
          </w:tcPr>
          <w:p w14:paraId="7AEE98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烘干箱</w:t>
            </w:r>
          </w:p>
        </w:tc>
        <w:tc>
          <w:tcPr>
            <w:tcW w:w="4897" w:type="dxa"/>
            <w:shd w:val="clear" w:color="auto" w:fill="auto"/>
            <w:vAlign w:val="center"/>
          </w:tcPr>
          <w:p w14:paraId="2E5AC180">
            <w:pPr>
              <w:widowControl/>
              <w:textAlignment w:val="center"/>
              <w:rPr>
                <w:rFonts w:ascii="宋体" w:hAnsi="宋体" w:cs="宋体"/>
                <w:kern w:val="0"/>
                <w:sz w:val="22"/>
              </w:rPr>
            </w:pPr>
            <w:r>
              <w:rPr>
                <w:rFonts w:hint="eastAsia" w:ascii="宋体" w:hAnsi="宋体" w:cs="宋体"/>
                <w:color w:val="000000"/>
                <w:kern w:val="0"/>
                <w:sz w:val="22"/>
                <w:szCs w:val="22"/>
                <w:lang w:bidi="ar"/>
              </w:rPr>
              <w:t>电热鼓风型，最高工作温度为250℃，温度波动度限值为±1.0℃，箱体内有隔板，内部容积≥350mmX350mmX350mm</w:t>
            </w:r>
          </w:p>
        </w:tc>
        <w:tc>
          <w:tcPr>
            <w:tcW w:w="462" w:type="dxa"/>
            <w:shd w:val="clear" w:color="auto" w:fill="auto"/>
            <w:noWrap/>
            <w:vAlign w:val="center"/>
          </w:tcPr>
          <w:p w14:paraId="6ABE29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C5D84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AA7BE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1720</w:t>
            </w:r>
          </w:p>
        </w:tc>
        <w:tc>
          <w:tcPr>
            <w:tcW w:w="1489" w:type="dxa"/>
            <w:shd w:val="clear" w:color="auto" w:fill="auto"/>
            <w:noWrap/>
            <w:vAlign w:val="center"/>
          </w:tcPr>
          <w:p w14:paraId="20405A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1720</w:t>
            </w:r>
          </w:p>
        </w:tc>
      </w:tr>
      <w:tr w14:paraId="25B6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B8C169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w:t>
            </w:r>
          </w:p>
        </w:tc>
        <w:tc>
          <w:tcPr>
            <w:tcW w:w="1072" w:type="dxa"/>
            <w:shd w:val="clear" w:color="auto" w:fill="auto"/>
            <w:vAlign w:val="center"/>
          </w:tcPr>
          <w:p w14:paraId="684BDD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光照培养箱</w:t>
            </w:r>
          </w:p>
        </w:tc>
        <w:tc>
          <w:tcPr>
            <w:tcW w:w="4897" w:type="dxa"/>
            <w:shd w:val="clear" w:color="auto" w:fill="auto"/>
            <w:vAlign w:val="center"/>
          </w:tcPr>
          <w:p w14:paraId="418AA7BF">
            <w:pPr>
              <w:widowControl/>
              <w:jc w:val="left"/>
              <w:textAlignment w:val="center"/>
              <w:rPr>
                <w:rFonts w:ascii="宋体" w:hAnsi="宋体" w:cs="宋体"/>
                <w:kern w:val="0"/>
                <w:sz w:val="22"/>
              </w:rPr>
            </w:pPr>
            <w:r>
              <w:rPr>
                <w:rFonts w:hint="eastAsia" w:ascii="宋体" w:hAnsi="宋体" w:cs="宋体"/>
                <w:color w:val="000000"/>
                <w:kern w:val="0"/>
                <w:sz w:val="20"/>
                <w:szCs w:val="20"/>
                <w:lang w:bidi="ar"/>
              </w:rPr>
              <w:t>容积：250L</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光照强度：0lx～12000lx分级可调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控温范围：10℃～50℃(有光照)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温度波动性：±1℃</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温度均匀度：±2℃</w:t>
            </w:r>
          </w:p>
        </w:tc>
        <w:tc>
          <w:tcPr>
            <w:tcW w:w="462" w:type="dxa"/>
            <w:shd w:val="clear" w:color="auto" w:fill="auto"/>
            <w:noWrap/>
            <w:vAlign w:val="center"/>
          </w:tcPr>
          <w:p w14:paraId="7F5223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0D1698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6F132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7365</w:t>
            </w:r>
          </w:p>
        </w:tc>
        <w:tc>
          <w:tcPr>
            <w:tcW w:w="1489" w:type="dxa"/>
            <w:shd w:val="clear" w:color="auto" w:fill="auto"/>
            <w:noWrap/>
            <w:vAlign w:val="center"/>
          </w:tcPr>
          <w:p w14:paraId="5E23FD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7365</w:t>
            </w:r>
          </w:p>
        </w:tc>
      </w:tr>
      <w:tr w14:paraId="52A3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8A2889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w:t>
            </w:r>
          </w:p>
        </w:tc>
        <w:tc>
          <w:tcPr>
            <w:tcW w:w="1072" w:type="dxa"/>
            <w:shd w:val="clear" w:color="auto" w:fill="auto"/>
            <w:vAlign w:val="center"/>
          </w:tcPr>
          <w:p w14:paraId="3E5F5E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光照培养架</w:t>
            </w:r>
          </w:p>
        </w:tc>
        <w:tc>
          <w:tcPr>
            <w:tcW w:w="4897" w:type="dxa"/>
            <w:shd w:val="clear" w:color="auto" w:fill="auto"/>
            <w:vAlign w:val="center"/>
          </w:tcPr>
          <w:p w14:paraId="6BACC334">
            <w:pPr>
              <w:widowControl/>
              <w:textAlignment w:val="center"/>
              <w:rPr>
                <w:rFonts w:ascii="宋体" w:hAnsi="宋体" w:cs="宋体"/>
                <w:kern w:val="0"/>
                <w:sz w:val="22"/>
              </w:rPr>
            </w:pPr>
            <w:r>
              <w:rPr>
                <w:rFonts w:hint="eastAsia" w:ascii="宋体" w:hAnsi="宋体" w:cs="宋体"/>
                <w:color w:val="000000"/>
                <w:kern w:val="0"/>
                <w:sz w:val="22"/>
                <w:szCs w:val="22"/>
                <w:lang w:bidi="ar"/>
              </w:rPr>
              <w:t>多层，插孔暗式布线，独立开关，光照强度3000 lx/5000 lx/7000 lx三档可调</w:t>
            </w:r>
          </w:p>
        </w:tc>
        <w:tc>
          <w:tcPr>
            <w:tcW w:w="462" w:type="dxa"/>
            <w:shd w:val="clear" w:color="auto" w:fill="auto"/>
            <w:noWrap/>
            <w:vAlign w:val="center"/>
          </w:tcPr>
          <w:p w14:paraId="5DC9A0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B1D07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3AE4F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990</w:t>
            </w:r>
          </w:p>
        </w:tc>
        <w:tc>
          <w:tcPr>
            <w:tcW w:w="1489" w:type="dxa"/>
            <w:shd w:val="clear" w:color="auto" w:fill="auto"/>
            <w:noWrap/>
            <w:vAlign w:val="center"/>
          </w:tcPr>
          <w:p w14:paraId="113FAB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990</w:t>
            </w:r>
          </w:p>
        </w:tc>
      </w:tr>
      <w:tr w14:paraId="515B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637BCA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w:t>
            </w:r>
          </w:p>
        </w:tc>
        <w:tc>
          <w:tcPr>
            <w:tcW w:w="1072" w:type="dxa"/>
            <w:shd w:val="clear" w:color="auto" w:fill="auto"/>
            <w:vAlign w:val="center"/>
          </w:tcPr>
          <w:p w14:paraId="334D1C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恒温震荡器</w:t>
            </w:r>
          </w:p>
        </w:tc>
        <w:tc>
          <w:tcPr>
            <w:tcW w:w="4897" w:type="dxa"/>
            <w:shd w:val="clear" w:color="auto" w:fill="auto"/>
            <w:vAlign w:val="center"/>
          </w:tcPr>
          <w:p w14:paraId="303BC539">
            <w:pPr>
              <w:widowControl/>
              <w:textAlignment w:val="center"/>
              <w:rPr>
                <w:rFonts w:ascii="宋体" w:hAnsi="宋体" w:cs="宋体"/>
                <w:kern w:val="0"/>
                <w:sz w:val="22"/>
              </w:rPr>
            </w:pPr>
            <w:r>
              <w:rPr>
                <w:rFonts w:hint="eastAsia" w:ascii="宋体" w:hAnsi="宋体" w:cs="宋体"/>
                <w:color w:val="000000"/>
                <w:kern w:val="0"/>
                <w:sz w:val="22"/>
                <w:szCs w:val="22"/>
                <w:lang w:bidi="ar"/>
              </w:rPr>
              <w:t>技术指标：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1.电源电压：AC220V 50Hz。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2.加热功率：300W。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3.振荡方式：回旋式。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4.振荡范围：30-250转/分。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5.振荡幅度：23mm。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6.恒温范围：室温-60℃。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7.控温精度：±0.5℃。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8.外壳金属，尺寸：340mm×380mm×270mm（容量：100mL锥形瓶25个或以上）。</w:t>
            </w:r>
          </w:p>
        </w:tc>
        <w:tc>
          <w:tcPr>
            <w:tcW w:w="462" w:type="dxa"/>
            <w:shd w:val="clear" w:color="auto" w:fill="auto"/>
            <w:noWrap/>
            <w:vAlign w:val="center"/>
          </w:tcPr>
          <w:p w14:paraId="0009E2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6520D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4E5B5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2126</w:t>
            </w:r>
          </w:p>
        </w:tc>
        <w:tc>
          <w:tcPr>
            <w:tcW w:w="1489" w:type="dxa"/>
            <w:shd w:val="clear" w:color="auto" w:fill="auto"/>
            <w:noWrap/>
            <w:vAlign w:val="center"/>
          </w:tcPr>
          <w:p w14:paraId="5B5E72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2126</w:t>
            </w:r>
          </w:p>
        </w:tc>
      </w:tr>
      <w:tr w14:paraId="4D76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E382E8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24</w:t>
            </w:r>
          </w:p>
        </w:tc>
        <w:tc>
          <w:tcPr>
            <w:tcW w:w="1072" w:type="dxa"/>
            <w:shd w:val="clear" w:color="auto" w:fill="auto"/>
            <w:vAlign w:val="center"/>
          </w:tcPr>
          <w:p w14:paraId="0C5D5A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酸度计</w:t>
            </w:r>
          </w:p>
        </w:tc>
        <w:tc>
          <w:tcPr>
            <w:tcW w:w="4897" w:type="dxa"/>
            <w:shd w:val="clear" w:color="auto" w:fill="auto"/>
            <w:vAlign w:val="center"/>
          </w:tcPr>
          <w:p w14:paraId="747692F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笔式：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1.测量范围：0～14.00pH。</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2.电源：3×1.5V（AG-13型钮扣电池）。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3.校准方式：两点校准（PH4.01/6.86）。</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4.外形尺寸：150mm×30mm×15mm。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5.分辨力0.1,读数清晰，有自动关机节电模式，配校准试剂。</w:t>
            </w:r>
          </w:p>
        </w:tc>
        <w:tc>
          <w:tcPr>
            <w:tcW w:w="462" w:type="dxa"/>
            <w:shd w:val="clear" w:color="auto" w:fill="auto"/>
            <w:noWrap/>
            <w:vAlign w:val="center"/>
          </w:tcPr>
          <w:p w14:paraId="03F1B9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6B6CB3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421DD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112</w:t>
            </w:r>
          </w:p>
        </w:tc>
        <w:tc>
          <w:tcPr>
            <w:tcW w:w="1489" w:type="dxa"/>
            <w:shd w:val="clear" w:color="auto" w:fill="auto"/>
            <w:noWrap/>
            <w:vAlign w:val="center"/>
          </w:tcPr>
          <w:p w14:paraId="6246B4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112</w:t>
            </w:r>
          </w:p>
        </w:tc>
      </w:tr>
      <w:tr w14:paraId="0F78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F00FF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25</w:t>
            </w:r>
          </w:p>
        </w:tc>
        <w:tc>
          <w:tcPr>
            <w:tcW w:w="1072" w:type="dxa"/>
            <w:shd w:val="clear" w:color="auto" w:fill="auto"/>
            <w:vAlign w:val="center"/>
          </w:tcPr>
          <w:p w14:paraId="5FA1D9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紫外可见分光光度计</w:t>
            </w:r>
          </w:p>
        </w:tc>
        <w:tc>
          <w:tcPr>
            <w:tcW w:w="4897" w:type="dxa"/>
            <w:shd w:val="clear" w:color="auto" w:fill="auto"/>
            <w:vAlign w:val="center"/>
          </w:tcPr>
          <w:p w14:paraId="5F31B5A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波长范围：190nm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1100nm,比色皿配备玻璃和石英两种材质，波长调节为1nm数字或机械调节</w:t>
            </w:r>
          </w:p>
        </w:tc>
        <w:tc>
          <w:tcPr>
            <w:tcW w:w="462" w:type="dxa"/>
            <w:shd w:val="clear" w:color="auto" w:fill="auto"/>
            <w:noWrap/>
            <w:vAlign w:val="center"/>
          </w:tcPr>
          <w:p w14:paraId="1112CB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90622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B57E7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5570</w:t>
            </w:r>
          </w:p>
        </w:tc>
        <w:tc>
          <w:tcPr>
            <w:tcW w:w="1489" w:type="dxa"/>
            <w:shd w:val="clear" w:color="auto" w:fill="auto"/>
            <w:noWrap/>
            <w:vAlign w:val="center"/>
          </w:tcPr>
          <w:p w14:paraId="164FD3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5570</w:t>
            </w:r>
          </w:p>
        </w:tc>
      </w:tr>
      <w:tr w14:paraId="6517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845FF6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26</w:t>
            </w:r>
          </w:p>
        </w:tc>
        <w:tc>
          <w:tcPr>
            <w:tcW w:w="1072" w:type="dxa"/>
            <w:shd w:val="clear" w:color="auto" w:fill="auto"/>
            <w:vAlign w:val="center"/>
          </w:tcPr>
          <w:p w14:paraId="506503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电泳仪</w:t>
            </w:r>
          </w:p>
        </w:tc>
        <w:tc>
          <w:tcPr>
            <w:tcW w:w="4897" w:type="dxa"/>
            <w:shd w:val="clear" w:color="auto" w:fill="auto"/>
            <w:vAlign w:val="center"/>
          </w:tcPr>
          <w:p w14:paraId="4E4A6F64">
            <w:pPr>
              <w:widowControl/>
              <w:jc w:val="left"/>
              <w:textAlignment w:val="center"/>
              <w:rPr>
                <w:rFonts w:ascii="宋体" w:hAnsi="宋体" w:cs="宋体"/>
                <w:kern w:val="0"/>
                <w:sz w:val="20"/>
                <w:szCs w:val="20"/>
              </w:rPr>
            </w:pPr>
            <w:r>
              <w:rPr>
                <w:rFonts w:hint="eastAsia" w:ascii="宋体" w:hAnsi="宋体" w:cs="宋体"/>
                <w:color w:val="000000"/>
                <w:kern w:val="0"/>
                <w:sz w:val="22"/>
                <w:szCs w:val="22"/>
                <w:lang w:bidi="ar"/>
              </w:rPr>
              <w:t>四组输出，输出电压：2V</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200V、输出电流：2mA</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200mA,具有36V电压限制、稳压和稳流功能</w:t>
            </w:r>
          </w:p>
        </w:tc>
        <w:tc>
          <w:tcPr>
            <w:tcW w:w="462" w:type="dxa"/>
            <w:shd w:val="clear" w:color="auto" w:fill="auto"/>
            <w:noWrap/>
            <w:vAlign w:val="center"/>
          </w:tcPr>
          <w:p w14:paraId="18A038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55B6AD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C17E5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1854</w:t>
            </w:r>
          </w:p>
        </w:tc>
        <w:tc>
          <w:tcPr>
            <w:tcW w:w="1489" w:type="dxa"/>
            <w:shd w:val="clear" w:color="auto" w:fill="auto"/>
            <w:noWrap/>
            <w:vAlign w:val="center"/>
          </w:tcPr>
          <w:p w14:paraId="1BCEBC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1854</w:t>
            </w:r>
          </w:p>
        </w:tc>
      </w:tr>
      <w:tr w14:paraId="2C90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A60CB1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27</w:t>
            </w:r>
          </w:p>
        </w:tc>
        <w:tc>
          <w:tcPr>
            <w:tcW w:w="1072" w:type="dxa"/>
            <w:shd w:val="clear" w:color="auto" w:fill="auto"/>
            <w:vAlign w:val="center"/>
          </w:tcPr>
          <w:p w14:paraId="4E5B5E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水平电泳槽</w:t>
            </w:r>
          </w:p>
        </w:tc>
        <w:tc>
          <w:tcPr>
            <w:tcW w:w="4897" w:type="dxa"/>
            <w:shd w:val="clear" w:color="auto" w:fill="auto"/>
            <w:vAlign w:val="center"/>
          </w:tcPr>
          <w:p w14:paraId="223359B6">
            <w:pPr>
              <w:widowControl/>
              <w:jc w:val="left"/>
              <w:textAlignment w:val="center"/>
              <w:rPr>
                <w:rFonts w:ascii="宋体" w:hAnsi="宋体" w:cs="宋体"/>
                <w:kern w:val="0"/>
                <w:sz w:val="20"/>
                <w:szCs w:val="20"/>
              </w:rPr>
            </w:pPr>
            <w:r>
              <w:rPr>
                <w:rFonts w:hint="eastAsia" w:ascii="宋体" w:hAnsi="宋体" w:cs="宋体"/>
                <w:color w:val="000000"/>
                <w:kern w:val="0"/>
                <w:sz w:val="22"/>
                <w:szCs w:val="22"/>
                <w:lang w:bidi="ar"/>
              </w:rPr>
              <w:t>聚碳酸脂注塑成型，凝胶托盘带有荧光标尺，具有开盖断电功能，凝胶板规格：60mmX60mm</w:t>
            </w:r>
          </w:p>
        </w:tc>
        <w:tc>
          <w:tcPr>
            <w:tcW w:w="462" w:type="dxa"/>
            <w:shd w:val="clear" w:color="auto" w:fill="auto"/>
            <w:noWrap/>
            <w:vAlign w:val="center"/>
          </w:tcPr>
          <w:p w14:paraId="270557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3067E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B425A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1989</w:t>
            </w:r>
          </w:p>
        </w:tc>
        <w:tc>
          <w:tcPr>
            <w:tcW w:w="1489" w:type="dxa"/>
            <w:shd w:val="clear" w:color="auto" w:fill="auto"/>
            <w:noWrap/>
            <w:vAlign w:val="center"/>
          </w:tcPr>
          <w:p w14:paraId="3BA10D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1989</w:t>
            </w:r>
          </w:p>
        </w:tc>
      </w:tr>
      <w:tr w14:paraId="3348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F725D1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28</w:t>
            </w:r>
          </w:p>
        </w:tc>
        <w:tc>
          <w:tcPr>
            <w:tcW w:w="1072" w:type="dxa"/>
            <w:shd w:val="clear" w:color="auto" w:fill="auto"/>
            <w:vAlign w:val="center"/>
          </w:tcPr>
          <w:p w14:paraId="5169F1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DNA电泳图谱观察仪</w:t>
            </w:r>
          </w:p>
        </w:tc>
        <w:tc>
          <w:tcPr>
            <w:tcW w:w="4897" w:type="dxa"/>
            <w:shd w:val="clear" w:color="auto" w:fill="auto"/>
            <w:vAlign w:val="center"/>
          </w:tcPr>
          <w:p w14:paraId="6874ED9E">
            <w:pPr>
              <w:widowControl/>
              <w:textAlignment w:val="center"/>
              <w:rPr>
                <w:rFonts w:ascii="宋体" w:hAnsi="宋体" w:cs="宋体"/>
                <w:kern w:val="0"/>
                <w:sz w:val="22"/>
              </w:rPr>
            </w:pPr>
            <w:r>
              <w:rPr>
                <w:rFonts w:hint="eastAsia" w:ascii="宋体" w:hAnsi="宋体" w:cs="宋体"/>
                <w:color w:val="000000"/>
                <w:kern w:val="0"/>
                <w:sz w:val="22"/>
                <w:szCs w:val="22"/>
                <w:lang w:bidi="ar"/>
              </w:rPr>
              <w:t>非紫外光源，观察凝胶面积＞100mmX100mm</w:t>
            </w:r>
          </w:p>
        </w:tc>
        <w:tc>
          <w:tcPr>
            <w:tcW w:w="462" w:type="dxa"/>
            <w:shd w:val="clear" w:color="auto" w:fill="auto"/>
            <w:noWrap/>
            <w:vAlign w:val="center"/>
          </w:tcPr>
          <w:p w14:paraId="68CCB2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0FE976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A6B53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890</w:t>
            </w:r>
          </w:p>
        </w:tc>
        <w:tc>
          <w:tcPr>
            <w:tcW w:w="1489" w:type="dxa"/>
            <w:shd w:val="clear" w:color="auto" w:fill="auto"/>
            <w:noWrap/>
            <w:vAlign w:val="center"/>
          </w:tcPr>
          <w:p w14:paraId="525F76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890</w:t>
            </w:r>
          </w:p>
        </w:tc>
      </w:tr>
      <w:tr w14:paraId="4BF9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66DEA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29</w:t>
            </w:r>
          </w:p>
        </w:tc>
        <w:tc>
          <w:tcPr>
            <w:tcW w:w="1072" w:type="dxa"/>
            <w:shd w:val="clear" w:color="auto" w:fill="auto"/>
            <w:vAlign w:val="center"/>
          </w:tcPr>
          <w:p w14:paraId="557863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解剖盘</w:t>
            </w:r>
          </w:p>
        </w:tc>
        <w:tc>
          <w:tcPr>
            <w:tcW w:w="4897" w:type="dxa"/>
            <w:shd w:val="clear" w:color="auto" w:fill="auto"/>
            <w:vAlign w:val="center"/>
          </w:tcPr>
          <w:p w14:paraId="069CF6A7">
            <w:pPr>
              <w:widowControl/>
              <w:textAlignment w:val="center"/>
              <w:rPr>
                <w:rFonts w:ascii="宋体" w:hAnsi="宋体" w:cs="宋体"/>
                <w:kern w:val="0"/>
                <w:sz w:val="22"/>
              </w:rPr>
            </w:pPr>
            <w:r>
              <w:rPr>
                <w:rFonts w:hint="eastAsia" w:ascii="宋体" w:hAnsi="宋体" w:cs="宋体"/>
                <w:color w:val="000000"/>
                <w:kern w:val="0"/>
                <w:sz w:val="22"/>
                <w:szCs w:val="22"/>
                <w:lang w:bidi="ar"/>
              </w:rPr>
              <w:t>260mmX200mmX30mm,蜡盘</w:t>
            </w:r>
          </w:p>
        </w:tc>
        <w:tc>
          <w:tcPr>
            <w:tcW w:w="462" w:type="dxa"/>
            <w:shd w:val="clear" w:color="auto" w:fill="auto"/>
            <w:noWrap/>
            <w:vAlign w:val="center"/>
          </w:tcPr>
          <w:p w14:paraId="4EAF09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C0AAE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30D3C0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468734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900</w:t>
            </w:r>
          </w:p>
        </w:tc>
      </w:tr>
      <w:tr w14:paraId="5E66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B0B419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30</w:t>
            </w:r>
          </w:p>
        </w:tc>
        <w:tc>
          <w:tcPr>
            <w:tcW w:w="1072" w:type="dxa"/>
            <w:shd w:val="clear" w:color="auto" w:fill="auto"/>
            <w:vAlign w:val="center"/>
          </w:tcPr>
          <w:p w14:paraId="69E055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研磨过滤器</w:t>
            </w:r>
          </w:p>
        </w:tc>
        <w:tc>
          <w:tcPr>
            <w:tcW w:w="4897" w:type="dxa"/>
            <w:shd w:val="clear" w:color="auto" w:fill="auto"/>
            <w:vAlign w:val="center"/>
          </w:tcPr>
          <w:p w14:paraId="5E402E8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容量20mL</w:t>
            </w:r>
          </w:p>
        </w:tc>
        <w:tc>
          <w:tcPr>
            <w:tcW w:w="462" w:type="dxa"/>
            <w:shd w:val="clear" w:color="auto" w:fill="auto"/>
            <w:noWrap/>
            <w:vAlign w:val="center"/>
          </w:tcPr>
          <w:p w14:paraId="5F453B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E0189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C072B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489" w:type="dxa"/>
            <w:shd w:val="clear" w:color="auto" w:fill="auto"/>
            <w:noWrap/>
            <w:vAlign w:val="center"/>
          </w:tcPr>
          <w:p w14:paraId="5A287D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264</w:t>
            </w:r>
          </w:p>
        </w:tc>
      </w:tr>
      <w:tr w14:paraId="0808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A7C696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31</w:t>
            </w:r>
          </w:p>
        </w:tc>
        <w:tc>
          <w:tcPr>
            <w:tcW w:w="1072" w:type="dxa"/>
            <w:shd w:val="clear" w:color="auto" w:fill="auto"/>
            <w:vAlign w:val="center"/>
          </w:tcPr>
          <w:p w14:paraId="01E3A0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w:t>
            </w:r>
          </w:p>
        </w:tc>
        <w:tc>
          <w:tcPr>
            <w:tcW w:w="4897" w:type="dxa"/>
            <w:shd w:val="clear" w:color="auto" w:fill="auto"/>
            <w:vAlign w:val="center"/>
          </w:tcPr>
          <w:p w14:paraId="14942EA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0.1μL</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2.5μL</w:t>
            </w:r>
          </w:p>
        </w:tc>
        <w:tc>
          <w:tcPr>
            <w:tcW w:w="462" w:type="dxa"/>
            <w:shd w:val="clear" w:color="auto" w:fill="auto"/>
            <w:noWrap/>
            <w:vAlign w:val="center"/>
          </w:tcPr>
          <w:p w14:paraId="13CE6A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70E50D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E3C04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79</w:t>
            </w:r>
          </w:p>
        </w:tc>
        <w:tc>
          <w:tcPr>
            <w:tcW w:w="1489" w:type="dxa"/>
            <w:shd w:val="clear" w:color="auto" w:fill="auto"/>
            <w:noWrap/>
            <w:vAlign w:val="center"/>
          </w:tcPr>
          <w:p w14:paraId="7F9812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869</w:t>
            </w:r>
          </w:p>
        </w:tc>
      </w:tr>
      <w:tr w14:paraId="1037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C7151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32</w:t>
            </w:r>
          </w:p>
        </w:tc>
        <w:tc>
          <w:tcPr>
            <w:tcW w:w="1072" w:type="dxa"/>
            <w:shd w:val="clear" w:color="auto" w:fill="auto"/>
            <w:vAlign w:val="center"/>
          </w:tcPr>
          <w:p w14:paraId="48804D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w:t>
            </w:r>
          </w:p>
        </w:tc>
        <w:tc>
          <w:tcPr>
            <w:tcW w:w="4897" w:type="dxa"/>
            <w:shd w:val="clear" w:color="auto" w:fill="auto"/>
            <w:vAlign w:val="center"/>
          </w:tcPr>
          <w:p w14:paraId="7D251CA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0.5μL</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10μL</w:t>
            </w:r>
          </w:p>
        </w:tc>
        <w:tc>
          <w:tcPr>
            <w:tcW w:w="462" w:type="dxa"/>
            <w:shd w:val="clear" w:color="auto" w:fill="auto"/>
            <w:noWrap/>
            <w:vAlign w:val="center"/>
          </w:tcPr>
          <w:p w14:paraId="13CA6A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575EAD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6229C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80</w:t>
            </w:r>
          </w:p>
        </w:tc>
        <w:tc>
          <w:tcPr>
            <w:tcW w:w="1489" w:type="dxa"/>
            <w:shd w:val="clear" w:color="auto" w:fill="auto"/>
            <w:noWrap/>
            <w:vAlign w:val="center"/>
          </w:tcPr>
          <w:p w14:paraId="58D8CC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880</w:t>
            </w:r>
          </w:p>
        </w:tc>
      </w:tr>
      <w:tr w14:paraId="6A44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1A438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33</w:t>
            </w:r>
          </w:p>
        </w:tc>
        <w:tc>
          <w:tcPr>
            <w:tcW w:w="1072" w:type="dxa"/>
            <w:shd w:val="clear" w:color="auto" w:fill="auto"/>
            <w:vAlign w:val="center"/>
          </w:tcPr>
          <w:p w14:paraId="559D72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w:t>
            </w:r>
          </w:p>
        </w:tc>
        <w:tc>
          <w:tcPr>
            <w:tcW w:w="4897" w:type="dxa"/>
            <w:shd w:val="clear" w:color="auto" w:fill="auto"/>
            <w:vAlign w:val="center"/>
          </w:tcPr>
          <w:p w14:paraId="142F240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10μL</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100μL</w:t>
            </w:r>
          </w:p>
        </w:tc>
        <w:tc>
          <w:tcPr>
            <w:tcW w:w="462" w:type="dxa"/>
            <w:shd w:val="clear" w:color="auto" w:fill="auto"/>
            <w:noWrap/>
            <w:vAlign w:val="center"/>
          </w:tcPr>
          <w:p w14:paraId="6F86703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138CE7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FA723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84</w:t>
            </w:r>
          </w:p>
        </w:tc>
        <w:tc>
          <w:tcPr>
            <w:tcW w:w="1489" w:type="dxa"/>
            <w:shd w:val="clear" w:color="auto" w:fill="auto"/>
            <w:noWrap/>
            <w:vAlign w:val="center"/>
          </w:tcPr>
          <w:p w14:paraId="6A195E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924</w:t>
            </w:r>
          </w:p>
        </w:tc>
      </w:tr>
      <w:tr w14:paraId="709D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08625C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34</w:t>
            </w:r>
          </w:p>
        </w:tc>
        <w:tc>
          <w:tcPr>
            <w:tcW w:w="1072" w:type="dxa"/>
            <w:shd w:val="clear" w:color="auto" w:fill="auto"/>
            <w:vAlign w:val="center"/>
          </w:tcPr>
          <w:p w14:paraId="6563A6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w:t>
            </w:r>
          </w:p>
        </w:tc>
        <w:tc>
          <w:tcPr>
            <w:tcW w:w="4897" w:type="dxa"/>
            <w:shd w:val="clear" w:color="auto" w:fill="auto"/>
            <w:vAlign w:val="center"/>
          </w:tcPr>
          <w:p w14:paraId="3AE9C07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100μL</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1000μL</w:t>
            </w:r>
          </w:p>
        </w:tc>
        <w:tc>
          <w:tcPr>
            <w:tcW w:w="462" w:type="dxa"/>
            <w:shd w:val="clear" w:color="auto" w:fill="auto"/>
            <w:noWrap/>
            <w:vAlign w:val="center"/>
          </w:tcPr>
          <w:p w14:paraId="34898C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1BCF45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799D1F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87</w:t>
            </w:r>
          </w:p>
        </w:tc>
        <w:tc>
          <w:tcPr>
            <w:tcW w:w="1489" w:type="dxa"/>
            <w:shd w:val="clear" w:color="auto" w:fill="auto"/>
            <w:noWrap/>
            <w:vAlign w:val="center"/>
          </w:tcPr>
          <w:p w14:paraId="1BD5B5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957</w:t>
            </w:r>
          </w:p>
        </w:tc>
      </w:tr>
      <w:tr w14:paraId="6A5D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0FF055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35</w:t>
            </w:r>
          </w:p>
        </w:tc>
        <w:tc>
          <w:tcPr>
            <w:tcW w:w="1072" w:type="dxa"/>
            <w:shd w:val="clear" w:color="auto" w:fill="auto"/>
            <w:vAlign w:val="center"/>
          </w:tcPr>
          <w:p w14:paraId="027C66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w:t>
            </w:r>
          </w:p>
        </w:tc>
        <w:tc>
          <w:tcPr>
            <w:tcW w:w="4897" w:type="dxa"/>
            <w:shd w:val="clear" w:color="auto" w:fill="auto"/>
            <w:vAlign w:val="center"/>
          </w:tcPr>
          <w:p w14:paraId="798151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1mL</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5mL</w:t>
            </w:r>
          </w:p>
        </w:tc>
        <w:tc>
          <w:tcPr>
            <w:tcW w:w="462" w:type="dxa"/>
            <w:shd w:val="clear" w:color="auto" w:fill="auto"/>
            <w:noWrap/>
            <w:vAlign w:val="center"/>
          </w:tcPr>
          <w:p w14:paraId="7112BD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76FDC0B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7FD793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92</w:t>
            </w:r>
          </w:p>
        </w:tc>
        <w:tc>
          <w:tcPr>
            <w:tcW w:w="1489" w:type="dxa"/>
            <w:shd w:val="clear" w:color="auto" w:fill="auto"/>
            <w:noWrap/>
            <w:vAlign w:val="center"/>
          </w:tcPr>
          <w:p w14:paraId="0C5315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1012</w:t>
            </w:r>
          </w:p>
        </w:tc>
      </w:tr>
      <w:tr w14:paraId="6AD4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797D43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36</w:t>
            </w:r>
          </w:p>
        </w:tc>
        <w:tc>
          <w:tcPr>
            <w:tcW w:w="1072" w:type="dxa"/>
            <w:shd w:val="clear" w:color="auto" w:fill="auto"/>
            <w:vAlign w:val="center"/>
          </w:tcPr>
          <w:p w14:paraId="06B437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接种环</w:t>
            </w:r>
          </w:p>
        </w:tc>
        <w:tc>
          <w:tcPr>
            <w:tcW w:w="4897" w:type="dxa"/>
            <w:shd w:val="clear" w:color="auto" w:fill="auto"/>
            <w:vAlign w:val="center"/>
          </w:tcPr>
          <w:p w14:paraId="4AB423A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接种棒为铜或不锈钢材质，接种丝为耐热合金，环内径2mm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3mm</w:t>
            </w:r>
          </w:p>
        </w:tc>
        <w:tc>
          <w:tcPr>
            <w:tcW w:w="462" w:type="dxa"/>
            <w:shd w:val="clear" w:color="auto" w:fill="auto"/>
            <w:noWrap/>
            <w:vAlign w:val="center"/>
          </w:tcPr>
          <w:p w14:paraId="7BC904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69BCAB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0619E8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2B0B47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132</w:t>
            </w:r>
          </w:p>
        </w:tc>
      </w:tr>
      <w:tr w14:paraId="3122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67FB25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37</w:t>
            </w:r>
          </w:p>
        </w:tc>
        <w:tc>
          <w:tcPr>
            <w:tcW w:w="1072" w:type="dxa"/>
            <w:shd w:val="clear" w:color="auto" w:fill="auto"/>
            <w:vAlign w:val="center"/>
          </w:tcPr>
          <w:p w14:paraId="1BE8D4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铁架台</w:t>
            </w:r>
          </w:p>
        </w:tc>
        <w:tc>
          <w:tcPr>
            <w:tcW w:w="4897" w:type="dxa"/>
            <w:shd w:val="clear" w:color="auto" w:fill="auto"/>
            <w:vAlign w:val="center"/>
          </w:tcPr>
          <w:p w14:paraId="4E2DDF56">
            <w:pPr>
              <w:widowControl/>
              <w:jc w:val="left"/>
              <w:textAlignment w:val="center"/>
              <w:rPr>
                <w:rFonts w:ascii="宋体" w:hAnsi="宋体" w:cs="宋体"/>
                <w:kern w:val="0"/>
                <w:sz w:val="20"/>
                <w:szCs w:val="20"/>
              </w:rPr>
            </w:pPr>
            <w:r>
              <w:rPr>
                <w:rFonts w:hint="eastAsia" w:ascii="宋体" w:hAnsi="宋体" w:cs="宋体"/>
                <w:color w:val="000000"/>
                <w:kern w:val="0"/>
                <w:sz w:val="22"/>
                <w:szCs w:val="22"/>
                <w:lang w:bidi="ar"/>
              </w:rPr>
              <w:t>方形座，含铁夹、复夹、铁圈，重心稳定不晃动，夹持器内侧应有石棉垫或橡胶垫衬</w:t>
            </w:r>
          </w:p>
        </w:tc>
        <w:tc>
          <w:tcPr>
            <w:tcW w:w="462" w:type="dxa"/>
            <w:shd w:val="clear" w:color="auto" w:fill="auto"/>
            <w:noWrap/>
            <w:vAlign w:val="center"/>
          </w:tcPr>
          <w:p w14:paraId="50DDCB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67C544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5D9AC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83</w:t>
            </w:r>
          </w:p>
        </w:tc>
        <w:tc>
          <w:tcPr>
            <w:tcW w:w="1489" w:type="dxa"/>
            <w:shd w:val="clear" w:color="auto" w:fill="auto"/>
            <w:noWrap/>
            <w:vAlign w:val="center"/>
          </w:tcPr>
          <w:p w14:paraId="5AB371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913</w:t>
            </w:r>
          </w:p>
        </w:tc>
      </w:tr>
      <w:tr w14:paraId="784A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9B49FB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38</w:t>
            </w:r>
          </w:p>
        </w:tc>
        <w:tc>
          <w:tcPr>
            <w:tcW w:w="1072" w:type="dxa"/>
            <w:shd w:val="clear" w:color="auto" w:fill="auto"/>
            <w:vAlign w:val="center"/>
          </w:tcPr>
          <w:p w14:paraId="715F31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三脚架</w:t>
            </w:r>
          </w:p>
        </w:tc>
        <w:tc>
          <w:tcPr>
            <w:tcW w:w="4897" w:type="dxa"/>
            <w:shd w:val="clear" w:color="auto" w:fill="auto"/>
            <w:vAlign w:val="center"/>
          </w:tcPr>
          <w:p w14:paraId="6BE7B5D3">
            <w:pPr>
              <w:widowControl/>
              <w:jc w:val="left"/>
              <w:textAlignment w:val="center"/>
              <w:rPr>
                <w:rFonts w:ascii="宋体" w:hAnsi="宋体" w:cs="宋体"/>
                <w:kern w:val="0"/>
                <w:sz w:val="20"/>
                <w:szCs w:val="20"/>
              </w:rPr>
            </w:pPr>
            <w:r>
              <w:rPr>
                <w:rFonts w:hint="eastAsia" w:ascii="宋体" w:hAnsi="宋体" w:cs="宋体"/>
                <w:color w:val="000000"/>
                <w:kern w:val="0"/>
                <w:sz w:val="22"/>
                <w:szCs w:val="22"/>
                <w:lang w:bidi="ar"/>
              </w:rPr>
              <w:t>铁质，环内径75mm,高150mm</w:t>
            </w:r>
          </w:p>
        </w:tc>
        <w:tc>
          <w:tcPr>
            <w:tcW w:w="462" w:type="dxa"/>
            <w:shd w:val="clear" w:color="auto" w:fill="auto"/>
            <w:noWrap/>
            <w:vAlign w:val="center"/>
          </w:tcPr>
          <w:p w14:paraId="33373D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951E0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052868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7A2F01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77</w:t>
            </w:r>
          </w:p>
        </w:tc>
      </w:tr>
      <w:tr w14:paraId="4973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5F13C6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39</w:t>
            </w:r>
          </w:p>
        </w:tc>
        <w:tc>
          <w:tcPr>
            <w:tcW w:w="1072" w:type="dxa"/>
            <w:shd w:val="clear" w:color="auto" w:fill="auto"/>
            <w:vAlign w:val="center"/>
          </w:tcPr>
          <w:p w14:paraId="72A751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试管架</w:t>
            </w:r>
          </w:p>
        </w:tc>
        <w:tc>
          <w:tcPr>
            <w:tcW w:w="4897" w:type="dxa"/>
            <w:shd w:val="clear" w:color="auto" w:fill="auto"/>
            <w:vAlign w:val="center"/>
          </w:tcPr>
          <w:p w14:paraId="17F9EE28">
            <w:pPr>
              <w:widowControl/>
              <w:jc w:val="left"/>
              <w:textAlignment w:val="center"/>
              <w:rPr>
                <w:rFonts w:ascii="宋体" w:hAnsi="宋体" w:cs="宋体"/>
                <w:kern w:val="0"/>
                <w:sz w:val="20"/>
                <w:szCs w:val="20"/>
              </w:rPr>
            </w:pPr>
            <w:r>
              <w:rPr>
                <w:rFonts w:hint="eastAsia" w:ascii="宋体" w:hAnsi="宋体" w:cs="宋体"/>
                <w:color w:val="000000"/>
                <w:kern w:val="0"/>
                <w:sz w:val="22"/>
                <w:szCs w:val="22"/>
                <w:lang w:bidi="ar"/>
              </w:rPr>
              <w:t>木质或塑料质，8孔，孔径21mm，立柱黏结牢固</w:t>
            </w:r>
          </w:p>
        </w:tc>
        <w:tc>
          <w:tcPr>
            <w:tcW w:w="462" w:type="dxa"/>
            <w:shd w:val="clear" w:color="auto" w:fill="auto"/>
            <w:noWrap/>
            <w:vAlign w:val="center"/>
          </w:tcPr>
          <w:p w14:paraId="6A322F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25519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35BECD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73DEE7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143</w:t>
            </w:r>
          </w:p>
        </w:tc>
      </w:tr>
      <w:tr w14:paraId="6BD0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7A999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40</w:t>
            </w:r>
          </w:p>
        </w:tc>
        <w:tc>
          <w:tcPr>
            <w:tcW w:w="1072" w:type="dxa"/>
            <w:shd w:val="clear" w:color="auto" w:fill="auto"/>
            <w:vAlign w:val="center"/>
          </w:tcPr>
          <w:p w14:paraId="40627F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注射器架</w:t>
            </w:r>
          </w:p>
        </w:tc>
        <w:tc>
          <w:tcPr>
            <w:tcW w:w="4897" w:type="dxa"/>
            <w:shd w:val="clear" w:color="auto" w:fill="auto"/>
            <w:vAlign w:val="center"/>
          </w:tcPr>
          <w:p w14:paraId="1DCC09EC">
            <w:pPr>
              <w:widowControl/>
              <w:jc w:val="left"/>
              <w:textAlignment w:val="center"/>
              <w:rPr>
                <w:rFonts w:ascii="宋体" w:hAnsi="宋体" w:cs="宋体"/>
                <w:kern w:val="0"/>
                <w:sz w:val="20"/>
                <w:szCs w:val="20"/>
              </w:rPr>
            </w:pPr>
            <w:r>
              <w:rPr>
                <w:rFonts w:hint="eastAsia" w:ascii="宋体" w:hAnsi="宋体" w:cs="宋体"/>
                <w:color w:val="000000"/>
                <w:kern w:val="0"/>
                <w:sz w:val="22"/>
                <w:szCs w:val="22"/>
                <w:lang w:bidi="ar"/>
              </w:rPr>
              <w:t>有机玻璃，高度25cm，孔径35mm</w:t>
            </w:r>
          </w:p>
        </w:tc>
        <w:tc>
          <w:tcPr>
            <w:tcW w:w="462" w:type="dxa"/>
            <w:shd w:val="clear" w:color="auto" w:fill="auto"/>
            <w:noWrap/>
            <w:vAlign w:val="center"/>
          </w:tcPr>
          <w:p w14:paraId="37A571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0FC98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556D41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w:t>
            </w:r>
          </w:p>
        </w:tc>
        <w:tc>
          <w:tcPr>
            <w:tcW w:w="1489" w:type="dxa"/>
            <w:shd w:val="clear" w:color="auto" w:fill="auto"/>
            <w:noWrap/>
            <w:vAlign w:val="center"/>
          </w:tcPr>
          <w:p w14:paraId="5B79D4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297</w:t>
            </w:r>
          </w:p>
        </w:tc>
      </w:tr>
      <w:tr w14:paraId="2D4D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4714C0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41</w:t>
            </w:r>
          </w:p>
        </w:tc>
        <w:tc>
          <w:tcPr>
            <w:tcW w:w="1072" w:type="dxa"/>
            <w:shd w:val="clear" w:color="auto" w:fill="auto"/>
            <w:vAlign w:val="center"/>
          </w:tcPr>
          <w:p w14:paraId="497ECB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移液器架</w:t>
            </w:r>
          </w:p>
        </w:tc>
        <w:tc>
          <w:tcPr>
            <w:tcW w:w="4897" w:type="dxa"/>
            <w:shd w:val="clear" w:color="auto" w:fill="auto"/>
            <w:vAlign w:val="center"/>
          </w:tcPr>
          <w:p w14:paraId="2057FCCC">
            <w:pPr>
              <w:widowControl/>
              <w:jc w:val="left"/>
              <w:textAlignment w:val="center"/>
              <w:rPr>
                <w:rFonts w:ascii="宋体" w:hAnsi="宋体" w:cs="宋体"/>
                <w:kern w:val="0"/>
                <w:sz w:val="20"/>
                <w:szCs w:val="20"/>
              </w:rPr>
            </w:pPr>
            <w:r>
              <w:rPr>
                <w:rFonts w:hint="eastAsia" w:ascii="宋体" w:hAnsi="宋体" w:cs="宋体"/>
                <w:color w:val="000000"/>
                <w:kern w:val="0"/>
                <w:sz w:val="22"/>
                <w:szCs w:val="22"/>
                <w:lang w:bidi="ar"/>
              </w:rPr>
              <w:t>塑料或亚克力材质，可放置5支移液器</w:t>
            </w:r>
          </w:p>
        </w:tc>
        <w:tc>
          <w:tcPr>
            <w:tcW w:w="462" w:type="dxa"/>
            <w:shd w:val="clear" w:color="auto" w:fill="auto"/>
            <w:noWrap/>
            <w:vAlign w:val="center"/>
          </w:tcPr>
          <w:p w14:paraId="6A89CE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3D2BD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06C8F5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156</w:t>
            </w:r>
          </w:p>
        </w:tc>
        <w:tc>
          <w:tcPr>
            <w:tcW w:w="1489" w:type="dxa"/>
            <w:shd w:val="clear" w:color="auto" w:fill="auto"/>
            <w:noWrap/>
            <w:vAlign w:val="center"/>
          </w:tcPr>
          <w:p w14:paraId="66823C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1716</w:t>
            </w:r>
          </w:p>
        </w:tc>
      </w:tr>
      <w:tr w14:paraId="4932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6FBC3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42</w:t>
            </w:r>
          </w:p>
        </w:tc>
        <w:tc>
          <w:tcPr>
            <w:tcW w:w="1072" w:type="dxa"/>
            <w:shd w:val="clear" w:color="auto" w:fill="auto"/>
            <w:vAlign w:val="center"/>
          </w:tcPr>
          <w:p w14:paraId="29955A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移液管架</w:t>
            </w:r>
          </w:p>
        </w:tc>
        <w:tc>
          <w:tcPr>
            <w:tcW w:w="4897" w:type="dxa"/>
            <w:shd w:val="clear" w:color="auto" w:fill="auto"/>
            <w:vAlign w:val="center"/>
          </w:tcPr>
          <w:p w14:paraId="61B7577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塑料或亚克力材质</w:t>
            </w:r>
          </w:p>
        </w:tc>
        <w:tc>
          <w:tcPr>
            <w:tcW w:w="462" w:type="dxa"/>
            <w:shd w:val="clear" w:color="auto" w:fill="auto"/>
            <w:noWrap/>
            <w:vAlign w:val="center"/>
          </w:tcPr>
          <w:p w14:paraId="51A3D3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4E3F9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08F31F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156</w:t>
            </w:r>
          </w:p>
        </w:tc>
        <w:tc>
          <w:tcPr>
            <w:tcW w:w="1489" w:type="dxa"/>
            <w:shd w:val="clear" w:color="auto" w:fill="auto"/>
            <w:noWrap/>
            <w:vAlign w:val="center"/>
          </w:tcPr>
          <w:p w14:paraId="71FE70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1716</w:t>
            </w:r>
          </w:p>
        </w:tc>
      </w:tr>
      <w:tr w14:paraId="2AE0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05E80B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43</w:t>
            </w:r>
          </w:p>
        </w:tc>
        <w:tc>
          <w:tcPr>
            <w:tcW w:w="1072" w:type="dxa"/>
            <w:shd w:val="clear" w:color="auto" w:fill="auto"/>
            <w:vAlign w:val="center"/>
          </w:tcPr>
          <w:p w14:paraId="047CDE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直尺</w:t>
            </w:r>
          </w:p>
        </w:tc>
        <w:tc>
          <w:tcPr>
            <w:tcW w:w="4897" w:type="dxa"/>
            <w:shd w:val="clear" w:color="auto" w:fill="auto"/>
            <w:vAlign w:val="center"/>
          </w:tcPr>
          <w:p w14:paraId="4566003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500mm</w:t>
            </w:r>
          </w:p>
        </w:tc>
        <w:tc>
          <w:tcPr>
            <w:tcW w:w="462" w:type="dxa"/>
            <w:shd w:val="clear" w:color="auto" w:fill="auto"/>
            <w:noWrap/>
            <w:vAlign w:val="center"/>
          </w:tcPr>
          <w:p w14:paraId="7522C0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513B1B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3A994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7BB005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w:t>
            </w:r>
          </w:p>
        </w:tc>
      </w:tr>
      <w:tr w14:paraId="6984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348AE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44</w:t>
            </w:r>
          </w:p>
        </w:tc>
        <w:tc>
          <w:tcPr>
            <w:tcW w:w="1072" w:type="dxa"/>
            <w:shd w:val="clear" w:color="auto" w:fill="auto"/>
            <w:vAlign w:val="center"/>
          </w:tcPr>
          <w:p w14:paraId="4AC0BE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软尺</w:t>
            </w:r>
          </w:p>
        </w:tc>
        <w:tc>
          <w:tcPr>
            <w:tcW w:w="4897" w:type="dxa"/>
            <w:shd w:val="clear" w:color="auto" w:fill="auto"/>
            <w:vAlign w:val="center"/>
          </w:tcPr>
          <w:p w14:paraId="5F62532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1500mm</w:t>
            </w:r>
          </w:p>
        </w:tc>
        <w:tc>
          <w:tcPr>
            <w:tcW w:w="462" w:type="dxa"/>
            <w:shd w:val="clear" w:color="auto" w:fill="auto"/>
            <w:noWrap/>
            <w:vAlign w:val="center"/>
          </w:tcPr>
          <w:p w14:paraId="5A1D71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36A30B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2804D0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5BBFD6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r>
      <w:tr w14:paraId="5496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1493A1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45</w:t>
            </w:r>
          </w:p>
        </w:tc>
        <w:tc>
          <w:tcPr>
            <w:tcW w:w="1072" w:type="dxa"/>
            <w:shd w:val="clear" w:color="auto" w:fill="auto"/>
            <w:vAlign w:val="center"/>
          </w:tcPr>
          <w:p w14:paraId="114654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电子天平</w:t>
            </w:r>
          </w:p>
        </w:tc>
        <w:tc>
          <w:tcPr>
            <w:tcW w:w="4897" w:type="dxa"/>
            <w:shd w:val="clear" w:color="auto" w:fill="auto"/>
            <w:vAlign w:val="center"/>
          </w:tcPr>
          <w:p w14:paraId="521FE6C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1、量程200g。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2、读数精度：0.1g。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3、采用高精度应变式称量传感器。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4、自动外置砝码校准，标配砝码操作简便。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5、可拆卸式方形透明防风罩。</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6、数码显示。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7、具有超载保护及去皮，计数等功能。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8、产品应符合JJG1036-2008《电子天平》。</w:t>
            </w:r>
          </w:p>
        </w:tc>
        <w:tc>
          <w:tcPr>
            <w:tcW w:w="462" w:type="dxa"/>
            <w:shd w:val="clear" w:color="auto" w:fill="auto"/>
            <w:noWrap/>
            <w:vAlign w:val="center"/>
          </w:tcPr>
          <w:p w14:paraId="2CE53C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14D18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359F1E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291</w:t>
            </w:r>
          </w:p>
        </w:tc>
        <w:tc>
          <w:tcPr>
            <w:tcW w:w="1489" w:type="dxa"/>
            <w:shd w:val="clear" w:color="auto" w:fill="auto"/>
            <w:noWrap/>
            <w:vAlign w:val="center"/>
          </w:tcPr>
          <w:p w14:paraId="3455A4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3201</w:t>
            </w:r>
          </w:p>
        </w:tc>
      </w:tr>
      <w:tr w14:paraId="6F0E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DC1D89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46</w:t>
            </w:r>
          </w:p>
        </w:tc>
        <w:tc>
          <w:tcPr>
            <w:tcW w:w="1072" w:type="dxa"/>
            <w:shd w:val="clear" w:color="auto" w:fill="auto"/>
            <w:vAlign w:val="center"/>
          </w:tcPr>
          <w:p w14:paraId="009E9A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电子天平</w:t>
            </w:r>
          </w:p>
        </w:tc>
        <w:tc>
          <w:tcPr>
            <w:tcW w:w="4897" w:type="dxa"/>
            <w:shd w:val="clear" w:color="auto" w:fill="auto"/>
            <w:vAlign w:val="center"/>
          </w:tcPr>
          <w:p w14:paraId="5F9460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1、量程：100g；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2、计数精度：0.001g。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3、称盘尺寸：圆盘ф130mm。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4、电源电压：220VAC。</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5、采用高精度电磁平衡传达室感器，LED显示。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6、具有计数、确认、清零、校准。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7、防风罩一套，采用透明塑料注塑成型。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8、校准砝码1个。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9、主机形尺寸：185mm×235mm×50mm。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专用型，全时段分辨力0.01s；有防震、防水功能，电池更换周期≥1.5年</w:t>
            </w:r>
          </w:p>
        </w:tc>
        <w:tc>
          <w:tcPr>
            <w:tcW w:w="462" w:type="dxa"/>
            <w:shd w:val="clear" w:color="auto" w:fill="auto"/>
            <w:noWrap/>
            <w:vAlign w:val="center"/>
          </w:tcPr>
          <w:p w14:paraId="5A52D7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723B5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FF5FC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424</w:t>
            </w:r>
          </w:p>
        </w:tc>
        <w:tc>
          <w:tcPr>
            <w:tcW w:w="1489" w:type="dxa"/>
            <w:shd w:val="clear" w:color="auto" w:fill="auto"/>
            <w:noWrap/>
            <w:vAlign w:val="center"/>
          </w:tcPr>
          <w:p w14:paraId="4AD882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424</w:t>
            </w:r>
          </w:p>
        </w:tc>
      </w:tr>
      <w:tr w14:paraId="06DE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CE572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47</w:t>
            </w:r>
          </w:p>
        </w:tc>
        <w:tc>
          <w:tcPr>
            <w:tcW w:w="1072" w:type="dxa"/>
            <w:shd w:val="clear" w:color="auto" w:fill="auto"/>
            <w:vAlign w:val="center"/>
          </w:tcPr>
          <w:p w14:paraId="6DF13F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电子秒表</w:t>
            </w:r>
          </w:p>
        </w:tc>
        <w:tc>
          <w:tcPr>
            <w:tcW w:w="4897" w:type="dxa"/>
            <w:shd w:val="clear" w:color="auto" w:fill="auto"/>
            <w:vAlign w:val="center"/>
          </w:tcPr>
          <w:p w14:paraId="5B20687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专用型，全时段分辨力0.01s；有防震、防水功能，电池更换周期≥1.5年</w:t>
            </w:r>
          </w:p>
        </w:tc>
        <w:tc>
          <w:tcPr>
            <w:tcW w:w="462" w:type="dxa"/>
            <w:shd w:val="clear" w:color="auto" w:fill="auto"/>
            <w:noWrap/>
            <w:vAlign w:val="center"/>
          </w:tcPr>
          <w:p w14:paraId="05540E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4C773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729C8C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w:t>
            </w:r>
          </w:p>
        </w:tc>
        <w:tc>
          <w:tcPr>
            <w:tcW w:w="1489" w:type="dxa"/>
            <w:shd w:val="clear" w:color="auto" w:fill="auto"/>
            <w:noWrap/>
            <w:vAlign w:val="center"/>
          </w:tcPr>
          <w:p w14:paraId="7ABB84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286</w:t>
            </w:r>
          </w:p>
        </w:tc>
      </w:tr>
      <w:tr w14:paraId="5EF5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82F9AF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48</w:t>
            </w:r>
          </w:p>
        </w:tc>
        <w:tc>
          <w:tcPr>
            <w:tcW w:w="1072" w:type="dxa"/>
            <w:shd w:val="clear" w:color="auto" w:fill="auto"/>
            <w:vAlign w:val="center"/>
          </w:tcPr>
          <w:p w14:paraId="455951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红液温度计</w:t>
            </w:r>
          </w:p>
        </w:tc>
        <w:tc>
          <w:tcPr>
            <w:tcW w:w="4897" w:type="dxa"/>
            <w:shd w:val="clear" w:color="auto" w:fill="auto"/>
            <w:vAlign w:val="center"/>
          </w:tcPr>
          <w:p w14:paraId="0EA6A4D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 红液。</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 全长：约280mm；外径：5mm－6mm；头长：约10mm。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 测量范围：0－100℃；最小分度值：1℃；允许误差±1℃。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4．玻管要直，不得弯曲，不得崩损缺口，红液不得断线。</w:t>
            </w:r>
          </w:p>
        </w:tc>
        <w:tc>
          <w:tcPr>
            <w:tcW w:w="462" w:type="dxa"/>
            <w:shd w:val="clear" w:color="auto" w:fill="auto"/>
            <w:noWrap/>
            <w:vAlign w:val="center"/>
          </w:tcPr>
          <w:p w14:paraId="2A0DA0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7CE2A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6B3081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EE7D5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28A4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0C5CB8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49</w:t>
            </w:r>
          </w:p>
        </w:tc>
        <w:tc>
          <w:tcPr>
            <w:tcW w:w="1072" w:type="dxa"/>
            <w:shd w:val="clear" w:color="auto" w:fill="auto"/>
            <w:vAlign w:val="center"/>
          </w:tcPr>
          <w:p w14:paraId="3F1DEB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水银温度计</w:t>
            </w:r>
          </w:p>
        </w:tc>
        <w:tc>
          <w:tcPr>
            <w:tcW w:w="4897" w:type="dxa"/>
            <w:shd w:val="clear" w:color="auto" w:fill="auto"/>
            <w:vAlign w:val="center"/>
          </w:tcPr>
          <w:p w14:paraId="79E2ADE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   感温物质：水银。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2．测量范围：0－200℃；最小分度值：1℃；允许误差±1℃。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3．玻璃应光洁透明，不得有裂痕。毛细管不得有明显的弯曲现象，其孔径应均匀，管壁内应清洁无杂质。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4．感温液体（水银）必须纯洁、无杂质。液线不得中断。</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   有保护套。</w:t>
            </w:r>
          </w:p>
        </w:tc>
        <w:tc>
          <w:tcPr>
            <w:tcW w:w="462" w:type="dxa"/>
            <w:shd w:val="clear" w:color="auto" w:fill="auto"/>
            <w:noWrap/>
            <w:vAlign w:val="center"/>
          </w:tcPr>
          <w:p w14:paraId="083684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2E7BBB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5BD319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4C926E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r>
      <w:tr w14:paraId="476B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87E6C1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50</w:t>
            </w:r>
          </w:p>
        </w:tc>
        <w:tc>
          <w:tcPr>
            <w:tcW w:w="1072" w:type="dxa"/>
            <w:shd w:val="clear" w:color="auto" w:fill="auto"/>
            <w:vAlign w:val="center"/>
          </w:tcPr>
          <w:p w14:paraId="0504BB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干湿球温度计</w:t>
            </w:r>
          </w:p>
        </w:tc>
        <w:tc>
          <w:tcPr>
            <w:tcW w:w="4897" w:type="dxa"/>
            <w:shd w:val="clear" w:color="auto" w:fill="auto"/>
            <w:vAlign w:val="center"/>
          </w:tcPr>
          <w:p w14:paraId="218B39C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-10℃-50℃,分度值0.5℃；测量湿度0-100%</w:t>
            </w:r>
          </w:p>
        </w:tc>
        <w:tc>
          <w:tcPr>
            <w:tcW w:w="462" w:type="dxa"/>
            <w:shd w:val="clear" w:color="auto" w:fill="auto"/>
            <w:noWrap/>
            <w:vAlign w:val="center"/>
          </w:tcPr>
          <w:p w14:paraId="753547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80079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54604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4A2D50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88</w:t>
            </w:r>
          </w:p>
        </w:tc>
      </w:tr>
      <w:tr w14:paraId="4CDF9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4204D2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51</w:t>
            </w:r>
          </w:p>
        </w:tc>
        <w:tc>
          <w:tcPr>
            <w:tcW w:w="1072" w:type="dxa"/>
            <w:shd w:val="clear" w:color="auto" w:fill="auto"/>
            <w:vAlign w:val="center"/>
          </w:tcPr>
          <w:p w14:paraId="363D96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计数器</w:t>
            </w:r>
          </w:p>
        </w:tc>
        <w:tc>
          <w:tcPr>
            <w:tcW w:w="4897" w:type="dxa"/>
            <w:shd w:val="clear" w:color="auto" w:fill="auto"/>
            <w:vAlign w:val="center"/>
          </w:tcPr>
          <w:p w14:paraId="73C6A6C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手持式</w:t>
            </w:r>
          </w:p>
        </w:tc>
        <w:tc>
          <w:tcPr>
            <w:tcW w:w="462" w:type="dxa"/>
            <w:shd w:val="clear" w:color="auto" w:fill="auto"/>
            <w:noWrap/>
            <w:vAlign w:val="center"/>
          </w:tcPr>
          <w:p w14:paraId="26F9C3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6D5203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494199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noWrap/>
            <w:vAlign w:val="center"/>
          </w:tcPr>
          <w:p w14:paraId="74A3D9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121</w:t>
            </w:r>
          </w:p>
        </w:tc>
      </w:tr>
      <w:tr w14:paraId="5040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7D4605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52</w:t>
            </w:r>
          </w:p>
        </w:tc>
        <w:tc>
          <w:tcPr>
            <w:tcW w:w="1072" w:type="dxa"/>
            <w:shd w:val="clear" w:color="auto" w:fill="auto"/>
            <w:vAlign w:val="center"/>
          </w:tcPr>
          <w:p w14:paraId="698037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血球计数板</w:t>
            </w:r>
          </w:p>
        </w:tc>
        <w:tc>
          <w:tcPr>
            <w:tcW w:w="4897" w:type="dxa"/>
            <w:shd w:val="clear" w:color="auto" w:fill="auto"/>
            <w:vAlign w:val="center"/>
          </w:tcPr>
          <w:p w14:paraId="76E5CF4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H型凹槽，两个计数池，计数池深度0.1mm</w:t>
            </w:r>
          </w:p>
        </w:tc>
        <w:tc>
          <w:tcPr>
            <w:tcW w:w="462" w:type="dxa"/>
            <w:shd w:val="clear" w:color="auto" w:fill="auto"/>
            <w:noWrap/>
            <w:vAlign w:val="center"/>
          </w:tcPr>
          <w:p w14:paraId="694DBD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6663D2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E95BD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489" w:type="dxa"/>
            <w:shd w:val="clear" w:color="auto" w:fill="auto"/>
            <w:noWrap/>
            <w:vAlign w:val="center"/>
          </w:tcPr>
          <w:p w14:paraId="719731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396</w:t>
            </w:r>
          </w:p>
        </w:tc>
      </w:tr>
      <w:tr w14:paraId="4116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39D9E2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53</w:t>
            </w:r>
          </w:p>
        </w:tc>
        <w:tc>
          <w:tcPr>
            <w:tcW w:w="1072" w:type="dxa"/>
            <w:shd w:val="clear" w:color="auto" w:fill="auto"/>
            <w:vAlign w:val="center"/>
          </w:tcPr>
          <w:p w14:paraId="30C9C2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472AD0B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10mL;透明钠钙玻璃制，分度线、数字和标志应完整、清晰和耐久，容积为20℃时充满量筒刻度线所容纳体积</w:t>
            </w:r>
          </w:p>
        </w:tc>
        <w:tc>
          <w:tcPr>
            <w:tcW w:w="462" w:type="dxa"/>
            <w:shd w:val="clear" w:color="auto" w:fill="auto"/>
            <w:noWrap/>
            <w:vAlign w:val="center"/>
          </w:tcPr>
          <w:p w14:paraId="50953E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87DC0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5B4045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BB02F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12E5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BE6C7F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54</w:t>
            </w:r>
          </w:p>
        </w:tc>
        <w:tc>
          <w:tcPr>
            <w:tcW w:w="1072" w:type="dxa"/>
            <w:shd w:val="clear" w:color="auto" w:fill="auto"/>
            <w:vAlign w:val="center"/>
          </w:tcPr>
          <w:p w14:paraId="7F911C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7D01294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25mL；透明钠钙玻璃制，分度线、数字和标志应完整、清晰和耐久，容积为20℃时充满量筒刻度线所容纳体积</w:t>
            </w:r>
          </w:p>
        </w:tc>
        <w:tc>
          <w:tcPr>
            <w:tcW w:w="462" w:type="dxa"/>
            <w:shd w:val="clear" w:color="auto" w:fill="auto"/>
            <w:noWrap/>
            <w:vAlign w:val="center"/>
          </w:tcPr>
          <w:p w14:paraId="309A9E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6C651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71222E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476899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5406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775579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55</w:t>
            </w:r>
          </w:p>
        </w:tc>
        <w:tc>
          <w:tcPr>
            <w:tcW w:w="1072" w:type="dxa"/>
            <w:shd w:val="clear" w:color="auto" w:fill="auto"/>
            <w:vAlign w:val="center"/>
          </w:tcPr>
          <w:p w14:paraId="0BAE02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2D9D80B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50mL；透明钠钙玻璃制，分度线、数字和标志应完整、清晰和耐久，容积为20℃时充满量筒刻度线所容纳体积</w:t>
            </w:r>
          </w:p>
        </w:tc>
        <w:tc>
          <w:tcPr>
            <w:tcW w:w="462" w:type="dxa"/>
            <w:shd w:val="clear" w:color="auto" w:fill="auto"/>
            <w:noWrap/>
            <w:tcFitText/>
            <w:vAlign w:val="center"/>
          </w:tcPr>
          <w:p w14:paraId="0E5F47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853E3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55595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7F6155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w:t>
            </w:r>
          </w:p>
        </w:tc>
      </w:tr>
      <w:tr w14:paraId="1213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B6406B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56</w:t>
            </w:r>
          </w:p>
        </w:tc>
        <w:tc>
          <w:tcPr>
            <w:tcW w:w="1072" w:type="dxa"/>
            <w:shd w:val="clear" w:color="auto" w:fill="auto"/>
            <w:vAlign w:val="center"/>
          </w:tcPr>
          <w:p w14:paraId="376351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7843614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100mL；透明钠钙玻璃制，分度线、数字和标志应完整、清晰和耐久，容积为20℃时充满量筒刻度线所容纳体积</w:t>
            </w:r>
          </w:p>
        </w:tc>
        <w:tc>
          <w:tcPr>
            <w:tcW w:w="462" w:type="dxa"/>
            <w:shd w:val="clear" w:color="auto" w:fill="auto"/>
            <w:noWrap/>
            <w:vAlign w:val="center"/>
          </w:tcPr>
          <w:p w14:paraId="4BF8B6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F7158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5A5843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071029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162</w:t>
            </w:r>
          </w:p>
        </w:tc>
      </w:tr>
      <w:tr w14:paraId="193F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FDA11E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57</w:t>
            </w:r>
          </w:p>
        </w:tc>
        <w:tc>
          <w:tcPr>
            <w:tcW w:w="1072" w:type="dxa"/>
            <w:shd w:val="clear" w:color="auto" w:fill="auto"/>
            <w:vAlign w:val="center"/>
          </w:tcPr>
          <w:p w14:paraId="6BEDA8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176911B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500mL；透明钠钙玻璃制，分度线、数字和标志应完整、清晰和耐久，容积为20℃时充满量筒刻度线所容纳体积</w:t>
            </w:r>
          </w:p>
        </w:tc>
        <w:tc>
          <w:tcPr>
            <w:tcW w:w="462" w:type="dxa"/>
            <w:shd w:val="clear" w:color="auto" w:fill="auto"/>
            <w:noWrap/>
            <w:vAlign w:val="center"/>
          </w:tcPr>
          <w:p w14:paraId="34D8FB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332B1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ACBD1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c>
          <w:tcPr>
            <w:tcW w:w="1489" w:type="dxa"/>
            <w:shd w:val="clear" w:color="auto" w:fill="auto"/>
            <w:noWrap/>
            <w:vAlign w:val="center"/>
          </w:tcPr>
          <w:p w14:paraId="082547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522</w:t>
            </w:r>
          </w:p>
        </w:tc>
      </w:tr>
      <w:tr w14:paraId="2040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3683DE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58</w:t>
            </w:r>
          </w:p>
        </w:tc>
        <w:tc>
          <w:tcPr>
            <w:tcW w:w="1072" w:type="dxa"/>
            <w:shd w:val="clear" w:color="auto" w:fill="auto"/>
            <w:vAlign w:val="center"/>
          </w:tcPr>
          <w:p w14:paraId="411BF0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67E85A6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1000mL；透明钠钙玻璃制，分度线、数字和标志应完整、清晰和耐久，容积为20℃时充满量筒刻度线所容纳体积</w:t>
            </w:r>
          </w:p>
        </w:tc>
        <w:tc>
          <w:tcPr>
            <w:tcW w:w="462" w:type="dxa"/>
            <w:shd w:val="clear" w:color="auto" w:fill="auto"/>
            <w:noWrap/>
            <w:vAlign w:val="center"/>
          </w:tcPr>
          <w:p w14:paraId="57E184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1AE97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noWrap/>
            <w:vAlign w:val="center"/>
          </w:tcPr>
          <w:p w14:paraId="21F093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w:t>
            </w:r>
          </w:p>
        </w:tc>
        <w:tc>
          <w:tcPr>
            <w:tcW w:w="1489" w:type="dxa"/>
            <w:shd w:val="clear" w:color="auto" w:fill="auto"/>
            <w:noWrap/>
            <w:vAlign w:val="center"/>
          </w:tcPr>
          <w:p w14:paraId="254697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552</w:t>
            </w:r>
          </w:p>
        </w:tc>
      </w:tr>
      <w:tr w14:paraId="23C9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27916B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59</w:t>
            </w:r>
          </w:p>
        </w:tc>
        <w:tc>
          <w:tcPr>
            <w:tcW w:w="1072" w:type="dxa"/>
            <w:shd w:val="clear" w:color="auto" w:fill="auto"/>
            <w:vAlign w:val="center"/>
          </w:tcPr>
          <w:p w14:paraId="2A6989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2DCED80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100mL；透明硼硅酸盐玻璃制，刻度线应在瓶颈下部三分之二处，清晰耐久，粗细均匀</w:t>
            </w:r>
          </w:p>
        </w:tc>
        <w:tc>
          <w:tcPr>
            <w:tcW w:w="462" w:type="dxa"/>
            <w:shd w:val="clear" w:color="auto" w:fill="auto"/>
            <w:noWrap/>
            <w:vAlign w:val="center"/>
          </w:tcPr>
          <w:p w14:paraId="7342CE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4E986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6DD7BC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0875A1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w:t>
            </w:r>
          </w:p>
        </w:tc>
      </w:tr>
      <w:tr w14:paraId="6521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69D4B7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60</w:t>
            </w:r>
          </w:p>
        </w:tc>
        <w:tc>
          <w:tcPr>
            <w:tcW w:w="1072" w:type="dxa"/>
            <w:shd w:val="clear" w:color="auto" w:fill="auto"/>
            <w:vAlign w:val="center"/>
          </w:tcPr>
          <w:p w14:paraId="5B63DD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213490B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Φ12mmX70mm；透明硼硅酸盐玻璃制</w:t>
            </w:r>
          </w:p>
        </w:tc>
        <w:tc>
          <w:tcPr>
            <w:tcW w:w="462" w:type="dxa"/>
            <w:shd w:val="clear" w:color="auto" w:fill="auto"/>
            <w:noWrap/>
            <w:vAlign w:val="center"/>
          </w:tcPr>
          <w:p w14:paraId="789FF4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2B7E30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230F51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1DA885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11F6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F847D0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61</w:t>
            </w:r>
          </w:p>
        </w:tc>
        <w:tc>
          <w:tcPr>
            <w:tcW w:w="1072" w:type="dxa"/>
            <w:shd w:val="clear" w:color="auto" w:fill="auto"/>
            <w:vAlign w:val="center"/>
          </w:tcPr>
          <w:p w14:paraId="58BDB7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0147FFB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Φ15mmX150mm；透明硼硅酸盐玻璃制</w:t>
            </w:r>
          </w:p>
        </w:tc>
        <w:tc>
          <w:tcPr>
            <w:tcW w:w="462" w:type="dxa"/>
            <w:shd w:val="clear" w:color="auto" w:fill="auto"/>
            <w:noWrap/>
            <w:vAlign w:val="center"/>
          </w:tcPr>
          <w:p w14:paraId="422AAA2F">
            <w:pPr>
              <w:jc w:val="center"/>
              <w:rPr>
                <w:rFonts w:ascii="宋体" w:hAnsi="宋体" w:cs="宋体"/>
                <w:kern w:val="0"/>
                <w:sz w:val="22"/>
              </w:rPr>
            </w:pPr>
          </w:p>
        </w:tc>
        <w:tc>
          <w:tcPr>
            <w:tcW w:w="605" w:type="dxa"/>
            <w:shd w:val="clear" w:color="auto" w:fill="auto"/>
            <w:noWrap/>
            <w:vAlign w:val="center"/>
          </w:tcPr>
          <w:p w14:paraId="79CFB3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302906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30E310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04FA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A0DD61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62</w:t>
            </w:r>
          </w:p>
        </w:tc>
        <w:tc>
          <w:tcPr>
            <w:tcW w:w="1072" w:type="dxa"/>
            <w:shd w:val="clear" w:color="auto" w:fill="auto"/>
            <w:vAlign w:val="center"/>
          </w:tcPr>
          <w:p w14:paraId="3FDC36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7E1B4B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783B14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D843A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24D0D8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7B0189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038A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6D7BD8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63</w:t>
            </w:r>
          </w:p>
        </w:tc>
        <w:tc>
          <w:tcPr>
            <w:tcW w:w="1072" w:type="dxa"/>
            <w:shd w:val="clear" w:color="auto" w:fill="auto"/>
            <w:vAlign w:val="center"/>
          </w:tcPr>
          <w:p w14:paraId="3D8FAF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4C42183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1EA7CF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6C29E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133909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0E3788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31D8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79384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64</w:t>
            </w:r>
          </w:p>
        </w:tc>
        <w:tc>
          <w:tcPr>
            <w:tcW w:w="1072" w:type="dxa"/>
            <w:shd w:val="clear" w:color="auto" w:fill="auto"/>
            <w:vAlign w:val="center"/>
          </w:tcPr>
          <w:p w14:paraId="7F7032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0E48F35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1FABAA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7B1C6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A0EB9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41E965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252</w:t>
            </w:r>
          </w:p>
        </w:tc>
      </w:tr>
      <w:tr w14:paraId="532F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540E8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65</w:t>
            </w:r>
          </w:p>
        </w:tc>
        <w:tc>
          <w:tcPr>
            <w:tcW w:w="1072" w:type="dxa"/>
            <w:shd w:val="clear" w:color="auto" w:fill="auto"/>
            <w:vAlign w:val="center"/>
          </w:tcPr>
          <w:p w14:paraId="66BE45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2C73C44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703CAB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298E9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1F3E61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371F9F4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135</w:t>
            </w:r>
          </w:p>
        </w:tc>
      </w:tr>
      <w:tr w14:paraId="10E8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5334E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66</w:t>
            </w:r>
          </w:p>
        </w:tc>
        <w:tc>
          <w:tcPr>
            <w:tcW w:w="1072" w:type="dxa"/>
            <w:shd w:val="clear" w:color="auto" w:fill="auto"/>
            <w:vAlign w:val="center"/>
          </w:tcPr>
          <w:p w14:paraId="462065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63DE9C5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6E21C9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1437B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4ED20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c>
          <w:tcPr>
            <w:tcW w:w="1489" w:type="dxa"/>
            <w:shd w:val="clear" w:color="auto" w:fill="auto"/>
            <w:noWrap/>
            <w:vAlign w:val="center"/>
          </w:tcPr>
          <w:p w14:paraId="08110B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73F3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A8972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67</w:t>
            </w:r>
          </w:p>
        </w:tc>
        <w:tc>
          <w:tcPr>
            <w:tcW w:w="1072" w:type="dxa"/>
            <w:shd w:val="clear" w:color="auto" w:fill="auto"/>
            <w:vAlign w:val="center"/>
          </w:tcPr>
          <w:p w14:paraId="29BBB2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20AF174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50mL；透明硼硅酸盐玻璃制，放在平台上应直立不摇晃、不转动</w:t>
            </w:r>
          </w:p>
        </w:tc>
        <w:tc>
          <w:tcPr>
            <w:tcW w:w="462" w:type="dxa"/>
            <w:shd w:val="clear" w:color="auto" w:fill="auto"/>
            <w:noWrap/>
            <w:vAlign w:val="center"/>
          </w:tcPr>
          <w:p w14:paraId="781BE73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181F13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510F82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489" w:type="dxa"/>
            <w:shd w:val="clear" w:color="auto" w:fill="auto"/>
            <w:noWrap/>
            <w:vAlign w:val="center"/>
          </w:tcPr>
          <w:p w14:paraId="5B0899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7FF0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835666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68</w:t>
            </w:r>
          </w:p>
        </w:tc>
        <w:tc>
          <w:tcPr>
            <w:tcW w:w="1072" w:type="dxa"/>
            <w:shd w:val="clear" w:color="auto" w:fill="auto"/>
            <w:vAlign w:val="center"/>
          </w:tcPr>
          <w:p w14:paraId="63A75E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26DD8A7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100mL；透明硼硅酸盐玻璃制，放在平台上应直立不摇晃、不转动</w:t>
            </w:r>
          </w:p>
        </w:tc>
        <w:tc>
          <w:tcPr>
            <w:tcW w:w="462" w:type="dxa"/>
            <w:shd w:val="clear" w:color="auto" w:fill="auto"/>
            <w:noWrap/>
            <w:vAlign w:val="center"/>
          </w:tcPr>
          <w:p w14:paraId="1C1579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EEAC8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007B1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noWrap/>
            <w:vAlign w:val="center"/>
          </w:tcPr>
          <w:p w14:paraId="123114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396</w:t>
            </w:r>
          </w:p>
        </w:tc>
      </w:tr>
      <w:tr w14:paraId="5E6C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BD567A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69</w:t>
            </w:r>
          </w:p>
        </w:tc>
        <w:tc>
          <w:tcPr>
            <w:tcW w:w="1072" w:type="dxa"/>
            <w:shd w:val="clear" w:color="auto" w:fill="auto"/>
            <w:vAlign w:val="center"/>
          </w:tcPr>
          <w:p w14:paraId="04F62F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737CFCC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250mL；透明硼硅酸盐玻璃制，放在平台上应直立不摇晃、不转动</w:t>
            </w:r>
          </w:p>
        </w:tc>
        <w:tc>
          <w:tcPr>
            <w:tcW w:w="462" w:type="dxa"/>
            <w:shd w:val="clear" w:color="auto" w:fill="auto"/>
            <w:noWrap/>
            <w:vAlign w:val="center"/>
          </w:tcPr>
          <w:p w14:paraId="1CFA75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F71D8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5D8E20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3076F3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468</w:t>
            </w:r>
          </w:p>
        </w:tc>
      </w:tr>
      <w:tr w14:paraId="21E8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7ECFF8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70</w:t>
            </w:r>
          </w:p>
        </w:tc>
        <w:tc>
          <w:tcPr>
            <w:tcW w:w="1072" w:type="dxa"/>
            <w:shd w:val="clear" w:color="auto" w:fill="auto"/>
            <w:vAlign w:val="center"/>
          </w:tcPr>
          <w:p w14:paraId="2A12E4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31D5379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500mL；透明硼硅酸盐玻璃制，放在平台上应直立不摇晃、不转动</w:t>
            </w:r>
          </w:p>
        </w:tc>
        <w:tc>
          <w:tcPr>
            <w:tcW w:w="462" w:type="dxa"/>
            <w:shd w:val="clear" w:color="auto" w:fill="auto"/>
            <w:noWrap/>
            <w:vAlign w:val="center"/>
          </w:tcPr>
          <w:p w14:paraId="5BC2E9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F8E970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7C4418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c>
          <w:tcPr>
            <w:tcW w:w="1489" w:type="dxa"/>
            <w:shd w:val="clear" w:color="auto" w:fill="auto"/>
            <w:noWrap/>
            <w:vAlign w:val="center"/>
          </w:tcPr>
          <w:p w14:paraId="5B63E2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720</w:t>
            </w:r>
          </w:p>
        </w:tc>
      </w:tr>
      <w:tr w14:paraId="788C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29358B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71</w:t>
            </w:r>
          </w:p>
        </w:tc>
        <w:tc>
          <w:tcPr>
            <w:tcW w:w="1072" w:type="dxa"/>
            <w:shd w:val="clear" w:color="auto" w:fill="auto"/>
            <w:vAlign w:val="center"/>
          </w:tcPr>
          <w:p w14:paraId="49C03F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蒸馏烧瓶</w:t>
            </w:r>
          </w:p>
        </w:tc>
        <w:tc>
          <w:tcPr>
            <w:tcW w:w="4897" w:type="dxa"/>
            <w:shd w:val="clear" w:color="auto" w:fill="auto"/>
            <w:vAlign w:val="center"/>
          </w:tcPr>
          <w:p w14:paraId="6F5B651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w:t>
            </w:r>
          </w:p>
        </w:tc>
        <w:tc>
          <w:tcPr>
            <w:tcW w:w="462" w:type="dxa"/>
            <w:shd w:val="clear" w:color="auto" w:fill="auto"/>
            <w:noWrap/>
            <w:vAlign w:val="center"/>
          </w:tcPr>
          <w:p w14:paraId="204245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973FB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6196B5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6DB94B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35EA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2E1636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72</w:t>
            </w:r>
          </w:p>
        </w:tc>
        <w:tc>
          <w:tcPr>
            <w:tcW w:w="1072" w:type="dxa"/>
            <w:shd w:val="clear" w:color="auto" w:fill="auto"/>
            <w:vAlign w:val="center"/>
          </w:tcPr>
          <w:p w14:paraId="0BB07A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0C47580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125mL；透明钠钙玻璃制；瓶塞与瓶口紧实，不晃动；口部应圆整光滑，底部应平整，放置平台上不应摇晃或转动</w:t>
            </w:r>
          </w:p>
        </w:tc>
        <w:tc>
          <w:tcPr>
            <w:tcW w:w="462" w:type="dxa"/>
            <w:shd w:val="clear" w:color="auto" w:fill="auto"/>
            <w:noWrap/>
            <w:vAlign w:val="center"/>
          </w:tcPr>
          <w:p w14:paraId="280908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DA31E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75C59F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399576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7BFC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9DF048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73</w:t>
            </w:r>
          </w:p>
        </w:tc>
        <w:tc>
          <w:tcPr>
            <w:tcW w:w="1072" w:type="dxa"/>
            <w:shd w:val="clear" w:color="auto" w:fill="auto"/>
            <w:vAlign w:val="center"/>
          </w:tcPr>
          <w:p w14:paraId="7BBDF15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40E0239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250mL；透明钠钙玻璃制；瓶塞与瓶口紧实，不晃动；口部应圆整光滑，底部应平整，放置平台上不应摇晃或转动</w:t>
            </w:r>
          </w:p>
        </w:tc>
        <w:tc>
          <w:tcPr>
            <w:tcW w:w="462" w:type="dxa"/>
            <w:shd w:val="clear" w:color="auto" w:fill="auto"/>
            <w:noWrap/>
            <w:vAlign w:val="center"/>
          </w:tcPr>
          <w:p w14:paraId="71C15B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1ED7C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2ECB77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4EBB21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432</w:t>
            </w:r>
          </w:p>
        </w:tc>
      </w:tr>
      <w:tr w14:paraId="6F2D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F90C7D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74</w:t>
            </w:r>
          </w:p>
        </w:tc>
        <w:tc>
          <w:tcPr>
            <w:tcW w:w="1072" w:type="dxa"/>
            <w:shd w:val="clear" w:color="auto" w:fill="auto"/>
            <w:vAlign w:val="center"/>
          </w:tcPr>
          <w:p w14:paraId="104E49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26725C7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500mL；透明钠钙玻璃制；瓶塞与瓶口紧实，不晃动；口部应圆整光滑，底部应平整，放置平台上不应摇晃或转动</w:t>
            </w:r>
          </w:p>
        </w:tc>
        <w:tc>
          <w:tcPr>
            <w:tcW w:w="462" w:type="dxa"/>
            <w:shd w:val="clear" w:color="auto" w:fill="auto"/>
            <w:noWrap/>
            <w:vAlign w:val="center"/>
          </w:tcPr>
          <w:p w14:paraId="0C5252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D2EB3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13B35B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62C308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648</w:t>
            </w:r>
          </w:p>
        </w:tc>
      </w:tr>
      <w:tr w14:paraId="1F92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0491D9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75</w:t>
            </w:r>
          </w:p>
        </w:tc>
        <w:tc>
          <w:tcPr>
            <w:tcW w:w="1072" w:type="dxa"/>
            <w:shd w:val="clear" w:color="auto" w:fill="auto"/>
            <w:vAlign w:val="center"/>
          </w:tcPr>
          <w:p w14:paraId="50023E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0137752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250mL；透明钠钙玻璃制；瓶塞与瓶口紧实，不晃动；口部应圆整光滑，底部应平整，放置平台上不应摇晃或转动</w:t>
            </w:r>
          </w:p>
        </w:tc>
        <w:tc>
          <w:tcPr>
            <w:tcW w:w="462" w:type="dxa"/>
            <w:shd w:val="clear" w:color="auto" w:fill="auto"/>
            <w:noWrap/>
            <w:vAlign w:val="center"/>
          </w:tcPr>
          <w:p w14:paraId="479571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B31B3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4CB91D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74A2AB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432</w:t>
            </w:r>
          </w:p>
        </w:tc>
      </w:tr>
      <w:tr w14:paraId="2BE2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F6FC49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76</w:t>
            </w:r>
          </w:p>
        </w:tc>
        <w:tc>
          <w:tcPr>
            <w:tcW w:w="1072" w:type="dxa"/>
            <w:shd w:val="clear" w:color="auto" w:fill="auto"/>
            <w:vAlign w:val="center"/>
          </w:tcPr>
          <w:p w14:paraId="5DD60B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7790B39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500mL；透明钠钙玻璃制；瓶塞与瓶口紧实，不晃动；口部应圆整光滑，底部应平整，放置平台上不应摇晃或转动</w:t>
            </w:r>
          </w:p>
        </w:tc>
        <w:tc>
          <w:tcPr>
            <w:tcW w:w="462" w:type="dxa"/>
            <w:shd w:val="clear" w:color="auto" w:fill="auto"/>
            <w:noWrap/>
            <w:vAlign w:val="center"/>
          </w:tcPr>
          <w:p w14:paraId="054646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41421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434743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1FFC44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648</w:t>
            </w:r>
          </w:p>
        </w:tc>
      </w:tr>
      <w:tr w14:paraId="0EE0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A09E33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77</w:t>
            </w:r>
          </w:p>
        </w:tc>
        <w:tc>
          <w:tcPr>
            <w:tcW w:w="1072" w:type="dxa"/>
            <w:shd w:val="clear" w:color="auto" w:fill="auto"/>
            <w:vAlign w:val="center"/>
          </w:tcPr>
          <w:p w14:paraId="585E39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31CFD34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1000mL；透明钠钙玻璃制；瓶塞与瓶口紧实，不晃动；口部应圆整光滑，底部应平整，放置平台上不应摇晃或转动</w:t>
            </w:r>
          </w:p>
        </w:tc>
        <w:tc>
          <w:tcPr>
            <w:tcW w:w="462" w:type="dxa"/>
            <w:shd w:val="clear" w:color="auto" w:fill="auto"/>
            <w:noWrap/>
            <w:vAlign w:val="center"/>
          </w:tcPr>
          <w:p w14:paraId="0CE898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2273E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469F2C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6388B6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1008</w:t>
            </w:r>
          </w:p>
        </w:tc>
      </w:tr>
      <w:tr w14:paraId="0BA1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C06533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78</w:t>
            </w:r>
          </w:p>
        </w:tc>
        <w:tc>
          <w:tcPr>
            <w:tcW w:w="1072" w:type="dxa"/>
            <w:shd w:val="clear" w:color="auto" w:fill="auto"/>
            <w:vAlign w:val="center"/>
          </w:tcPr>
          <w:p w14:paraId="79B35A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滴瓶</w:t>
            </w:r>
          </w:p>
        </w:tc>
        <w:tc>
          <w:tcPr>
            <w:tcW w:w="4897" w:type="dxa"/>
            <w:shd w:val="clear" w:color="auto" w:fill="auto"/>
            <w:vAlign w:val="center"/>
          </w:tcPr>
          <w:p w14:paraId="70ADFFB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30mL；透明钠钙玻璃制，瓶口细磨，磨砂面应均匀细腻，滴管应附橡胶帽，吸放弹性好，开口直径6mm，与滴管口套合牢固稳定</w:t>
            </w:r>
          </w:p>
        </w:tc>
        <w:tc>
          <w:tcPr>
            <w:tcW w:w="462" w:type="dxa"/>
            <w:shd w:val="clear" w:color="auto" w:fill="auto"/>
            <w:noWrap/>
            <w:vAlign w:val="center"/>
          </w:tcPr>
          <w:p w14:paraId="5E3833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D0B41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noWrap/>
            <w:vAlign w:val="center"/>
          </w:tcPr>
          <w:p w14:paraId="23D42C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1DBD8B9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1B0A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DE5313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79</w:t>
            </w:r>
          </w:p>
        </w:tc>
        <w:tc>
          <w:tcPr>
            <w:tcW w:w="1072" w:type="dxa"/>
            <w:shd w:val="clear" w:color="auto" w:fill="auto"/>
            <w:vAlign w:val="center"/>
          </w:tcPr>
          <w:p w14:paraId="3C9E4C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滴瓶</w:t>
            </w:r>
          </w:p>
        </w:tc>
        <w:tc>
          <w:tcPr>
            <w:tcW w:w="4897" w:type="dxa"/>
            <w:shd w:val="clear" w:color="auto" w:fill="auto"/>
            <w:vAlign w:val="center"/>
          </w:tcPr>
          <w:p w14:paraId="1FDC0B9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60mL；透明钠钙玻璃制，瓶口细磨，磨砂面应均匀细腻，滴管应附橡胶帽，吸放弹性好，开口直径6mm，与滴管口套合牢固稳定</w:t>
            </w:r>
          </w:p>
        </w:tc>
        <w:tc>
          <w:tcPr>
            <w:tcW w:w="462" w:type="dxa"/>
            <w:shd w:val="clear" w:color="auto" w:fill="auto"/>
            <w:noWrap/>
            <w:vAlign w:val="center"/>
          </w:tcPr>
          <w:p w14:paraId="57B6A6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530CB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noWrap/>
            <w:vAlign w:val="center"/>
          </w:tcPr>
          <w:p w14:paraId="0BF4BD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7296B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1426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CF13D9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80</w:t>
            </w:r>
          </w:p>
        </w:tc>
        <w:tc>
          <w:tcPr>
            <w:tcW w:w="1072" w:type="dxa"/>
            <w:shd w:val="clear" w:color="auto" w:fill="auto"/>
            <w:vAlign w:val="center"/>
          </w:tcPr>
          <w:p w14:paraId="7DD4B7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茶色滴瓶</w:t>
            </w:r>
          </w:p>
        </w:tc>
        <w:tc>
          <w:tcPr>
            <w:tcW w:w="4897" w:type="dxa"/>
            <w:shd w:val="clear" w:color="auto" w:fill="auto"/>
            <w:vAlign w:val="center"/>
          </w:tcPr>
          <w:p w14:paraId="649832F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30mL；透明钠钙玻璃制，瓶口细磨，磨砂面应均匀细腻，滴管应附橡胶帽，吸放弹性好，开口直径6mm，与滴管口套合牢固稳定</w:t>
            </w:r>
          </w:p>
        </w:tc>
        <w:tc>
          <w:tcPr>
            <w:tcW w:w="462" w:type="dxa"/>
            <w:shd w:val="clear" w:color="auto" w:fill="auto"/>
            <w:noWrap/>
            <w:vAlign w:val="center"/>
          </w:tcPr>
          <w:p w14:paraId="3DE7AE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C14D7D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noWrap/>
            <w:vAlign w:val="center"/>
          </w:tcPr>
          <w:p w14:paraId="46AA3AD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0B9FFF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5657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C15109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81</w:t>
            </w:r>
          </w:p>
        </w:tc>
        <w:tc>
          <w:tcPr>
            <w:tcW w:w="1072" w:type="dxa"/>
            <w:shd w:val="clear" w:color="auto" w:fill="auto"/>
            <w:vAlign w:val="center"/>
          </w:tcPr>
          <w:p w14:paraId="6F29FD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茶色滴瓶</w:t>
            </w:r>
          </w:p>
        </w:tc>
        <w:tc>
          <w:tcPr>
            <w:tcW w:w="4897" w:type="dxa"/>
            <w:shd w:val="clear" w:color="auto" w:fill="auto"/>
            <w:vAlign w:val="center"/>
          </w:tcPr>
          <w:p w14:paraId="38F2856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60mL；透明钠钙玻璃制，瓶口细磨，磨砂面应均匀细腻，滴管应附橡胶帽，吸放弹性好，开口直径6mm，与滴管口套合牢固稳定</w:t>
            </w:r>
          </w:p>
        </w:tc>
        <w:tc>
          <w:tcPr>
            <w:tcW w:w="462" w:type="dxa"/>
            <w:shd w:val="clear" w:color="auto" w:fill="auto"/>
            <w:noWrap/>
            <w:vAlign w:val="center"/>
          </w:tcPr>
          <w:p w14:paraId="4AF4FB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356404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noWrap/>
            <w:vAlign w:val="center"/>
          </w:tcPr>
          <w:p w14:paraId="0EEDA3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D9B35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10E5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2D96D0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82</w:t>
            </w:r>
          </w:p>
        </w:tc>
        <w:tc>
          <w:tcPr>
            <w:tcW w:w="1072" w:type="dxa"/>
            <w:shd w:val="clear" w:color="auto" w:fill="auto"/>
            <w:vAlign w:val="center"/>
          </w:tcPr>
          <w:p w14:paraId="1A3900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泡菜坛</w:t>
            </w:r>
          </w:p>
        </w:tc>
        <w:tc>
          <w:tcPr>
            <w:tcW w:w="4897" w:type="dxa"/>
            <w:shd w:val="clear" w:color="auto" w:fill="auto"/>
            <w:vAlign w:val="center"/>
          </w:tcPr>
          <w:p w14:paraId="17D7456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w:t>
            </w:r>
          </w:p>
        </w:tc>
        <w:tc>
          <w:tcPr>
            <w:tcW w:w="462" w:type="dxa"/>
            <w:shd w:val="clear" w:color="auto" w:fill="auto"/>
            <w:noWrap/>
            <w:vAlign w:val="center"/>
          </w:tcPr>
          <w:p w14:paraId="388DE6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6C4CF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noWrap/>
            <w:vAlign w:val="center"/>
          </w:tcPr>
          <w:p w14:paraId="376B6C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noWrap/>
            <w:vAlign w:val="center"/>
          </w:tcPr>
          <w:p w14:paraId="2F1D44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384</w:t>
            </w:r>
          </w:p>
        </w:tc>
      </w:tr>
      <w:tr w14:paraId="6B77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B87260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83</w:t>
            </w:r>
          </w:p>
        </w:tc>
        <w:tc>
          <w:tcPr>
            <w:tcW w:w="1072" w:type="dxa"/>
            <w:shd w:val="clear" w:color="auto" w:fill="auto"/>
            <w:vAlign w:val="center"/>
          </w:tcPr>
          <w:p w14:paraId="1ACAC9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培养皿</w:t>
            </w:r>
          </w:p>
        </w:tc>
        <w:tc>
          <w:tcPr>
            <w:tcW w:w="4897" w:type="dxa"/>
            <w:shd w:val="clear" w:color="auto" w:fill="auto"/>
            <w:vAlign w:val="center"/>
          </w:tcPr>
          <w:p w14:paraId="709EA0EE">
            <w:pPr>
              <w:widowControl/>
              <w:textAlignment w:val="center"/>
              <w:rPr>
                <w:rFonts w:ascii="宋体" w:hAnsi="宋体" w:cs="宋体"/>
                <w:kern w:val="0"/>
                <w:sz w:val="22"/>
              </w:rPr>
            </w:pPr>
            <w:r>
              <w:rPr>
                <w:rFonts w:hint="eastAsia" w:ascii="宋体" w:hAnsi="宋体" w:cs="宋体"/>
                <w:color w:val="000000"/>
                <w:kern w:val="0"/>
                <w:sz w:val="22"/>
                <w:szCs w:val="22"/>
                <w:lang w:bidi="ar"/>
              </w:rPr>
              <w:t>60mm；玻璃薄厚均匀、耐高温高压</w:t>
            </w:r>
          </w:p>
        </w:tc>
        <w:tc>
          <w:tcPr>
            <w:tcW w:w="462" w:type="dxa"/>
            <w:shd w:val="clear" w:color="auto" w:fill="auto"/>
            <w:noWrap/>
            <w:vAlign w:val="center"/>
          </w:tcPr>
          <w:p w14:paraId="1090C3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C995A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c>
          <w:tcPr>
            <w:tcW w:w="1048" w:type="dxa"/>
            <w:shd w:val="clear" w:color="auto" w:fill="auto"/>
            <w:noWrap/>
            <w:vAlign w:val="center"/>
          </w:tcPr>
          <w:p w14:paraId="423727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58E530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1260</w:t>
            </w:r>
          </w:p>
        </w:tc>
      </w:tr>
      <w:tr w14:paraId="7403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EB1B59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84</w:t>
            </w:r>
          </w:p>
        </w:tc>
        <w:tc>
          <w:tcPr>
            <w:tcW w:w="1072" w:type="dxa"/>
            <w:shd w:val="clear" w:color="auto" w:fill="auto"/>
            <w:vAlign w:val="center"/>
          </w:tcPr>
          <w:p w14:paraId="328FA9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培养皿</w:t>
            </w:r>
          </w:p>
        </w:tc>
        <w:tc>
          <w:tcPr>
            <w:tcW w:w="4897" w:type="dxa"/>
            <w:shd w:val="clear" w:color="auto" w:fill="auto"/>
            <w:vAlign w:val="center"/>
          </w:tcPr>
          <w:p w14:paraId="4C586A5F">
            <w:pPr>
              <w:widowControl/>
              <w:textAlignment w:val="center"/>
              <w:rPr>
                <w:rFonts w:ascii="宋体" w:hAnsi="宋体" w:cs="宋体"/>
                <w:kern w:val="0"/>
                <w:sz w:val="22"/>
              </w:rPr>
            </w:pPr>
            <w:r>
              <w:rPr>
                <w:rFonts w:hint="eastAsia" w:ascii="宋体" w:hAnsi="宋体" w:cs="宋体"/>
                <w:color w:val="000000"/>
                <w:kern w:val="0"/>
                <w:sz w:val="22"/>
                <w:szCs w:val="22"/>
                <w:lang w:bidi="ar"/>
              </w:rPr>
              <w:t>90mm；玻璃薄厚均匀、耐高温高压</w:t>
            </w:r>
          </w:p>
        </w:tc>
        <w:tc>
          <w:tcPr>
            <w:tcW w:w="462" w:type="dxa"/>
            <w:shd w:val="clear" w:color="auto" w:fill="auto"/>
            <w:noWrap/>
            <w:vAlign w:val="center"/>
          </w:tcPr>
          <w:p w14:paraId="76F5A3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488913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c>
          <w:tcPr>
            <w:tcW w:w="1048" w:type="dxa"/>
            <w:shd w:val="clear" w:color="auto" w:fill="auto"/>
            <w:noWrap/>
            <w:vAlign w:val="center"/>
          </w:tcPr>
          <w:p w14:paraId="4DB86B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489" w:type="dxa"/>
            <w:shd w:val="clear" w:color="auto" w:fill="auto"/>
            <w:noWrap/>
            <w:vAlign w:val="center"/>
          </w:tcPr>
          <w:p w14:paraId="370273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1800</w:t>
            </w:r>
          </w:p>
        </w:tc>
      </w:tr>
      <w:tr w14:paraId="1346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7CCD3C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85</w:t>
            </w:r>
          </w:p>
        </w:tc>
        <w:tc>
          <w:tcPr>
            <w:tcW w:w="1072" w:type="dxa"/>
            <w:shd w:val="clear" w:color="auto" w:fill="auto"/>
            <w:vAlign w:val="center"/>
          </w:tcPr>
          <w:p w14:paraId="67E537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干燥器</w:t>
            </w:r>
          </w:p>
        </w:tc>
        <w:tc>
          <w:tcPr>
            <w:tcW w:w="4897" w:type="dxa"/>
            <w:shd w:val="clear" w:color="auto" w:fill="auto"/>
            <w:vAlign w:val="center"/>
          </w:tcPr>
          <w:p w14:paraId="5F85C122">
            <w:pPr>
              <w:widowControl/>
              <w:textAlignment w:val="center"/>
              <w:rPr>
                <w:rFonts w:ascii="宋体" w:hAnsi="宋体" w:cs="宋体"/>
                <w:kern w:val="0"/>
                <w:sz w:val="22"/>
              </w:rPr>
            </w:pPr>
            <w:r>
              <w:rPr>
                <w:rFonts w:hint="eastAsia" w:ascii="宋体" w:hAnsi="宋体" w:cs="宋体"/>
                <w:color w:val="000000"/>
                <w:kern w:val="0"/>
                <w:sz w:val="22"/>
                <w:szCs w:val="22"/>
                <w:lang w:bidi="ar"/>
              </w:rPr>
              <w:t>磨口平整，密封严实，隔板大小合适，不少于5个圆孔</w:t>
            </w:r>
          </w:p>
        </w:tc>
        <w:tc>
          <w:tcPr>
            <w:tcW w:w="462" w:type="dxa"/>
            <w:shd w:val="clear" w:color="auto" w:fill="auto"/>
            <w:noWrap/>
            <w:vAlign w:val="center"/>
          </w:tcPr>
          <w:p w14:paraId="294F0D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8BBDF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A86E6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61</w:t>
            </w:r>
          </w:p>
        </w:tc>
        <w:tc>
          <w:tcPr>
            <w:tcW w:w="1489" w:type="dxa"/>
            <w:shd w:val="clear" w:color="auto" w:fill="auto"/>
            <w:noWrap/>
            <w:vAlign w:val="center"/>
          </w:tcPr>
          <w:p w14:paraId="6439AA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61</w:t>
            </w:r>
          </w:p>
        </w:tc>
      </w:tr>
      <w:tr w14:paraId="7ABF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4A035C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86</w:t>
            </w:r>
          </w:p>
        </w:tc>
        <w:tc>
          <w:tcPr>
            <w:tcW w:w="1072" w:type="dxa"/>
            <w:shd w:val="clear" w:color="auto" w:fill="auto"/>
            <w:vAlign w:val="center"/>
          </w:tcPr>
          <w:p w14:paraId="613CD0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干燥管</w:t>
            </w:r>
          </w:p>
        </w:tc>
        <w:tc>
          <w:tcPr>
            <w:tcW w:w="4897" w:type="dxa"/>
            <w:shd w:val="clear" w:color="auto" w:fill="auto"/>
            <w:vAlign w:val="center"/>
          </w:tcPr>
          <w:p w14:paraId="7504FB6C">
            <w:pPr>
              <w:widowControl/>
              <w:textAlignment w:val="center"/>
              <w:rPr>
                <w:rFonts w:ascii="宋体" w:hAnsi="宋体" w:cs="宋体"/>
                <w:kern w:val="0"/>
                <w:sz w:val="22"/>
              </w:rPr>
            </w:pPr>
            <w:r>
              <w:rPr>
                <w:rFonts w:hint="eastAsia" w:ascii="宋体" w:hAnsi="宋体" w:cs="宋体"/>
                <w:color w:val="000000"/>
                <w:kern w:val="0"/>
                <w:sz w:val="22"/>
                <w:szCs w:val="22"/>
                <w:lang w:bidi="ar"/>
              </w:rPr>
              <w:t>U型，Φ15mmX150mm,硼硅酸盐玻璃制，玻璃壁厚度适中，球体圆润，导气管长度≥2cm,最好有防滑脱沟槽</w:t>
            </w:r>
          </w:p>
        </w:tc>
        <w:tc>
          <w:tcPr>
            <w:tcW w:w="462" w:type="dxa"/>
            <w:shd w:val="clear" w:color="auto" w:fill="auto"/>
            <w:noWrap/>
            <w:vAlign w:val="center"/>
          </w:tcPr>
          <w:p w14:paraId="5B2E53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B4613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6A5FDE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7AED40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3D2D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11251D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87</w:t>
            </w:r>
          </w:p>
        </w:tc>
        <w:tc>
          <w:tcPr>
            <w:tcW w:w="1072" w:type="dxa"/>
            <w:shd w:val="clear" w:color="auto" w:fill="auto"/>
            <w:vAlign w:val="center"/>
          </w:tcPr>
          <w:p w14:paraId="26DBAD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比色管</w:t>
            </w:r>
          </w:p>
        </w:tc>
        <w:tc>
          <w:tcPr>
            <w:tcW w:w="4897" w:type="dxa"/>
            <w:shd w:val="clear" w:color="auto" w:fill="auto"/>
            <w:vAlign w:val="center"/>
          </w:tcPr>
          <w:p w14:paraId="549651A0">
            <w:pPr>
              <w:widowControl/>
              <w:textAlignment w:val="center"/>
              <w:rPr>
                <w:rFonts w:ascii="宋体" w:hAnsi="宋体" w:cs="宋体"/>
                <w:kern w:val="0"/>
                <w:sz w:val="22"/>
              </w:rPr>
            </w:pPr>
            <w:r>
              <w:rPr>
                <w:rFonts w:hint="eastAsia" w:ascii="宋体" w:hAnsi="宋体" w:cs="宋体"/>
                <w:color w:val="000000"/>
                <w:kern w:val="0"/>
                <w:sz w:val="22"/>
                <w:szCs w:val="22"/>
                <w:lang w:bidi="ar"/>
              </w:rPr>
              <w:t>25mL</w:t>
            </w:r>
          </w:p>
        </w:tc>
        <w:tc>
          <w:tcPr>
            <w:tcW w:w="462" w:type="dxa"/>
            <w:shd w:val="clear" w:color="auto" w:fill="auto"/>
            <w:noWrap/>
            <w:vAlign w:val="center"/>
          </w:tcPr>
          <w:p w14:paraId="25C651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43538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c>
          <w:tcPr>
            <w:tcW w:w="1048" w:type="dxa"/>
            <w:shd w:val="clear" w:color="auto" w:fill="auto"/>
            <w:noWrap/>
            <w:vAlign w:val="center"/>
          </w:tcPr>
          <w:p w14:paraId="48CCBD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719005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1620</w:t>
            </w:r>
          </w:p>
        </w:tc>
      </w:tr>
      <w:tr w14:paraId="6E45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52B82F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88</w:t>
            </w:r>
          </w:p>
        </w:tc>
        <w:tc>
          <w:tcPr>
            <w:tcW w:w="1072" w:type="dxa"/>
            <w:shd w:val="clear" w:color="auto" w:fill="auto"/>
            <w:vAlign w:val="center"/>
          </w:tcPr>
          <w:p w14:paraId="414C92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长颈漏斗</w:t>
            </w:r>
          </w:p>
        </w:tc>
        <w:tc>
          <w:tcPr>
            <w:tcW w:w="4897" w:type="dxa"/>
            <w:shd w:val="clear" w:color="auto" w:fill="auto"/>
            <w:vAlign w:val="center"/>
          </w:tcPr>
          <w:p w14:paraId="319E197D">
            <w:pPr>
              <w:widowControl/>
              <w:textAlignment w:val="center"/>
              <w:rPr>
                <w:rFonts w:ascii="宋体" w:hAnsi="宋体" w:cs="宋体"/>
                <w:kern w:val="0"/>
                <w:sz w:val="22"/>
              </w:rPr>
            </w:pPr>
            <w:r>
              <w:rPr>
                <w:rFonts w:hint="eastAsia" w:ascii="宋体" w:hAnsi="宋体" w:cs="宋体"/>
                <w:color w:val="000000"/>
                <w:kern w:val="0"/>
                <w:sz w:val="22"/>
                <w:szCs w:val="22"/>
                <w:lang w:bidi="ar"/>
              </w:rPr>
              <w:t>上口直径45mm,球形直径42mm,下管长250mm,下管外径8mm</w:t>
            </w:r>
          </w:p>
        </w:tc>
        <w:tc>
          <w:tcPr>
            <w:tcW w:w="462" w:type="dxa"/>
            <w:shd w:val="clear" w:color="auto" w:fill="auto"/>
            <w:noWrap/>
            <w:vAlign w:val="center"/>
          </w:tcPr>
          <w:p w14:paraId="19449F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897DE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7533D7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60DBE0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75CB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F2811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89</w:t>
            </w:r>
          </w:p>
        </w:tc>
        <w:tc>
          <w:tcPr>
            <w:tcW w:w="1072" w:type="dxa"/>
            <w:shd w:val="clear" w:color="auto" w:fill="auto"/>
            <w:vAlign w:val="center"/>
          </w:tcPr>
          <w:p w14:paraId="2C4E3B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漏斗</w:t>
            </w:r>
          </w:p>
        </w:tc>
        <w:tc>
          <w:tcPr>
            <w:tcW w:w="4897" w:type="dxa"/>
            <w:shd w:val="clear" w:color="auto" w:fill="auto"/>
            <w:vAlign w:val="center"/>
          </w:tcPr>
          <w:p w14:paraId="504E4F0F">
            <w:pPr>
              <w:widowControl/>
              <w:textAlignment w:val="center"/>
              <w:rPr>
                <w:rFonts w:ascii="宋体" w:hAnsi="宋体" w:cs="宋体"/>
                <w:kern w:val="0"/>
                <w:sz w:val="22"/>
              </w:rPr>
            </w:pPr>
            <w:r>
              <w:rPr>
                <w:rFonts w:hint="eastAsia" w:ascii="宋体" w:hAnsi="宋体" w:cs="宋体"/>
                <w:color w:val="000000"/>
                <w:kern w:val="0"/>
                <w:sz w:val="22"/>
                <w:szCs w:val="22"/>
                <w:lang w:bidi="ar"/>
              </w:rPr>
              <w:t>60mm,直径准确，锥度适中</w:t>
            </w:r>
          </w:p>
        </w:tc>
        <w:tc>
          <w:tcPr>
            <w:tcW w:w="462" w:type="dxa"/>
            <w:shd w:val="clear" w:color="auto" w:fill="auto"/>
            <w:noWrap/>
            <w:vAlign w:val="center"/>
          </w:tcPr>
          <w:p w14:paraId="673BD8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DFECE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334C7C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1850FB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2BCD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6196C7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90</w:t>
            </w:r>
          </w:p>
        </w:tc>
        <w:tc>
          <w:tcPr>
            <w:tcW w:w="1072" w:type="dxa"/>
            <w:shd w:val="clear" w:color="auto" w:fill="auto"/>
            <w:vAlign w:val="center"/>
          </w:tcPr>
          <w:p w14:paraId="386396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漏斗</w:t>
            </w:r>
          </w:p>
        </w:tc>
        <w:tc>
          <w:tcPr>
            <w:tcW w:w="4897" w:type="dxa"/>
            <w:shd w:val="clear" w:color="auto" w:fill="auto"/>
            <w:vAlign w:val="center"/>
          </w:tcPr>
          <w:p w14:paraId="5F807C16">
            <w:pPr>
              <w:widowControl/>
              <w:textAlignment w:val="center"/>
              <w:rPr>
                <w:rFonts w:ascii="宋体" w:hAnsi="宋体" w:cs="宋体"/>
                <w:kern w:val="0"/>
                <w:sz w:val="22"/>
              </w:rPr>
            </w:pPr>
            <w:r>
              <w:rPr>
                <w:rFonts w:hint="eastAsia" w:ascii="宋体" w:hAnsi="宋体" w:cs="宋体"/>
                <w:color w:val="000000"/>
                <w:kern w:val="0"/>
                <w:sz w:val="22"/>
                <w:szCs w:val="22"/>
                <w:lang w:bidi="ar"/>
              </w:rPr>
              <w:t>90mm,直径准确，锥度适中</w:t>
            </w:r>
          </w:p>
        </w:tc>
        <w:tc>
          <w:tcPr>
            <w:tcW w:w="462" w:type="dxa"/>
            <w:shd w:val="clear" w:color="auto" w:fill="auto"/>
            <w:noWrap/>
            <w:vAlign w:val="center"/>
          </w:tcPr>
          <w:p w14:paraId="5F2552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5DAD1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26AA46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6D5D35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w:t>
            </w:r>
          </w:p>
        </w:tc>
      </w:tr>
      <w:tr w14:paraId="5442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553767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91</w:t>
            </w:r>
          </w:p>
        </w:tc>
        <w:tc>
          <w:tcPr>
            <w:tcW w:w="1072" w:type="dxa"/>
            <w:shd w:val="clear" w:color="auto" w:fill="auto"/>
            <w:vAlign w:val="center"/>
          </w:tcPr>
          <w:p w14:paraId="6DF519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三通连接管</w:t>
            </w:r>
          </w:p>
        </w:tc>
        <w:tc>
          <w:tcPr>
            <w:tcW w:w="4897" w:type="dxa"/>
            <w:shd w:val="clear" w:color="auto" w:fill="auto"/>
            <w:vAlign w:val="center"/>
          </w:tcPr>
          <w:p w14:paraId="6ED6EB3D">
            <w:pPr>
              <w:widowControl/>
              <w:textAlignment w:val="center"/>
              <w:rPr>
                <w:rFonts w:ascii="宋体" w:hAnsi="宋体" w:cs="宋体"/>
                <w:kern w:val="0"/>
                <w:sz w:val="22"/>
              </w:rPr>
            </w:pPr>
            <w:r>
              <w:rPr>
                <w:rFonts w:hint="eastAsia" w:ascii="宋体" w:hAnsi="宋体" w:cs="宋体"/>
                <w:color w:val="000000"/>
                <w:kern w:val="0"/>
                <w:sz w:val="22"/>
                <w:szCs w:val="22"/>
                <w:lang w:bidi="ar"/>
              </w:rPr>
              <w:t>Y形，Φ7mm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Φ8mm,连接完好，管口应作打磨或烧结处理</w:t>
            </w:r>
          </w:p>
        </w:tc>
        <w:tc>
          <w:tcPr>
            <w:tcW w:w="462" w:type="dxa"/>
            <w:shd w:val="clear" w:color="auto" w:fill="auto"/>
            <w:noWrap/>
            <w:vAlign w:val="center"/>
          </w:tcPr>
          <w:p w14:paraId="460B83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2C1184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04CD0D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498D7E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5F3B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8203B4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92</w:t>
            </w:r>
          </w:p>
        </w:tc>
        <w:tc>
          <w:tcPr>
            <w:tcW w:w="1072" w:type="dxa"/>
            <w:shd w:val="clear" w:color="auto" w:fill="auto"/>
            <w:vAlign w:val="center"/>
          </w:tcPr>
          <w:p w14:paraId="778F2F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滴管</w:t>
            </w:r>
          </w:p>
        </w:tc>
        <w:tc>
          <w:tcPr>
            <w:tcW w:w="4897" w:type="dxa"/>
            <w:shd w:val="clear" w:color="auto" w:fill="auto"/>
            <w:vAlign w:val="center"/>
          </w:tcPr>
          <w:p w14:paraId="4B1FC109">
            <w:pPr>
              <w:widowControl/>
              <w:textAlignment w:val="center"/>
              <w:rPr>
                <w:rFonts w:ascii="宋体" w:hAnsi="宋体" w:cs="宋体"/>
                <w:kern w:val="0"/>
                <w:sz w:val="22"/>
              </w:rPr>
            </w:pPr>
            <w:r>
              <w:rPr>
                <w:rFonts w:hint="eastAsia" w:ascii="宋体" w:hAnsi="宋体" w:cs="宋体"/>
                <w:color w:val="000000"/>
                <w:kern w:val="0"/>
                <w:sz w:val="22"/>
                <w:szCs w:val="22"/>
                <w:lang w:bidi="ar"/>
              </w:rPr>
              <w:t>100mm,直形，滴管尖嘴口径1mm,上端有防滑脱翻口，翻口处直径比滴管直径略多1mm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2mm</w:t>
            </w:r>
          </w:p>
        </w:tc>
        <w:tc>
          <w:tcPr>
            <w:tcW w:w="462" w:type="dxa"/>
            <w:shd w:val="clear" w:color="auto" w:fill="auto"/>
            <w:noWrap/>
            <w:vAlign w:val="center"/>
          </w:tcPr>
          <w:p w14:paraId="1C3D52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77930F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c>
          <w:tcPr>
            <w:tcW w:w="1048" w:type="dxa"/>
            <w:shd w:val="clear" w:color="auto" w:fill="auto"/>
            <w:noWrap/>
            <w:vAlign w:val="center"/>
          </w:tcPr>
          <w:p w14:paraId="5FCE5B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0A93B2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15A2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0A75D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93</w:t>
            </w:r>
          </w:p>
        </w:tc>
        <w:tc>
          <w:tcPr>
            <w:tcW w:w="1072" w:type="dxa"/>
            <w:shd w:val="clear" w:color="auto" w:fill="auto"/>
            <w:vAlign w:val="center"/>
          </w:tcPr>
          <w:p w14:paraId="1356F0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玻璃钟罩</w:t>
            </w:r>
          </w:p>
        </w:tc>
        <w:tc>
          <w:tcPr>
            <w:tcW w:w="4897" w:type="dxa"/>
            <w:shd w:val="clear" w:color="auto" w:fill="auto"/>
            <w:vAlign w:val="center"/>
          </w:tcPr>
          <w:p w14:paraId="0946D89D">
            <w:pPr>
              <w:widowControl/>
              <w:textAlignment w:val="center"/>
              <w:rPr>
                <w:rFonts w:ascii="宋体" w:hAnsi="宋体" w:cs="宋体"/>
                <w:kern w:val="0"/>
                <w:sz w:val="22"/>
              </w:rPr>
            </w:pPr>
            <w:r>
              <w:rPr>
                <w:rFonts w:hint="eastAsia" w:ascii="宋体" w:hAnsi="宋体" w:cs="宋体"/>
                <w:color w:val="000000"/>
                <w:kern w:val="0"/>
                <w:sz w:val="22"/>
                <w:szCs w:val="22"/>
                <w:lang w:bidi="ar"/>
              </w:rPr>
              <w:t>Φ150mmX280mm,玻璃壁厚度＞3mm</w:t>
            </w:r>
          </w:p>
        </w:tc>
        <w:tc>
          <w:tcPr>
            <w:tcW w:w="462" w:type="dxa"/>
            <w:shd w:val="clear" w:color="auto" w:fill="auto"/>
            <w:noWrap/>
            <w:vAlign w:val="center"/>
          </w:tcPr>
          <w:p w14:paraId="7DF0C2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86161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6AEE87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99</w:t>
            </w:r>
          </w:p>
        </w:tc>
        <w:tc>
          <w:tcPr>
            <w:tcW w:w="1489" w:type="dxa"/>
            <w:shd w:val="clear" w:color="auto" w:fill="auto"/>
            <w:noWrap/>
            <w:vAlign w:val="center"/>
          </w:tcPr>
          <w:p w14:paraId="5BD1AB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w:t>
            </w:r>
          </w:p>
        </w:tc>
      </w:tr>
      <w:tr w14:paraId="6B56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BB274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94</w:t>
            </w:r>
          </w:p>
        </w:tc>
        <w:tc>
          <w:tcPr>
            <w:tcW w:w="1072" w:type="dxa"/>
            <w:shd w:val="clear" w:color="auto" w:fill="auto"/>
            <w:vAlign w:val="center"/>
          </w:tcPr>
          <w:p w14:paraId="76DF73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载玻片</w:t>
            </w:r>
          </w:p>
        </w:tc>
        <w:tc>
          <w:tcPr>
            <w:tcW w:w="4897" w:type="dxa"/>
            <w:shd w:val="clear" w:color="auto" w:fill="auto"/>
            <w:vAlign w:val="center"/>
          </w:tcPr>
          <w:p w14:paraId="754F0315">
            <w:pPr>
              <w:widowControl/>
              <w:textAlignment w:val="center"/>
              <w:rPr>
                <w:rFonts w:ascii="宋体" w:hAnsi="宋体" w:cs="宋体"/>
                <w:kern w:val="0"/>
                <w:sz w:val="22"/>
              </w:rPr>
            </w:pPr>
            <w:r>
              <w:rPr>
                <w:rFonts w:hint="eastAsia" w:ascii="宋体" w:hAnsi="宋体" w:cs="宋体"/>
                <w:color w:val="000000"/>
                <w:kern w:val="0"/>
                <w:sz w:val="22"/>
                <w:szCs w:val="22"/>
                <w:lang w:bidi="ar"/>
              </w:rPr>
              <w:t>无色透明，平整</w:t>
            </w:r>
          </w:p>
        </w:tc>
        <w:tc>
          <w:tcPr>
            <w:tcW w:w="462" w:type="dxa"/>
            <w:shd w:val="clear" w:color="auto" w:fill="auto"/>
            <w:noWrap/>
            <w:vAlign w:val="center"/>
          </w:tcPr>
          <w:p w14:paraId="733632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noWrap/>
            <w:vAlign w:val="center"/>
          </w:tcPr>
          <w:p w14:paraId="01419A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4CD92F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431081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0856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E561AB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95</w:t>
            </w:r>
          </w:p>
        </w:tc>
        <w:tc>
          <w:tcPr>
            <w:tcW w:w="1072" w:type="dxa"/>
            <w:shd w:val="clear" w:color="auto" w:fill="auto"/>
            <w:vAlign w:val="center"/>
          </w:tcPr>
          <w:p w14:paraId="284B57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盖玻片</w:t>
            </w:r>
          </w:p>
        </w:tc>
        <w:tc>
          <w:tcPr>
            <w:tcW w:w="4897" w:type="dxa"/>
            <w:shd w:val="clear" w:color="auto" w:fill="auto"/>
            <w:vAlign w:val="center"/>
          </w:tcPr>
          <w:p w14:paraId="6D6EDA4A">
            <w:pPr>
              <w:widowControl/>
              <w:textAlignment w:val="center"/>
              <w:rPr>
                <w:rFonts w:ascii="宋体" w:hAnsi="宋体" w:cs="宋体"/>
                <w:kern w:val="0"/>
                <w:sz w:val="22"/>
              </w:rPr>
            </w:pPr>
            <w:r>
              <w:rPr>
                <w:rFonts w:hint="eastAsia" w:ascii="宋体" w:hAnsi="宋体" w:cs="宋体"/>
                <w:color w:val="000000"/>
                <w:kern w:val="0"/>
                <w:sz w:val="22"/>
                <w:szCs w:val="22"/>
                <w:lang w:bidi="ar"/>
              </w:rPr>
              <w:t>无色透明，平整</w:t>
            </w:r>
          </w:p>
        </w:tc>
        <w:tc>
          <w:tcPr>
            <w:tcW w:w="462" w:type="dxa"/>
            <w:shd w:val="clear" w:color="auto" w:fill="auto"/>
            <w:noWrap/>
            <w:vAlign w:val="center"/>
          </w:tcPr>
          <w:p w14:paraId="50B9384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包</w:t>
            </w:r>
          </w:p>
        </w:tc>
        <w:tc>
          <w:tcPr>
            <w:tcW w:w="605" w:type="dxa"/>
            <w:shd w:val="clear" w:color="auto" w:fill="auto"/>
            <w:noWrap/>
            <w:vAlign w:val="center"/>
          </w:tcPr>
          <w:p w14:paraId="6CB1BF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7A1465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7B8715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59F09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73AC66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96</w:t>
            </w:r>
          </w:p>
        </w:tc>
        <w:tc>
          <w:tcPr>
            <w:tcW w:w="1072" w:type="dxa"/>
            <w:shd w:val="clear" w:color="auto" w:fill="auto"/>
            <w:vAlign w:val="center"/>
          </w:tcPr>
          <w:p w14:paraId="24DB15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酒精灯</w:t>
            </w:r>
          </w:p>
        </w:tc>
        <w:tc>
          <w:tcPr>
            <w:tcW w:w="4897" w:type="dxa"/>
            <w:shd w:val="clear" w:color="auto" w:fill="auto"/>
            <w:vAlign w:val="center"/>
          </w:tcPr>
          <w:p w14:paraId="03E2D093">
            <w:pPr>
              <w:widowControl/>
              <w:textAlignment w:val="center"/>
              <w:rPr>
                <w:rFonts w:ascii="宋体" w:hAnsi="宋体" w:cs="宋体"/>
                <w:kern w:val="0"/>
                <w:sz w:val="22"/>
              </w:rPr>
            </w:pPr>
            <w:r>
              <w:rPr>
                <w:rFonts w:hint="eastAsia" w:ascii="宋体" w:hAnsi="宋体" w:cs="宋体"/>
                <w:color w:val="000000"/>
                <w:kern w:val="0"/>
                <w:sz w:val="22"/>
                <w:szCs w:val="22"/>
                <w:lang w:bidi="ar"/>
              </w:rPr>
              <w:t>150mL,透明钠钙玻璃制，无明显黄绿色；灯口应平整，瓷灯头与灯口平面间隙不应超过1.5mm；玻璃灯罩应磨口；瓷灯头应为白色，完全覆盖灯口，表面无缺陷，配置与灯口孔径相适应的整齐完整的棉线灯芯</w:t>
            </w:r>
          </w:p>
        </w:tc>
        <w:tc>
          <w:tcPr>
            <w:tcW w:w="462" w:type="dxa"/>
            <w:shd w:val="clear" w:color="auto" w:fill="auto"/>
            <w:noWrap/>
            <w:vAlign w:val="center"/>
          </w:tcPr>
          <w:p w14:paraId="2F6852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0357E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2F330F4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54DDBE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45B8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F96EA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97</w:t>
            </w:r>
          </w:p>
        </w:tc>
        <w:tc>
          <w:tcPr>
            <w:tcW w:w="1072" w:type="dxa"/>
            <w:shd w:val="clear" w:color="auto" w:fill="auto"/>
            <w:vAlign w:val="center"/>
          </w:tcPr>
          <w:p w14:paraId="421778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离心管</w:t>
            </w:r>
          </w:p>
        </w:tc>
        <w:tc>
          <w:tcPr>
            <w:tcW w:w="4897" w:type="dxa"/>
            <w:shd w:val="clear" w:color="auto" w:fill="auto"/>
            <w:vAlign w:val="center"/>
          </w:tcPr>
          <w:p w14:paraId="196853F2">
            <w:pPr>
              <w:widowControl/>
              <w:textAlignment w:val="center"/>
              <w:rPr>
                <w:rFonts w:ascii="宋体" w:hAnsi="宋体" w:cs="宋体"/>
                <w:kern w:val="0"/>
                <w:sz w:val="22"/>
              </w:rPr>
            </w:pPr>
            <w:r>
              <w:rPr>
                <w:rFonts w:hint="eastAsia" w:ascii="宋体" w:hAnsi="宋体" w:cs="宋体"/>
                <w:color w:val="000000"/>
                <w:kern w:val="0"/>
                <w:sz w:val="22"/>
                <w:szCs w:val="22"/>
                <w:lang w:bidi="ar"/>
              </w:rPr>
              <w:t>0.5mL,塑料</w:t>
            </w:r>
          </w:p>
        </w:tc>
        <w:tc>
          <w:tcPr>
            <w:tcW w:w="462" w:type="dxa"/>
            <w:shd w:val="clear" w:color="auto" w:fill="auto"/>
            <w:noWrap/>
            <w:vAlign w:val="center"/>
          </w:tcPr>
          <w:p w14:paraId="526929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275AC1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5FBE63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2605C0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09CE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815E73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98</w:t>
            </w:r>
          </w:p>
        </w:tc>
        <w:tc>
          <w:tcPr>
            <w:tcW w:w="1072" w:type="dxa"/>
            <w:shd w:val="clear" w:color="auto" w:fill="auto"/>
            <w:vAlign w:val="center"/>
          </w:tcPr>
          <w:p w14:paraId="5B5396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离心管</w:t>
            </w:r>
          </w:p>
        </w:tc>
        <w:tc>
          <w:tcPr>
            <w:tcW w:w="4897" w:type="dxa"/>
            <w:shd w:val="clear" w:color="auto" w:fill="auto"/>
            <w:vAlign w:val="center"/>
          </w:tcPr>
          <w:p w14:paraId="30B21F9D">
            <w:pPr>
              <w:widowControl/>
              <w:textAlignment w:val="center"/>
              <w:rPr>
                <w:rFonts w:ascii="宋体" w:hAnsi="宋体" w:cs="宋体"/>
                <w:kern w:val="0"/>
                <w:sz w:val="22"/>
              </w:rPr>
            </w:pPr>
            <w:r>
              <w:rPr>
                <w:rFonts w:hint="eastAsia" w:ascii="宋体" w:hAnsi="宋体" w:cs="宋体"/>
                <w:color w:val="000000"/>
                <w:kern w:val="0"/>
                <w:sz w:val="22"/>
                <w:szCs w:val="22"/>
                <w:lang w:bidi="ar"/>
              </w:rPr>
              <w:t>1.5mL,塑料</w:t>
            </w:r>
          </w:p>
        </w:tc>
        <w:tc>
          <w:tcPr>
            <w:tcW w:w="462" w:type="dxa"/>
            <w:shd w:val="clear" w:color="auto" w:fill="auto"/>
            <w:noWrap/>
            <w:vAlign w:val="center"/>
          </w:tcPr>
          <w:p w14:paraId="3C739E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3A90C37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5EA865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7D5390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5824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DDA175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99</w:t>
            </w:r>
          </w:p>
        </w:tc>
        <w:tc>
          <w:tcPr>
            <w:tcW w:w="1072" w:type="dxa"/>
            <w:shd w:val="clear" w:color="auto" w:fill="auto"/>
            <w:vAlign w:val="center"/>
          </w:tcPr>
          <w:p w14:paraId="12BEFD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离心管</w:t>
            </w:r>
          </w:p>
        </w:tc>
        <w:tc>
          <w:tcPr>
            <w:tcW w:w="4897" w:type="dxa"/>
            <w:shd w:val="clear" w:color="auto" w:fill="auto"/>
            <w:vAlign w:val="center"/>
          </w:tcPr>
          <w:p w14:paraId="4413432D">
            <w:pPr>
              <w:widowControl/>
              <w:textAlignment w:val="center"/>
              <w:rPr>
                <w:rFonts w:ascii="宋体" w:hAnsi="宋体" w:cs="宋体"/>
                <w:kern w:val="0"/>
                <w:sz w:val="22"/>
              </w:rPr>
            </w:pPr>
            <w:r>
              <w:rPr>
                <w:rFonts w:hint="eastAsia" w:ascii="宋体" w:hAnsi="宋体" w:cs="宋体"/>
                <w:color w:val="000000"/>
                <w:kern w:val="0"/>
                <w:sz w:val="22"/>
                <w:szCs w:val="22"/>
                <w:lang w:bidi="ar"/>
              </w:rPr>
              <w:t>10mL,塑料</w:t>
            </w:r>
          </w:p>
        </w:tc>
        <w:tc>
          <w:tcPr>
            <w:tcW w:w="462" w:type="dxa"/>
            <w:shd w:val="clear" w:color="auto" w:fill="auto"/>
            <w:noWrap/>
            <w:vAlign w:val="center"/>
          </w:tcPr>
          <w:p w14:paraId="3204ED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0216B9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3CC746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43D832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r>
      <w:tr w14:paraId="0742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7719E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100</w:t>
            </w:r>
          </w:p>
        </w:tc>
        <w:tc>
          <w:tcPr>
            <w:tcW w:w="1072" w:type="dxa"/>
            <w:shd w:val="clear" w:color="auto" w:fill="auto"/>
            <w:vAlign w:val="center"/>
          </w:tcPr>
          <w:p w14:paraId="44291C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玻璃管</w:t>
            </w:r>
          </w:p>
        </w:tc>
        <w:tc>
          <w:tcPr>
            <w:tcW w:w="4897" w:type="dxa"/>
            <w:shd w:val="clear" w:color="auto" w:fill="auto"/>
            <w:vAlign w:val="center"/>
          </w:tcPr>
          <w:p w14:paraId="7843415C">
            <w:pPr>
              <w:widowControl/>
              <w:textAlignment w:val="center"/>
              <w:rPr>
                <w:rFonts w:ascii="宋体" w:hAnsi="宋体" w:cs="宋体"/>
                <w:kern w:val="0"/>
                <w:sz w:val="22"/>
              </w:rPr>
            </w:pPr>
            <w:r>
              <w:rPr>
                <w:rFonts w:hint="eastAsia" w:ascii="宋体" w:hAnsi="宋体" w:cs="宋体"/>
                <w:color w:val="000000"/>
                <w:kern w:val="0"/>
                <w:sz w:val="22"/>
                <w:szCs w:val="22"/>
                <w:lang w:bidi="ar"/>
              </w:rPr>
              <w:t>Φ5mm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Φ6mm,中性料，管口应打磨或烧结，避免划伤事故</w:t>
            </w:r>
          </w:p>
        </w:tc>
        <w:tc>
          <w:tcPr>
            <w:tcW w:w="462" w:type="dxa"/>
            <w:shd w:val="clear" w:color="auto" w:fill="auto"/>
            <w:noWrap/>
            <w:vAlign w:val="center"/>
          </w:tcPr>
          <w:p w14:paraId="472F52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kg</w:t>
            </w:r>
          </w:p>
        </w:tc>
        <w:tc>
          <w:tcPr>
            <w:tcW w:w="605" w:type="dxa"/>
            <w:shd w:val="clear" w:color="auto" w:fill="auto"/>
            <w:noWrap/>
            <w:vAlign w:val="center"/>
          </w:tcPr>
          <w:p w14:paraId="7D7E7C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87C45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noWrap/>
            <w:vAlign w:val="center"/>
          </w:tcPr>
          <w:p w14:paraId="5289B0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r>
      <w:tr w14:paraId="3E83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C7DF73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101</w:t>
            </w:r>
          </w:p>
        </w:tc>
        <w:tc>
          <w:tcPr>
            <w:tcW w:w="1072" w:type="dxa"/>
            <w:shd w:val="clear" w:color="auto" w:fill="auto"/>
            <w:vAlign w:val="center"/>
          </w:tcPr>
          <w:p w14:paraId="578231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玻璃弯管</w:t>
            </w:r>
          </w:p>
        </w:tc>
        <w:tc>
          <w:tcPr>
            <w:tcW w:w="4897" w:type="dxa"/>
            <w:shd w:val="clear" w:color="auto" w:fill="auto"/>
            <w:vAlign w:val="center"/>
          </w:tcPr>
          <w:p w14:paraId="38B8B03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Φ8mm,一端长度为6cm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7cm,一端长度约20cm,形状为直角和钝角两种，管口应打磨或烧结，避免划伤事故</w:t>
            </w:r>
          </w:p>
        </w:tc>
        <w:tc>
          <w:tcPr>
            <w:tcW w:w="462" w:type="dxa"/>
            <w:shd w:val="clear" w:color="auto" w:fill="auto"/>
            <w:noWrap/>
            <w:vAlign w:val="center"/>
          </w:tcPr>
          <w:p w14:paraId="204DC7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kg</w:t>
            </w:r>
          </w:p>
        </w:tc>
        <w:tc>
          <w:tcPr>
            <w:tcW w:w="605" w:type="dxa"/>
            <w:shd w:val="clear" w:color="auto" w:fill="auto"/>
            <w:noWrap/>
            <w:vAlign w:val="center"/>
          </w:tcPr>
          <w:p w14:paraId="62E50A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7CCFB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c>
          <w:tcPr>
            <w:tcW w:w="1489" w:type="dxa"/>
            <w:shd w:val="clear" w:color="auto" w:fill="auto"/>
            <w:noWrap/>
            <w:vAlign w:val="center"/>
          </w:tcPr>
          <w:p w14:paraId="5DD138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r>
      <w:tr w14:paraId="351B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62A6F4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102</w:t>
            </w:r>
          </w:p>
        </w:tc>
        <w:tc>
          <w:tcPr>
            <w:tcW w:w="1072" w:type="dxa"/>
            <w:shd w:val="clear" w:color="auto" w:fill="auto"/>
            <w:vAlign w:val="center"/>
          </w:tcPr>
          <w:p w14:paraId="34FBF6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玻璃棒</w:t>
            </w:r>
          </w:p>
        </w:tc>
        <w:tc>
          <w:tcPr>
            <w:tcW w:w="4897" w:type="dxa"/>
            <w:shd w:val="clear" w:color="auto" w:fill="auto"/>
            <w:vAlign w:val="center"/>
          </w:tcPr>
          <w:p w14:paraId="412E271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Φ3mm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Φ4mm,粗细均匀</w:t>
            </w:r>
          </w:p>
        </w:tc>
        <w:tc>
          <w:tcPr>
            <w:tcW w:w="462" w:type="dxa"/>
            <w:shd w:val="clear" w:color="auto" w:fill="auto"/>
            <w:noWrap/>
            <w:vAlign w:val="center"/>
          </w:tcPr>
          <w:p w14:paraId="229E42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kg</w:t>
            </w:r>
          </w:p>
        </w:tc>
        <w:tc>
          <w:tcPr>
            <w:tcW w:w="605" w:type="dxa"/>
            <w:shd w:val="clear" w:color="auto" w:fill="auto"/>
            <w:noWrap/>
            <w:vAlign w:val="center"/>
          </w:tcPr>
          <w:p w14:paraId="2C7365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20481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c>
          <w:tcPr>
            <w:tcW w:w="1489" w:type="dxa"/>
            <w:shd w:val="clear" w:color="auto" w:fill="auto"/>
            <w:noWrap/>
            <w:vAlign w:val="center"/>
          </w:tcPr>
          <w:p w14:paraId="61EF51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r>
      <w:tr w14:paraId="6806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7F613C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103</w:t>
            </w:r>
          </w:p>
        </w:tc>
        <w:tc>
          <w:tcPr>
            <w:tcW w:w="1072" w:type="dxa"/>
            <w:shd w:val="clear" w:color="auto" w:fill="auto"/>
            <w:vAlign w:val="center"/>
          </w:tcPr>
          <w:p w14:paraId="0661E0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试管夹</w:t>
            </w:r>
          </w:p>
        </w:tc>
        <w:tc>
          <w:tcPr>
            <w:tcW w:w="4897" w:type="dxa"/>
            <w:shd w:val="clear" w:color="auto" w:fill="auto"/>
            <w:vAlign w:val="center"/>
          </w:tcPr>
          <w:p w14:paraId="73DB8C5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木制或竹制，长度≥200mm,宽度20mm,厚度20mm；试管夹闭口缝≤1mm,开口距≥25mm；毡块黏结牢固，试管夹弹簧作防锈处理，试管夹持部位圆弧内径不大于15mm</w:t>
            </w:r>
          </w:p>
        </w:tc>
        <w:tc>
          <w:tcPr>
            <w:tcW w:w="462" w:type="dxa"/>
            <w:shd w:val="clear" w:color="auto" w:fill="auto"/>
            <w:noWrap/>
            <w:vAlign w:val="center"/>
          </w:tcPr>
          <w:p w14:paraId="48A390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45E71B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048" w:type="dxa"/>
            <w:shd w:val="clear" w:color="auto" w:fill="auto"/>
            <w:noWrap/>
            <w:vAlign w:val="center"/>
          </w:tcPr>
          <w:p w14:paraId="4E1223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28F8B3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r>
      <w:tr w14:paraId="453A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ACC9FA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104</w:t>
            </w:r>
          </w:p>
        </w:tc>
        <w:tc>
          <w:tcPr>
            <w:tcW w:w="1072" w:type="dxa"/>
            <w:shd w:val="clear" w:color="auto" w:fill="auto"/>
            <w:vAlign w:val="center"/>
          </w:tcPr>
          <w:p w14:paraId="77163C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水止皮管夹</w:t>
            </w:r>
          </w:p>
        </w:tc>
        <w:tc>
          <w:tcPr>
            <w:tcW w:w="4897" w:type="dxa"/>
            <w:shd w:val="clear" w:color="auto" w:fill="auto"/>
            <w:vAlign w:val="center"/>
          </w:tcPr>
          <w:p w14:paraId="2B139C3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Φ3mm钢丝制成，作防锈处理，夹持角度不小于60°,弹性好，不漏液</w:t>
            </w:r>
          </w:p>
        </w:tc>
        <w:tc>
          <w:tcPr>
            <w:tcW w:w="462" w:type="dxa"/>
            <w:shd w:val="clear" w:color="auto" w:fill="auto"/>
            <w:noWrap/>
            <w:vAlign w:val="center"/>
          </w:tcPr>
          <w:p w14:paraId="2A5C4F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252AA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2861E5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4E9F02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r>
      <w:tr w14:paraId="4DCC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16C463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105</w:t>
            </w:r>
          </w:p>
        </w:tc>
        <w:tc>
          <w:tcPr>
            <w:tcW w:w="1072" w:type="dxa"/>
            <w:shd w:val="clear" w:color="auto" w:fill="auto"/>
            <w:vAlign w:val="center"/>
          </w:tcPr>
          <w:p w14:paraId="31CD571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陶土网</w:t>
            </w:r>
          </w:p>
        </w:tc>
        <w:tc>
          <w:tcPr>
            <w:tcW w:w="4897" w:type="dxa"/>
            <w:shd w:val="clear" w:color="auto" w:fill="auto"/>
            <w:vAlign w:val="center"/>
          </w:tcPr>
          <w:p w14:paraId="2D93A57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功能等同于石棉网，尺寸不小于125mmX125mm,耐火材料为陶土</w:t>
            </w:r>
          </w:p>
        </w:tc>
        <w:tc>
          <w:tcPr>
            <w:tcW w:w="462" w:type="dxa"/>
            <w:shd w:val="clear" w:color="auto" w:fill="auto"/>
            <w:noWrap/>
            <w:vAlign w:val="center"/>
          </w:tcPr>
          <w:p w14:paraId="143E9D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13F71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39F8C09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170249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r>
      <w:tr w14:paraId="2E84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40576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106</w:t>
            </w:r>
          </w:p>
        </w:tc>
        <w:tc>
          <w:tcPr>
            <w:tcW w:w="1072" w:type="dxa"/>
            <w:shd w:val="clear" w:color="auto" w:fill="auto"/>
            <w:vAlign w:val="center"/>
          </w:tcPr>
          <w:p w14:paraId="0A64FE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药匙</w:t>
            </w:r>
          </w:p>
        </w:tc>
        <w:tc>
          <w:tcPr>
            <w:tcW w:w="4897" w:type="dxa"/>
            <w:shd w:val="clear" w:color="auto" w:fill="auto"/>
            <w:vAlign w:val="center"/>
          </w:tcPr>
          <w:p w14:paraId="5F7416F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中号13.5cm,一端带小勺，材质可选金属、牛角、塑料</w:t>
            </w:r>
          </w:p>
        </w:tc>
        <w:tc>
          <w:tcPr>
            <w:tcW w:w="462" w:type="dxa"/>
            <w:shd w:val="clear" w:color="auto" w:fill="auto"/>
            <w:noWrap/>
            <w:vAlign w:val="center"/>
          </w:tcPr>
          <w:p w14:paraId="03A0CE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4B21D1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B81C9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6D09DD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r>
      <w:tr w14:paraId="5A61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CA6F0D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107</w:t>
            </w:r>
          </w:p>
        </w:tc>
        <w:tc>
          <w:tcPr>
            <w:tcW w:w="1072" w:type="dxa"/>
            <w:shd w:val="clear" w:color="auto" w:fill="auto"/>
            <w:vAlign w:val="center"/>
          </w:tcPr>
          <w:p w14:paraId="4B7322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橡胶塞</w:t>
            </w:r>
          </w:p>
        </w:tc>
        <w:tc>
          <w:tcPr>
            <w:tcW w:w="4897" w:type="dxa"/>
            <w:shd w:val="clear" w:color="auto" w:fill="auto"/>
            <w:vAlign w:val="center"/>
          </w:tcPr>
          <w:p w14:paraId="1B054EB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000、00、0</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10号，白色，质地均匀</w:t>
            </w:r>
          </w:p>
        </w:tc>
        <w:tc>
          <w:tcPr>
            <w:tcW w:w="462" w:type="dxa"/>
            <w:shd w:val="clear" w:color="auto" w:fill="auto"/>
            <w:noWrap/>
            <w:vAlign w:val="center"/>
          </w:tcPr>
          <w:p w14:paraId="35AA7B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kg</w:t>
            </w:r>
          </w:p>
        </w:tc>
        <w:tc>
          <w:tcPr>
            <w:tcW w:w="605" w:type="dxa"/>
            <w:shd w:val="clear" w:color="auto" w:fill="auto"/>
            <w:noWrap/>
            <w:vAlign w:val="center"/>
          </w:tcPr>
          <w:p w14:paraId="686325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E9F86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090686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3324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C4C08A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108</w:t>
            </w:r>
          </w:p>
        </w:tc>
        <w:tc>
          <w:tcPr>
            <w:tcW w:w="1072" w:type="dxa"/>
            <w:shd w:val="clear" w:color="auto" w:fill="auto"/>
            <w:vAlign w:val="center"/>
          </w:tcPr>
          <w:p w14:paraId="6BF479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橡胶管</w:t>
            </w:r>
          </w:p>
        </w:tc>
        <w:tc>
          <w:tcPr>
            <w:tcW w:w="4897" w:type="dxa"/>
            <w:shd w:val="clear" w:color="auto" w:fill="auto"/>
            <w:vAlign w:val="center"/>
          </w:tcPr>
          <w:p w14:paraId="1CDE9D9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外径9mm,内径6mm,乳白色，具有耐油、耐酸碱、耐压等特性</w:t>
            </w:r>
          </w:p>
        </w:tc>
        <w:tc>
          <w:tcPr>
            <w:tcW w:w="462" w:type="dxa"/>
            <w:shd w:val="clear" w:color="auto" w:fill="auto"/>
            <w:noWrap/>
            <w:vAlign w:val="center"/>
          </w:tcPr>
          <w:p w14:paraId="2350BE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kg</w:t>
            </w:r>
          </w:p>
        </w:tc>
        <w:tc>
          <w:tcPr>
            <w:tcW w:w="605" w:type="dxa"/>
            <w:shd w:val="clear" w:color="auto" w:fill="auto"/>
            <w:noWrap/>
            <w:vAlign w:val="center"/>
          </w:tcPr>
          <w:p w14:paraId="6BAC6F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1457B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71A71D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5E38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CD86F4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109</w:t>
            </w:r>
          </w:p>
        </w:tc>
        <w:tc>
          <w:tcPr>
            <w:tcW w:w="1072" w:type="dxa"/>
            <w:shd w:val="clear" w:color="auto" w:fill="auto"/>
            <w:vAlign w:val="center"/>
          </w:tcPr>
          <w:p w14:paraId="36328D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试管刷</w:t>
            </w:r>
          </w:p>
        </w:tc>
        <w:tc>
          <w:tcPr>
            <w:tcW w:w="4897" w:type="dxa"/>
            <w:shd w:val="clear" w:color="auto" w:fill="auto"/>
            <w:vAlign w:val="center"/>
          </w:tcPr>
          <w:p w14:paraId="4C7D81B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Φ12mm；手持部分顶端应为环状，顶部要有刷丝，铁丝不可外露</w:t>
            </w:r>
          </w:p>
        </w:tc>
        <w:tc>
          <w:tcPr>
            <w:tcW w:w="462" w:type="dxa"/>
            <w:shd w:val="clear" w:color="auto" w:fill="auto"/>
            <w:noWrap/>
            <w:vAlign w:val="center"/>
          </w:tcPr>
          <w:p w14:paraId="05E637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6BF68F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CDEBE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383B83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0ADC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AB3ED0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110</w:t>
            </w:r>
          </w:p>
        </w:tc>
        <w:tc>
          <w:tcPr>
            <w:tcW w:w="1072" w:type="dxa"/>
            <w:shd w:val="clear" w:color="auto" w:fill="auto"/>
            <w:vAlign w:val="center"/>
          </w:tcPr>
          <w:p w14:paraId="23990FB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试管刷</w:t>
            </w:r>
          </w:p>
        </w:tc>
        <w:tc>
          <w:tcPr>
            <w:tcW w:w="4897" w:type="dxa"/>
            <w:shd w:val="clear" w:color="auto" w:fill="auto"/>
            <w:vAlign w:val="center"/>
          </w:tcPr>
          <w:p w14:paraId="41FCC81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Φ18mm；手持部分顶端应为环状，顶部要有刷丝，铁丝不可外露</w:t>
            </w:r>
          </w:p>
        </w:tc>
        <w:tc>
          <w:tcPr>
            <w:tcW w:w="462" w:type="dxa"/>
            <w:shd w:val="clear" w:color="auto" w:fill="auto"/>
            <w:noWrap/>
            <w:vAlign w:val="center"/>
          </w:tcPr>
          <w:p w14:paraId="199496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747114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3134A2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4B3D54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7ED0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EC099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111</w:t>
            </w:r>
          </w:p>
        </w:tc>
        <w:tc>
          <w:tcPr>
            <w:tcW w:w="1072" w:type="dxa"/>
            <w:shd w:val="clear" w:color="auto" w:fill="auto"/>
            <w:vAlign w:val="center"/>
          </w:tcPr>
          <w:p w14:paraId="523811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点滴板</w:t>
            </w:r>
          </w:p>
        </w:tc>
        <w:tc>
          <w:tcPr>
            <w:tcW w:w="4897" w:type="dxa"/>
            <w:shd w:val="clear" w:color="auto" w:fill="auto"/>
            <w:vAlign w:val="center"/>
          </w:tcPr>
          <w:p w14:paraId="4BF82E8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12孔穴</w:t>
            </w:r>
          </w:p>
        </w:tc>
        <w:tc>
          <w:tcPr>
            <w:tcW w:w="462" w:type="dxa"/>
            <w:shd w:val="clear" w:color="auto" w:fill="auto"/>
            <w:noWrap/>
            <w:vAlign w:val="center"/>
          </w:tcPr>
          <w:p w14:paraId="0B1E1E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D7C61D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7C212A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7B5173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216</w:t>
            </w:r>
          </w:p>
        </w:tc>
      </w:tr>
      <w:tr w14:paraId="53DF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523A31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112</w:t>
            </w:r>
          </w:p>
        </w:tc>
        <w:tc>
          <w:tcPr>
            <w:tcW w:w="1072" w:type="dxa"/>
            <w:shd w:val="clear" w:color="auto" w:fill="auto"/>
            <w:vAlign w:val="center"/>
          </w:tcPr>
          <w:p w14:paraId="1334E4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研钵</w:t>
            </w:r>
          </w:p>
        </w:tc>
        <w:tc>
          <w:tcPr>
            <w:tcW w:w="4897" w:type="dxa"/>
            <w:shd w:val="clear" w:color="auto" w:fill="auto"/>
            <w:vAlign w:val="center"/>
          </w:tcPr>
          <w:p w14:paraId="6F273F3A">
            <w:pPr>
              <w:widowControl/>
              <w:textAlignment w:val="center"/>
              <w:rPr>
                <w:rFonts w:ascii="宋体" w:hAnsi="宋体" w:cs="宋体"/>
                <w:kern w:val="0"/>
                <w:sz w:val="22"/>
              </w:rPr>
            </w:pPr>
            <w:r>
              <w:rPr>
                <w:rFonts w:hint="eastAsia" w:ascii="宋体" w:hAnsi="宋体" w:cs="宋体"/>
                <w:color w:val="000000"/>
                <w:kern w:val="0"/>
                <w:sz w:val="22"/>
                <w:szCs w:val="22"/>
                <w:lang w:bidi="ar"/>
              </w:rPr>
              <w:t>60mm,手持部分顶端应为环状，顶部要有刷丝，铁丝不可外露</w:t>
            </w:r>
          </w:p>
        </w:tc>
        <w:tc>
          <w:tcPr>
            <w:tcW w:w="462" w:type="dxa"/>
            <w:shd w:val="clear" w:color="auto" w:fill="auto"/>
            <w:noWrap/>
            <w:vAlign w:val="center"/>
          </w:tcPr>
          <w:p w14:paraId="4FB18B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93EE2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2C81B6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074742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w:t>
            </w:r>
          </w:p>
        </w:tc>
      </w:tr>
      <w:tr w14:paraId="10FC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2B7A23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113</w:t>
            </w:r>
          </w:p>
        </w:tc>
        <w:tc>
          <w:tcPr>
            <w:tcW w:w="1072" w:type="dxa"/>
            <w:shd w:val="clear" w:color="auto" w:fill="auto"/>
            <w:vAlign w:val="center"/>
          </w:tcPr>
          <w:p w14:paraId="19D713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记数载玻片（计数板）</w:t>
            </w:r>
          </w:p>
        </w:tc>
        <w:tc>
          <w:tcPr>
            <w:tcW w:w="4897" w:type="dxa"/>
            <w:shd w:val="clear" w:color="auto" w:fill="auto"/>
            <w:vAlign w:val="center"/>
          </w:tcPr>
          <w:p w14:paraId="6B1DFC60">
            <w:pPr>
              <w:widowControl/>
              <w:textAlignment w:val="center"/>
              <w:rPr>
                <w:rFonts w:ascii="宋体" w:hAnsi="宋体" w:cs="宋体"/>
                <w:kern w:val="0"/>
                <w:sz w:val="22"/>
              </w:rPr>
            </w:pPr>
            <w:r>
              <w:rPr>
                <w:rFonts w:hint="eastAsia" w:ascii="宋体" w:hAnsi="宋体" w:cs="宋体"/>
                <w:color w:val="000000"/>
                <w:kern w:val="0"/>
                <w:sz w:val="22"/>
                <w:szCs w:val="22"/>
                <w:lang w:bidi="ar"/>
              </w:rPr>
              <w:t>22mmX26mm,厚0.5mm</w:t>
            </w:r>
          </w:p>
        </w:tc>
        <w:tc>
          <w:tcPr>
            <w:tcW w:w="462" w:type="dxa"/>
            <w:shd w:val="clear" w:color="auto" w:fill="auto"/>
            <w:noWrap/>
            <w:vAlign w:val="center"/>
          </w:tcPr>
          <w:p w14:paraId="7867D5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426BF0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1FE13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w:t>
            </w:r>
          </w:p>
        </w:tc>
        <w:tc>
          <w:tcPr>
            <w:tcW w:w="1489" w:type="dxa"/>
            <w:shd w:val="clear" w:color="auto" w:fill="auto"/>
            <w:noWrap/>
            <w:vAlign w:val="center"/>
          </w:tcPr>
          <w:p w14:paraId="4B3024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660</w:t>
            </w:r>
          </w:p>
        </w:tc>
      </w:tr>
      <w:tr w14:paraId="1971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B7CCEB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114</w:t>
            </w:r>
          </w:p>
        </w:tc>
        <w:tc>
          <w:tcPr>
            <w:tcW w:w="1072" w:type="dxa"/>
            <w:shd w:val="clear" w:color="auto" w:fill="auto"/>
            <w:vAlign w:val="center"/>
          </w:tcPr>
          <w:p w14:paraId="3E1409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标记笔</w:t>
            </w:r>
          </w:p>
        </w:tc>
        <w:tc>
          <w:tcPr>
            <w:tcW w:w="4897" w:type="dxa"/>
            <w:shd w:val="clear" w:color="auto" w:fill="auto"/>
            <w:vAlign w:val="center"/>
          </w:tcPr>
          <w:p w14:paraId="21ADAECB">
            <w:pPr>
              <w:widowControl/>
              <w:textAlignment w:val="center"/>
              <w:rPr>
                <w:rFonts w:ascii="宋体" w:hAnsi="宋体" w:cs="宋体"/>
                <w:kern w:val="0"/>
                <w:sz w:val="22"/>
              </w:rPr>
            </w:pPr>
            <w:r>
              <w:rPr>
                <w:rFonts w:hint="eastAsia" w:ascii="宋体" w:hAnsi="宋体" w:cs="宋体"/>
                <w:color w:val="000000"/>
                <w:kern w:val="0"/>
                <w:sz w:val="22"/>
                <w:szCs w:val="22"/>
                <w:lang w:bidi="ar"/>
              </w:rPr>
              <w:t>双头，油性墨水</w:t>
            </w:r>
          </w:p>
        </w:tc>
        <w:tc>
          <w:tcPr>
            <w:tcW w:w="462" w:type="dxa"/>
            <w:shd w:val="clear" w:color="auto" w:fill="auto"/>
            <w:noWrap/>
            <w:vAlign w:val="center"/>
          </w:tcPr>
          <w:p w14:paraId="1F1769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040D9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2F5E1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1DDF454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45</w:t>
            </w:r>
          </w:p>
        </w:tc>
      </w:tr>
      <w:tr w14:paraId="68CD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BBD532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115</w:t>
            </w:r>
          </w:p>
        </w:tc>
        <w:tc>
          <w:tcPr>
            <w:tcW w:w="1072" w:type="dxa"/>
            <w:shd w:val="clear" w:color="auto" w:fill="auto"/>
            <w:vAlign w:val="center"/>
          </w:tcPr>
          <w:p w14:paraId="192B55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喷壶</w:t>
            </w:r>
          </w:p>
        </w:tc>
        <w:tc>
          <w:tcPr>
            <w:tcW w:w="4897" w:type="dxa"/>
            <w:shd w:val="clear" w:color="auto" w:fill="auto"/>
            <w:vAlign w:val="center"/>
          </w:tcPr>
          <w:p w14:paraId="2E6DD70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w:t>
            </w:r>
          </w:p>
        </w:tc>
        <w:tc>
          <w:tcPr>
            <w:tcW w:w="462" w:type="dxa"/>
            <w:shd w:val="clear" w:color="auto" w:fill="auto"/>
            <w:noWrap/>
            <w:vAlign w:val="center"/>
          </w:tcPr>
          <w:p w14:paraId="46DE69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D90A3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0E79D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20A158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154</w:t>
            </w:r>
          </w:p>
        </w:tc>
      </w:tr>
      <w:tr w14:paraId="41AF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9BBBFE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116</w:t>
            </w:r>
          </w:p>
        </w:tc>
        <w:tc>
          <w:tcPr>
            <w:tcW w:w="1072" w:type="dxa"/>
            <w:shd w:val="clear" w:color="auto" w:fill="auto"/>
            <w:vAlign w:val="center"/>
          </w:tcPr>
          <w:p w14:paraId="72BE12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透析袋</w:t>
            </w:r>
          </w:p>
        </w:tc>
        <w:tc>
          <w:tcPr>
            <w:tcW w:w="4897" w:type="dxa"/>
            <w:shd w:val="clear" w:color="auto" w:fill="auto"/>
            <w:vAlign w:val="center"/>
          </w:tcPr>
          <w:p w14:paraId="00D8B5E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16mm</w:t>
            </w:r>
          </w:p>
        </w:tc>
        <w:tc>
          <w:tcPr>
            <w:tcW w:w="462" w:type="dxa"/>
            <w:shd w:val="clear" w:color="auto" w:fill="auto"/>
            <w:noWrap/>
            <w:vAlign w:val="center"/>
          </w:tcPr>
          <w:p w14:paraId="14C848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卷</w:t>
            </w:r>
          </w:p>
        </w:tc>
        <w:tc>
          <w:tcPr>
            <w:tcW w:w="605" w:type="dxa"/>
            <w:shd w:val="clear" w:color="auto" w:fill="auto"/>
            <w:noWrap/>
            <w:vAlign w:val="center"/>
          </w:tcPr>
          <w:p w14:paraId="627EE7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996BE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105</w:t>
            </w:r>
          </w:p>
        </w:tc>
        <w:tc>
          <w:tcPr>
            <w:tcW w:w="1489" w:type="dxa"/>
            <w:shd w:val="clear" w:color="auto" w:fill="auto"/>
            <w:noWrap/>
            <w:vAlign w:val="center"/>
          </w:tcPr>
          <w:p w14:paraId="672641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105</w:t>
            </w:r>
          </w:p>
        </w:tc>
      </w:tr>
      <w:tr w14:paraId="1F5E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4C55DF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117</w:t>
            </w:r>
          </w:p>
        </w:tc>
        <w:tc>
          <w:tcPr>
            <w:tcW w:w="1072" w:type="dxa"/>
            <w:shd w:val="clear" w:color="auto" w:fill="auto"/>
            <w:vAlign w:val="center"/>
          </w:tcPr>
          <w:p w14:paraId="52B3AD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毛细吸管</w:t>
            </w:r>
          </w:p>
        </w:tc>
        <w:tc>
          <w:tcPr>
            <w:tcW w:w="4897" w:type="dxa"/>
            <w:shd w:val="clear" w:color="auto" w:fill="auto"/>
            <w:vAlign w:val="center"/>
          </w:tcPr>
          <w:p w14:paraId="52167AD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玻璃材质，50支/盒</w:t>
            </w:r>
          </w:p>
        </w:tc>
        <w:tc>
          <w:tcPr>
            <w:tcW w:w="462" w:type="dxa"/>
            <w:shd w:val="clear" w:color="auto" w:fill="auto"/>
            <w:noWrap/>
            <w:vAlign w:val="center"/>
          </w:tcPr>
          <w:p w14:paraId="4373DB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noWrap/>
            <w:vAlign w:val="center"/>
          </w:tcPr>
          <w:p w14:paraId="4EBC9E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tcFitText/>
            <w:vAlign w:val="center"/>
          </w:tcPr>
          <w:p w14:paraId="35084346">
            <w:pPr>
              <w:widowControl/>
              <w:jc w:val="center"/>
              <w:textAlignment w:val="center"/>
              <w:rPr>
                <w:rFonts w:ascii="宋体" w:hAnsi="宋体" w:cs="宋体"/>
                <w:kern w:val="0"/>
                <w:sz w:val="22"/>
              </w:rPr>
            </w:pPr>
            <w:r>
              <w:rPr>
                <w:rFonts w:hint="eastAsia" w:ascii="宋体" w:hAnsi="宋体" w:cs="宋体"/>
                <w:color w:val="000000"/>
                <w:spacing w:val="570"/>
                <w:kern w:val="0"/>
                <w:sz w:val="22"/>
                <w:szCs w:val="22"/>
                <w:lang w:bidi="ar"/>
              </w:rPr>
              <w:t>1</w:t>
            </w:r>
            <w:r>
              <w:rPr>
                <w:rFonts w:hint="eastAsia" w:ascii="宋体" w:hAnsi="宋体" w:cs="宋体"/>
                <w:color w:val="000000"/>
                <w:kern w:val="0"/>
                <w:sz w:val="22"/>
                <w:szCs w:val="22"/>
                <w:lang w:bidi="ar"/>
              </w:rPr>
              <w:t>7</w:t>
            </w:r>
          </w:p>
        </w:tc>
        <w:tc>
          <w:tcPr>
            <w:tcW w:w="1489" w:type="dxa"/>
            <w:shd w:val="clear" w:color="auto" w:fill="auto"/>
            <w:noWrap/>
            <w:vAlign w:val="center"/>
          </w:tcPr>
          <w:p w14:paraId="190993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r>
      <w:tr w14:paraId="003F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0095A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118</w:t>
            </w:r>
          </w:p>
        </w:tc>
        <w:tc>
          <w:tcPr>
            <w:tcW w:w="1072" w:type="dxa"/>
            <w:shd w:val="clear" w:color="auto" w:fill="auto"/>
            <w:vAlign w:val="center"/>
          </w:tcPr>
          <w:p w14:paraId="187921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移液器吸头盒</w:t>
            </w:r>
          </w:p>
        </w:tc>
        <w:tc>
          <w:tcPr>
            <w:tcW w:w="4897" w:type="dxa"/>
            <w:shd w:val="clear" w:color="auto" w:fill="auto"/>
            <w:vAlign w:val="center"/>
          </w:tcPr>
          <w:p w14:paraId="7A08CC7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10μL，96孔</w:t>
            </w:r>
          </w:p>
        </w:tc>
        <w:tc>
          <w:tcPr>
            <w:tcW w:w="462" w:type="dxa"/>
            <w:shd w:val="clear" w:color="auto" w:fill="auto"/>
            <w:noWrap/>
            <w:vAlign w:val="center"/>
          </w:tcPr>
          <w:p w14:paraId="3E985A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5DE65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FD83D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55CBA3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77</w:t>
            </w:r>
          </w:p>
        </w:tc>
      </w:tr>
      <w:tr w14:paraId="1C03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BF31B9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119</w:t>
            </w:r>
          </w:p>
        </w:tc>
        <w:tc>
          <w:tcPr>
            <w:tcW w:w="1072" w:type="dxa"/>
            <w:shd w:val="clear" w:color="auto" w:fill="auto"/>
            <w:vAlign w:val="center"/>
          </w:tcPr>
          <w:p w14:paraId="08755F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移液器吸头盒</w:t>
            </w:r>
          </w:p>
        </w:tc>
        <w:tc>
          <w:tcPr>
            <w:tcW w:w="4897" w:type="dxa"/>
            <w:shd w:val="clear" w:color="auto" w:fill="auto"/>
            <w:vAlign w:val="center"/>
          </w:tcPr>
          <w:p w14:paraId="19E7E57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200μL，96孔</w:t>
            </w:r>
          </w:p>
        </w:tc>
        <w:tc>
          <w:tcPr>
            <w:tcW w:w="462" w:type="dxa"/>
            <w:shd w:val="clear" w:color="auto" w:fill="auto"/>
            <w:noWrap/>
            <w:vAlign w:val="center"/>
          </w:tcPr>
          <w:p w14:paraId="705B00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E2240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331D91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10760D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88</w:t>
            </w:r>
          </w:p>
        </w:tc>
      </w:tr>
      <w:tr w14:paraId="1586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4CBA7B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120</w:t>
            </w:r>
          </w:p>
        </w:tc>
        <w:tc>
          <w:tcPr>
            <w:tcW w:w="1072" w:type="dxa"/>
            <w:shd w:val="clear" w:color="auto" w:fill="auto"/>
            <w:vAlign w:val="center"/>
          </w:tcPr>
          <w:p w14:paraId="23EE84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移液器吸头盒</w:t>
            </w:r>
          </w:p>
        </w:tc>
        <w:tc>
          <w:tcPr>
            <w:tcW w:w="4897" w:type="dxa"/>
            <w:shd w:val="clear" w:color="auto" w:fill="auto"/>
            <w:vAlign w:val="center"/>
          </w:tcPr>
          <w:p w14:paraId="104ECB1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1000μL，60孔</w:t>
            </w:r>
          </w:p>
        </w:tc>
        <w:tc>
          <w:tcPr>
            <w:tcW w:w="462" w:type="dxa"/>
            <w:shd w:val="clear" w:color="auto" w:fill="auto"/>
            <w:noWrap/>
            <w:vAlign w:val="center"/>
          </w:tcPr>
          <w:p w14:paraId="39D2E0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9EABF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DBE64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3C2293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88</w:t>
            </w:r>
          </w:p>
        </w:tc>
      </w:tr>
      <w:tr w14:paraId="0EF8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9E46B5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121</w:t>
            </w:r>
          </w:p>
        </w:tc>
        <w:tc>
          <w:tcPr>
            <w:tcW w:w="1072" w:type="dxa"/>
            <w:shd w:val="clear" w:color="auto" w:fill="auto"/>
            <w:vAlign w:val="center"/>
          </w:tcPr>
          <w:p w14:paraId="7AF7A0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移液器吸头盒</w:t>
            </w:r>
          </w:p>
        </w:tc>
        <w:tc>
          <w:tcPr>
            <w:tcW w:w="4897" w:type="dxa"/>
            <w:shd w:val="clear" w:color="auto" w:fill="auto"/>
            <w:vAlign w:val="center"/>
          </w:tcPr>
          <w:p w14:paraId="08E1E14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5mL，28孔</w:t>
            </w:r>
          </w:p>
        </w:tc>
        <w:tc>
          <w:tcPr>
            <w:tcW w:w="462" w:type="dxa"/>
            <w:shd w:val="clear" w:color="auto" w:fill="auto"/>
            <w:noWrap/>
            <w:vAlign w:val="center"/>
          </w:tcPr>
          <w:p w14:paraId="5C8B0E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DA5B1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3892AE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noWrap/>
            <w:vAlign w:val="center"/>
          </w:tcPr>
          <w:p w14:paraId="6E4603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253</w:t>
            </w:r>
          </w:p>
        </w:tc>
      </w:tr>
      <w:tr w14:paraId="2F43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FB8A86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122</w:t>
            </w:r>
          </w:p>
        </w:tc>
        <w:tc>
          <w:tcPr>
            <w:tcW w:w="1072" w:type="dxa"/>
            <w:shd w:val="clear" w:color="auto" w:fill="auto"/>
            <w:vAlign w:val="center"/>
          </w:tcPr>
          <w:p w14:paraId="4A21D6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w:t>
            </w:r>
          </w:p>
        </w:tc>
        <w:tc>
          <w:tcPr>
            <w:tcW w:w="4897" w:type="dxa"/>
            <w:shd w:val="clear" w:color="auto" w:fill="auto"/>
            <w:vAlign w:val="center"/>
          </w:tcPr>
          <w:p w14:paraId="0F255D1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10μL</w:t>
            </w:r>
          </w:p>
        </w:tc>
        <w:tc>
          <w:tcPr>
            <w:tcW w:w="462" w:type="dxa"/>
            <w:shd w:val="clear" w:color="auto" w:fill="auto"/>
            <w:noWrap/>
            <w:vAlign w:val="center"/>
          </w:tcPr>
          <w:p w14:paraId="277147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包</w:t>
            </w:r>
          </w:p>
        </w:tc>
        <w:tc>
          <w:tcPr>
            <w:tcW w:w="605" w:type="dxa"/>
            <w:shd w:val="clear" w:color="auto" w:fill="auto"/>
            <w:noWrap/>
            <w:vAlign w:val="center"/>
          </w:tcPr>
          <w:p w14:paraId="3FD579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BAE7B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6FC68E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r>
      <w:tr w14:paraId="2218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B72104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123</w:t>
            </w:r>
          </w:p>
        </w:tc>
        <w:tc>
          <w:tcPr>
            <w:tcW w:w="1072" w:type="dxa"/>
            <w:shd w:val="clear" w:color="auto" w:fill="auto"/>
            <w:vAlign w:val="center"/>
          </w:tcPr>
          <w:p w14:paraId="41E72B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w:t>
            </w:r>
          </w:p>
        </w:tc>
        <w:tc>
          <w:tcPr>
            <w:tcW w:w="4897" w:type="dxa"/>
            <w:shd w:val="clear" w:color="auto" w:fill="auto"/>
            <w:vAlign w:val="center"/>
          </w:tcPr>
          <w:p w14:paraId="5C89ABD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200μL</w:t>
            </w:r>
          </w:p>
        </w:tc>
        <w:tc>
          <w:tcPr>
            <w:tcW w:w="462" w:type="dxa"/>
            <w:shd w:val="clear" w:color="auto" w:fill="auto"/>
            <w:noWrap/>
            <w:vAlign w:val="center"/>
          </w:tcPr>
          <w:p w14:paraId="28928E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包</w:t>
            </w:r>
          </w:p>
        </w:tc>
        <w:tc>
          <w:tcPr>
            <w:tcW w:w="605" w:type="dxa"/>
            <w:shd w:val="clear" w:color="auto" w:fill="auto"/>
            <w:noWrap/>
            <w:vAlign w:val="center"/>
          </w:tcPr>
          <w:p w14:paraId="196D04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64B72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c>
          <w:tcPr>
            <w:tcW w:w="1489" w:type="dxa"/>
            <w:shd w:val="clear" w:color="auto" w:fill="auto"/>
            <w:noWrap/>
            <w:vAlign w:val="center"/>
          </w:tcPr>
          <w:p w14:paraId="1775ED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r>
      <w:tr w14:paraId="04E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940E56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124</w:t>
            </w:r>
          </w:p>
        </w:tc>
        <w:tc>
          <w:tcPr>
            <w:tcW w:w="1072" w:type="dxa"/>
            <w:shd w:val="clear" w:color="auto" w:fill="auto"/>
            <w:vAlign w:val="center"/>
          </w:tcPr>
          <w:p w14:paraId="39AC707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w:t>
            </w:r>
          </w:p>
        </w:tc>
        <w:tc>
          <w:tcPr>
            <w:tcW w:w="4897" w:type="dxa"/>
            <w:shd w:val="clear" w:color="auto" w:fill="auto"/>
            <w:vAlign w:val="center"/>
          </w:tcPr>
          <w:p w14:paraId="2764325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1000μL</w:t>
            </w:r>
          </w:p>
        </w:tc>
        <w:tc>
          <w:tcPr>
            <w:tcW w:w="462" w:type="dxa"/>
            <w:shd w:val="clear" w:color="auto" w:fill="auto"/>
            <w:noWrap/>
            <w:vAlign w:val="center"/>
          </w:tcPr>
          <w:p w14:paraId="49ED1A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包</w:t>
            </w:r>
          </w:p>
        </w:tc>
        <w:tc>
          <w:tcPr>
            <w:tcW w:w="605" w:type="dxa"/>
            <w:shd w:val="clear" w:color="auto" w:fill="auto"/>
            <w:noWrap/>
            <w:vAlign w:val="center"/>
          </w:tcPr>
          <w:p w14:paraId="281EEF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5DDA2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noWrap/>
            <w:vAlign w:val="center"/>
          </w:tcPr>
          <w:p w14:paraId="62B996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r>
      <w:tr w14:paraId="69B5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EB4A49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125</w:t>
            </w:r>
          </w:p>
        </w:tc>
        <w:tc>
          <w:tcPr>
            <w:tcW w:w="1072" w:type="dxa"/>
            <w:shd w:val="clear" w:color="auto" w:fill="auto"/>
            <w:vAlign w:val="center"/>
          </w:tcPr>
          <w:p w14:paraId="031A63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w:t>
            </w:r>
          </w:p>
        </w:tc>
        <w:tc>
          <w:tcPr>
            <w:tcW w:w="4897" w:type="dxa"/>
            <w:shd w:val="clear" w:color="auto" w:fill="auto"/>
            <w:vAlign w:val="center"/>
          </w:tcPr>
          <w:p w14:paraId="26561CA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5mL</w:t>
            </w:r>
          </w:p>
        </w:tc>
        <w:tc>
          <w:tcPr>
            <w:tcW w:w="462" w:type="dxa"/>
            <w:shd w:val="clear" w:color="auto" w:fill="auto"/>
            <w:noWrap/>
            <w:vAlign w:val="center"/>
          </w:tcPr>
          <w:p w14:paraId="5094DD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包</w:t>
            </w:r>
          </w:p>
        </w:tc>
        <w:tc>
          <w:tcPr>
            <w:tcW w:w="605" w:type="dxa"/>
            <w:shd w:val="clear" w:color="auto" w:fill="auto"/>
            <w:noWrap/>
            <w:vAlign w:val="center"/>
          </w:tcPr>
          <w:p w14:paraId="79F3EB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DA001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489" w:type="dxa"/>
            <w:shd w:val="clear" w:color="auto" w:fill="auto"/>
            <w:noWrap/>
            <w:vAlign w:val="center"/>
          </w:tcPr>
          <w:p w14:paraId="1E7781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3260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391795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126</w:t>
            </w:r>
          </w:p>
        </w:tc>
        <w:tc>
          <w:tcPr>
            <w:tcW w:w="1072" w:type="dxa"/>
            <w:shd w:val="clear" w:color="auto" w:fill="auto"/>
            <w:vAlign w:val="center"/>
          </w:tcPr>
          <w:p w14:paraId="2EE93C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塑料多用滴管</w:t>
            </w:r>
          </w:p>
        </w:tc>
        <w:tc>
          <w:tcPr>
            <w:tcW w:w="4897" w:type="dxa"/>
            <w:shd w:val="clear" w:color="auto" w:fill="auto"/>
            <w:vAlign w:val="center"/>
          </w:tcPr>
          <w:p w14:paraId="44B0933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4mL</w:t>
            </w:r>
          </w:p>
        </w:tc>
        <w:tc>
          <w:tcPr>
            <w:tcW w:w="462" w:type="dxa"/>
            <w:shd w:val="clear" w:color="auto" w:fill="auto"/>
            <w:noWrap/>
            <w:vAlign w:val="center"/>
          </w:tcPr>
          <w:p w14:paraId="450C61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06F4E3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c>
          <w:tcPr>
            <w:tcW w:w="1048" w:type="dxa"/>
            <w:shd w:val="clear" w:color="auto" w:fill="auto"/>
            <w:noWrap/>
            <w:vAlign w:val="center"/>
          </w:tcPr>
          <w:p w14:paraId="7BC0F3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343D65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267D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538B36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127</w:t>
            </w:r>
          </w:p>
        </w:tc>
        <w:tc>
          <w:tcPr>
            <w:tcW w:w="1072" w:type="dxa"/>
            <w:shd w:val="clear" w:color="auto" w:fill="auto"/>
            <w:vAlign w:val="center"/>
          </w:tcPr>
          <w:p w14:paraId="5B4877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定性滤纸</w:t>
            </w:r>
          </w:p>
        </w:tc>
        <w:tc>
          <w:tcPr>
            <w:tcW w:w="4897" w:type="dxa"/>
            <w:shd w:val="clear" w:color="auto" w:fill="auto"/>
            <w:vAlign w:val="center"/>
          </w:tcPr>
          <w:p w14:paraId="0616885E">
            <w:pPr>
              <w:widowControl/>
              <w:textAlignment w:val="center"/>
              <w:rPr>
                <w:rFonts w:ascii="宋体" w:hAnsi="宋体" w:cs="宋体"/>
                <w:kern w:val="0"/>
                <w:sz w:val="22"/>
              </w:rPr>
            </w:pPr>
            <w:r>
              <w:rPr>
                <w:rFonts w:hint="eastAsia" w:ascii="宋体" w:hAnsi="宋体" w:cs="宋体"/>
                <w:color w:val="000000"/>
                <w:kern w:val="0"/>
                <w:sz w:val="22"/>
                <w:szCs w:val="22"/>
                <w:lang w:bidi="ar"/>
              </w:rPr>
              <w:t>快速，9cm</w:t>
            </w:r>
          </w:p>
        </w:tc>
        <w:tc>
          <w:tcPr>
            <w:tcW w:w="462" w:type="dxa"/>
            <w:shd w:val="clear" w:color="auto" w:fill="auto"/>
            <w:noWrap/>
            <w:vAlign w:val="center"/>
          </w:tcPr>
          <w:p w14:paraId="297A30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noWrap/>
            <w:vAlign w:val="center"/>
          </w:tcPr>
          <w:p w14:paraId="4F951B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noWrap/>
            <w:vAlign w:val="center"/>
          </w:tcPr>
          <w:p w14:paraId="26485D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413EEF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108</w:t>
            </w:r>
          </w:p>
        </w:tc>
      </w:tr>
      <w:tr w14:paraId="3E65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2B02C0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128</w:t>
            </w:r>
          </w:p>
        </w:tc>
        <w:tc>
          <w:tcPr>
            <w:tcW w:w="1072" w:type="dxa"/>
            <w:shd w:val="clear" w:color="auto" w:fill="auto"/>
            <w:vAlign w:val="center"/>
          </w:tcPr>
          <w:p w14:paraId="2B94DD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诱虫器</w:t>
            </w:r>
          </w:p>
        </w:tc>
        <w:tc>
          <w:tcPr>
            <w:tcW w:w="4897" w:type="dxa"/>
            <w:shd w:val="clear" w:color="auto" w:fill="auto"/>
            <w:vAlign w:val="center"/>
          </w:tcPr>
          <w:p w14:paraId="090D1D13">
            <w:pPr>
              <w:widowControl/>
              <w:textAlignment w:val="center"/>
              <w:rPr>
                <w:rFonts w:ascii="宋体" w:hAnsi="宋体" w:cs="宋体"/>
                <w:kern w:val="0"/>
                <w:sz w:val="22"/>
              </w:rPr>
            </w:pPr>
            <w:r>
              <w:rPr>
                <w:rFonts w:hint="eastAsia" w:ascii="宋体" w:hAnsi="宋体" w:cs="宋体"/>
                <w:color w:val="000000"/>
                <w:kern w:val="0"/>
                <w:sz w:val="22"/>
                <w:szCs w:val="22"/>
                <w:lang w:bidi="ar"/>
              </w:rPr>
              <w:t>包括灯泡、灯罩、漏斗、金属网、铁架台、试管</w:t>
            </w:r>
          </w:p>
        </w:tc>
        <w:tc>
          <w:tcPr>
            <w:tcW w:w="462" w:type="dxa"/>
            <w:shd w:val="clear" w:color="auto" w:fill="auto"/>
            <w:noWrap/>
            <w:vAlign w:val="center"/>
          </w:tcPr>
          <w:p w14:paraId="572106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28F396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3D991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w:t>
            </w:r>
          </w:p>
        </w:tc>
        <w:tc>
          <w:tcPr>
            <w:tcW w:w="1489" w:type="dxa"/>
            <w:shd w:val="clear" w:color="auto" w:fill="auto"/>
            <w:noWrap/>
            <w:vAlign w:val="center"/>
          </w:tcPr>
          <w:p w14:paraId="6CA985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w:t>
            </w:r>
          </w:p>
        </w:tc>
      </w:tr>
      <w:tr w14:paraId="69C4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A20AAF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129</w:t>
            </w:r>
          </w:p>
        </w:tc>
        <w:tc>
          <w:tcPr>
            <w:tcW w:w="1072" w:type="dxa"/>
            <w:shd w:val="clear" w:color="auto" w:fill="auto"/>
            <w:vAlign w:val="center"/>
          </w:tcPr>
          <w:p w14:paraId="624BAF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吸虫器</w:t>
            </w:r>
          </w:p>
        </w:tc>
        <w:tc>
          <w:tcPr>
            <w:tcW w:w="4897" w:type="dxa"/>
            <w:shd w:val="clear" w:color="auto" w:fill="auto"/>
            <w:vAlign w:val="center"/>
          </w:tcPr>
          <w:p w14:paraId="0C887AF2">
            <w:pPr>
              <w:widowControl/>
              <w:textAlignment w:val="center"/>
              <w:rPr>
                <w:rFonts w:ascii="宋体" w:hAnsi="宋体" w:cs="宋体"/>
                <w:kern w:val="0"/>
                <w:sz w:val="22"/>
              </w:rPr>
            </w:pPr>
            <w:r>
              <w:rPr>
                <w:rFonts w:hint="eastAsia" w:ascii="宋体" w:hAnsi="宋体" w:cs="宋体"/>
                <w:color w:val="000000"/>
                <w:kern w:val="0"/>
                <w:sz w:val="22"/>
                <w:szCs w:val="22"/>
                <w:lang w:bidi="ar"/>
              </w:rPr>
              <w:t>小，储虫瓶40mmx100mm，带有吸虫管和吸气管</w:t>
            </w:r>
          </w:p>
        </w:tc>
        <w:tc>
          <w:tcPr>
            <w:tcW w:w="462" w:type="dxa"/>
            <w:shd w:val="clear" w:color="auto" w:fill="auto"/>
            <w:noWrap/>
            <w:vAlign w:val="center"/>
          </w:tcPr>
          <w:p w14:paraId="6AE13F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noWrap/>
            <w:vAlign w:val="center"/>
          </w:tcPr>
          <w:p w14:paraId="5E5C43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149378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w:t>
            </w:r>
          </w:p>
        </w:tc>
        <w:tc>
          <w:tcPr>
            <w:tcW w:w="1489" w:type="dxa"/>
            <w:shd w:val="clear" w:color="auto" w:fill="auto"/>
            <w:noWrap/>
            <w:vAlign w:val="center"/>
          </w:tcPr>
          <w:p w14:paraId="787CE0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504</w:t>
            </w:r>
          </w:p>
        </w:tc>
      </w:tr>
      <w:tr w14:paraId="403C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05B75B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130</w:t>
            </w:r>
          </w:p>
        </w:tc>
        <w:tc>
          <w:tcPr>
            <w:tcW w:w="1072" w:type="dxa"/>
            <w:shd w:val="clear" w:color="auto" w:fill="auto"/>
            <w:vAlign w:val="center"/>
          </w:tcPr>
          <w:p w14:paraId="6FC0D6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玻璃三角刮刀</w:t>
            </w:r>
          </w:p>
        </w:tc>
        <w:tc>
          <w:tcPr>
            <w:tcW w:w="4897" w:type="dxa"/>
            <w:shd w:val="clear" w:color="auto" w:fill="auto"/>
            <w:vAlign w:val="center"/>
          </w:tcPr>
          <w:p w14:paraId="53F6F22C">
            <w:pPr>
              <w:widowControl/>
              <w:textAlignment w:val="center"/>
              <w:rPr>
                <w:rFonts w:ascii="宋体" w:hAnsi="宋体" w:cs="宋体"/>
                <w:kern w:val="0"/>
                <w:sz w:val="22"/>
              </w:rPr>
            </w:pPr>
            <w:r>
              <w:rPr>
                <w:rFonts w:hint="eastAsia" w:ascii="宋体" w:hAnsi="宋体" w:cs="宋体"/>
                <w:color w:val="000000"/>
                <w:kern w:val="0"/>
                <w:sz w:val="22"/>
                <w:szCs w:val="22"/>
                <w:lang w:bidi="ar"/>
              </w:rPr>
              <w:t>涂布器</w:t>
            </w:r>
          </w:p>
        </w:tc>
        <w:tc>
          <w:tcPr>
            <w:tcW w:w="462" w:type="dxa"/>
            <w:shd w:val="clear" w:color="auto" w:fill="auto"/>
            <w:noWrap/>
            <w:vAlign w:val="center"/>
          </w:tcPr>
          <w:p w14:paraId="43B55C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FA77E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77A4BB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05C060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88</w:t>
            </w:r>
          </w:p>
        </w:tc>
      </w:tr>
      <w:tr w14:paraId="691F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shd w:val="clear" w:color="auto" w:fill="auto"/>
            <w:noWrap/>
            <w:vAlign w:val="center"/>
          </w:tcPr>
          <w:p w14:paraId="7B4D029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131</w:t>
            </w:r>
          </w:p>
        </w:tc>
        <w:tc>
          <w:tcPr>
            <w:tcW w:w="1072" w:type="dxa"/>
            <w:vMerge w:val="restart"/>
            <w:shd w:val="clear" w:color="auto" w:fill="auto"/>
            <w:vAlign w:val="center"/>
          </w:tcPr>
          <w:p w14:paraId="546971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基因分离模拟材料</w:t>
            </w:r>
          </w:p>
        </w:tc>
        <w:tc>
          <w:tcPr>
            <w:tcW w:w="4897" w:type="dxa"/>
            <w:shd w:val="clear" w:color="auto" w:fill="auto"/>
            <w:vAlign w:val="center"/>
          </w:tcPr>
          <w:p w14:paraId="6C243A2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1、玉米穗；</w:t>
            </w:r>
          </w:p>
        </w:tc>
        <w:tc>
          <w:tcPr>
            <w:tcW w:w="462" w:type="dxa"/>
            <w:vMerge w:val="restart"/>
            <w:shd w:val="clear" w:color="auto" w:fill="auto"/>
            <w:noWrap/>
            <w:vAlign w:val="center"/>
          </w:tcPr>
          <w:p w14:paraId="44D89A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vMerge w:val="restart"/>
            <w:shd w:val="clear" w:color="auto" w:fill="auto"/>
            <w:noWrap/>
            <w:vAlign w:val="center"/>
          </w:tcPr>
          <w:p w14:paraId="44A740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vMerge w:val="restart"/>
            <w:shd w:val="clear" w:color="auto" w:fill="auto"/>
            <w:noWrap/>
            <w:vAlign w:val="center"/>
          </w:tcPr>
          <w:p w14:paraId="5F5E55A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w:t>
            </w:r>
          </w:p>
        </w:tc>
        <w:tc>
          <w:tcPr>
            <w:tcW w:w="1489" w:type="dxa"/>
            <w:vMerge w:val="restart"/>
            <w:shd w:val="clear" w:color="auto" w:fill="auto"/>
            <w:noWrap/>
            <w:vAlign w:val="center"/>
          </w:tcPr>
          <w:p w14:paraId="4107F3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1188</w:t>
            </w:r>
          </w:p>
        </w:tc>
      </w:tr>
      <w:tr w14:paraId="50F7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auto"/>
            <w:noWrap/>
            <w:vAlign w:val="center"/>
          </w:tcPr>
          <w:p w14:paraId="67439E2E">
            <w:pPr>
              <w:jc w:val="center"/>
              <w:rPr>
                <w:rFonts w:ascii="宋体" w:hAnsi="宋体" w:cs="宋体"/>
                <w:kern w:val="0"/>
                <w:sz w:val="22"/>
              </w:rPr>
            </w:pPr>
          </w:p>
        </w:tc>
        <w:tc>
          <w:tcPr>
            <w:tcW w:w="1072" w:type="dxa"/>
            <w:vMerge w:val="continue"/>
            <w:shd w:val="clear" w:color="auto" w:fill="auto"/>
            <w:vAlign w:val="center"/>
          </w:tcPr>
          <w:p w14:paraId="28184658">
            <w:pPr>
              <w:jc w:val="center"/>
              <w:rPr>
                <w:rFonts w:ascii="宋体" w:hAnsi="宋体" w:cs="宋体"/>
                <w:kern w:val="0"/>
                <w:sz w:val="22"/>
              </w:rPr>
            </w:pPr>
          </w:p>
        </w:tc>
        <w:tc>
          <w:tcPr>
            <w:tcW w:w="4897" w:type="dxa"/>
            <w:shd w:val="clear" w:color="auto" w:fill="auto"/>
            <w:vAlign w:val="center"/>
          </w:tcPr>
          <w:p w14:paraId="464F6C9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2、标本选用父代穗、母代穗、子一代穗、子二代穗及子二代测交穗5穗玉米穗组成，各有不同的基因型；</w:t>
            </w:r>
          </w:p>
        </w:tc>
        <w:tc>
          <w:tcPr>
            <w:tcW w:w="462" w:type="dxa"/>
            <w:vMerge w:val="continue"/>
            <w:shd w:val="clear" w:color="auto" w:fill="auto"/>
            <w:noWrap/>
            <w:vAlign w:val="center"/>
          </w:tcPr>
          <w:p w14:paraId="7004E544">
            <w:pPr>
              <w:jc w:val="center"/>
              <w:rPr>
                <w:rFonts w:ascii="宋体" w:hAnsi="宋体" w:cs="宋体"/>
                <w:kern w:val="0"/>
                <w:sz w:val="22"/>
              </w:rPr>
            </w:pPr>
          </w:p>
        </w:tc>
        <w:tc>
          <w:tcPr>
            <w:tcW w:w="605" w:type="dxa"/>
            <w:vMerge w:val="continue"/>
            <w:shd w:val="clear" w:color="auto" w:fill="auto"/>
            <w:noWrap/>
            <w:vAlign w:val="center"/>
          </w:tcPr>
          <w:p w14:paraId="06DC65CE">
            <w:pPr>
              <w:jc w:val="center"/>
              <w:rPr>
                <w:rFonts w:ascii="宋体" w:hAnsi="宋体" w:cs="宋体"/>
                <w:kern w:val="0"/>
                <w:sz w:val="22"/>
              </w:rPr>
            </w:pPr>
          </w:p>
        </w:tc>
        <w:tc>
          <w:tcPr>
            <w:tcW w:w="1048" w:type="dxa"/>
            <w:vMerge w:val="continue"/>
            <w:shd w:val="clear" w:color="auto" w:fill="auto"/>
            <w:noWrap/>
            <w:vAlign w:val="center"/>
          </w:tcPr>
          <w:p w14:paraId="503A4C4D">
            <w:pPr>
              <w:jc w:val="center"/>
              <w:rPr>
                <w:rFonts w:ascii="宋体" w:hAnsi="宋体" w:cs="宋体"/>
                <w:kern w:val="0"/>
                <w:sz w:val="22"/>
              </w:rPr>
            </w:pPr>
          </w:p>
        </w:tc>
        <w:tc>
          <w:tcPr>
            <w:tcW w:w="1489" w:type="dxa"/>
            <w:vMerge w:val="continue"/>
            <w:shd w:val="clear" w:color="auto" w:fill="auto"/>
            <w:noWrap/>
            <w:vAlign w:val="center"/>
          </w:tcPr>
          <w:p w14:paraId="678E1637">
            <w:pPr>
              <w:jc w:val="center"/>
              <w:rPr>
                <w:rFonts w:ascii="宋体" w:hAnsi="宋体" w:cs="宋体"/>
                <w:kern w:val="0"/>
                <w:sz w:val="22"/>
              </w:rPr>
            </w:pPr>
          </w:p>
        </w:tc>
      </w:tr>
      <w:tr w14:paraId="1D4B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auto"/>
            <w:noWrap/>
            <w:vAlign w:val="center"/>
          </w:tcPr>
          <w:p w14:paraId="329CA47F">
            <w:pPr>
              <w:jc w:val="center"/>
              <w:rPr>
                <w:rFonts w:ascii="宋体" w:hAnsi="宋体" w:cs="宋体"/>
                <w:kern w:val="0"/>
                <w:sz w:val="22"/>
              </w:rPr>
            </w:pPr>
          </w:p>
        </w:tc>
        <w:tc>
          <w:tcPr>
            <w:tcW w:w="1072" w:type="dxa"/>
            <w:vMerge w:val="continue"/>
            <w:shd w:val="clear" w:color="auto" w:fill="auto"/>
            <w:vAlign w:val="center"/>
          </w:tcPr>
          <w:p w14:paraId="3E5F674A">
            <w:pPr>
              <w:jc w:val="center"/>
              <w:rPr>
                <w:rFonts w:ascii="宋体" w:hAnsi="宋体" w:cs="宋体"/>
                <w:kern w:val="0"/>
                <w:sz w:val="22"/>
              </w:rPr>
            </w:pPr>
          </w:p>
        </w:tc>
        <w:tc>
          <w:tcPr>
            <w:tcW w:w="4897" w:type="dxa"/>
            <w:shd w:val="clear" w:color="auto" w:fill="auto"/>
            <w:vAlign w:val="center"/>
          </w:tcPr>
          <w:p w14:paraId="6D0A62D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3、标本盒为木质材料制作，内分5格；标本盒尺寸为25×20×5cm。</w:t>
            </w:r>
          </w:p>
        </w:tc>
        <w:tc>
          <w:tcPr>
            <w:tcW w:w="462" w:type="dxa"/>
            <w:vMerge w:val="continue"/>
            <w:shd w:val="clear" w:color="auto" w:fill="auto"/>
            <w:noWrap/>
            <w:vAlign w:val="center"/>
          </w:tcPr>
          <w:p w14:paraId="427EAD98">
            <w:pPr>
              <w:jc w:val="center"/>
              <w:rPr>
                <w:rFonts w:ascii="宋体" w:hAnsi="宋体" w:cs="宋体"/>
                <w:kern w:val="0"/>
                <w:sz w:val="22"/>
              </w:rPr>
            </w:pPr>
          </w:p>
        </w:tc>
        <w:tc>
          <w:tcPr>
            <w:tcW w:w="605" w:type="dxa"/>
            <w:vMerge w:val="continue"/>
            <w:shd w:val="clear" w:color="auto" w:fill="auto"/>
            <w:noWrap/>
            <w:vAlign w:val="center"/>
          </w:tcPr>
          <w:p w14:paraId="10D671D2">
            <w:pPr>
              <w:jc w:val="center"/>
              <w:rPr>
                <w:rFonts w:ascii="宋体" w:hAnsi="宋体" w:cs="宋体"/>
                <w:kern w:val="0"/>
                <w:sz w:val="22"/>
              </w:rPr>
            </w:pPr>
          </w:p>
        </w:tc>
        <w:tc>
          <w:tcPr>
            <w:tcW w:w="1048" w:type="dxa"/>
            <w:vMerge w:val="continue"/>
            <w:shd w:val="clear" w:color="auto" w:fill="auto"/>
            <w:noWrap/>
            <w:vAlign w:val="center"/>
          </w:tcPr>
          <w:p w14:paraId="0DD9315A">
            <w:pPr>
              <w:jc w:val="center"/>
              <w:rPr>
                <w:rFonts w:ascii="宋体" w:hAnsi="宋体" w:cs="宋体"/>
                <w:kern w:val="0"/>
                <w:sz w:val="22"/>
              </w:rPr>
            </w:pPr>
          </w:p>
        </w:tc>
        <w:tc>
          <w:tcPr>
            <w:tcW w:w="1489" w:type="dxa"/>
            <w:vMerge w:val="continue"/>
            <w:shd w:val="clear" w:color="auto" w:fill="auto"/>
            <w:noWrap/>
            <w:vAlign w:val="center"/>
          </w:tcPr>
          <w:p w14:paraId="6046F5AD">
            <w:pPr>
              <w:jc w:val="center"/>
              <w:rPr>
                <w:rFonts w:ascii="宋体" w:hAnsi="宋体" w:cs="宋体"/>
                <w:kern w:val="0"/>
                <w:sz w:val="22"/>
              </w:rPr>
            </w:pPr>
          </w:p>
        </w:tc>
      </w:tr>
      <w:tr w14:paraId="5604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CD735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132</w:t>
            </w:r>
          </w:p>
        </w:tc>
        <w:tc>
          <w:tcPr>
            <w:tcW w:w="1072" w:type="dxa"/>
            <w:shd w:val="clear" w:color="auto" w:fill="auto"/>
            <w:vAlign w:val="center"/>
          </w:tcPr>
          <w:p w14:paraId="1ECF39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打孔器</w:t>
            </w:r>
          </w:p>
        </w:tc>
        <w:tc>
          <w:tcPr>
            <w:tcW w:w="4897" w:type="dxa"/>
            <w:shd w:val="clear" w:color="auto" w:fill="auto"/>
            <w:vAlign w:val="center"/>
          </w:tcPr>
          <w:p w14:paraId="0ED192BA">
            <w:pPr>
              <w:widowControl/>
              <w:textAlignment w:val="center"/>
              <w:rPr>
                <w:rFonts w:ascii="宋体" w:hAnsi="宋体" w:cs="宋体"/>
                <w:kern w:val="0"/>
                <w:sz w:val="22"/>
              </w:rPr>
            </w:pPr>
            <w:r>
              <w:rPr>
                <w:rFonts w:hint="eastAsia" w:ascii="宋体" w:hAnsi="宋体" w:cs="宋体"/>
                <w:color w:val="000000"/>
                <w:kern w:val="0"/>
                <w:sz w:val="22"/>
                <w:szCs w:val="22"/>
                <w:lang w:bidi="ar"/>
              </w:rPr>
              <w:t>刀口式，材质为不锈钢管、钢管或黄铜管，每组不少于4支，外径分别为9mm、8mm、7mm、6mm，并配一支带柄金属通扦</w:t>
            </w:r>
          </w:p>
        </w:tc>
        <w:tc>
          <w:tcPr>
            <w:tcW w:w="462" w:type="dxa"/>
            <w:shd w:val="clear" w:color="auto" w:fill="auto"/>
            <w:noWrap/>
            <w:vAlign w:val="center"/>
          </w:tcPr>
          <w:p w14:paraId="18F69B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47A8EA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3634F6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28D387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1843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4C55D8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133</w:t>
            </w:r>
          </w:p>
        </w:tc>
        <w:tc>
          <w:tcPr>
            <w:tcW w:w="1072" w:type="dxa"/>
            <w:shd w:val="clear" w:color="auto" w:fill="auto"/>
            <w:vAlign w:val="center"/>
          </w:tcPr>
          <w:p w14:paraId="22A29A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打孔夹板</w:t>
            </w:r>
          </w:p>
        </w:tc>
        <w:tc>
          <w:tcPr>
            <w:tcW w:w="4897" w:type="dxa"/>
            <w:shd w:val="clear" w:color="auto" w:fill="auto"/>
            <w:vAlign w:val="center"/>
          </w:tcPr>
          <w:p w14:paraId="530A3364">
            <w:pPr>
              <w:widowControl/>
              <w:textAlignment w:val="center"/>
              <w:rPr>
                <w:rFonts w:ascii="宋体" w:hAnsi="宋体" w:cs="宋体"/>
                <w:kern w:val="0"/>
                <w:sz w:val="22"/>
              </w:rPr>
            </w:pPr>
            <w:r>
              <w:rPr>
                <w:rFonts w:hint="eastAsia" w:ascii="宋体" w:hAnsi="宋体" w:cs="宋体"/>
                <w:color w:val="000000"/>
                <w:kern w:val="0"/>
                <w:sz w:val="22"/>
                <w:szCs w:val="22"/>
                <w:lang w:bidi="ar"/>
              </w:rPr>
              <w:t>硬木或硬塑料制</w:t>
            </w:r>
          </w:p>
        </w:tc>
        <w:tc>
          <w:tcPr>
            <w:tcW w:w="462" w:type="dxa"/>
            <w:shd w:val="clear" w:color="auto" w:fill="auto"/>
            <w:noWrap/>
            <w:vAlign w:val="center"/>
          </w:tcPr>
          <w:p w14:paraId="496252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BF95F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8C50E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noWrap/>
            <w:vAlign w:val="center"/>
          </w:tcPr>
          <w:p w14:paraId="0ACDE7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r>
      <w:tr w14:paraId="117D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DBFA17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134</w:t>
            </w:r>
          </w:p>
        </w:tc>
        <w:tc>
          <w:tcPr>
            <w:tcW w:w="1072" w:type="dxa"/>
            <w:shd w:val="clear" w:color="auto" w:fill="auto"/>
            <w:vAlign w:val="center"/>
          </w:tcPr>
          <w:p w14:paraId="3BA27A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打孔器刮刀</w:t>
            </w:r>
          </w:p>
        </w:tc>
        <w:tc>
          <w:tcPr>
            <w:tcW w:w="4897" w:type="dxa"/>
            <w:shd w:val="clear" w:color="auto" w:fill="auto"/>
            <w:vAlign w:val="center"/>
          </w:tcPr>
          <w:p w14:paraId="6351783C">
            <w:pPr>
              <w:widowControl/>
              <w:textAlignment w:val="center"/>
              <w:rPr>
                <w:rFonts w:ascii="宋体" w:hAnsi="宋体" w:cs="宋体"/>
                <w:kern w:val="0"/>
                <w:sz w:val="22"/>
              </w:rPr>
            </w:pPr>
            <w:r>
              <w:rPr>
                <w:rFonts w:hint="eastAsia" w:ascii="宋体" w:hAnsi="宋体" w:cs="宋体"/>
                <w:color w:val="000000"/>
                <w:kern w:val="0"/>
                <w:sz w:val="22"/>
                <w:szCs w:val="22"/>
                <w:lang w:bidi="ar"/>
              </w:rPr>
              <w:t>刀宜用65M板制成，表面热处理，55HRC</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60HRC,总长为70mm±0.5mm,宽14.5mm±0.1mm,厚1.8mm±0.5mm；刀口角度宜为60°±5°，锋刃小于0.1mm</w:t>
            </w:r>
          </w:p>
        </w:tc>
        <w:tc>
          <w:tcPr>
            <w:tcW w:w="462" w:type="dxa"/>
            <w:shd w:val="clear" w:color="auto" w:fill="auto"/>
            <w:noWrap/>
            <w:vAlign w:val="center"/>
          </w:tcPr>
          <w:p w14:paraId="477E75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97C27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AF6DF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3BF3C2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07E1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456B42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135</w:t>
            </w:r>
          </w:p>
        </w:tc>
        <w:tc>
          <w:tcPr>
            <w:tcW w:w="1072" w:type="dxa"/>
            <w:shd w:val="clear" w:color="auto" w:fill="auto"/>
            <w:vAlign w:val="center"/>
          </w:tcPr>
          <w:p w14:paraId="2D49AB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低压测电器</w:t>
            </w:r>
          </w:p>
        </w:tc>
        <w:tc>
          <w:tcPr>
            <w:tcW w:w="4897" w:type="dxa"/>
            <w:shd w:val="clear" w:color="auto" w:fill="auto"/>
            <w:vAlign w:val="center"/>
          </w:tcPr>
          <w:p w14:paraId="7E57B364">
            <w:pPr>
              <w:widowControl/>
              <w:textAlignment w:val="center"/>
              <w:rPr>
                <w:rFonts w:ascii="宋体" w:hAnsi="宋体" w:cs="宋体"/>
                <w:kern w:val="0"/>
                <w:sz w:val="22"/>
              </w:rPr>
            </w:pPr>
            <w:r>
              <w:rPr>
                <w:rFonts w:hint="eastAsia" w:ascii="宋体" w:hAnsi="宋体" w:cs="宋体"/>
                <w:color w:val="000000"/>
                <w:kern w:val="0"/>
                <w:sz w:val="22"/>
                <w:szCs w:val="22"/>
                <w:lang w:bidi="ar"/>
              </w:rPr>
              <w:t>笔式，氖泡式，测电极长≤10mm,测量范围100V</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500V,辉光应稳定不闪烁</w:t>
            </w:r>
          </w:p>
        </w:tc>
        <w:tc>
          <w:tcPr>
            <w:tcW w:w="462" w:type="dxa"/>
            <w:shd w:val="clear" w:color="auto" w:fill="auto"/>
            <w:noWrap/>
            <w:vAlign w:val="center"/>
          </w:tcPr>
          <w:p w14:paraId="058A03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1AA7EA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6EA68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9C8D0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57AE7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6B7A1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136</w:t>
            </w:r>
          </w:p>
        </w:tc>
        <w:tc>
          <w:tcPr>
            <w:tcW w:w="1072" w:type="dxa"/>
            <w:shd w:val="clear" w:color="auto" w:fill="auto"/>
            <w:vAlign w:val="center"/>
          </w:tcPr>
          <w:p w14:paraId="3838A5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一字螺丝刀</w:t>
            </w:r>
          </w:p>
        </w:tc>
        <w:tc>
          <w:tcPr>
            <w:tcW w:w="4897" w:type="dxa"/>
            <w:shd w:val="clear" w:color="auto" w:fill="auto"/>
            <w:vAlign w:val="center"/>
          </w:tcPr>
          <w:p w14:paraId="70348F41">
            <w:pPr>
              <w:widowControl/>
              <w:textAlignment w:val="center"/>
              <w:rPr>
                <w:rFonts w:ascii="宋体" w:hAnsi="宋体" w:cs="宋体"/>
                <w:kern w:val="0"/>
                <w:sz w:val="22"/>
              </w:rPr>
            </w:pPr>
            <w:r>
              <w:rPr>
                <w:rFonts w:hint="eastAsia" w:ascii="宋体" w:hAnsi="宋体" w:cs="宋体"/>
                <w:color w:val="000000"/>
                <w:kern w:val="0"/>
                <w:sz w:val="22"/>
                <w:szCs w:val="22"/>
                <w:lang w:bidi="ar"/>
              </w:rPr>
              <w:t>每套2个：Φ6mm,长150mm；Φ3mm,长75mm,工作部带磁性，硬度不低于48HRC；旋杆采用铬钒钢，旋杆长度≥100mm,应经镀铬防锈处理</w:t>
            </w:r>
          </w:p>
        </w:tc>
        <w:tc>
          <w:tcPr>
            <w:tcW w:w="462" w:type="dxa"/>
            <w:shd w:val="clear" w:color="auto" w:fill="auto"/>
            <w:noWrap/>
            <w:vAlign w:val="center"/>
          </w:tcPr>
          <w:p w14:paraId="2B6899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66E19B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80FB1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0D1AC9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5B43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B8FC61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137</w:t>
            </w:r>
          </w:p>
        </w:tc>
        <w:tc>
          <w:tcPr>
            <w:tcW w:w="1072" w:type="dxa"/>
            <w:shd w:val="clear" w:color="auto" w:fill="auto"/>
            <w:vAlign w:val="center"/>
          </w:tcPr>
          <w:p w14:paraId="35AF17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十字螺丝刀</w:t>
            </w:r>
          </w:p>
        </w:tc>
        <w:tc>
          <w:tcPr>
            <w:tcW w:w="4897" w:type="dxa"/>
            <w:shd w:val="clear" w:color="auto" w:fill="auto"/>
            <w:vAlign w:val="center"/>
          </w:tcPr>
          <w:p w14:paraId="19171E5D">
            <w:pPr>
              <w:widowControl/>
              <w:textAlignment w:val="center"/>
              <w:rPr>
                <w:rFonts w:ascii="宋体" w:hAnsi="宋体" w:cs="宋体"/>
                <w:kern w:val="0"/>
                <w:sz w:val="22"/>
              </w:rPr>
            </w:pPr>
            <w:r>
              <w:rPr>
                <w:rFonts w:hint="eastAsia" w:ascii="宋体" w:hAnsi="宋体" w:cs="宋体"/>
                <w:color w:val="000000"/>
                <w:kern w:val="0"/>
                <w:sz w:val="22"/>
                <w:szCs w:val="22"/>
                <w:lang w:bidi="ar"/>
              </w:rPr>
              <w:t>每套2个：Φ6mm,长150mm；Φ3mm,长75mm,工作部带磁性，硬度不低于48HRC；旋杆采用铬钒钢，旋杆长度≥100mm,应经镀铬防锈处理</w:t>
            </w:r>
          </w:p>
        </w:tc>
        <w:tc>
          <w:tcPr>
            <w:tcW w:w="462" w:type="dxa"/>
            <w:shd w:val="clear" w:color="auto" w:fill="auto"/>
            <w:noWrap/>
            <w:vAlign w:val="center"/>
          </w:tcPr>
          <w:p w14:paraId="26F493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FC3CF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60336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245B3D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0B0C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69D417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138</w:t>
            </w:r>
          </w:p>
        </w:tc>
        <w:tc>
          <w:tcPr>
            <w:tcW w:w="1072" w:type="dxa"/>
            <w:shd w:val="clear" w:color="auto" w:fill="auto"/>
            <w:vAlign w:val="center"/>
          </w:tcPr>
          <w:p w14:paraId="49E674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钢手锯</w:t>
            </w:r>
          </w:p>
        </w:tc>
        <w:tc>
          <w:tcPr>
            <w:tcW w:w="4897" w:type="dxa"/>
            <w:shd w:val="clear" w:color="auto" w:fill="auto"/>
            <w:vAlign w:val="center"/>
          </w:tcPr>
          <w:p w14:paraId="290FA09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A型（单面）300mm，齿数：18（每25mm）；可调钢锯架，前后固定销与相应孔的配合间隙≤0.3mm。安装锯条后，锯条中心平面与锯架中心平面的平行度≤2mm。钢锯在达到99N拉力后经1min,不应有永久变形，拉钉不得松动脱落。钢板制锯架在达到900N张力时，侧弯不得超过1.8mm</w:t>
            </w:r>
          </w:p>
        </w:tc>
        <w:tc>
          <w:tcPr>
            <w:tcW w:w="462" w:type="dxa"/>
            <w:shd w:val="clear" w:color="auto" w:fill="auto"/>
            <w:noWrap/>
            <w:vAlign w:val="center"/>
          </w:tcPr>
          <w:p w14:paraId="5790E8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6D332A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EE2C7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3CFE83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0B28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3BB969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139</w:t>
            </w:r>
          </w:p>
        </w:tc>
        <w:tc>
          <w:tcPr>
            <w:tcW w:w="1072" w:type="dxa"/>
            <w:shd w:val="clear" w:color="auto" w:fill="auto"/>
            <w:vAlign w:val="center"/>
          </w:tcPr>
          <w:p w14:paraId="7E8C34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剥线钳</w:t>
            </w:r>
          </w:p>
        </w:tc>
        <w:tc>
          <w:tcPr>
            <w:tcW w:w="4897" w:type="dxa"/>
            <w:shd w:val="clear" w:color="auto" w:fill="auto"/>
            <w:vAlign w:val="center"/>
          </w:tcPr>
          <w:p w14:paraId="63B9C98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自动剥线钳，Φ0.5mm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Φ2.5mm；刃口在闭合状态，刃口间隙应不大于0.3mm；刃口错位应不大于0.2mm；钳口硬度应不低于65HRA或30HRC</w:t>
            </w:r>
          </w:p>
        </w:tc>
        <w:tc>
          <w:tcPr>
            <w:tcW w:w="462" w:type="dxa"/>
            <w:shd w:val="clear" w:color="auto" w:fill="auto"/>
            <w:noWrap/>
            <w:vAlign w:val="center"/>
          </w:tcPr>
          <w:p w14:paraId="697643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790843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D02AF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7B01B2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6CDD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4F658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140</w:t>
            </w:r>
          </w:p>
        </w:tc>
        <w:tc>
          <w:tcPr>
            <w:tcW w:w="1072" w:type="dxa"/>
            <w:shd w:val="clear" w:color="auto" w:fill="auto"/>
            <w:vAlign w:val="center"/>
          </w:tcPr>
          <w:p w14:paraId="58F5E5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钢丝钳</w:t>
            </w:r>
          </w:p>
        </w:tc>
        <w:tc>
          <w:tcPr>
            <w:tcW w:w="4897" w:type="dxa"/>
            <w:shd w:val="clear" w:color="auto" w:fill="auto"/>
            <w:vAlign w:val="center"/>
          </w:tcPr>
          <w:p w14:paraId="6C5FE4E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160mm,抗弯强度：1120N；扭力：15N</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m,15°；嘴顶缝隙：0.4mm；剪切性能：Φ16mm钢丝，580N；夹持面硬度≥44 HRC,在≤18 N的力作用下撑开角度≥22°</w:t>
            </w:r>
          </w:p>
        </w:tc>
        <w:tc>
          <w:tcPr>
            <w:tcW w:w="462" w:type="dxa"/>
            <w:shd w:val="clear" w:color="auto" w:fill="auto"/>
            <w:noWrap/>
            <w:vAlign w:val="center"/>
          </w:tcPr>
          <w:p w14:paraId="35DC73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654578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52D17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c>
          <w:tcPr>
            <w:tcW w:w="1489" w:type="dxa"/>
            <w:shd w:val="clear" w:color="auto" w:fill="auto"/>
            <w:noWrap/>
            <w:vAlign w:val="center"/>
          </w:tcPr>
          <w:p w14:paraId="1DF8CD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r>
      <w:tr w14:paraId="24CB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57D08B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141</w:t>
            </w:r>
          </w:p>
        </w:tc>
        <w:tc>
          <w:tcPr>
            <w:tcW w:w="1072" w:type="dxa"/>
            <w:shd w:val="clear" w:color="auto" w:fill="auto"/>
            <w:vAlign w:val="center"/>
          </w:tcPr>
          <w:p w14:paraId="28C410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羊角锤</w:t>
            </w:r>
          </w:p>
        </w:tc>
        <w:tc>
          <w:tcPr>
            <w:tcW w:w="4897" w:type="dxa"/>
            <w:shd w:val="clear" w:color="auto" w:fill="auto"/>
            <w:vAlign w:val="center"/>
          </w:tcPr>
          <w:p w14:paraId="04B4053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0.25kg</w:t>
            </w:r>
          </w:p>
        </w:tc>
        <w:tc>
          <w:tcPr>
            <w:tcW w:w="462" w:type="dxa"/>
            <w:shd w:val="clear" w:color="auto" w:fill="auto"/>
            <w:noWrap/>
            <w:vAlign w:val="center"/>
          </w:tcPr>
          <w:p w14:paraId="093800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448AE2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F109A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noWrap/>
            <w:vAlign w:val="center"/>
          </w:tcPr>
          <w:p w14:paraId="5AF284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r>
      <w:tr w14:paraId="0DDE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ED516E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142</w:t>
            </w:r>
          </w:p>
        </w:tc>
        <w:tc>
          <w:tcPr>
            <w:tcW w:w="1072" w:type="dxa"/>
            <w:shd w:val="clear" w:color="auto" w:fill="auto"/>
            <w:vAlign w:val="center"/>
          </w:tcPr>
          <w:p w14:paraId="0FDC06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活扳手</w:t>
            </w:r>
          </w:p>
        </w:tc>
        <w:tc>
          <w:tcPr>
            <w:tcW w:w="4897" w:type="dxa"/>
            <w:shd w:val="clear" w:color="auto" w:fill="auto"/>
            <w:vAlign w:val="center"/>
          </w:tcPr>
          <w:p w14:paraId="0700248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200mm，活动扳口和扳体头部以及蜗杆的硬度≥40HRC</w:t>
            </w:r>
          </w:p>
        </w:tc>
        <w:tc>
          <w:tcPr>
            <w:tcW w:w="462" w:type="dxa"/>
            <w:shd w:val="clear" w:color="auto" w:fill="auto"/>
            <w:noWrap/>
            <w:vAlign w:val="center"/>
          </w:tcPr>
          <w:p w14:paraId="2B870E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77316C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E1465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2F98A4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674E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E03680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143</w:t>
            </w:r>
          </w:p>
        </w:tc>
        <w:tc>
          <w:tcPr>
            <w:tcW w:w="1072" w:type="dxa"/>
            <w:shd w:val="clear" w:color="auto" w:fill="auto"/>
            <w:vAlign w:val="center"/>
          </w:tcPr>
          <w:p w14:paraId="03BA4E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砂轮片</w:t>
            </w:r>
          </w:p>
        </w:tc>
        <w:tc>
          <w:tcPr>
            <w:tcW w:w="4897" w:type="dxa"/>
            <w:shd w:val="clear" w:color="auto" w:fill="auto"/>
            <w:vAlign w:val="center"/>
          </w:tcPr>
          <w:p w14:paraId="1D6FBC2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断玻璃管用</w:t>
            </w:r>
          </w:p>
        </w:tc>
        <w:tc>
          <w:tcPr>
            <w:tcW w:w="462" w:type="dxa"/>
            <w:shd w:val="clear" w:color="auto" w:fill="auto"/>
            <w:noWrap/>
            <w:vAlign w:val="center"/>
          </w:tcPr>
          <w:p w14:paraId="62926F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6C1C0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721577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3C8C24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r>
      <w:tr w14:paraId="6FF0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015C5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144</w:t>
            </w:r>
          </w:p>
        </w:tc>
        <w:tc>
          <w:tcPr>
            <w:tcW w:w="1072" w:type="dxa"/>
            <w:shd w:val="clear" w:color="auto" w:fill="auto"/>
            <w:vAlign w:val="center"/>
          </w:tcPr>
          <w:p w14:paraId="5F4109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手动切纸机</w:t>
            </w:r>
          </w:p>
        </w:tc>
        <w:tc>
          <w:tcPr>
            <w:tcW w:w="4897" w:type="dxa"/>
            <w:shd w:val="clear" w:color="auto" w:fill="auto"/>
            <w:vAlign w:val="center"/>
          </w:tcPr>
          <w:p w14:paraId="5D1E989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钢质板面，切纸导向尺，可调节切纸尺寸，切口无断裂</w:t>
            </w:r>
          </w:p>
        </w:tc>
        <w:tc>
          <w:tcPr>
            <w:tcW w:w="462" w:type="dxa"/>
            <w:shd w:val="clear" w:color="auto" w:fill="auto"/>
            <w:noWrap/>
            <w:vAlign w:val="center"/>
          </w:tcPr>
          <w:p w14:paraId="79D063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4A88B0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8F778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262</w:t>
            </w:r>
          </w:p>
        </w:tc>
        <w:tc>
          <w:tcPr>
            <w:tcW w:w="1489" w:type="dxa"/>
            <w:shd w:val="clear" w:color="auto" w:fill="auto"/>
            <w:noWrap/>
            <w:vAlign w:val="center"/>
          </w:tcPr>
          <w:p w14:paraId="48CCB2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262</w:t>
            </w:r>
          </w:p>
        </w:tc>
      </w:tr>
      <w:tr w14:paraId="3A34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E927EB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145</w:t>
            </w:r>
          </w:p>
        </w:tc>
        <w:tc>
          <w:tcPr>
            <w:tcW w:w="1072" w:type="dxa"/>
            <w:shd w:val="clear" w:color="auto" w:fill="auto"/>
            <w:vAlign w:val="center"/>
          </w:tcPr>
          <w:p w14:paraId="0514FB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仪器车</w:t>
            </w:r>
          </w:p>
        </w:tc>
        <w:tc>
          <w:tcPr>
            <w:tcW w:w="4897" w:type="dxa"/>
            <w:shd w:val="clear" w:color="auto" w:fill="auto"/>
            <w:vAlign w:val="center"/>
          </w:tcPr>
          <w:p w14:paraId="10F55B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600 mmX400 mmX800 mm,不锈钢材质，至少两层，各层带可拆卸护栏，总载重≥60kg</w:t>
            </w:r>
          </w:p>
        </w:tc>
        <w:tc>
          <w:tcPr>
            <w:tcW w:w="462" w:type="dxa"/>
            <w:shd w:val="clear" w:color="auto" w:fill="auto"/>
            <w:noWrap/>
            <w:vAlign w:val="center"/>
          </w:tcPr>
          <w:p w14:paraId="2FBA4E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辆</w:t>
            </w:r>
          </w:p>
        </w:tc>
        <w:tc>
          <w:tcPr>
            <w:tcW w:w="605" w:type="dxa"/>
            <w:shd w:val="clear" w:color="auto" w:fill="auto"/>
            <w:noWrap/>
            <w:vAlign w:val="center"/>
          </w:tcPr>
          <w:p w14:paraId="1964B9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82DB0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576</w:t>
            </w:r>
          </w:p>
        </w:tc>
        <w:tc>
          <w:tcPr>
            <w:tcW w:w="1489" w:type="dxa"/>
            <w:shd w:val="clear" w:color="auto" w:fill="auto"/>
            <w:noWrap/>
            <w:vAlign w:val="center"/>
          </w:tcPr>
          <w:p w14:paraId="1BCD9E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576</w:t>
            </w:r>
          </w:p>
        </w:tc>
      </w:tr>
      <w:tr w14:paraId="4A2F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9ACAD2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146</w:t>
            </w:r>
          </w:p>
        </w:tc>
        <w:tc>
          <w:tcPr>
            <w:tcW w:w="1072" w:type="dxa"/>
            <w:shd w:val="clear" w:color="auto" w:fill="auto"/>
            <w:vAlign w:val="center"/>
          </w:tcPr>
          <w:p w14:paraId="707B14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整理箱</w:t>
            </w:r>
          </w:p>
        </w:tc>
        <w:tc>
          <w:tcPr>
            <w:tcW w:w="4897" w:type="dxa"/>
            <w:shd w:val="clear" w:color="auto" w:fill="auto"/>
            <w:vAlign w:val="center"/>
          </w:tcPr>
          <w:p w14:paraId="3CCA4A1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矮型，储存及分发试剂用</w:t>
            </w:r>
          </w:p>
        </w:tc>
        <w:tc>
          <w:tcPr>
            <w:tcW w:w="462" w:type="dxa"/>
            <w:shd w:val="clear" w:color="auto" w:fill="auto"/>
            <w:noWrap/>
            <w:vAlign w:val="center"/>
          </w:tcPr>
          <w:p w14:paraId="378A62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2F571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2D1142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noWrap/>
            <w:vAlign w:val="center"/>
          </w:tcPr>
          <w:p w14:paraId="0A21B5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192</w:t>
            </w:r>
          </w:p>
        </w:tc>
      </w:tr>
      <w:tr w14:paraId="7CD0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9702C3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147</w:t>
            </w:r>
          </w:p>
        </w:tc>
        <w:tc>
          <w:tcPr>
            <w:tcW w:w="1072" w:type="dxa"/>
            <w:shd w:val="clear" w:color="auto" w:fill="auto"/>
            <w:vAlign w:val="center"/>
          </w:tcPr>
          <w:p w14:paraId="4F5CA6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大托盘</w:t>
            </w:r>
          </w:p>
        </w:tc>
        <w:tc>
          <w:tcPr>
            <w:tcW w:w="4897" w:type="dxa"/>
            <w:shd w:val="clear" w:color="auto" w:fill="auto"/>
            <w:vAlign w:val="center"/>
          </w:tcPr>
          <w:p w14:paraId="307AAD0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400mmX300mmX60mm</w:t>
            </w:r>
          </w:p>
        </w:tc>
        <w:tc>
          <w:tcPr>
            <w:tcW w:w="462" w:type="dxa"/>
            <w:shd w:val="clear" w:color="auto" w:fill="auto"/>
            <w:noWrap/>
            <w:vAlign w:val="center"/>
          </w:tcPr>
          <w:p w14:paraId="6D4BB9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D2127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4C03C0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470744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900</w:t>
            </w:r>
          </w:p>
        </w:tc>
      </w:tr>
      <w:tr w14:paraId="6D47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44115D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148</w:t>
            </w:r>
          </w:p>
        </w:tc>
        <w:tc>
          <w:tcPr>
            <w:tcW w:w="1072" w:type="dxa"/>
            <w:shd w:val="clear" w:color="auto" w:fill="auto"/>
            <w:vAlign w:val="center"/>
          </w:tcPr>
          <w:p w14:paraId="5FEFEC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小托盘</w:t>
            </w:r>
          </w:p>
        </w:tc>
        <w:tc>
          <w:tcPr>
            <w:tcW w:w="4897" w:type="dxa"/>
            <w:shd w:val="clear" w:color="000000" w:fill="FFFFFF"/>
            <w:vAlign w:val="center"/>
          </w:tcPr>
          <w:p w14:paraId="1244DCC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300mmX200mmX40mm</w:t>
            </w:r>
          </w:p>
        </w:tc>
        <w:tc>
          <w:tcPr>
            <w:tcW w:w="462" w:type="dxa"/>
            <w:shd w:val="clear" w:color="auto" w:fill="auto"/>
            <w:noWrap/>
            <w:vAlign w:val="center"/>
          </w:tcPr>
          <w:p w14:paraId="76D6BB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6DE253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334782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595A03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0552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E9A9A8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149</w:t>
            </w:r>
          </w:p>
        </w:tc>
        <w:tc>
          <w:tcPr>
            <w:tcW w:w="1072" w:type="dxa"/>
            <w:shd w:val="clear" w:color="auto" w:fill="auto"/>
            <w:vAlign w:val="center"/>
          </w:tcPr>
          <w:p w14:paraId="3C264C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实验用品提篮</w:t>
            </w:r>
          </w:p>
        </w:tc>
        <w:tc>
          <w:tcPr>
            <w:tcW w:w="4897" w:type="dxa"/>
            <w:shd w:val="clear" w:color="auto" w:fill="auto"/>
            <w:vAlign w:val="center"/>
          </w:tcPr>
          <w:p w14:paraId="2444A02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木制，配有提手，490 mmX360 mmX290 mm</w:t>
            </w:r>
          </w:p>
        </w:tc>
        <w:tc>
          <w:tcPr>
            <w:tcW w:w="462" w:type="dxa"/>
            <w:shd w:val="clear" w:color="auto" w:fill="auto"/>
            <w:noWrap/>
            <w:vAlign w:val="center"/>
          </w:tcPr>
          <w:p w14:paraId="77BFE6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8009E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6AD1AFF2">
            <w:pPr>
              <w:widowControl/>
              <w:jc w:val="right"/>
              <w:textAlignment w:val="center"/>
              <w:rPr>
                <w:rFonts w:ascii="宋体" w:hAnsi="宋体" w:cs="宋体"/>
                <w:kern w:val="0"/>
                <w:sz w:val="22"/>
              </w:rPr>
            </w:pPr>
            <w:r>
              <w:rPr>
                <w:rFonts w:hint="eastAsia" w:ascii="宋体" w:hAnsi="宋体" w:cs="宋体"/>
                <w:color w:val="000000"/>
                <w:kern w:val="0"/>
                <w:sz w:val="22"/>
                <w:szCs w:val="22"/>
                <w:lang w:bidi="ar"/>
              </w:rPr>
              <w:t>116</w:t>
            </w:r>
          </w:p>
        </w:tc>
        <w:tc>
          <w:tcPr>
            <w:tcW w:w="1489" w:type="dxa"/>
            <w:shd w:val="clear" w:color="auto" w:fill="auto"/>
            <w:noWrap/>
            <w:vAlign w:val="center"/>
          </w:tcPr>
          <w:p w14:paraId="0957B8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232</w:t>
            </w:r>
          </w:p>
        </w:tc>
      </w:tr>
      <w:tr w14:paraId="2616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90D3FE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150</w:t>
            </w:r>
          </w:p>
        </w:tc>
        <w:tc>
          <w:tcPr>
            <w:tcW w:w="1072" w:type="dxa"/>
            <w:shd w:val="clear" w:color="auto" w:fill="auto"/>
            <w:vAlign w:val="center"/>
          </w:tcPr>
          <w:p w14:paraId="1C5A5C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51A1990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蚕豆叶下表皮装片</w:t>
            </w:r>
          </w:p>
        </w:tc>
        <w:tc>
          <w:tcPr>
            <w:tcW w:w="462" w:type="dxa"/>
            <w:shd w:val="clear" w:color="auto" w:fill="auto"/>
            <w:noWrap/>
            <w:vAlign w:val="center"/>
          </w:tcPr>
          <w:p w14:paraId="3F77C4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70C7EB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409B29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1B8706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6E61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A4FE88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151</w:t>
            </w:r>
          </w:p>
        </w:tc>
        <w:tc>
          <w:tcPr>
            <w:tcW w:w="1072" w:type="dxa"/>
            <w:shd w:val="clear" w:color="auto" w:fill="auto"/>
            <w:vAlign w:val="center"/>
          </w:tcPr>
          <w:p w14:paraId="46988C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655CE92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胞间连丝切片</w:t>
            </w:r>
          </w:p>
        </w:tc>
        <w:tc>
          <w:tcPr>
            <w:tcW w:w="462" w:type="dxa"/>
            <w:shd w:val="clear" w:color="auto" w:fill="auto"/>
            <w:noWrap/>
            <w:vAlign w:val="center"/>
          </w:tcPr>
          <w:p w14:paraId="3868A4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179CD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58D0A5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77CEB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4171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83A2BC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152</w:t>
            </w:r>
          </w:p>
        </w:tc>
        <w:tc>
          <w:tcPr>
            <w:tcW w:w="1072" w:type="dxa"/>
            <w:shd w:val="clear" w:color="auto" w:fill="auto"/>
            <w:vAlign w:val="center"/>
          </w:tcPr>
          <w:p w14:paraId="5AAF77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188622B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迎春叶横切</w:t>
            </w:r>
          </w:p>
        </w:tc>
        <w:tc>
          <w:tcPr>
            <w:tcW w:w="462" w:type="dxa"/>
            <w:shd w:val="clear" w:color="auto" w:fill="auto"/>
            <w:noWrap/>
            <w:vAlign w:val="center"/>
          </w:tcPr>
          <w:p w14:paraId="6CED7E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6E14EF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344632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0407FC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5049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21D92E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153</w:t>
            </w:r>
          </w:p>
        </w:tc>
        <w:tc>
          <w:tcPr>
            <w:tcW w:w="1072" w:type="dxa"/>
            <w:shd w:val="clear" w:color="auto" w:fill="auto"/>
            <w:vAlign w:val="center"/>
          </w:tcPr>
          <w:p w14:paraId="3398CA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07A55D1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黑藻叶装片</w:t>
            </w:r>
          </w:p>
        </w:tc>
        <w:tc>
          <w:tcPr>
            <w:tcW w:w="462" w:type="dxa"/>
            <w:shd w:val="clear" w:color="auto" w:fill="auto"/>
            <w:noWrap/>
            <w:vAlign w:val="center"/>
          </w:tcPr>
          <w:p w14:paraId="6DF1254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5730F5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0C3509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69C1F1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2805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C47CD6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154</w:t>
            </w:r>
          </w:p>
        </w:tc>
        <w:tc>
          <w:tcPr>
            <w:tcW w:w="1072" w:type="dxa"/>
            <w:shd w:val="clear" w:color="auto" w:fill="auto"/>
            <w:vAlign w:val="center"/>
          </w:tcPr>
          <w:p w14:paraId="099EF2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31D1D5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线粒体切片</w:t>
            </w:r>
          </w:p>
        </w:tc>
        <w:tc>
          <w:tcPr>
            <w:tcW w:w="462" w:type="dxa"/>
            <w:shd w:val="clear" w:color="auto" w:fill="auto"/>
            <w:noWrap/>
            <w:vAlign w:val="center"/>
          </w:tcPr>
          <w:p w14:paraId="5A0707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5AB9C5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23D018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014751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556B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46065D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155</w:t>
            </w:r>
          </w:p>
        </w:tc>
        <w:tc>
          <w:tcPr>
            <w:tcW w:w="1072" w:type="dxa"/>
            <w:shd w:val="clear" w:color="auto" w:fill="auto"/>
            <w:vAlign w:val="center"/>
          </w:tcPr>
          <w:p w14:paraId="312F2F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7A3C1E4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酵母菌装片</w:t>
            </w:r>
          </w:p>
        </w:tc>
        <w:tc>
          <w:tcPr>
            <w:tcW w:w="462" w:type="dxa"/>
            <w:shd w:val="clear" w:color="auto" w:fill="auto"/>
            <w:noWrap/>
            <w:vAlign w:val="center"/>
          </w:tcPr>
          <w:p w14:paraId="6F6258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AFA02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542C3A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FD7D0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66AE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8E61A9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156</w:t>
            </w:r>
          </w:p>
        </w:tc>
        <w:tc>
          <w:tcPr>
            <w:tcW w:w="1072" w:type="dxa"/>
            <w:shd w:val="clear" w:color="auto" w:fill="auto"/>
            <w:vAlign w:val="center"/>
          </w:tcPr>
          <w:p w14:paraId="1E95E4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7766029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水绵装片</w:t>
            </w:r>
          </w:p>
        </w:tc>
        <w:tc>
          <w:tcPr>
            <w:tcW w:w="462" w:type="dxa"/>
            <w:shd w:val="clear" w:color="auto" w:fill="auto"/>
            <w:noWrap/>
            <w:vAlign w:val="center"/>
          </w:tcPr>
          <w:p w14:paraId="1F7E80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530F9F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971FC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4E029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4E95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0F644A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157</w:t>
            </w:r>
          </w:p>
        </w:tc>
        <w:tc>
          <w:tcPr>
            <w:tcW w:w="1072" w:type="dxa"/>
            <w:shd w:val="clear" w:color="auto" w:fill="auto"/>
            <w:vAlign w:val="center"/>
          </w:tcPr>
          <w:p w14:paraId="62B52C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5B7A6A7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细菌三型涂片</w:t>
            </w:r>
          </w:p>
        </w:tc>
        <w:tc>
          <w:tcPr>
            <w:tcW w:w="462" w:type="dxa"/>
            <w:shd w:val="clear" w:color="auto" w:fill="auto"/>
            <w:noWrap/>
            <w:vAlign w:val="center"/>
          </w:tcPr>
          <w:p w14:paraId="025465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7AB75D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678CD2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207549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05BB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7896D5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158</w:t>
            </w:r>
          </w:p>
        </w:tc>
        <w:tc>
          <w:tcPr>
            <w:tcW w:w="1072" w:type="dxa"/>
            <w:shd w:val="clear" w:color="auto" w:fill="auto"/>
            <w:vAlign w:val="center"/>
          </w:tcPr>
          <w:p w14:paraId="4E35AC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7C24C66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草履虫分裂生殖装片</w:t>
            </w:r>
          </w:p>
        </w:tc>
        <w:tc>
          <w:tcPr>
            <w:tcW w:w="462" w:type="dxa"/>
            <w:shd w:val="clear" w:color="auto" w:fill="auto"/>
            <w:noWrap/>
            <w:vAlign w:val="center"/>
          </w:tcPr>
          <w:p w14:paraId="29DC8A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0CC5C0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97A9D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0FFA05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5502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A52AC8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159</w:t>
            </w:r>
          </w:p>
        </w:tc>
        <w:tc>
          <w:tcPr>
            <w:tcW w:w="1072" w:type="dxa"/>
            <w:shd w:val="clear" w:color="auto" w:fill="auto"/>
            <w:vAlign w:val="center"/>
          </w:tcPr>
          <w:p w14:paraId="20B17FB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547DBD6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人血涂片</w:t>
            </w:r>
          </w:p>
        </w:tc>
        <w:tc>
          <w:tcPr>
            <w:tcW w:w="462" w:type="dxa"/>
            <w:shd w:val="clear" w:color="auto" w:fill="auto"/>
            <w:noWrap/>
            <w:vAlign w:val="center"/>
          </w:tcPr>
          <w:p w14:paraId="76D76F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41D7E1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1F5DD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204A14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03C9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57D6EC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160</w:t>
            </w:r>
          </w:p>
        </w:tc>
        <w:tc>
          <w:tcPr>
            <w:tcW w:w="1072" w:type="dxa"/>
            <w:shd w:val="clear" w:color="auto" w:fill="auto"/>
            <w:vAlign w:val="center"/>
          </w:tcPr>
          <w:p w14:paraId="480EDA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7CD69D1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蛙血涂片</w:t>
            </w:r>
          </w:p>
        </w:tc>
        <w:tc>
          <w:tcPr>
            <w:tcW w:w="462" w:type="dxa"/>
            <w:shd w:val="clear" w:color="auto" w:fill="auto"/>
            <w:noWrap/>
            <w:vAlign w:val="center"/>
          </w:tcPr>
          <w:p w14:paraId="50545F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4FD819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3051AD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88725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43F6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883A0B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161</w:t>
            </w:r>
          </w:p>
        </w:tc>
        <w:tc>
          <w:tcPr>
            <w:tcW w:w="1072" w:type="dxa"/>
            <w:shd w:val="clear" w:color="auto" w:fill="auto"/>
            <w:vAlign w:val="center"/>
          </w:tcPr>
          <w:p w14:paraId="4CB9C2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0D586B0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动物上皮细胞装片</w:t>
            </w:r>
          </w:p>
        </w:tc>
        <w:tc>
          <w:tcPr>
            <w:tcW w:w="462" w:type="dxa"/>
            <w:shd w:val="clear" w:color="auto" w:fill="auto"/>
            <w:noWrap/>
            <w:vAlign w:val="center"/>
          </w:tcPr>
          <w:p w14:paraId="140F21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37E13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36C268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B360F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5270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4BB56E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162</w:t>
            </w:r>
          </w:p>
        </w:tc>
        <w:tc>
          <w:tcPr>
            <w:tcW w:w="1072" w:type="dxa"/>
            <w:shd w:val="clear" w:color="auto" w:fill="auto"/>
            <w:vAlign w:val="center"/>
          </w:tcPr>
          <w:p w14:paraId="3202EC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35316D1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骨骼肌纵横切</w:t>
            </w:r>
          </w:p>
        </w:tc>
        <w:tc>
          <w:tcPr>
            <w:tcW w:w="462" w:type="dxa"/>
            <w:shd w:val="clear" w:color="auto" w:fill="auto"/>
            <w:noWrap/>
            <w:vAlign w:val="center"/>
          </w:tcPr>
          <w:p w14:paraId="443300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73B9F0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3F59E0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760900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7FE7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6F9D2B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163</w:t>
            </w:r>
          </w:p>
        </w:tc>
        <w:tc>
          <w:tcPr>
            <w:tcW w:w="1072" w:type="dxa"/>
            <w:shd w:val="clear" w:color="auto" w:fill="auto"/>
            <w:vAlign w:val="center"/>
          </w:tcPr>
          <w:p w14:paraId="791643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661BD6C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平滑肌分离装片</w:t>
            </w:r>
          </w:p>
        </w:tc>
        <w:tc>
          <w:tcPr>
            <w:tcW w:w="462" w:type="dxa"/>
            <w:shd w:val="clear" w:color="auto" w:fill="auto"/>
            <w:noWrap/>
            <w:vAlign w:val="center"/>
          </w:tcPr>
          <w:p w14:paraId="550AC0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1881D1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473EAF5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AD8F2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0EC8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6CDF47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164</w:t>
            </w:r>
          </w:p>
        </w:tc>
        <w:tc>
          <w:tcPr>
            <w:tcW w:w="1072" w:type="dxa"/>
            <w:shd w:val="clear" w:color="auto" w:fill="auto"/>
            <w:vAlign w:val="center"/>
          </w:tcPr>
          <w:p w14:paraId="062927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73DFBC7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心肌切片</w:t>
            </w:r>
          </w:p>
        </w:tc>
        <w:tc>
          <w:tcPr>
            <w:tcW w:w="462" w:type="dxa"/>
            <w:shd w:val="clear" w:color="auto" w:fill="auto"/>
            <w:noWrap/>
            <w:vAlign w:val="center"/>
          </w:tcPr>
          <w:p w14:paraId="694D21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4F1B6A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69C120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111B1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6234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82A0D2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165</w:t>
            </w:r>
          </w:p>
        </w:tc>
        <w:tc>
          <w:tcPr>
            <w:tcW w:w="1072" w:type="dxa"/>
            <w:shd w:val="clear" w:color="auto" w:fill="auto"/>
            <w:vAlign w:val="center"/>
          </w:tcPr>
          <w:p w14:paraId="104830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3C7188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运动神经元装片</w:t>
            </w:r>
          </w:p>
        </w:tc>
        <w:tc>
          <w:tcPr>
            <w:tcW w:w="462" w:type="dxa"/>
            <w:shd w:val="clear" w:color="auto" w:fill="auto"/>
            <w:noWrap/>
            <w:vAlign w:val="center"/>
          </w:tcPr>
          <w:p w14:paraId="6A9D25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9B6C8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643793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331A2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3470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10B1D1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166</w:t>
            </w:r>
          </w:p>
        </w:tc>
        <w:tc>
          <w:tcPr>
            <w:tcW w:w="1072" w:type="dxa"/>
            <w:shd w:val="clear" w:color="auto" w:fill="auto"/>
            <w:vAlign w:val="center"/>
          </w:tcPr>
          <w:p w14:paraId="726842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层析瓶</w:t>
            </w:r>
          </w:p>
        </w:tc>
        <w:tc>
          <w:tcPr>
            <w:tcW w:w="4897" w:type="dxa"/>
            <w:shd w:val="clear" w:color="auto" w:fill="auto"/>
            <w:vAlign w:val="center"/>
          </w:tcPr>
          <w:p w14:paraId="24C6D46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柱型，玻璃制，外径15mm*长200mm</w:t>
            </w:r>
          </w:p>
        </w:tc>
        <w:tc>
          <w:tcPr>
            <w:tcW w:w="462" w:type="dxa"/>
            <w:shd w:val="clear" w:color="auto" w:fill="auto"/>
            <w:noWrap/>
            <w:vAlign w:val="center"/>
          </w:tcPr>
          <w:p w14:paraId="7ACF85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650CC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64D0A5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w:t>
            </w:r>
          </w:p>
        </w:tc>
        <w:tc>
          <w:tcPr>
            <w:tcW w:w="1489" w:type="dxa"/>
            <w:shd w:val="clear" w:color="auto" w:fill="auto"/>
            <w:noWrap/>
            <w:vAlign w:val="center"/>
          </w:tcPr>
          <w:p w14:paraId="335DE6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570</w:t>
            </w:r>
          </w:p>
        </w:tc>
      </w:tr>
      <w:tr w14:paraId="0067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57528C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167</w:t>
            </w:r>
          </w:p>
        </w:tc>
        <w:tc>
          <w:tcPr>
            <w:tcW w:w="1072" w:type="dxa"/>
            <w:shd w:val="clear" w:color="auto" w:fill="auto"/>
            <w:vAlign w:val="center"/>
          </w:tcPr>
          <w:p w14:paraId="5AAA57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生物材料</w:t>
            </w:r>
          </w:p>
        </w:tc>
        <w:tc>
          <w:tcPr>
            <w:tcW w:w="4897" w:type="dxa"/>
            <w:shd w:val="clear" w:color="auto" w:fill="auto"/>
            <w:vAlign w:val="center"/>
          </w:tcPr>
          <w:p w14:paraId="53E0117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动物细胞有丝分裂切片（马蛔虫受精卵切片）</w:t>
            </w:r>
          </w:p>
        </w:tc>
        <w:tc>
          <w:tcPr>
            <w:tcW w:w="462" w:type="dxa"/>
            <w:shd w:val="clear" w:color="auto" w:fill="auto"/>
            <w:noWrap/>
            <w:vAlign w:val="center"/>
          </w:tcPr>
          <w:p w14:paraId="560C2A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BC36F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038C45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374580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216</w:t>
            </w:r>
          </w:p>
        </w:tc>
      </w:tr>
      <w:tr w14:paraId="3929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BA5123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168</w:t>
            </w:r>
          </w:p>
        </w:tc>
        <w:tc>
          <w:tcPr>
            <w:tcW w:w="1072" w:type="dxa"/>
            <w:shd w:val="clear" w:color="auto" w:fill="auto"/>
            <w:vAlign w:val="center"/>
          </w:tcPr>
          <w:p w14:paraId="56B857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生物材料</w:t>
            </w:r>
          </w:p>
        </w:tc>
        <w:tc>
          <w:tcPr>
            <w:tcW w:w="4897" w:type="dxa"/>
            <w:shd w:val="clear" w:color="auto" w:fill="auto"/>
            <w:vAlign w:val="center"/>
          </w:tcPr>
          <w:p w14:paraId="78F5D62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植物细胞有丝分裂切片</w:t>
            </w:r>
          </w:p>
        </w:tc>
        <w:tc>
          <w:tcPr>
            <w:tcW w:w="462" w:type="dxa"/>
            <w:shd w:val="clear" w:color="auto" w:fill="auto"/>
            <w:noWrap/>
            <w:vAlign w:val="center"/>
          </w:tcPr>
          <w:p w14:paraId="0A2534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5067F4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3F2112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72D6E5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3A98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B07E4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169</w:t>
            </w:r>
          </w:p>
        </w:tc>
        <w:tc>
          <w:tcPr>
            <w:tcW w:w="1072" w:type="dxa"/>
            <w:shd w:val="clear" w:color="auto" w:fill="auto"/>
            <w:vAlign w:val="center"/>
          </w:tcPr>
          <w:p w14:paraId="53E9A1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生物材料</w:t>
            </w:r>
          </w:p>
        </w:tc>
        <w:tc>
          <w:tcPr>
            <w:tcW w:w="4897" w:type="dxa"/>
            <w:shd w:val="clear" w:color="auto" w:fill="auto"/>
            <w:vAlign w:val="center"/>
          </w:tcPr>
          <w:p w14:paraId="44D4EE6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蝗虫精巢减数分裂切片</w:t>
            </w:r>
          </w:p>
        </w:tc>
        <w:tc>
          <w:tcPr>
            <w:tcW w:w="462" w:type="dxa"/>
            <w:shd w:val="clear" w:color="auto" w:fill="auto"/>
            <w:noWrap/>
            <w:vAlign w:val="center"/>
          </w:tcPr>
          <w:p w14:paraId="37CACE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7A5F9E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14C69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2B7821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162</w:t>
            </w:r>
          </w:p>
        </w:tc>
      </w:tr>
      <w:tr w14:paraId="1CE6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2768B1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170</w:t>
            </w:r>
          </w:p>
        </w:tc>
        <w:tc>
          <w:tcPr>
            <w:tcW w:w="1072" w:type="dxa"/>
            <w:shd w:val="clear" w:color="auto" w:fill="auto"/>
            <w:vAlign w:val="center"/>
          </w:tcPr>
          <w:p w14:paraId="68C3B5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生物材料</w:t>
            </w:r>
          </w:p>
        </w:tc>
        <w:tc>
          <w:tcPr>
            <w:tcW w:w="4897" w:type="dxa"/>
            <w:shd w:val="clear" w:color="auto" w:fill="auto"/>
            <w:vAlign w:val="center"/>
          </w:tcPr>
          <w:p w14:paraId="37055B3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植物花粉减数分裂装片</w:t>
            </w:r>
          </w:p>
        </w:tc>
        <w:tc>
          <w:tcPr>
            <w:tcW w:w="462" w:type="dxa"/>
            <w:shd w:val="clear" w:color="auto" w:fill="auto"/>
            <w:noWrap/>
            <w:vAlign w:val="center"/>
          </w:tcPr>
          <w:p w14:paraId="6388F5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184E0C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053EF7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5B9C79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108</w:t>
            </w:r>
          </w:p>
        </w:tc>
      </w:tr>
      <w:tr w14:paraId="2C36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3BA738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171</w:t>
            </w:r>
          </w:p>
        </w:tc>
        <w:tc>
          <w:tcPr>
            <w:tcW w:w="1072" w:type="dxa"/>
            <w:shd w:val="clear" w:color="auto" w:fill="auto"/>
            <w:vAlign w:val="center"/>
          </w:tcPr>
          <w:p w14:paraId="62EE4D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基础器材</w:t>
            </w:r>
          </w:p>
        </w:tc>
        <w:tc>
          <w:tcPr>
            <w:tcW w:w="4897" w:type="dxa"/>
            <w:shd w:val="clear" w:color="auto" w:fill="auto"/>
            <w:vAlign w:val="center"/>
          </w:tcPr>
          <w:p w14:paraId="6B2F13D8">
            <w:pPr>
              <w:widowControl/>
              <w:textAlignment w:val="center"/>
              <w:rPr>
                <w:rFonts w:ascii="宋体" w:hAnsi="宋体" w:cs="宋体"/>
                <w:kern w:val="0"/>
                <w:sz w:val="22"/>
              </w:rPr>
            </w:pPr>
            <w:r>
              <w:rPr>
                <w:rFonts w:hint="eastAsia" w:ascii="宋体" w:hAnsi="宋体" w:cs="宋体"/>
                <w:color w:val="000000"/>
                <w:kern w:val="0"/>
                <w:sz w:val="22"/>
                <w:szCs w:val="22"/>
                <w:lang w:bidi="ar"/>
              </w:rPr>
              <w:t>正常人染色体装片</w:t>
            </w:r>
          </w:p>
        </w:tc>
        <w:tc>
          <w:tcPr>
            <w:tcW w:w="462" w:type="dxa"/>
            <w:shd w:val="clear" w:color="auto" w:fill="auto"/>
            <w:noWrap/>
            <w:vAlign w:val="center"/>
          </w:tcPr>
          <w:p w14:paraId="081934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4A0066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0C7943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23270D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27AF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C9B9A6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172</w:t>
            </w:r>
          </w:p>
        </w:tc>
        <w:tc>
          <w:tcPr>
            <w:tcW w:w="1072" w:type="dxa"/>
            <w:shd w:val="clear" w:color="auto" w:fill="auto"/>
            <w:vAlign w:val="center"/>
          </w:tcPr>
          <w:p w14:paraId="387F38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基础器材</w:t>
            </w:r>
          </w:p>
        </w:tc>
        <w:tc>
          <w:tcPr>
            <w:tcW w:w="4897" w:type="dxa"/>
            <w:shd w:val="clear" w:color="auto" w:fill="auto"/>
            <w:vAlign w:val="center"/>
          </w:tcPr>
          <w:p w14:paraId="03A6C970">
            <w:pPr>
              <w:widowControl/>
              <w:textAlignment w:val="center"/>
              <w:rPr>
                <w:rFonts w:ascii="宋体" w:hAnsi="宋体" w:cs="宋体"/>
                <w:kern w:val="0"/>
                <w:sz w:val="22"/>
              </w:rPr>
            </w:pPr>
            <w:r>
              <w:rPr>
                <w:rFonts w:hint="eastAsia" w:ascii="宋体" w:hAnsi="宋体" w:cs="宋体"/>
                <w:color w:val="000000"/>
                <w:kern w:val="0"/>
                <w:sz w:val="22"/>
                <w:szCs w:val="22"/>
                <w:lang w:bidi="ar"/>
              </w:rPr>
              <w:t>植物染色体加倍装片</w:t>
            </w:r>
          </w:p>
        </w:tc>
        <w:tc>
          <w:tcPr>
            <w:tcW w:w="462" w:type="dxa"/>
            <w:shd w:val="clear" w:color="auto" w:fill="auto"/>
            <w:noWrap/>
            <w:vAlign w:val="center"/>
          </w:tcPr>
          <w:p w14:paraId="308A7F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4C535C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350C1C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31</w:t>
            </w:r>
          </w:p>
        </w:tc>
        <w:tc>
          <w:tcPr>
            <w:tcW w:w="1489" w:type="dxa"/>
            <w:shd w:val="clear" w:color="auto" w:fill="auto"/>
            <w:noWrap/>
            <w:vAlign w:val="center"/>
          </w:tcPr>
          <w:p w14:paraId="2CBE9D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558</w:t>
            </w:r>
          </w:p>
        </w:tc>
      </w:tr>
      <w:tr w14:paraId="2F09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96569A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173</w:t>
            </w:r>
          </w:p>
        </w:tc>
        <w:tc>
          <w:tcPr>
            <w:tcW w:w="1072" w:type="dxa"/>
            <w:shd w:val="clear" w:color="auto" w:fill="auto"/>
            <w:vAlign w:val="center"/>
          </w:tcPr>
          <w:p w14:paraId="629382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基础器材</w:t>
            </w:r>
          </w:p>
        </w:tc>
        <w:tc>
          <w:tcPr>
            <w:tcW w:w="4897" w:type="dxa"/>
            <w:shd w:val="clear" w:color="auto" w:fill="auto"/>
            <w:vAlign w:val="center"/>
          </w:tcPr>
          <w:p w14:paraId="4FFEE650">
            <w:pPr>
              <w:widowControl/>
              <w:textAlignment w:val="center"/>
              <w:rPr>
                <w:rFonts w:ascii="宋体" w:hAnsi="宋体" w:cs="宋体"/>
                <w:kern w:val="0"/>
                <w:sz w:val="22"/>
              </w:rPr>
            </w:pPr>
            <w:r>
              <w:rPr>
                <w:rFonts w:hint="eastAsia" w:ascii="宋体" w:hAnsi="宋体" w:cs="宋体"/>
                <w:color w:val="000000"/>
                <w:kern w:val="0"/>
                <w:sz w:val="22"/>
                <w:szCs w:val="22"/>
                <w:lang w:bidi="ar"/>
              </w:rPr>
              <w:t>人类染色体组型分析照片</w:t>
            </w:r>
          </w:p>
        </w:tc>
        <w:tc>
          <w:tcPr>
            <w:tcW w:w="462" w:type="dxa"/>
            <w:shd w:val="clear" w:color="auto" w:fill="auto"/>
            <w:noWrap/>
            <w:vAlign w:val="center"/>
          </w:tcPr>
          <w:p w14:paraId="00D661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B6E29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0C2D87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w:t>
            </w:r>
          </w:p>
        </w:tc>
        <w:tc>
          <w:tcPr>
            <w:tcW w:w="1489" w:type="dxa"/>
            <w:shd w:val="clear" w:color="auto" w:fill="auto"/>
            <w:noWrap/>
            <w:vAlign w:val="center"/>
          </w:tcPr>
          <w:p w14:paraId="49C53E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486</w:t>
            </w:r>
          </w:p>
        </w:tc>
      </w:tr>
      <w:tr w14:paraId="5FE9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DB0F2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174</w:t>
            </w:r>
          </w:p>
        </w:tc>
        <w:tc>
          <w:tcPr>
            <w:tcW w:w="1072" w:type="dxa"/>
            <w:shd w:val="clear" w:color="auto" w:fill="auto"/>
            <w:vAlign w:val="center"/>
          </w:tcPr>
          <w:p w14:paraId="3EE13B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生物分类图鉴资料</w:t>
            </w:r>
          </w:p>
        </w:tc>
        <w:tc>
          <w:tcPr>
            <w:tcW w:w="4897" w:type="dxa"/>
            <w:shd w:val="clear" w:color="auto" w:fill="auto"/>
            <w:vAlign w:val="center"/>
          </w:tcPr>
          <w:p w14:paraId="61A8691E">
            <w:pPr>
              <w:widowControl/>
              <w:textAlignment w:val="center"/>
              <w:rPr>
                <w:rFonts w:ascii="宋体" w:hAnsi="宋体" w:cs="宋体"/>
                <w:kern w:val="0"/>
                <w:sz w:val="22"/>
              </w:rPr>
            </w:pPr>
            <w:r>
              <w:rPr>
                <w:rFonts w:hint="eastAsia" w:ascii="宋体" w:hAnsi="宋体" w:cs="宋体"/>
                <w:color w:val="000000"/>
                <w:kern w:val="0"/>
                <w:sz w:val="22"/>
                <w:szCs w:val="22"/>
                <w:lang w:bidi="ar"/>
              </w:rPr>
              <w:t>植物图鉴、土壤动物图鉴、昆虫图鉴、鸟类图鉴等</w:t>
            </w:r>
          </w:p>
        </w:tc>
        <w:tc>
          <w:tcPr>
            <w:tcW w:w="462" w:type="dxa"/>
            <w:shd w:val="clear" w:color="auto" w:fill="auto"/>
            <w:noWrap/>
            <w:vAlign w:val="center"/>
          </w:tcPr>
          <w:p w14:paraId="14D585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本</w:t>
            </w:r>
          </w:p>
        </w:tc>
        <w:tc>
          <w:tcPr>
            <w:tcW w:w="605" w:type="dxa"/>
            <w:shd w:val="clear" w:color="auto" w:fill="auto"/>
            <w:noWrap/>
            <w:vAlign w:val="center"/>
          </w:tcPr>
          <w:p w14:paraId="5E5F40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74058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489" w:type="dxa"/>
            <w:shd w:val="clear" w:color="auto" w:fill="auto"/>
            <w:noWrap/>
            <w:vAlign w:val="center"/>
          </w:tcPr>
          <w:p w14:paraId="4A920C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7A04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9F3C5D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175</w:t>
            </w:r>
          </w:p>
        </w:tc>
        <w:tc>
          <w:tcPr>
            <w:tcW w:w="1072" w:type="dxa"/>
            <w:shd w:val="clear" w:color="auto" w:fill="auto"/>
            <w:vAlign w:val="center"/>
          </w:tcPr>
          <w:p w14:paraId="37F86E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植物分类图谱</w:t>
            </w:r>
          </w:p>
        </w:tc>
        <w:tc>
          <w:tcPr>
            <w:tcW w:w="4897" w:type="dxa"/>
            <w:shd w:val="clear" w:color="auto" w:fill="auto"/>
            <w:vAlign w:val="center"/>
          </w:tcPr>
          <w:p w14:paraId="50C10360">
            <w:pPr>
              <w:widowControl/>
              <w:textAlignment w:val="center"/>
              <w:rPr>
                <w:rFonts w:ascii="宋体" w:hAnsi="宋体" w:cs="宋体"/>
                <w:kern w:val="0"/>
                <w:sz w:val="22"/>
              </w:rPr>
            </w:pPr>
            <w:r>
              <w:rPr>
                <w:rFonts w:hint="eastAsia" w:ascii="宋体" w:hAnsi="宋体" w:cs="宋体"/>
                <w:color w:val="000000"/>
                <w:kern w:val="0"/>
                <w:sz w:val="22"/>
                <w:szCs w:val="22"/>
                <w:lang w:bidi="ar"/>
              </w:rPr>
              <w:t>图片内容包含但不限于：植物分类方法；藻类植物、苔藓植物、蕨类植物、种子植物；植物的一生、植物的根茎和叶、植物的花、果实和种子；植物和人类的关系；保护植物的方法等</w:t>
            </w:r>
          </w:p>
        </w:tc>
        <w:tc>
          <w:tcPr>
            <w:tcW w:w="462" w:type="dxa"/>
            <w:shd w:val="clear" w:color="auto" w:fill="auto"/>
            <w:noWrap/>
            <w:vAlign w:val="center"/>
          </w:tcPr>
          <w:p w14:paraId="17AB48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本</w:t>
            </w:r>
          </w:p>
        </w:tc>
        <w:tc>
          <w:tcPr>
            <w:tcW w:w="605" w:type="dxa"/>
            <w:shd w:val="clear" w:color="auto" w:fill="auto"/>
            <w:noWrap/>
            <w:vAlign w:val="center"/>
          </w:tcPr>
          <w:p w14:paraId="210838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36E56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489" w:type="dxa"/>
            <w:shd w:val="clear" w:color="auto" w:fill="auto"/>
            <w:noWrap/>
            <w:vAlign w:val="center"/>
          </w:tcPr>
          <w:p w14:paraId="4B0AD7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05A9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9E9A57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176</w:t>
            </w:r>
          </w:p>
        </w:tc>
        <w:tc>
          <w:tcPr>
            <w:tcW w:w="1072" w:type="dxa"/>
            <w:shd w:val="clear" w:color="auto" w:fill="auto"/>
            <w:vAlign w:val="center"/>
          </w:tcPr>
          <w:p w14:paraId="637D4D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动物分类图谱</w:t>
            </w:r>
          </w:p>
        </w:tc>
        <w:tc>
          <w:tcPr>
            <w:tcW w:w="4897" w:type="dxa"/>
            <w:shd w:val="clear" w:color="auto" w:fill="auto"/>
            <w:vAlign w:val="center"/>
          </w:tcPr>
          <w:p w14:paraId="592431F3">
            <w:pPr>
              <w:widowControl/>
              <w:textAlignment w:val="center"/>
              <w:rPr>
                <w:rFonts w:ascii="宋体" w:hAnsi="宋体" w:cs="宋体"/>
                <w:kern w:val="0"/>
                <w:sz w:val="22"/>
              </w:rPr>
            </w:pPr>
            <w:r>
              <w:rPr>
                <w:rFonts w:hint="eastAsia" w:ascii="宋体" w:hAnsi="宋体" w:cs="宋体"/>
                <w:color w:val="000000"/>
                <w:kern w:val="0"/>
                <w:sz w:val="22"/>
                <w:szCs w:val="22"/>
                <w:lang w:bidi="ar"/>
              </w:rPr>
              <w:t>图片内容包含但不限于：无脊椎动物、脊椎动物、动物的繁殖和成长历程、动物怎样捕食、动物的运动、动物怎样保护自己、动物与人类生活的关系、保护动物等</w:t>
            </w:r>
          </w:p>
        </w:tc>
        <w:tc>
          <w:tcPr>
            <w:tcW w:w="462" w:type="dxa"/>
            <w:shd w:val="clear" w:color="auto" w:fill="auto"/>
            <w:noWrap/>
            <w:vAlign w:val="center"/>
          </w:tcPr>
          <w:p w14:paraId="5C9D2C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本</w:t>
            </w:r>
          </w:p>
        </w:tc>
        <w:tc>
          <w:tcPr>
            <w:tcW w:w="605" w:type="dxa"/>
            <w:shd w:val="clear" w:color="auto" w:fill="auto"/>
            <w:noWrap/>
            <w:vAlign w:val="center"/>
          </w:tcPr>
          <w:p w14:paraId="14CE0D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FF12E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489" w:type="dxa"/>
            <w:shd w:val="clear" w:color="auto" w:fill="auto"/>
            <w:noWrap/>
            <w:vAlign w:val="center"/>
          </w:tcPr>
          <w:p w14:paraId="22A3EC3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7317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787892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177</w:t>
            </w:r>
          </w:p>
        </w:tc>
        <w:tc>
          <w:tcPr>
            <w:tcW w:w="1072" w:type="dxa"/>
            <w:shd w:val="clear" w:color="auto" w:fill="auto"/>
            <w:vAlign w:val="center"/>
          </w:tcPr>
          <w:p w14:paraId="05A5CD5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细菌分类图谱</w:t>
            </w:r>
          </w:p>
        </w:tc>
        <w:tc>
          <w:tcPr>
            <w:tcW w:w="4897" w:type="dxa"/>
            <w:shd w:val="clear" w:color="auto" w:fill="auto"/>
            <w:vAlign w:val="center"/>
          </w:tcPr>
          <w:p w14:paraId="44C2C46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内容包含但不限于：细菌、真菌、其它微生物、人体内微生物、微生物与人类生活点滴</w:t>
            </w:r>
          </w:p>
        </w:tc>
        <w:tc>
          <w:tcPr>
            <w:tcW w:w="462" w:type="dxa"/>
            <w:shd w:val="clear" w:color="auto" w:fill="auto"/>
            <w:noWrap/>
            <w:vAlign w:val="center"/>
          </w:tcPr>
          <w:p w14:paraId="7EF5F9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本</w:t>
            </w:r>
          </w:p>
        </w:tc>
        <w:tc>
          <w:tcPr>
            <w:tcW w:w="605" w:type="dxa"/>
            <w:shd w:val="clear" w:color="auto" w:fill="auto"/>
            <w:noWrap/>
            <w:vAlign w:val="center"/>
          </w:tcPr>
          <w:p w14:paraId="3D7108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4556E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411</w:t>
            </w:r>
          </w:p>
        </w:tc>
        <w:tc>
          <w:tcPr>
            <w:tcW w:w="1489" w:type="dxa"/>
            <w:shd w:val="clear" w:color="auto" w:fill="auto"/>
            <w:noWrap/>
            <w:vAlign w:val="center"/>
          </w:tcPr>
          <w:p w14:paraId="4C79AE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411</w:t>
            </w:r>
          </w:p>
        </w:tc>
      </w:tr>
      <w:tr w14:paraId="5177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9C6B5F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178</w:t>
            </w:r>
          </w:p>
        </w:tc>
        <w:tc>
          <w:tcPr>
            <w:tcW w:w="1072" w:type="dxa"/>
            <w:shd w:val="clear" w:color="auto" w:fill="auto"/>
            <w:vAlign w:val="center"/>
          </w:tcPr>
          <w:p w14:paraId="574063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病毒分类图谱</w:t>
            </w:r>
          </w:p>
        </w:tc>
        <w:tc>
          <w:tcPr>
            <w:tcW w:w="4897" w:type="dxa"/>
            <w:shd w:val="clear" w:color="auto" w:fill="auto"/>
            <w:vAlign w:val="center"/>
          </w:tcPr>
          <w:p w14:paraId="5C40C46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图谱内容包含但不限于：流感病毒、登革热病毒、艾滋病毒、狂犬病毒、烟草花叶病毒、腺病毒、噬菌体、B-肝炎病毒、细小病毒、泡疹病毒、副粘病毒（腮腺炎）、痘病毒、冠状病毒、骨髓灰质炎病毒、大肠杆菌病毒、SARS （非典）冠状病毒、小麦矮丛病毒、花生病毒、细菌病毒等</w:t>
            </w:r>
          </w:p>
        </w:tc>
        <w:tc>
          <w:tcPr>
            <w:tcW w:w="462" w:type="dxa"/>
            <w:shd w:val="clear" w:color="auto" w:fill="auto"/>
            <w:noWrap/>
            <w:vAlign w:val="center"/>
          </w:tcPr>
          <w:p w14:paraId="3BBB67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本</w:t>
            </w:r>
          </w:p>
        </w:tc>
        <w:tc>
          <w:tcPr>
            <w:tcW w:w="605" w:type="dxa"/>
            <w:shd w:val="clear" w:color="auto" w:fill="auto"/>
            <w:noWrap/>
            <w:vAlign w:val="center"/>
          </w:tcPr>
          <w:p w14:paraId="1F8264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84415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761</w:t>
            </w:r>
          </w:p>
        </w:tc>
        <w:tc>
          <w:tcPr>
            <w:tcW w:w="1489" w:type="dxa"/>
            <w:shd w:val="clear" w:color="auto" w:fill="auto"/>
            <w:noWrap/>
            <w:vAlign w:val="center"/>
          </w:tcPr>
          <w:p w14:paraId="16F1B3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761</w:t>
            </w:r>
          </w:p>
        </w:tc>
      </w:tr>
      <w:tr w14:paraId="4FF1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355DB2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179</w:t>
            </w:r>
          </w:p>
        </w:tc>
        <w:tc>
          <w:tcPr>
            <w:tcW w:w="1072" w:type="dxa"/>
            <w:shd w:val="clear" w:color="auto" w:fill="auto"/>
            <w:vAlign w:val="center"/>
          </w:tcPr>
          <w:p w14:paraId="0FC4F7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仪器柜</w:t>
            </w:r>
          </w:p>
        </w:tc>
        <w:tc>
          <w:tcPr>
            <w:tcW w:w="4897" w:type="dxa"/>
            <w:shd w:val="clear" w:color="auto" w:fill="auto"/>
            <w:vAlign w:val="center"/>
          </w:tcPr>
          <w:p w14:paraId="12469B0C">
            <w:pPr>
              <w:widowControl/>
              <w:textAlignment w:val="center"/>
              <w:rPr>
                <w:rFonts w:ascii="宋体" w:hAnsi="宋体" w:cs="宋体"/>
                <w:kern w:val="0"/>
                <w:sz w:val="22"/>
              </w:rPr>
            </w:pPr>
            <w:r>
              <w:rPr>
                <w:rFonts w:hint="eastAsia" w:ascii="宋体" w:hAnsi="宋体" w:cs="宋体"/>
                <w:color w:val="000000"/>
                <w:kern w:val="0"/>
                <w:sz w:val="22"/>
                <w:szCs w:val="22"/>
                <w:lang w:bidi="ar"/>
              </w:rPr>
              <w:t>1．规格：≥1000*500*1850mm；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2．用料：不小于0.8mm厚优质钢板，经酸洗磷化处理，采用聚酯粉末涂料静电喷涂，内侧涂层厚度不低于0.1mm，颜色灰白，表面涂层不脱落。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3．结构：共分六层(可调)；上下搁板各为三层；对开玻璃门，玻璃厚度≥3mm。</w:t>
            </w:r>
          </w:p>
        </w:tc>
        <w:tc>
          <w:tcPr>
            <w:tcW w:w="462" w:type="dxa"/>
            <w:shd w:val="clear" w:color="auto" w:fill="auto"/>
            <w:noWrap/>
            <w:vAlign w:val="center"/>
          </w:tcPr>
          <w:p w14:paraId="39B6CF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53DD8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20A7D6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1000</w:t>
            </w:r>
          </w:p>
        </w:tc>
        <w:tc>
          <w:tcPr>
            <w:tcW w:w="1489" w:type="dxa"/>
            <w:shd w:val="clear" w:color="auto" w:fill="auto"/>
            <w:noWrap/>
            <w:vAlign w:val="center"/>
          </w:tcPr>
          <w:p w14:paraId="61CEA7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4000</w:t>
            </w:r>
          </w:p>
        </w:tc>
      </w:tr>
      <w:tr w14:paraId="317A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226" w:type="dxa"/>
            <w:gridSpan w:val="7"/>
            <w:shd w:val="clear" w:color="auto" w:fill="auto"/>
            <w:noWrap/>
            <w:vAlign w:val="center"/>
          </w:tcPr>
          <w:p w14:paraId="71BE6D77">
            <w:pPr>
              <w:widowControl/>
              <w:jc w:val="left"/>
              <w:textAlignment w:val="center"/>
              <w:rPr>
                <w:rFonts w:ascii="宋体" w:hAnsi="宋体" w:cs="宋体"/>
                <w:color w:val="000000"/>
                <w:sz w:val="22"/>
                <w:szCs w:val="22"/>
              </w:rPr>
            </w:pPr>
            <w:r>
              <w:rPr>
                <w:rFonts w:hint="eastAsia" w:ascii="宋体" w:hAnsi="宋体" w:cs="宋体"/>
                <w:b/>
                <w:bCs/>
                <w:kern w:val="0"/>
                <w:sz w:val="22"/>
              </w:rPr>
              <w:t>九、生物实验室（基础设施设备）(2间)，以下为单间配置。</w:t>
            </w:r>
          </w:p>
        </w:tc>
      </w:tr>
      <w:tr w14:paraId="1541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E30E96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w:t>
            </w:r>
          </w:p>
        </w:tc>
        <w:tc>
          <w:tcPr>
            <w:tcW w:w="1072" w:type="dxa"/>
            <w:shd w:val="clear" w:color="auto" w:fill="auto"/>
            <w:vAlign w:val="center"/>
          </w:tcPr>
          <w:p w14:paraId="7577B198">
            <w:pPr>
              <w:widowControl/>
              <w:jc w:val="left"/>
              <w:rPr>
                <w:rFonts w:ascii="宋体" w:hAnsi="宋体" w:cs="宋体"/>
                <w:kern w:val="0"/>
                <w:sz w:val="22"/>
              </w:rPr>
            </w:pPr>
            <w:r>
              <w:rPr>
                <w:rFonts w:hint="eastAsia" w:ascii="宋体" w:hAnsi="宋体" w:cs="宋体"/>
                <w:kern w:val="0"/>
                <w:sz w:val="22"/>
              </w:rPr>
              <w:t>教师演示台</w:t>
            </w:r>
          </w:p>
        </w:tc>
        <w:tc>
          <w:tcPr>
            <w:tcW w:w="4897" w:type="dxa"/>
            <w:shd w:val="clear" w:color="auto" w:fill="auto"/>
            <w:vAlign w:val="center"/>
          </w:tcPr>
          <w:p w14:paraId="0BE4FA80">
            <w:pPr>
              <w:widowControl/>
              <w:jc w:val="left"/>
              <w:rPr>
                <w:rFonts w:ascii="宋体" w:hAnsi="宋体" w:cs="宋体"/>
                <w:kern w:val="0"/>
                <w:sz w:val="22"/>
              </w:rPr>
            </w:pPr>
            <w:r>
              <w:rPr>
                <w:rFonts w:hint="eastAsia" w:ascii="宋体" w:hAnsi="宋体" w:cs="宋体"/>
                <w:kern w:val="0"/>
                <w:sz w:val="22"/>
              </w:rPr>
              <w:t xml:space="preserve">1.规格：长3000mm×宽700mm×高850mm（±2mm）； </w:t>
            </w:r>
            <w:r>
              <w:rPr>
                <w:rFonts w:hint="eastAsia" w:ascii="宋体" w:hAnsi="宋体" w:cs="宋体"/>
                <w:kern w:val="0"/>
                <w:sz w:val="22"/>
              </w:rPr>
              <w:br w:type="textWrapping"/>
            </w:r>
            <w:r>
              <w:rPr>
                <w:rFonts w:hint="eastAsia" w:ascii="宋体" w:hAnsi="宋体" w:cs="宋体"/>
                <w:kern w:val="0"/>
                <w:sz w:val="22"/>
              </w:rPr>
              <w:t>2.台面：一体化台面，采用不小于19mm厚的佰克板（防腐蚀、耐酸碱、防静电、防火、耐磨、耐烟酌、抗污染）加工而成；</w:t>
            </w:r>
            <w:r>
              <w:rPr>
                <w:rFonts w:hint="eastAsia" w:ascii="宋体" w:hAnsi="宋体" w:cs="宋体"/>
                <w:kern w:val="0"/>
                <w:sz w:val="22"/>
              </w:rPr>
              <w:br w:type="textWrapping"/>
            </w:r>
            <w:r>
              <w:rPr>
                <w:rFonts w:hint="eastAsia" w:ascii="宋体" w:hAnsi="宋体" w:cs="宋体"/>
                <w:kern w:val="0"/>
                <w:sz w:val="22"/>
              </w:rPr>
              <w:t>3.台身：采用不小于18mm厚防潮三聚氰胺双面贴面板，其截面由PVC封边带利用机械高温热熔胶封边，粘力强，密封性好；</w:t>
            </w:r>
            <w:r>
              <w:rPr>
                <w:rFonts w:hint="eastAsia" w:ascii="宋体" w:hAnsi="宋体" w:cs="宋体"/>
                <w:kern w:val="0"/>
                <w:sz w:val="22"/>
              </w:rPr>
              <w:br w:type="textWrapping"/>
            </w:r>
            <w:r>
              <w:rPr>
                <w:rFonts w:hint="eastAsia" w:ascii="宋体" w:hAnsi="宋体" w:cs="宋体"/>
                <w:kern w:val="0"/>
                <w:sz w:val="22"/>
              </w:rPr>
              <w:t>4.结构：演示台为组合式设计，抽屉装有教师演示电源及学生供电控制装置；台内可放置电脑主机、DVD、功放、中央控制主机等，控制台中间设有键盘活动抽屉，台面可放置19寸彩色显示器；控制台右侧设有可放置实物展示台的活动抽屉。设有信息网络接口；</w:t>
            </w:r>
            <w:r>
              <w:rPr>
                <w:rFonts w:hint="eastAsia" w:ascii="宋体" w:hAnsi="宋体" w:cs="宋体"/>
                <w:kern w:val="0"/>
                <w:sz w:val="22"/>
              </w:rPr>
              <w:br w:type="textWrapping"/>
            </w:r>
            <w:r>
              <w:rPr>
                <w:rFonts w:hint="eastAsia" w:ascii="宋体" w:hAnsi="宋体" w:cs="宋体"/>
                <w:kern w:val="0"/>
                <w:sz w:val="22"/>
              </w:rPr>
              <w:t>5.脚垫：采用ABS模具注塑脚垫，高度为2.5cm，可有效防止桌身受潮，延长设备的使用寿命。</w:t>
            </w:r>
          </w:p>
        </w:tc>
        <w:tc>
          <w:tcPr>
            <w:tcW w:w="462" w:type="dxa"/>
            <w:shd w:val="clear" w:color="auto" w:fill="auto"/>
            <w:noWrap/>
            <w:vAlign w:val="center"/>
          </w:tcPr>
          <w:p w14:paraId="6A6AB1BA">
            <w:pPr>
              <w:widowControl/>
              <w:jc w:val="left"/>
              <w:rPr>
                <w:rFonts w:ascii="宋体" w:hAnsi="宋体" w:cs="宋体"/>
                <w:kern w:val="0"/>
                <w:sz w:val="22"/>
              </w:rPr>
            </w:pPr>
            <w:r>
              <w:rPr>
                <w:rFonts w:hint="eastAsia" w:ascii="宋体" w:hAnsi="宋体" w:cs="宋体"/>
                <w:kern w:val="0"/>
                <w:sz w:val="22"/>
              </w:rPr>
              <w:t>张</w:t>
            </w:r>
          </w:p>
        </w:tc>
        <w:tc>
          <w:tcPr>
            <w:tcW w:w="605" w:type="dxa"/>
            <w:shd w:val="clear" w:color="auto" w:fill="auto"/>
            <w:noWrap/>
            <w:vAlign w:val="center"/>
          </w:tcPr>
          <w:p w14:paraId="1A311360">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67C10571">
            <w:pPr>
              <w:widowControl/>
              <w:jc w:val="left"/>
              <w:rPr>
                <w:rFonts w:ascii="宋体" w:hAnsi="宋体" w:cs="宋体"/>
                <w:kern w:val="0"/>
                <w:sz w:val="22"/>
              </w:rPr>
            </w:pPr>
            <w:r>
              <w:rPr>
                <w:rFonts w:hint="eastAsia" w:ascii="宋体" w:hAnsi="宋体" w:cs="宋体"/>
                <w:kern w:val="0"/>
                <w:sz w:val="22"/>
              </w:rPr>
              <w:t>4100</w:t>
            </w:r>
          </w:p>
        </w:tc>
        <w:tc>
          <w:tcPr>
            <w:tcW w:w="1489" w:type="dxa"/>
            <w:shd w:val="clear" w:color="auto" w:fill="auto"/>
            <w:noWrap/>
            <w:vAlign w:val="center"/>
          </w:tcPr>
          <w:p w14:paraId="72FAA966">
            <w:pPr>
              <w:widowControl/>
              <w:jc w:val="left"/>
              <w:rPr>
                <w:rFonts w:ascii="宋体" w:hAnsi="宋体" w:cs="宋体"/>
                <w:kern w:val="0"/>
                <w:sz w:val="22"/>
              </w:rPr>
            </w:pPr>
            <w:r>
              <w:rPr>
                <w:rFonts w:hint="eastAsia" w:ascii="宋体" w:hAnsi="宋体" w:cs="宋体"/>
                <w:kern w:val="0"/>
                <w:sz w:val="22"/>
              </w:rPr>
              <w:t>4100</w:t>
            </w:r>
          </w:p>
        </w:tc>
      </w:tr>
      <w:tr w14:paraId="3370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40545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w:t>
            </w:r>
          </w:p>
        </w:tc>
        <w:tc>
          <w:tcPr>
            <w:tcW w:w="1072" w:type="dxa"/>
            <w:shd w:val="clear" w:color="auto" w:fill="auto"/>
            <w:vAlign w:val="center"/>
          </w:tcPr>
          <w:p w14:paraId="0EF016E6">
            <w:pPr>
              <w:widowControl/>
              <w:jc w:val="left"/>
              <w:rPr>
                <w:rFonts w:ascii="宋体" w:hAnsi="宋体" w:cs="宋体"/>
                <w:kern w:val="0"/>
                <w:sz w:val="22"/>
              </w:rPr>
            </w:pPr>
            <w:r>
              <w:rPr>
                <w:rFonts w:hint="eastAsia" w:ascii="宋体" w:hAnsi="宋体" w:cs="宋体"/>
                <w:kern w:val="0"/>
                <w:sz w:val="22"/>
              </w:rPr>
              <w:t>三联水嘴</w:t>
            </w:r>
          </w:p>
        </w:tc>
        <w:tc>
          <w:tcPr>
            <w:tcW w:w="4897" w:type="dxa"/>
            <w:shd w:val="clear" w:color="auto" w:fill="auto"/>
            <w:vAlign w:val="center"/>
          </w:tcPr>
          <w:p w14:paraId="2BAB3D1D">
            <w:pPr>
              <w:widowControl/>
              <w:jc w:val="left"/>
              <w:rPr>
                <w:rFonts w:ascii="宋体" w:hAnsi="宋体" w:cs="宋体"/>
                <w:kern w:val="0"/>
                <w:sz w:val="22"/>
              </w:rPr>
            </w:pPr>
            <w:r>
              <w:rPr>
                <w:rFonts w:hint="eastAsia" w:ascii="宋体" w:hAnsi="宋体" w:cs="宋体"/>
                <w:kern w:val="0"/>
                <w:sz w:val="22"/>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462" w:type="dxa"/>
            <w:shd w:val="clear" w:color="auto" w:fill="auto"/>
            <w:noWrap/>
            <w:vAlign w:val="center"/>
          </w:tcPr>
          <w:p w14:paraId="635446EB">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333186DB">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0E0F3F1A">
            <w:pPr>
              <w:widowControl/>
              <w:jc w:val="left"/>
              <w:rPr>
                <w:rFonts w:ascii="宋体" w:hAnsi="宋体" w:cs="宋体"/>
                <w:kern w:val="0"/>
                <w:sz w:val="22"/>
              </w:rPr>
            </w:pPr>
            <w:r>
              <w:rPr>
                <w:rFonts w:hint="eastAsia" w:ascii="宋体" w:hAnsi="宋体" w:cs="宋体"/>
                <w:kern w:val="0"/>
                <w:sz w:val="22"/>
              </w:rPr>
              <w:t>380</w:t>
            </w:r>
          </w:p>
        </w:tc>
        <w:tc>
          <w:tcPr>
            <w:tcW w:w="1489" w:type="dxa"/>
            <w:shd w:val="clear" w:color="auto" w:fill="auto"/>
            <w:noWrap/>
            <w:vAlign w:val="center"/>
          </w:tcPr>
          <w:p w14:paraId="79F47D1E">
            <w:pPr>
              <w:widowControl/>
              <w:jc w:val="left"/>
              <w:rPr>
                <w:rFonts w:ascii="宋体" w:hAnsi="宋体" w:cs="宋体"/>
                <w:kern w:val="0"/>
                <w:sz w:val="22"/>
              </w:rPr>
            </w:pPr>
            <w:r>
              <w:rPr>
                <w:rFonts w:hint="eastAsia" w:ascii="宋体" w:hAnsi="宋体" w:cs="宋体"/>
                <w:kern w:val="0"/>
                <w:sz w:val="22"/>
              </w:rPr>
              <w:t>380</w:t>
            </w:r>
          </w:p>
        </w:tc>
      </w:tr>
      <w:tr w14:paraId="0B85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BC1B39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w:t>
            </w:r>
          </w:p>
        </w:tc>
        <w:tc>
          <w:tcPr>
            <w:tcW w:w="1072" w:type="dxa"/>
            <w:shd w:val="clear" w:color="auto" w:fill="auto"/>
            <w:vAlign w:val="center"/>
          </w:tcPr>
          <w:p w14:paraId="2112CA33">
            <w:pPr>
              <w:widowControl/>
              <w:jc w:val="left"/>
              <w:rPr>
                <w:rFonts w:ascii="宋体" w:hAnsi="宋体" w:cs="宋体"/>
                <w:kern w:val="0"/>
                <w:sz w:val="22"/>
              </w:rPr>
            </w:pPr>
            <w:r>
              <w:rPr>
                <w:rFonts w:hint="eastAsia" w:ascii="宋体" w:hAnsi="宋体" w:cs="宋体"/>
                <w:kern w:val="0"/>
                <w:sz w:val="22"/>
              </w:rPr>
              <w:t>防腐水槽</w:t>
            </w:r>
          </w:p>
        </w:tc>
        <w:tc>
          <w:tcPr>
            <w:tcW w:w="4897" w:type="dxa"/>
            <w:shd w:val="clear" w:color="auto" w:fill="auto"/>
            <w:vAlign w:val="center"/>
          </w:tcPr>
          <w:p w14:paraId="68E3B80E">
            <w:pPr>
              <w:widowControl/>
              <w:jc w:val="left"/>
              <w:rPr>
                <w:rFonts w:ascii="宋体" w:hAnsi="宋体" w:cs="宋体"/>
                <w:kern w:val="0"/>
                <w:sz w:val="22"/>
              </w:rPr>
            </w:pPr>
            <w:r>
              <w:rPr>
                <w:rFonts w:hint="eastAsia" w:ascii="宋体" w:hAnsi="宋体" w:cs="宋体"/>
                <w:kern w:val="0"/>
                <w:sz w:val="22"/>
              </w:rPr>
              <w:t>规格：550*450*290mm</w:t>
            </w:r>
            <w:r>
              <w:rPr>
                <w:rFonts w:hint="eastAsia" w:ascii="宋体" w:hAnsi="宋体" w:cs="宋体"/>
                <w:kern w:val="0"/>
                <w:sz w:val="22"/>
              </w:rPr>
              <w:br w:type="textWrapping"/>
            </w:r>
            <w:r>
              <w:rPr>
                <w:rFonts w:hint="eastAsia" w:ascii="宋体" w:hAnsi="宋体" w:cs="宋体"/>
                <w:kern w:val="0"/>
                <w:sz w:val="22"/>
              </w:rPr>
              <w:t>采用实验室专用高密度PP一体化成型水槽，易清洁，耐腐蚀，且利于台面残水自然回流，美观实用；具耐酸碱、耐有机溶剂、耐紫外线等特点。</w:t>
            </w:r>
          </w:p>
        </w:tc>
        <w:tc>
          <w:tcPr>
            <w:tcW w:w="462" w:type="dxa"/>
            <w:shd w:val="clear" w:color="auto" w:fill="auto"/>
            <w:noWrap/>
            <w:vAlign w:val="center"/>
          </w:tcPr>
          <w:p w14:paraId="0318CD67">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698C9380">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51038059">
            <w:pPr>
              <w:widowControl/>
              <w:jc w:val="left"/>
              <w:rPr>
                <w:rFonts w:ascii="宋体" w:hAnsi="宋体" w:cs="宋体"/>
                <w:kern w:val="0"/>
                <w:sz w:val="22"/>
              </w:rPr>
            </w:pPr>
            <w:r>
              <w:rPr>
                <w:rFonts w:hint="eastAsia" w:ascii="宋体" w:hAnsi="宋体" w:cs="宋体"/>
                <w:kern w:val="0"/>
                <w:sz w:val="22"/>
              </w:rPr>
              <w:t>240</w:t>
            </w:r>
          </w:p>
        </w:tc>
        <w:tc>
          <w:tcPr>
            <w:tcW w:w="1489" w:type="dxa"/>
            <w:shd w:val="clear" w:color="auto" w:fill="auto"/>
            <w:noWrap/>
            <w:vAlign w:val="center"/>
          </w:tcPr>
          <w:p w14:paraId="0E5FC7ED">
            <w:pPr>
              <w:widowControl/>
              <w:jc w:val="left"/>
              <w:rPr>
                <w:rFonts w:ascii="宋体" w:hAnsi="宋体" w:cs="宋体"/>
                <w:kern w:val="0"/>
                <w:sz w:val="22"/>
              </w:rPr>
            </w:pPr>
            <w:r>
              <w:rPr>
                <w:rFonts w:hint="eastAsia" w:ascii="宋体" w:hAnsi="宋体" w:cs="宋体"/>
                <w:kern w:val="0"/>
                <w:sz w:val="22"/>
              </w:rPr>
              <w:t>240</w:t>
            </w:r>
          </w:p>
        </w:tc>
      </w:tr>
      <w:tr w14:paraId="7B3F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D42846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w:t>
            </w:r>
          </w:p>
        </w:tc>
        <w:tc>
          <w:tcPr>
            <w:tcW w:w="1072" w:type="dxa"/>
            <w:shd w:val="clear" w:color="auto" w:fill="auto"/>
            <w:vAlign w:val="center"/>
          </w:tcPr>
          <w:p w14:paraId="2BDEAD5A">
            <w:pPr>
              <w:widowControl/>
              <w:jc w:val="left"/>
              <w:rPr>
                <w:rFonts w:ascii="宋体" w:hAnsi="宋体" w:cs="宋体"/>
                <w:kern w:val="0"/>
                <w:sz w:val="22"/>
              </w:rPr>
            </w:pPr>
            <w:r>
              <w:rPr>
                <w:rFonts w:hint="eastAsia" w:ascii="宋体" w:hAnsi="宋体" w:cs="宋体"/>
                <w:kern w:val="0"/>
                <w:sz w:val="22"/>
              </w:rPr>
              <w:t>探究学生台</w:t>
            </w:r>
          </w:p>
        </w:tc>
        <w:tc>
          <w:tcPr>
            <w:tcW w:w="4897" w:type="dxa"/>
            <w:shd w:val="clear" w:color="auto" w:fill="auto"/>
            <w:vAlign w:val="center"/>
          </w:tcPr>
          <w:p w14:paraId="18AD1D41">
            <w:pPr>
              <w:widowControl/>
              <w:jc w:val="left"/>
              <w:rPr>
                <w:rFonts w:ascii="宋体" w:hAnsi="宋体" w:cs="宋体"/>
                <w:kern w:val="0"/>
                <w:sz w:val="22"/>
              </w:rPr>
            </w:pPr>
            <w:r>
              <w:rPr>
                <w:rFonts w:hint="eastAsia" w:ascii="宋体" w:hAnsi="宋体" w:cs="宋体"/>
                <w:kern w:val="0"/>
                <w:sz w:val="22"/>
              </w:rPr>
              <w:t>1.规格：（长2400×宽1200×高780）mm（±2mm）(8人/张)；</w:t>
            </w:r>
            <w:r>
              <w:rPr>
                <w:rFonts w:hint="eastAsia" w:ascii="宋体" w:hAnsi="宋体" w:cs="宋体"/>
                <w:kern w:val="0"/>
                <w:sz w:val="22"/>
              </w:rPr>
              <w:br w:type="textWrapping"/>
            </w:r>
            <w:r>
              <w:rPr>
                <w:rFonts w:hint="eastAsia" w:ascii="宋体" w:hAnsi="宋体" w:cs="宋体"/>
                <w:kern w:val="0"/>
                <w:sz w:val="22"/>
              </w:rPr>
              <w:t>2.台面：一体化台面，采用19mm厚的佰克板（防腐蚀、耐酸碱、防静电、防火、耐磨、耐烟酌、抗污染）加工而成；</w:t>
            </w:r>
            <w:r>
              <w:rPr>
                <w:rFonts w:hint="eastAsia" w:ascii="宋体" w:hAnsi="宋体" w:cs="宋体"/>
                <w:kern w:val="0"/>
                <w:sz w:val="22"/>
              </w:rPr>
              <w:br w:type="textWrapping"/>
            </w:r>
            <w:r>
              <w:rPr>
                <w:rFonts w:hint="eastAsia" w:ascii="宋体" w:hAnsi="宋体" w:cs="宋体"/>
                <w:kern w:val="0"/>
                <w:sz w:val="22"/>
              </w:rPr>
              <w:t>3.台身：采用耐腐蚀、防潮湿、防白蚁的进口塑料大型模具成型立柱（立柱规格：60×45mm，厚度为3mm）内嵌厚度为1 mm型钢和横挡（横挡规格：31×23mm，厚度为2.5mm）内嵌厚度为1 mm型钢及模具注塑一次成型连接件组成台架，结合18mm厚三聚氰胺双面贴面板，其截面由PVC封边带利用高温热熔胶封边，密封性好，外形美观，经久耐用；</w:t>
            </w:r>
            <w:r>
              <w:rPr>
                <w:rFonts w:hint="eastAsia" w:ascii="宋体" w:hAnsi="宋体" w:cs="宋体"/>
                <w:kern w:val="0"/>
                <w:sz w:val="22"/>
              </w:rPr>
              <w:br w:type="textWrapping"/>
            </w:r>
            <w:r>
              <w:rPr>
                <w:rFonts w:hint="eastAsia" w:ascii="宋体" w:hAnsi="宋体" w:cs="宋体"/>
                <w:kern w:val="0"/>
                <w:sz w:val="22"/>
              </w:rPr>
              <w:t>4.结构：每台为8座，高级塑木结构。采用一体化台面，探究台为双面设计，台面中间设有学生电源盒及金属地埋插座，双面均设有存放传感器及数字采集器的抽屉及开门式储藏柜，均采用开门式设计，并可上锁，所有台共用同一把锁匙。台两侧设有实验分析专用区，且设有活动键盘抽屉及主机存放柜。设有信息网络接口（学生台的结构，尤其是抽屉和储藏柜要根据使用单位实际情况考虑，设计图纸由使用单位确认后方可实施）；</w:t>
            </w:r>
            <w:r>
              <w:rPr>
                <w:rFonts w:hint="eastAsia" w:ascii="宋体" w:hAnsi="宋体" w:cs="宋体"/>
                <w:kern w:val="0"/>
                <w:sz w:val="22"/>
              </w:rPr>
              <w:br w:type="textWrapping"/>
            </w:r>
            <w:r>
              <w:rPr>
                <w:rFonts w:hint="eastAsia" w:ascii="宋体" w:hAnsi="宋体" w:cs="宋体"/>
                <w:kern w:val="0"/>
                <w:sz w:val="22"/>
              </w:rPr>
              <w:t>5.脚垫：采用ABS耐蚀注塑专用垫，可隐蔽固定，并且可以有效防潮，延长设备寿命。</w:t>
            </w:r>
          </w:p>
        </w:tc>
        <w:tc>
          <w:tcPr>
            <w:tcW w:w="462" w:type="dxa"/>
            <w:shd w:val="clear" w:color="auto" w:fill="auto"/>
            <w:noWrap/>
            <w:vAlign w:val="center"/>
          </w:tcPr>
          <w:p w14:paraId="44480BFF">
            <w:pPr>
              <w:widowControl/>
              <w:jc w:val="left"/>
              <w:rPr>
                <w:rFonts w:ascii="宋体" w:hAnsi="宋体" w:cs="宋体"/>
                <w:kern w:val="0"/>
                <w:sz w:val="22"/>
              </w:rPr>
            </w:pPr>
            <w:r>
              <w:rPr>
                <w:rFonts w:hint="eastAsia" w:ascii="宋体" w:hAnsi="宋体" w:cs="宋体"/>
                <w:kern w:val="0"/>
                <w:sz w:val="22"/>
              </w:rPr>
              <w:t>张</w:t>
            </w:r>
          </w:p>
        </w:tc>
        <w:tc>
          <w:tcPr>
            <w:tcW w:w="605" w:type="dxa"/>
            <w:shd w:val="clear" w:color="auto" w:fill="auto"/>
            <w:noWrap/>
            <w:vAlign w:val="center"/>
          </w:tcPr>
          <w:p w14:paraId="1B01171F">
            <w:pPr>
              <w:widowControl/>
              <w:jc w:val="left"/>
              <w:rPr>
                <w:rFonts w:ascii="宋体" w:hAnsi="宋体" w:cs="宋体"/>
                <w:kern w:val="0"/>
                <w:sz w:val="22"/>
              </w:rPr>
            </w:pPr>
            <w:r>
              <w:rPr>
                <w:rFonts w:hint="eastAsia" w:ascii="宋体" w:hAnsi="宋体" w:cs="宋体"/>
                <w:kern w:val="0"/>
                <w:sz w:val="22"/>
              </w:rPr>
              <w:t>7</w:t>
            </w:r>
          </w:p>
        </w:tc>
        <w:tc>
          <w:tcPr>
            <w:tcW w:w="1048" w:type="dxa"/>
            <w:shd w:val="clear" w:color="auto" w:fill="auto"/>
            <w:noWrap/>
            <w:vAlign w:val="center"/>
          </w:tcPr>
          <w:p w14:paraId="13E0BFCE">
            <w:pPr>
              <w:widowControl/>
              <w:jc w:val="left"/>
              <w:rPr>
                <w:rFonts w:ascii="宋体" w:hAnsi="宋体" w:cs="宋体"/>
                <w:kern w:val="0"/>
                <w:sz w:val="22"/>
              </w:rPr>
            </w:pPr>
            <w:r>
              <w:rPr>
                <w:rFonts w:hint="eastAsia" w:ascii="宋体" w:hAnsi="宋体" w:cs="宋体"/>
                <w:kern w:val="0"/>
                <w:sz w:val="22"/>
              </w:rPr>
              <w:t>3400</w:t>
            </w:r>
          </w:p>
        </w:tc>
        <w:tc>
          <w:tcPr>
            <w:tcW w:w="1489" w:type="dxa"/>
            <w:shd w:val="clear" w:color="auto" w:fill="auto"/>
            <w:noWrap/>
            <w:vAlign w:val="center"/>
          </w:tcPr>
          <w:p w14:paraId="302AF683">
            <w:pPr>
              <w:widowControl/>
              <w:jc w:val="left"/>
              <w:rPr>
                <w:rFonts w:ascii="宋体" w:hAnsi="宋体" w:cs="宋体"/>
                <w:kern w:val="0"/>
                <w:sz w:val="22"/>
              </w:rPr>
            </w:pPr>
            <w:r>
              <w:rPr>
                <w:rFonts w:hint="eastAsia" w:ascii="宋体" w:hAnsi="宋体" w:cs="宋体"/>
                <w:kern w:val="0"/>
                <w:sz w:val="22"/>
              </w:rPr>
              <w:t>23800</w:t>
            </w:r>
          </w:p>
        </w:tc>
      </w:tr>
      <w:tr w14:paraId="4ABF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9C1D6F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w:t>
            </w:r>
          </w:p>
        </w:tc>
        <w:tc>
          <w:tcPr>
            <w:tcW w:w="1072" w:type="dxa"/>
            <w:shd w:val="clear" w:color="auto" w:fill="auto"/>
            <w:vAlign w:val="center"/>
          </w:tcPr>
          <w:p w14:paraId="7C5F897A">
            <w:pPr>
              <w:widowControl/>
              <w:jc w:val="left"/>
              <w:rPr>
                <w:rFonts w:ascii="宋体" w:hAnsi="宋体" w:cs="宋体"/>
                <w:kern w:val="0"/>
                <w:sz w:val="22"/>
              </w:rPr>
            </w:pPr>
            <w:r>
              <w:rPr>
                <w:rFonts w:hint="eastAsia" w:ascii="宋体" w:hAnsi="宋体" w:cs="宋体"/>
                <w:kern w:val="0"/>
                <w:sz w:val="22"/>
              </w:rPr>
              <w:t>三联水嘴</w:t>
            </w:r>
          </w:p>
        </w:tc>
        <w:tc>
          <w:tcPr>
            <w:tcW w:w="4897" w:type="dxa"/>
            <w:shd w:val="clear" w:color="auto" w:fill="auto"/>
            <w:vAlign w:val="center"/>
          </w:tcPr>
          <w:p w14:paraId="782A1AC8">
            <w:pPr>
              <w:widowControl/>
              <w:jc w:val="left"/>
              <w:rPr>
                <w:rFonts w:ascii="宋体" w:hAnsi="宋体" w:cs="宋体"/>
                <w:kern w:val="0"/>
                <w:sz w:val="22"/>
              </w:rPr>
            </w:pPr>
            <w:r>
              <w:rPr>
                <w:rFonts w:hint="eastAsia" w:ascii="宋体" w:hAnsi="宋体" w:cs="宋体"/>
                <w:kern w:val="0"/>
                <w:sz w:val="22"/>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462" w:type="dxa"/>
            <w:shd w:val="clear" w:color="auto" w:fill="auto"/>
            <w:noWrap/>
            <w:vAlign w:val="center"/>
          </w:tcPr>
          <w:p w14:paraId="02526877">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2E7E4FCF">
            <w:pPr>
              <w:widowControl/>
              <w:jc w:val="left"/>
              <w:rPr>
                <w:rFonts w:ascii="宋体" w:hAnsi="宋体" w:cs="宋体"/>
                <w:kern w:val="0"/>
                <w:sz w:val="22"/>
              </w:rPr>
            </w:pPr>
            <w:r>
              <w:rPr>
                <w:rFonts w:hint="eastAsia" w:ascii="宋体" w:hAnsi="宋体" w:cs="宋体"/>
                <w:kern w:val="0"/>
                <w:sz w:val="22"/>
              </w:rPr>
              <w:t>7</w:t>
            </w:r>
          </w:p>
        </w:tc>
        <w:tc>
          <w:tcPr>
            <w:tcW w:w="1048" w:type="dxa"/>
            <w:shd w:val="clear" w:color="auto" w:fill="auto"/>
            <w:noWrap/>
            <w:vAlign w:val="center"/>
          </w:tcPr>
          <w:p w14:paraId="3EC882FB">
            <w:pPr>
              <w:widowControl/>
              <w:jc w:val="left"/>
              <w:rPr>
                <w:rFonts w:ascii="宋体" w:hAnsi="宋体" w:cs="宋体"/>
                <w:kern w:val="0"/>
                <w:sz w:val="22"/>
              </w:rPr>
            </w:pPr>
            <w:r>
              <w:rPr>
                <w:rFonts w:hint="eastAsia" w:ascii="宋体" w:hAnsi="宋体" w:cs="宋体"/>
                <w:kern w:val="0"/>
                <w:sz w:val="22"/>
              </w:rPr>
              <w:t>380</w:t>
            </w:r>
          </w:p>
        </w:tc>
        <w:tc>
          <w:tcPr>
            <w:tcW w:w="1489" w:type="dxa"/>
            <w:shd w:val="clear" w:color="auto" w:fill="auto"/>
            <w:noWrap/>
            <w:vAlign w:val="center"/>
          </w:tcPr>
          <w:p w14:paraId="2D55AC4E">
            <w:pPr>
              <w:widowControl/>
              <w:jc w:val="left"/>
              <w:rPr>
                <w:rFonts w:ascii="宋体" w:hAnsi="宋体" w:cs="宋体"/>
                <w:kern w:val="0"/>
                <w:sz w:val="22"/>
              </w:rPr>
            </w:pPr>
            <w:r>
              <w:rPr>
                <w:rFonts w:hint="eastAsia" w:ascii="宋体" w:hAnsi="宋体" w:cs="宋体"/>
                <w:kern w:val="0"/>
                <w:sz w:val="22"/>
              </w:rPr>
              <w:t>2660</w:t>
            </w:r>
          </w:p>
        </w:tc>
      </w:tr>
      <w:tr w14:paraId="14BC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FF3E97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w:t>
            </w:r>
          </w:p>
        </w:tc>
        <w:tc>
          <w:tcPr>
            <w:tcW w:w="1072" w:type="dxa"/>
            <w:shd w:val="clear" w:color="auto" w:fill="auto"/>
            <w:vAlign w:val="center"/>
          </w:tcPr>
          <w:p w14:paraId="0B50A3F2">
            <w:pPr>
              <w:widowControl/>
              <w:jc w:val="left"/>
              <w:rPr>
                <w:rFonts w:ascii="宋体" w:hAnsi="宋体" w:cs="宋体"/>
                <w:kern w:val="0"/>
                <w:sz w:val="22"/>
              </w:rPr>
            </w:pPr>
            <w:r>
              <w:rPr>
                <w:rFonts w:hint="eastAsia" w:ascii="宋体" w:hAnsi="宋体" w:cs="宋体"/>
                <w:kern w:val="0"/>
                <w:sz w:val="22"/>
              </w:rPr>
              <w:t>防腐水槽</w:t>
            </w:r>
          </w:p>
        </w:tc>
        <w:tc>
          <w:tcPr>
            <w:tcW w:w="4897" w:type="dxa"/>
            <w:shd w:val="clear" w:color="auto" w:fill="auto"/>
            <w:vAlign w:val="center"/>
          </w:tcPr>
          <w:p w14:paraId="2FAE3E5A">
            <w:pPr>
              <w:widowControl/>
              <w:jc w:val="left"/>
              <w:rPr>
                <w:rFonts w:ascii="宋体" w:hAnsi="宋体" w:cs="宋体"/>
                <w:kern w:val="0"/>
                <w:sz w:val="22"/>
              </w:rPr>
            </w:pPr>
            <w:r>
              <w:rPr>
                <w:rFonts w:hint="eastAsia" w:ascii="宋体" w:hAnsi="宋体" w:cs="宋体"/>
                <w:kern w:val="0"/>
                <w:sz w:val="22"/>
              </w:rPr>
              <w:t>规格：550*450*290mm</w:t>
            </w:r>
            <w:r>
              <w:rPr>
                <w:rFonts w:hint="eastAsia" w:ascii="宋体" w:hAnsi="宋体" w:cs="宋体"/>
                <w:kern w:val="0"/>
                <w:sz w:val="22"/>
              </w:rPr>
              <w:br w:type="textWrapping"/>
            </w:r>
            <w:r>
              <w:rPr>
                <w:rFonts w:hint="eastAsia" w:ascii="宋体" w:hAnsi="宋体" w:cs="宋体"/>
                <w:kern w:val="0"/>
                <w:sz w:val="22"/>
              </w:rPr>
              <w:t>采用实验室专用高密度PP一体化成型水槽，易清洁，耐腐蚀，且利于台面残水自然回流，美观实用；具耐酸碱、耐有机溶剂、耐紫外线等特点。</w:t>
            </w:r>
          </w:p>
        </w:tc>
        <w:tc>
          <w:tcPr>
            <w:tcW w:w="462" w:type="dxa"/>
            <w:shd w:val="clear" w:color="auto" w:fill="auto"/>
            <w:noWrap/>
            <w:vAlign w:val="center"/>
          </w:tcPr>
          <w:p w14:paraId="4A9AC874">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2F08E81A">
            <w:pPr>
              <w:widowControl/>
              <w:jc w:val="left"/>
              <w:rPr>
                <w:rFonts w:ascii="宋体" w:hAnsi="宋体" w:cs="宋体"/>
                <w:kern w:val="0"/>
                <w:sz w:val="22"/>
              </w:rPr>
            </w:pPr>
            <w:r>
              <w:rPr>
                <w:rFonts w:hint="eastAsia" w:ascii="宋体" w:hAnsi="宋体" w:cs="宋体"/>
                <w:kern w:val="0"/>
                <w:sz w:val="22"/>
              </w:rPr>
              <w:t>7</w:t>
            </w:r>
          </w:p>
        </w:tc>
        <w:tc>
          <w:tcPr>
            <w:tcW w:w="1048" w:type="dxa"/>
            <w:shd w:val="clear" w:color="auto" w:fill="auto"/>
            <w:noWrap/>
            <w:vAlign w:val="center"/>
          </w:tcPr>
          <w:p w14:paraId="03BCFEBF">
            <w:pPr>
              <w:widowControl/>
              <w:jc w:val="left"/>
              <w:rPr>
                <w:rFonts w:ascii="宋体" w:hAnsi="宋体" w:cs="宋体"/>
                <w:kern w:val="0"/>
                <w:sz w:val="22"/>
              </w:rPr>
            </w:pPr>
            <w:r>
              <w:rPr>
                <w:rFonts w:hint="eastAsia" w:ascii="宋体" w:hAnsi="宋体" w:cs="宋体"/>
                <w:kern w:val="0"/>
                <w:sz w:val="22"/>
              </w:rPr>
              <w:t>240</w:t>
            </w:r>
          </w:p>
        </w:tc>
        <w:tc>
          <w:tcPr>
            <w:tcW w:w="1489" w:type="dxa"/>
            <w:shd w:val="clear" w:color="auto" w:fill="auto"/>
            <w:noWrap/>
            <w:vAlign w:val="center"/>
          </w:tcPr>
          <w:p w14:paraId="04859BF0">
            <w:pPr>
              <w:widowControl/>
              <w:jc w:val="left"/>
              <w:rPr>
                <w:rFonts w:ascii="宋体" w:hAnsi="宋体" w:cs="宋体"/>
                <w:kern w:val="0"/>
                <w:sz w:val="22"/>
              </w:rPr>
            </w:pPr>
            <w:r>
              <w:rPr>
                <w:rFonts w:hint="eastAsia" w:ascii="宋体" w:hAnsi="宋体" w:cs="宋体"/>
                <w:kern w:val="0"/>
                <w:sz w:val="22"/>
              </w:rPr>
              <w:t>1680</w:t>
            </w:r>
          </w:p>
        </w:tc>
      </w:tr>
      <w:tr w14:paraId="608F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BBEB0E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w:t>
            </w:r>
          </w:p>
        </w:tc>
        <w:tc>
          <w:tcPr>
            <w:tcW w:w="1072" w:type="dxa"/>
            <w:shd w:val="clear" w:color="auto" w:fill="auto"/>
            <w:vAlign w:val="center"/>
          </w:tcPr>
          <w:p w14:paraId="2D95B83B">
            <w:pPr>
              <w:widowControl/>
              <w:jc w:val="left"/>
              <w:rPr>
                <w:rFonts w:ascii="宋体" w:hAnsi="宋体" w:cs="宋体"/>
                <w:kern w:val="0"/>
                <w:sz w:val="22"/>
              </w:rPr>
            </w:pPr>
            <w:r>
              <w:rPr>
                <w:rFonts w:hint="eastAsia" w:ascii="宋体" w:hAnsi="宋体" w:cs="宋体"/>
                <w:kern w:val="0"/>
                <w:sz w:val="22"/>
              </w:rPr>
              <w:t>生物实验光源</w:t>
            </w:r>
          </w:p>
        </w:tc>
        <w:tc>
          <w:tcPr>
            <w:tcW w:w="4897" w:type="dxa"/>
            <w:shd w:val="clear" w:color="auto" w:fill="auto"/>
            <w:vAlign w:val="center"/>
          </w:tcPr>
          <w:p w14:paraId="63C98440">
            <w:pPr>
              <w:widowControl/>
              <w:jc w:val="left"/>
              <w:rPr>
                <w:rFonts w:ascii="宋体" w:hAnsi="宋体" w:cs="宋体"/>
                <w:kern w:val="0"/>
                <w:sz w:val="22"/>
              </w:rPr>
            </w:pPr>
            <w:r>
              <w:rPr>
                <w:rFonts w:hint="eastAsia" w:ascii="宋体" w:hAnsi="宋体" w:cs="宋体"/>
                <w:kern w:val="0"/>
                <w:sz w:val="22"/>
              </w:rPr>
              <w:t>长度400mm,镜面不锈钢材质，21个5050LED光源；亮度高，有独开关，光照角度可调。</w:t>
            </w:r>
          </w:p>
        </w:tc>
        <w:tc>
          <w:tcPr>
            <w:tcW w:w="462" w:type="dxa"/>
            <w:shd w:val="clear" w:color="auto" w:fill="auto"/>
            <w:noWrap/>
            <w:vAlign w:val="center"/>
          </w:tcPr>
          <w:p w14:paraId="44E37CC4">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66364C29">
            <w:pPr>
              <w:widowControl/>
              <w:jc w:val="left"/>
              <w:rPr>
                <w:rFonts w:ascii="宋体" w:hAnsi="宋体" w:cs="宋体"/>
                <w:kern w:val="0"/>
                <w:sz w:val="22"/>
              </w:rPr>
            </w:pPr>
            <w:r>
              <w:rPr>
                <w:rFonts w:hint="eastAsia" w:ascii="宋体" w:hAnsi="宋体" w:cs="宋体"/>
                <w:kern w:val="0"/>
                <w:sz w:val="22"/>
              </w:rPr>
              <w:t>7</w:t>
            </w:r>
          </w:p>
        </w:tc>
        <w:tc>
          <w:tcPr>
            <w:tcW w:w="1048" w:type="dxa"/>
            <w:shd w:val="clear" w:color="auto" w:fill="auto"/>
            <w:noWrap/>
            <w:vAlign w:val="center"/>
          </w:tcPr>
          <w:p w14:paraId="4C149C62">
            <w:pPr>
              <w:widowControl/>
              <w:jc w:val="left"/>
              <w:rPr>
                <w:rFonts w:ascii="宋体" w:hAnsi="宋体" w:cs="宋体"/>
                <w:kern w:val="0"/>
                <w:sz w:val="22"/>
              </w:rPr>
            </w:pPr>
            <w:r>
              <w:rPr>
                <w:rFonts w:hint="eastAsia" w:ascii="宋体" w:hAnsi="宋体" w:cs="宋体"/>
                <w:kern w:val="0"/>
                <w:sz w:val="22"/>
              </w:rPr>
              <w:t>150</w:t>
            </w:r>
          </w:p>
        </w:tc>
        <w:tc>
          <w:tcPr>
            <w:tcW w:w="1489" w:type="dxa"/>
            <w:shd w:val="clear" w:color="auto" w:fill="auto"/>
            <w:noWrap/>
            <w:vAlign w:val="center"/>
          </w:tcPr>
          <w:p w14:paraId="4DC02D1F">
            <w:pPr>
              <w:widowControl/>
              <w:jc w:val="left"/>
              <w:rPr>
                <w:rFonts w:ascii="宋体" w:hAnsi="宋体" w:cs="宋体"/>
                <w:kern w:val="0"/>
                <w:sz w:val="22"/>
              </w:rPr>
            </w:pPr>
            <w:r>
              <w:rPr>
                <w:rFonts w:hint="eastAsia" w:ascii="宋体" w:hAnsi="宋体" w:cs="宋体"/>
                <w:kern w:val="0"/>
                <w:sz w:val="22"/>
              </w:rPr>
              <w:t>1050</w:t>
            </w:r>
          </w:p>
        </w:tc>
      </w:tr>
      <w:tr w14:paraId="4200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CFA05B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w:t>
            </w:r>
          </w:p>
        </w:tc>
        <w:tc>
          <w:tcPr>
            <w:tcW w:w="1072" w:type="dxa"/>
            <w:shd w:val="clear" w:color="auto" w:fill="auto"/>
            <w:vAlign w:val="center"/>
          </w:tcPr>
          <w:p w14:paraId="6EBAC84C">
            <w:pPr>
              <w:widowControl/>
              <w:jc w:val="left"/>
              <w:rPr>
                <w:rFonts w:ascii="宋体" w:hAnsi="宋体" w:cs="宋体"/>
                <w:kern w:val="0"/>
                <w:sz w:val="22"/>
              </w:rPr>
            </w:pPr>
            <w:r>
              <w:rPr>
                <w:rFonts w:hint="eastAsia" w:ascii="宋体" w:hAnsi="宋体" w:cs="宋体"/>
                <w:kern w:val="0"/>
                <w:sz w:val="22"/>
              </w:rPr>
              <w:t>教师主控电源</w:t>
            </w:r>
          </w:p>
        </w:tc>
        <w:tc>
          <w:tcPr>
            <w:tcW w:w="4897" w:type="dxa"/>
            <w:shd w:val="clear" w:color="auto" w:fill="auto"/>
            <w:vAlign w:val="center"/>
          </w:tcPr>
          <w:p w14:paraId="0EA304FF">
            <w:pPr>
              <w:widowControl/>
              <w:jc w:val="left"/>
              <w:rPr>
                <w:rFonts w:ascii="宋体" w:hAnsi="宋体" w:cs="宋体"/>
                <w:kern w:val="0"/>
                <w:sz w:val="22"/>
              </w:rPr>
            </w:pPr>
            <w:r>
              <w:rPr>
                <w:rFonts w:hint="eastAsia" w:ascii="宋体" w:hAnsi="宋体" w:cs="宋体"/>
                <w:kern w:val="0"/>
                <w:sz w:val="22"/>
              </w:rPr>
              <w:t>一、按教育部最新标准制作，有过载过流保护，安全方便规范：</w:t>
            </w:r>
            <w:r>
              <w:rPr>
                <w:rFonts w:hint="eastAsia" w:ascii="宋体" w:hAnsi="宋体" w:cs="宋体"/>
                <w:kern w:val="0"/>
                <w:sz w:val="22"/>
              </w:rPr>
              <w:br w:type="textWrapping"/>
            </w:r>
            <w:r>
              <w:rPr>
                <w:rFonts w:hint="eastAsia" w:ascii="宋体" w:hAnsi="宋体" w:cs="宋体"/>
                <w:kern w:val="0"/>
                <w:sz w:val="22"/>
              </w:rPr>
              <w:t xml:space="preserve">1.漏电保护开关、工作指示灯；                                                </w:t>
            </w:r>
            <w:r>
              <w:rPr>
                <w:rFonts w:hint="eastAsia" w:ascii="宋体" w:hAnsi="宋体" w:cs="宋体"/>
                <w:kern w:val="0"/>
                <w:sz w:val="22"/>
              </w:rPr>
              <w:br w:type="textWrapping"/>
            </w:r>
            <w:r>
              <w:rPr>
                <w:rFonts w:hint="eastAsia" w:ascii="宋体" w:hAnsi="宋体" w:cs="宋体"/>
                <w:kern w:val="0"/>
                <w:sz w:val="22"/>
              </w:rPr>
              <w:t>2.控制面板带有风机及学生AC 220V交流输出插座的继电器控制开关，可控制风机及学生AC 220V交流输出插座电源的通断；</w:t>
            </w:r>
            <w:r>
              <w:rPr>
                <w:rFonts w:hint="eastAsia" w:ascii="宋体" w:hAnsi="宋体" w:cs="宋体"/>
                <w:kern w:val="0"/>
                <w:sz w:val="22"/>
              </w:rPr>
              <w:br w:type="textWrapping"/>
            </w:r>
            <w:r>
              <w:rPr>
                <w:rFonts w:hint="eastAsia" w:ascii="宋体" w:hAnsi="宋体" w:cs="宋体"/>
                <w:kern w:val="0"/>
                <w:sz w:val="22"/>
              </w:rPr>
              <w:t>3.直流稳压电源：1.5V-36V连续可调，额定电流≥3A（短路、过载自动保护，自动复位）；</w:t>
            </w:r>
            <w:r>
              <w:rPr>
                <w:rFonts w:hint="eastAsia" w:ascii="宋体" w:hAnsi="宋体" w:cs="宋体"/>
                <w:kern w:val="0"/>
                <w:sz w:val="22"/>
              </w:rPr>
              <w:br w:type="textWrapping"/>
            </w:r>
            <w:r>
              <w:rPr>
                <w:rFonts w:hint="eastAsia" w:ascii="宋体" w:hAnsi="宋体" w:cs="宋体"/>
                <w:kern w:val="0"/>
                <w:sz w:val="22"/>
              </w:rPr>
              <w:t xml:space="preserve">4.学生供电控制电源：由教师分组控制学生实验台交流220V；                                           </w:t>
            </w:r>
            <w:r>
              <w:rPr>
                <w:rFonts w:hint="eastAsia" w:ascii="宋体" w:hAnsi="宋体" w:cs="宋体"/>
                <w:kern w:val="0"/>
                <w:sz w:val="22"/>
              </w:rPr>
              <w:br w:type="textWrapping"/>
            </w:r>
            <w:r>
              <w:rPr>
                <w:rFonts w:hint="eastAsia" w:ascii="宋体" w:hAnsi="宋体" w:cs="宋体"/>
                <w:kern w:val="0"/>
                <w:sz w:val="22"/>
              </w:rPr>
              <w:t>5.电源系统符合JY/T0374-2004《教学实验室设备 电源系统》；</w:t>
            </w:r>
            <w:r>
              <w:rPr>
                <w:rFonts w:hint="eastAsia" w:ascii="宋体" w:hAnsi="宋体" w:cs="宋体"/>
                <w:kern w:val="0"/>
                <w:sz w:val="22"/>
              </w:rPr>
              <w:br w:type="textWrapping"/>
            </w:r>
            <w:r>
              <w:rPr>
                <w:rFonts w:hint="eastAsia" w:ascii="宋体" w:hAnsi="宋体" w:cs="宋体"/>
                <w:kern w:val="0"/>
                <w:sz w:val="22"/>
              </w:rPr>
              <w:t>二、标准：</w:t>
            </w:r>
            <w:r>
              <w:rPr>
                <w:rFonts w:hint="eastAsia" w:ascii="宋体" w:hAnsi="宋体" w:cs="宋体"/>
                <w:kern w:val="0"/>
                <w:sz w:val="22"/>
              </w:rPr>
              <w:br w:type="textWrapping"/>
            </w:r>
            <w:r>
              <w:rPr>
                <w:rFonts w:hint="eastAsia" w:ascii="宋体" w:hAnsi="宋体" w:cs="宋体"/>
                <w:kern w:val="0"/>
                <w:sz w:val="22"/>
              </w:rPr>
              <w:t>1. AC 220V交流电源输出插座；                                                2.带有防尘保护盖；</w:t>
            </w:r>
            <w:r>
              <w:rPr>
                <w:rFonts w:hint="eastAsia" w:ascii="宋体" w:hAnsi="宋体" w:cs="宋体"/>
                <w:kern w:val="0"/>
                <w:sz w:val="22"/>
              </w:rPr>
              <w:br w:type="textWrapping"/>
            </w:r>
            <w:r>
              <w:rPr>
                <w:rFonts w:hint="eastAsia" w:ascii="宋体" w:hAnsi="宋体" w:cs="宋体"/>
                <w:kern w:val="0"/>
                <w:sz w:val="22"/>
              </w:rPr>
              <w:t>3.直流稳压电源：1.5V-36V连续可调，额定电流≥1A（短路、过载自动保护，手动复位）；</w:t>
            </w:r>
            <w:r>
              <w:rPr>
                <w:rFonts w:hint="eastAsia" w:ascii="宋体" w:hAnsi="宋体" w:cs="宋体"/>
                <w:kern w:val="0"/>
                <w:sz w:val="22"/>
              </w:rPr>
              <w:br w:type="textWrapping"/>
            </w:r>
            <w:r>
              <w:rPr>
                <w:rFonts w:hint="eastAsia" w:ascii="宋体" w:hAnsi="宋体" w:cs="宋体"/>
                <w:kern w:val="0"/>
                <w:sz w:val="22"/>
              </w:rPr>
              <w:t>4.电源系统符合JY/T0374-2004《教学实验室设备 电源系统》标准。</w:t>
            </w:r>
          </w:p>
        </w:tc>
        <w:tc>
          <w:tcPr>
            <w:tcW w:w="462" w:type="dxa"/>
            <w:shd w:val="clear" w:color="auto" w:fill="auto"/>
            <w:noWrap/>
            <w:vAlign w:val="center"/>
          </w:tcPr>
          <w:p w14:paraId="1F036801">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60B9BF22">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50E67436">
            <w:pPr>
              <w:widowControl/>
              <w:jc w:val="left"/>
              <w:rPr>
                <w:rFonts w:ascii="宋体" w:hAnsi="宋体" w:cs="宋体"/>
                <w:kern w:val="0"/>
                <w:sz w:val="22"/>
              </w:rPr>
            </w:pPr>
            <w:r>
              <w:rPr>
                <w:rFonts w:hint="eastAsia" w:ascii="宋体" w:hAnsi="宋体" w:cs="宋体"/>
                <w:kern w:val="0"/>
                <w:sz w:val="22"/>
              </w:rPr>
              <w:t>1200</w:t>
            </w:r>
          </w:p>
        </w:tc>
        <w:tc>
          <w:tcPr>
            <w:tcW w:w="1489" w:type="dxa"/>
            <w:shd w:val="clear" w:color="auto" w:fill="auto"/>
            <w:noWrap/>
            <w:vAlign w:val="center"/>
          </w:tcPr>
          <w:p w14:paraId="340514EF">
            <w:pPr>
              <w:widowControl/>
              <w:jc w:val="left"/>
              <w:rPr>
                <w:rFonts w:ascii="宋体" w:hAnsi="宋体" w:cs="宋体"/>
                <w:kern w:val="0"/>
                <w:sz w:val="22"/>
              </w:rPr>
            </w:pPr>
            <w:r>
              <w:rPr>
                <w:rFonts w:hint="eastAsia" w:ascii="宋体" w:hAnsi="宋体" w:cs="宋体"/>
                <w:kern w:val="0"/>
                <w:sz w:val="22"/>
              </w:rPr>
              <w:t>1200</w:t>
            </w:r>
          </w:p>
        </w:tc>
      </w:tr>
      <w:tr w14:paraId="4508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607E18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w:t>
            </w:r>
          </w:p>
        </w:tc>
        <w:tc>
          <w:tcPr>
            <w:tcW w:w="1072" w:type="dxa"/>
            <w:shd w:val="clear" w:color="auto" w:fill="auto"/>
            <w:vAlign w:val="center"/>
          </w:tcPr>
          <w:p w14:paraId="6762DD77">
            <w:pPr>
              <w:widowControl/>
              <w:jc w:val="left"/>
              <w:rPr>
                <w:rFonts w:ascii="宋体" w:hAnsi="宋体" w:cs="宋体"/>
                <w:kern w:val="0"/>
                <w:sz w:val="22"/>
              </w:rPr>
            </w:pPr>
            <w:r>
              <w:rPr>
                <w:rFonts w:hint="eastAsia" w:ascii="宋体" w:hAnsi="宋体" w:cs="宋体"/>
                <w:kern w:val="0"/>
                <w:sz w:val="22"/>
              </w:rPr>
              <w:t>学生电源</w:t>
            </w:r>
          </w:p>
        </w:tc>
        <w:tc>
          <w:tcPr>
            <w:tcW w:w="4897" w:type="dxa"/>
            <w:shd w:val="clear" w:color="auto" w:fill="auto"/>
          </w:tcPr>
          <w:p w14:paraId="56D702A2">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62336" behindDoc="0" locked="0" layoutInCell="1" allowOverlap="1">
                  <wp:simplePos x="0" y="0"/>
                  <wp:positionH relativeFrom="column">
                    <wp:posOffset>2118995</wp:posOffset>
                  </wp:positionH>
                  <wp:positionV relativeFrom="paragraph">
                    <wp:posOffset>5473065</wp:posOffset>
                  </wp:positionV>
                  <wp:extent cx="885825" cy="1005840"/>
                  <wp:effectExtent l="0" t="0" r="9525" b="3810"/>
                  <wp:wrapNone/>
                  <wp:docPr id="17" name="图片 17" descr="学生电源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生电源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885825" cy="1005840"/>
                          </a:xfrm>
                          <a:prstGeom prst="rect">
                            <a:avLst/>
                          </a:prstGeom>
                          <a:noFill/>
                          <a:ln>
                            <a:noFill/>
                          </a:ln>
                        </pic:spPr>
                      </pic:pic>
                    </a:graphicData>
                  </a:graphic>
                </wp:anchor>
              </w:drawing>
            </w:r>
            <w:r>
              <w:rPr>
                <w:rFonts w:hint="eastAsia" w:ascii="宋体" w:hAnsi="宋体" w:cs="宋体"/>
                <w:kern w:val="0"/>
                <w:sz w:val="22"/>
              </w:rPr>
              <w:drawing>
                <wp:anchor distT="0" distB="0" distL="114300" distR="114300" simplePos="0" relativeHeight="251661312" behindDoc="0" locked="0" layoutInCell="1" allowOverlap="1">
                  <wp:simplePos x="0" y="0"/>
                  <wp:positionH relativeFrom="column">
                    <wp:posOffset>1195705</wp:posOffset>
                  </wp:positionH>
                  <wp:positionV relativeFrom="paragraph">
                    <wp:posOffset>5495925</wp:posOffset>
                  </wp:positionV>
                  <wp:extent cx="857250" cy="997585"/>
                  <wp:effectExtent l="0" t="0" r="0" b="12065"/>
                  <wp:wrapNone/>
                  <wp:docPr id="16" name="图片 16" descr="学生电源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生电源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857560" cy="997585"/>
                          </a:xfrm>
                          <a:prstGeom prst="rect">
                            <a:avLst/>
                          </a:prstGeom>
                          <a:noFill/>
                          <a:ln>
                            <a:noFill/>
                          </a:ln>
                        </pic:spPr>
                      </pic:pic>
                    </a:graphicData>
                  </a:graphic>
                </wp:anchor>
              </w:drawing>
            </w:r>
            <w:r>
              <w:rPr>
                <w:rFonts w:hint="eastAsia" w:ascii="宋体" w:hAnsi="宋体" w:cs="宋体"/>
                <w:kern w:val="0"/>
                <w:sz w:val="22"/>
              </w:rPr>
              <w:t>铝合金型材桌面嵌入式电源，规格尺寸：不小于325*110*104mm,单独安装在桌面前上方，盒体为铝合金材质成型，面板与台面呈平面角度，使用时手动翻转180度夹角，电源面板呈正面，便于学生做实验读取参数又便于操作，不用时翻转180度翻转朝桌子台面下面，铝合金面呈桌面平面，整体美观大方简洁。</w:t>
            </w:r>
            <w:r>
              <w:rPr>
                <w:rFonts w:hint="eastAsia" w:ascii="宋体" w:hAnsi="宋体" w:cs="宋体"/>
                <w:kern w:val="0"/>
                <w:sz w:val="22"/>
              </w:rPr>
              <w:br w:type="textWrapping"/>
            </w:r>
            <w:r>
              <w:rPr>
                <w:rFonts w:hint="eastAsia" w:ascii="宋体" w:hAnsi="宋体" w:cs="宋体"/>
                <w:kern w:val="0"/>
                <w:sz w:val="22"/>
              </w:rPr>
              <w:t>1.USB输出5V充电电源供所需时使用。</w:t>
            </w:r>
            <w:r>
              <w:rPr>
                <w:rFonts w:hint="eastAsia" w:ascii="宋体" w:hAnsi="宋体" w:cs="宋体"/>
                <w:kern w:val="0"/>
                <w:sz w:val="22"/>
              </w:rPr>
              <w:br w:type="textWrapping"/>
            </w:r>
            <w:r>
              <w:rPr>
                <w:rFonts w:hint="eastAsia" w:ascii="宋体" w:hAnsi="宋体" w:cs="宋体"/>
                <w:kern w:val="0"/>
                <w:sz w:val="22"/>
              </w:rPr>
              <w:t>2.电源面板采用耐磨、耐腐蚀的PVC薄膜面板，轻触按钮开关。单片机控制数码管显示交直流电压、电流。</w:t>
            </w:r>
            <w:r>
              <w:rPr>
                <w:rFonts w:hint="eastAsia" w:ascii="宋体" w:hAnsi="宋体" w:cs="宋体"/>
                <w:kern w:val="0"/>
                <w:sz w:val="22"/>
              </w:rPr>
              <w:br w:type="textWrapping"/>
            </w:r>
            <w:r>
              <w:rPr>
                <w:rFonts w:hint="eastAsia" w:ascii="宋体" w:hAnsi="宋体" w:cs="宋体"/>
                <w:kern w:val="0"/>
                <w:sz w:val="22"/>
              </w:rPr>
              <w:t>3.输入电压：220V±10%；五孔国标插座输出220V交流电源电压供学生使用。</w:t>
            </w:r>
            <w:r>
              <w:rPr>
                <w:rFonts w:hint="eastAsia" w:ascii="宋体" w:hAnsi="宋体" w:cs="宋体"/>
                <w:kern w:val="0"/>
                <w:sz w:val="22"/>
              </w:rPr>
              <w:br w:type="textWrapping"/>
            </w:r>
            <w:r>
              <w:rPr>
                <w:rFonts w:hint="eastAsia" w:ascii="宋体" w:hAnsi="宋体" w:cs="宋体"/>
                <w:kern w:val="0"/>
                <w:sz w:val="22"/>
              </w:rPr>
              <w:t>4.交流输出：1-30V，1V一档共30档，上下键调节，锁定时由教师主控控制，解锁时学生自由调节所需电压，额定电流2-12V，3A，14-30V，2A,具有智能过载保护功能，当电流高于1.05倍额定电流时，自动断开。</w:t>
            </w:r>
            <w:r>
              <w:rPr>
                <w:rFonts w:hint="eastAsia" w:ascii="宋体" w:hAnsi="宋体" w:cs="宋体"/>
                <w:kern w:val="0"/>
                <w:sz w:val="22"/>
              </w:rPr>
              <w:br w:type="textWrapping"/>
            </w:r>
            <w:r>
              <w:rPr>
                <w:rFonts w:hint="eastAsia" w:ascii="宋体" w:hAnsi="宋体" w:cs="宋体"/>
                <w:kern w:val="0"/>
                <w:sz w:val="22"/>
              </w:rPr>
              <w:t>5.直流输出：1.5-30V，0.1V一档，有上下键调节，锁定时由教师主控控制调节电压，解锁时学生自由调节所需电压，额定电流1.5-12V，2A，12.1-30V，1.5A，数字电压电流表实时显示，精度0.5%。具有智能过载保护功能，当电流高于1.05倍额定电流时，自动断开。</w:t>
            </w:r>
            <w:r>
              <w:rPr>
                <w:rFonts w:hint="eastAsia" w:ascii="宋体" w:hAnsi="宋体" w:cs="宋体"/>
                <w:kern w:val="0"/>
                <w:sz w:val="22"/>
              </w:rPr>
              <w:br w:type="textWrapping"/>
            </w:r>
            <w:r>
              <w:rPr>
                <w:rFonts w:hint="eastAsia" w:ascii="宋体" w:hAnsi="宋体" w:cs="宋体"/>
                <w:kern w:val="0"/>
                <w:sz w:val="22"/>
              </w:rPr>
              <w:t>6.使用环境：温度0-40℃，湿度&lt;90%。</w:t>
            </w:r>
            <w:r>
              <w:rPr>
                <w:rFonts w:hint="eastAsia" w:ascii="宋体" w:hAnsi="宋体" w:cs="宋体"/>
                <w:kern w:val="0"/>
                <w:sz w:val="22"/>
              </w:rPr>
              <w:br w:type="textWrapping"/>
            </w:r>
            <w:r>
              <w:rPr>
                <w:rFonts w:hint="eastAsia" w:ascii="宋体" w:hAnsi="宋体" w:cs="宋体"/>
                <w:kern w:val="0"/>
                <w:sz w:val="22"/>
              </w:rPr>
              <w:t>7.电源系统符合JY/T0374-2004《教学实验室设备 电源系统》标准。</w:t>
            </w:r>
            <w:r>
              <w:rPr>
                <w:rFonts w:hint="eastAsia" w:ascii="宋体" w:hAnsi="宋体" w:cs="宋体"/>
                <w:kern w:val="0"/>
                <w:sz w:val="22"/>
              </w:rPr>
              <w:br w:type="textWrapping"/>
            </w:r>
            <w:r>
              <w:rPr>
                <w:rFonts w:hint="eastAsia" w:ascii="宋体" w:hAnsi="宋体" w:cs="宋体"/>
                <w:kern w:val="0"/>
                <w:sz w:val="22"/>
              </w:rPr>
              <w:t>电源盒参考图：</w:t>
            </w:r>
          </w:p>
          <w:p w14:paraId="118CE9FB">
            <w:pPr>
              <w:widowControl/>
              <w:jc w:val="left"/>
              <w:rPr>
                <w:rFonts w:ascii="宋体" w:hAnsi="宋体" w:cs="宋体"/>
                <w:kern w:val="0"/>
                <w:sz w:val="22"/>
              </w:rPr>
            </w:pPr>
          </w:p>
          <w:p w14:paraId="65F8EF97">
            <w:pPr>
              <w:widowControl/>
              <w:jc w:val="left"/>
              <w:rPr>
                <w:rFonts w:ascii="宋体" w:hAnsi="宋体" w:cs="宋体"/>
                <w:kern w:val="0"/>
                <w:sz w:val="22"/>
              </w:rPr>
            </w:pPr>
          </w:p>
          <w:p w14:paraId="1A0C508B">
            <w:pPr>
              <w:widowControl/>
              <w:jc w:val="left"/>
              <w:rPr>
                <w:rFonts w:ascii="宋体" w:hAnsi="宋体" w:cs="宋体"/>
                <w:kern w:val="0"/>
                <w:sz w:val="22"/>
              </w:rPr>
            </w:pPr>
          </w:p>
          <w:p w14:paraId="657AB26B">
            <w:pPr>
              <w:widowControl/>
              <w:jc w:val="left"/>
              <w:rPr>
                <w:rFonts w:ascii="宋体" w:hAnsi="宋体" w:cs="宋体"/>
                <w:kern w:val="0"/>
                <w:sz w:val="22"/>
              </w:rPr>
            </w:pPr>
          </w:p>
          <w:p w14:paraId="2F1BAF7A">
            <w:pPr>
              <w:widowControl/>
              <w:jc w:val="left"/>
              <w:rPr>
                <w:rFonts w:ascii="宋体" w:hAnsi="宋体" w:cs="宋体"/>
                <w:kern w:val="0"/>
                <w:sz w:val="22"/>
              </w:rPr>
            </w:pPr>
          </w:p>
          <w:p w14:paraId="5427B7C8">
            <w:pPr>
              <w:widowControl/>
              <w:jc w:val="left"/>
              <w:rPr>
                <w:rFonts w:ascii="宋体" w:hAnsi="宋体" w:cs="宋体"/>
                <w:kern w:val="0"/>
                <w:sz w:val="22"/>
              </w:rPr>
            </w:pPr>
          </w:p>
          <w:p w14:paraId="12C2530B">
            <w:pPr>
              <w:widowControl/>
              <w:jc w:val="left"/>
              <w:rPr>
                <w:rFonts w:ascii="宋体" w:hAnsi="宋体" w:cs="宋体"/>
                <w:kern w:val="0"/>
                <w:sz w:val="22"/>
              </w:rPr>
            </w:pPr>
          </w:p>
        </w:tc>
        <w:tc>
          <w:tcPr>
            <w:tcW w:w="462" w:type="dxa"/>
            <w:shd w:val="clear" w:color="auto" w:fill="auto"/>
            <w:noWrap/>
            <w:vAlign w:val="center"/>
          </w:tcPr>
          <w:p w14:paraId="43F8893D">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30B5C480">
            <w:pPr>
              <w:widowControl/>
              <w:jc w:val="left"/>
              <w:rPr>
                <w:rFonts w:ascii="宋体" w:hAnsi="宋体" w:cs="宋体"/>
                <w:kern w:val="0"/>
                <w:sz w:val="22"/>
              </w:rPr>
            </w:pPr>
            <w:r>
              <w:rPr>
                <w:rFonts w:hint="eastAsia" w:ascii="宋体" w:hAnsi="宋体" w:cs="宋体"/>
                <w:kern w:val="0"/>
                <w:sz w:val="22"/>
              </w:rPr>
              <w:t>28</w:t>
            </w:r>
          </w:p>
        </w:tc>
        <w:tc>
          <w:tcPr>
            <w:tcW w:w="1048" w:type="dxa"/>
            <w:shd w:val="clear" w:color="auto" w:fill="auto"/>
            <w:noWrap/>
            <w:vAlign w:val="center"/>
          </w:tcPr>
          <w:p w14:paraId="48402616">
            <w:pPr>
              <w:widowControl/>
              <w:jc w:val="left"/>
              <w:rPr>
                <w:rFonts w:ascii="宋体" w:hAnsi="宋体" w:cs="宋体"/>
                <w:kern w:val="0"/>
                <w:sz w:val="22"/>
              </w:rPr>
            </w:pPr>
            <w:r>
              <w:rPr>
                <w:rFonts w:hint="eastAsia" w:ascii="宋体" w:hAnsi="宋体" w:cs="宋体"/>
                <w:kern w:val="0"/>
                <w:sz w:val="22"/>
              </w:rPr>
              <w:t>100</w:t>
            </w:r>
          </w:p>
        </w:tc>
        <w:tc>
          <w:tcPr>
            <w:tcW w:w="1489" w:type="dxa"/>
            <w:shd w:val="clear" w:color="auto" w:fill="auto"/>
            <w:noWrap/>
            <w:vAlign w:val="center"/>
          </w:tcPr>
          <w:p w14:paraId="6001EDAF">
            <w:pPr>
              <w:widowControl/>
              <w:jc w:val="left"/>
              <w:rPr>
                <w:rFonts w:ascii="宋体" w:hAnsi="宋体" w:cs="宋体"/>
                <w:kern w:val="0"/>
                <w:sz w:val="22"/>
              </w:rPr>
            </w:pPr>
            <w:r>
              <w:rPr>
                <w:rFonts w:hint="eastAsia" w:ascii="宋体" w:hAnsi="宋体" w:cs="宋体"/>
                <w:kern w:val="0"/>
                <w:sz w:val="22"/>
              </w:rPr>
              <w:t>2800</w:t>
            </w:r>
          </w:p>
        </w:tc>
      </w:tr>
      <w:tr w14:paraId="7DC3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BE551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w:t>
            </w:r>
          </w:p>
        </w:tc>
        <w:tc>
          <w:tcPr>
            <w:tcW w:w="1072" w:type="dxa"/>
            <w:shd w:val="clear" w:color="auto" w:fill="auto"/>
            <w:vAlign w:val="center"/>
          </w:tcPr>
          <w:p w14:paraId="22D2B623">
            <w:pPr>
              <w:widowControl/>
              <w:jc w:val="left"/>
              <w:rPr>
                <w:rFonts w:ascii="宋体" w:hAnsi="宋体" w:cs="宋体"/>
                <w:kern w:val="0"/>
                <w:sz w:val="22"/>
              </w:rPr>
            </w:pPr>
            <w:r>
              <w:rPr>
                <w:rFonts w:hint="eastAsia" w:ascii="宋体" w:hAnsi="宋体" w:cs="宋体"/>
                <w:kern w:val="0"/>
                <w:sz w:val="22"/>
              </w:rPr>
              <w:t>学生实验凳</w:t>
            </w:r>
          </w:p>
        </w:tc>
        <w:tc>
          <w:tcPr>
            <w:tcW w:w="4897" w:type="dxa"/>
            <w:shd w:val="clear" w:color="auto" w:fill="auto"/>
          </w:tcPr>
          <w:p w14:paraId="08A21657">
            <w:pPr>
              <w:widowControl/>
              <w:numPr>
                <w:ilvl w:val="0"/>
                <w:numId w:val="4"/>
              </w:numPr>
              <w:jc w:val="left"/>
              <w:rPr>
                <w:rFonts w:ascii="宋体" w:hAnsi="宋体" w:cs="宋体"/>
                <w:kern w:val="0"/>
                <w:sz w:val="22"/>
              </w:rPr>
            </w:pPr>
            <w:r>
              <w:rPr>
                <w:rFonts w:hint="eastAsia" w:ascii="宋体" w:hAnsi="宋体" w:cs="宋体"/>
                <w:kern w:val="0"/>
                <w:sz w:val="22"/>
              </w:rPr>
              <w:drawing>
                <wp:anchor distT="0" distB="0" distL="114300" distR="114300" simplePos="0" relativeHeight="251663360" behindDoc="0" locked="0" layoutInCell="1" allowOverlap="1">
                  <wp:simplePos x="0" y="0"/>
                  <wp:positionH relativeFrom="column">
                    <wp:posOffset>1169035</wp:posOffset>
                  </wp:positionH>
                  <wp:positionV relativeFrom="paragraph">
                    <wp:posOffset>3855085</wp:posOffset>
                  </wp:positionV>
                  <wp:extent cx="1744345" cy="1629410"/>
                  <wp:effectExtent l="0" t="0" r="8255" b="8890"/>
                  <wp:wrapNone/>
                  <wp:docPr id="21" name="图片 21" descr="HCG4W0W{BMO`@6$7%~[PU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HCG4W0W{BMO`@6$7%~[PUP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744345" cy="1629410"/>
                          </a:xfrm>
                          <a:prstGeom prst="rect">
                            <a:avLst/>
                          </a:prstGeom>
                          <a:noFill/>
                          <a:ln>
                            <a:noFill/>
                          </a:ln>
                        </pic:spPr>
                      </pic:pic>
                    </a:graphicData>
                  </a:graphic>
                </wp:anchor>
              </w:drawing>
            </w:r>
            <w:r>
              <w:rPr>
                <w:rFonts w:hint="eastAsia" w:ascii="宋体" w:hAnsi="宋体" w:cs="宋体"/>
                <w:kern w:val="0"/>
                <w:sz w:val="22"/>
              </w:rPr>
              <w:t>规格：凳子高不小于430mm（±2mm），凳子坐面长宽不小于340mm×宽240mm（±2mm），厚度不小于15mm（±2mm）；凳子脚架规格不小于长300mm×宽200mm×高415mm（±2mm）。</w:t>
            </w:r>
            <w:r>
              <w:rPr>
                <w:rFonts w:hint="eastAsia" w:ascii="宋体" w:hAnsi="宋体" w:cs="宋体"/>
                <w:kern w:val="0"/>
                <w:sz w:val="22"/>
              </w:rPr>
              <w:br w:type="textWrapping"/>
            </w:r>
            <w:r>
              <w:rPr>
                <w:rFonts w:hint="eastAsia" w:ascii="宋体" w:hAnsi="宋体" w:cs="宋体"/>
                <w:kern w:val="0"/>
                <w:sz w:val="22"/>
              </w:rPr>
              <w:t>◆▲2.材料要求：凳子板面为多层胶合板，双面防火板饰面，甲醛释放量符合GB18580-2017的E1级控制指标，限量≤0.12mg/m³，立脚架采用不小于25mm×25mm×厚1.2mm方截面钢管焊接而成。</w:t>
            </w:r>
            <w:r>
              <w:rPr>
                <w:rFonts w:hint="eastAsia" w:ascii="宋体" w:hAnsi="宋体" w:cs="宋体"/>
                <w:kern w:val="0"/>
                <w:sz w:val="22"/>
              </w:rPr>
              <w:br w:type="textWrapping"/>
            </w:r>
            <w:r>
              <w:rPr>
                <w:rFonts w:hint="eastAsia" w:ascii="宋体" w:hAnsi="宋体" w:cs="宋体"/>
                <w:kern w:val="0"/>
                <w:sz w:val="22"/>
              </w:rPr>
              <w:t>3.加工要求：钢管表面喷涂前必须经过酸洗、磷化、除油，热固化喷塑。凳子面板四角磨圆处理，以防尖锐边角给学生带来伤害；凳子面板可用四根直径≥6mm的方颈螺钉及锁紧螺帽固定于立脚架上（螺钉尽量固定在立脚架边缘，确保面板稳固的基础上不影响使用感受）、凳子四只脚套为内嵌耐磨的坚韧胶套，脚套厚度不小于1.5mm。立脚架焊接件焊接时采用二氧化碳气体保护焊接，表面光滑，不能有脱焊、虚焊、焊穿；</w:t>
            </w:r>
            <w:r>
              <w:rPr>
                <w:rFonts w:hint="eastAsia" w:ascii="宋体" w:hAnsi="宋体" w:cs="宋体"/>
                <w:kern w:val="0"/>
                <w:sz w:val="22"/>
              </w:rPr>
              <w:br w:type="textWrapping"/>
            </w:r>
            <w:r>
              <w:rPr>
                <w:rFonts w:hint="eastAsia" w:ascii="宋体" w:hAnsi="宋体" w:cs="宋体"/>
                <w:kern w:val="0"/>
                <w:sz w:val="22"/>
              </w:rPr>
              <w:t>4.与学生实验台配套使用。</w:t>
            </w:r>
            <w:r>
              <w:rPr>
                <w:rFonts w:hint="eastAsia" w:ascii="宋体" w:hAnsi="宋体" w:cs="宋体"/>
                <w:kern w:val="0"/>
                <w:sz w:val="22"/>
              </w:rPr>
              <w:br w:type="textWrapping"/>
            </w:r>
            <w:r>
              <w:rPr>
                <w:rFonts w:hint="eastAsia" w:ascii="宋体" w:hAnsi="宋体" w:cs="宋体"/>
                <w:kern w:val="0"/>
                <w:sz w:val="22"/>
              </w:rPr>
              <w:t>5.学生凳样式如下：</w:t>
            </w:r>
          </w:p>
          <w:p w14:paraId="4D3FAEDE">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64384" behindDoc="0" locked="0" layoutInCell="1" allowOverlap="1">
                  <wp:simplePos x="0" y="0"/>
                  <wp:positionH relativeFrom="column">
                    <wp:posOffset>17780</wp:posOffset>
                  </wp:positionH>
                  <wp:positionV relativeFrom="paragraph">
                    <wp:posOffset>25400</wp:posOffset>
                  </wp:positionV>
                  <wp:extent cx="1143635" cy="1533525"/>
                  <wp:effectExtent l="0" t="0" r="18415" b="9525"/>
                  <wp:wrapNone/>
                  <wp:docPr id="20" name="图片 20" descr="8KNZP@EXTOE$$GE7Q9{_Z3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8KNZP@EXTOE$$GE7Q9{_Z3I"/>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43635" cy="1533525"/>
                          </a:xfrm>
                          <a:prstGeom prst="rect">
                            <a:avLst/>
                          </a:prstGeom>
                          <a:noFill/>
                          <a:ln>
                            <a:noFill/>
                          </a:ln>
                        </pic:spPr>
                      </pic:pic>
                    </a:graphicData>
                  </a:graphic>
                </wp:anchor>
              </w:drawing>
            </w:r>
          </w:p>
          <w:p w14:paraId="1F245B62">
            <w:pPr>
              <w:widowControl/>
              <w:jc w:val="left"/>
              <w:rPr>
                <w:rFonts w:ascii="宋体" w:hAnsi="宋体" w:cs="宋体"/>
                <w:kern w:val="0"/>
                <w:sz w:val="22"/>
              </w:rPr>
            </w:pPr>
          </w:p>
          <w:p w14:paraId="50D2852F">
            <w:pPr>
              <w:pStyle w:val="21"/>
            </w:pPr>
          </w:p>
          <w:p w14:paraId="374C39F6"/>
          <w:p w14:paraId="02585CB3">
            <w:pPr>
              <w:widowControl/>
              <w:jc w:val="left"/>
              <w:rPr>
                <w:rFonts w:ascii="宋体" w:hAnsi="宋体" w:cs="宋体"/>
                <w:kern w:val="0"/>
                <w:sz w:val="22"/>
              </w:rPr>
            </w:pPr>
          </w:p>
          <w:p w14:paraId="12E8F9B3">
            <w:pPr>
              <w:widowControl/>
              <w:jc w:val="left"/>
              <w:rPr>
                <w:rFonts w:ascii="宋体" w:hAnsi="宋体" w:cs="宋体"/>
                <w:kern w:val="0"/>
                <w:sz w:val="22"/>
              </w:rPr>
            </w:pPr>
          </w:p>
          <w:p w14:paraId="0EC00420">
            <w:pPr>
              <w:widowControl/>
              <w:jc w:val="left"/>
              <w:rPr>
                <w:rFonts w:ascii="宋体" w:hAnsi="宋体" w:cs="宋体"/>
                <w:kern w:val="0"/>
                <w:sz w:val="22"/>
              </w:rPr>
            </w:pPr>
          </w:p>
          <w:p w14:paraId="776AFDAA">
            <w:pPr>
              <w:widowControl/>
              <w:jc w:val="left"/>
              <w:rPr>
                <w:rFonts w:ascii="宋体" w:hAnsi="宋体" w:cs="宋体"/>
                <w:kern w:val="0"/>
                <w:sz w:val="22"/>
              </w:rPr>
            </w:pPr>
          </w:p>
          <w:p w14:paraId="5E924BE1">
            <w:pPr>
              <w:widowControl/>
              <w:jc w:val="left"/>
              <w:rPr>
                <w:rFonts w:ascii="宋体" w:hAnsi="宋体" w:cs="宋体"/>
                <w:kern w:val="0"/>
                <w:sz w:val="22"/>
              </w:rPr>
            </w:pPr>
          </w:p>
          <w:p w14:paraId="2D75F0F3">
            <w:pPr>
              <w:widowControl/>
              <w:jc w:val="left"/>
              <w:rPr>
                <w:rFonts w:ascii="宋体" w:hAnsi="宋体" w:cs="宋体"/>
                <w:kern w:val="0"/>
                <w:sz w:val="22"/>
              </w:rPr>
            </w:pPr>
          </w:p>
        </w:tc>
        <w:tc>
          <w:tcPr>
            <w:tcW w:w="462" w:type="dxa"/>
            <w:shd w:val="clear" w:color="auto" w:fill="auto"/>
            <w:noWrap/>
            <w:vAlign w:val="center"/>
          </w:tcPr>
          <w:p w14:paraId="20A95792">
            <w:pPr>
              <w:widowControl/>
              <w:jc w:val="left"/>
              <w:rPr>
                <w:rFonts w:ascii="宋体" w:hAnsi="宋体" w:cs="宋体"/>
                <w:kern w:val="0"/>
                <w:sz w:val="22"/>
              </w:rPr>
            </w:pPr>
            <w:r>
              <w:rPr>
                <w:rFonts w:hint="eastAsia" w:ascii="宋体" w:hAnsi="宋体" w:cs="宋体"/>
                <w:kern w:val="0"/>
                <w:sz w:val="22"/>
              </w:rPr>
              <w:t>张</w:t>
            </w:r>
          </w:p>
        </w:tc>
        <w:tc>
          <w:tcPr>
            <w:tcW w:w="605" w:type="dxa"/>
            <w:shd w:val="clear" w:color="auto" w:fill="auto"/>
            <w:noWrap/>
            <w:vAlign w:val="center"/>
          </w:tcPr>
          <w:p w14:paraId="1B9145D9">
            <w:pPr>
              <w:widowControl/>
              <w:jc w:val="left"/>
              <w:rPr>
                <w:rFonts w:ascii="宋体" w:hAnsi="宋体" w:cs="宋体"/>
                <w:kern w:val="0"/>
                <w:sz w:val="22"/>
              </w:rPr>
            </w:pPr>
            <w:r>
              <w:rPr>
                <w:rFonts w:hint="eastAsia" w:ascii="宋体" w:hAnsi="宋体" w:cs="宋体"/>
                <w:kern w:val="0"/>
                <w:sz w:val="22"/>
              </w:rPr>
              <w:t>60</w:t>
            </w:r>
          </w:p>
        </w:tc>
        <w:tc>
          <w:tcPr>
            <w:tcW w:w="1048" w:type="dxa"/>
            <w:shd w:val="clear" w:color="auto" w:fill="auto"/>
            <w:noWrap/>
            <w:vAlign w:val="center"/>
          </w:tcPr>
          <w:p w14:paraId="2F314616">
            <w:pPr>
              <w:widowControl/>
              <w:jc w:val="left"/>
              <w:rPr>
                <w:rFonts w:ascii="宋体" w:hAnsi="宋体" w:cs="宋体"/>
                <w:kern w:val="0"/>
                <w:sz w:val="22"/>
              </w:rPr>
            </w:pPr>
            <w:r>
              <w:rPr>
                <w:rFonts w:hint="eastAsia" w:ascii="宋体" w:hAnsi="宋体" w:cs="宋体"/>
                <w:kern w:val="0"/>
                <w:sz w:val="22"/>
              </w:rPr>
              <w:t>65</w:t>
            </w:r>
          </w:p>
        </w:tc>
        <w:tc>
          <w:tcPr>
            <w:tcW w:w="1489" w:type="dxa"/>
            <w:shd w:val="clear" w:color="auto" w:fill="auto"/>
            <w:noWrap/>
            <w:vAlign w:val="center"/>
          </w:tcPr>
          <w:p w14:paraId="105A92EF">
            <w:pPr>
              <w:widowControl/>
              <w:jc w:val="left"/>
              <w:rPr>
                <w:rFonts w:ascii="宋体" w:hAnsi="宋体" w:cs="宋体"/>
                <w:kern w:val="0"/>
                <w:sz w:val="22"/>
              </w:rPr>
            </w:pPr>
            <w:r>
              <w:rPr>
                <w:rFonts w:hint="eastAsia" w:ascii="宋体" w:hAnsi="宋体" w:cs="宋体"/>
                <w:kern w:val="0"/>
                <w:sz w:val="22"/>
              </w:rPr>
              <w:t>3900</w:t>
            </w:r>
          </w:p>
        </w:tc>
      </w:tr>
      <w:tr w14:paraId="6919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5B4E96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w:t>
            </w:r>
          </w:p>
        </w:tc>
        <w:tc>
          <w:tcPr>
            <w:tcW w:w="1072" w:type="dxa"/>
            <w:shd w:val="clear" w:color="auto" w:fill="auto"/>
            <w:vAlign w:val="center"/>
          </w:tcPr>
          <w:p w14:paraId="186BC468">
            <w:pPr>
              <w:widowControl/>
              <w:jc w:val="left"/>
              <w:rPr>
                <w:rFonts w:ascii="宋体" w:hAnsi="宋体" w:cs="宋体"/>
                <w:kern w:val="0"/>
                <w:sz w:val="22"/>
              </w:rPr>
            </w:pPr>
            <w:r>
              <w:rPr>
                <w:rFonts w:hint="eastAsia" w:ascii="宋体" w:hAnsi="宋体" w:cs="宋体"/>
                <w:kern w:val="0"/>
                <w:sz w:val="22"/>
              </w:rPr>
              <w:t>交互智能平板一体机</w:t>
            </w:r>
          </w:p>
        </w:tc>
        <w:tc>
          <w:tcPr>
            <w:tcW w:w="4897" w:type="dxa"/>
            <w:shd w:val="clear" w:color="auto" w:fill="auto"/>
            <w:vAlign w:val="center"/>
          </w:tcPr>
          <w:p w14:paraId="795A7A08">
            <w:pPr>
              <w:widowControl/>
              <w:jc w:val="left"/>
              <w:rPr>
                <w:rFonts w:ascii="宋体" w:hAnsi="宋体" w:cs="宋体"/>
                <w:kern w:val="0"/>
                <w:sz w:val="22"/>
              </w:rPr>
            </w:pPr>
            <w:r>
              <w:rPr>
                <w:rFonts w:hint="eastAsia" w:ascii="宋体" w:hAnsi="宋体" w:cs="宋体"/>
                <w:kern w:val="0"/>
                <w:sz w:val="22"/>
              </w:rPr>
              <w:t>一、整机屏显、音效设计</w:t>
            </w:r>
            <w:r>
              <w:rPr>
                <w:rFonts w:hint="eastAsia" w:ascii="宋体" w:hAnsi="宋体" w:cs="宋体"/>
                <w:kern w:val="0"/>
                <w:sz w:val="22"/>
              </w:rPr>
              <w:br w:type="textWrapping"/>
            </w:r>
            <w:r>
              <w:rPr>
                <w:rFonts w:hint="eastAsia" w:ascii="宋体" w:hAnsi="宋体" w:cs="宋体"/>
                <w:kern w:val="0"/>
                <w:sz w:val="22"/>
              </w:rPr>
              <w:t>1、采用UHD超高清LED防眩光液晶屏，尺寸≥86英寸，显示比例16:9，分辨率≥3840×2160。</w:t>
            </w:r>
            <w:r>
              <w:rPr>
                <w:rFonts w:hint="eastAsia" w:ascii="宋体" w:hAnsi="宋体" w:cs="宋体"/>
                <w:kern w:val="0"/>
                <w:sz w:val="22"/>
              </w:rPr>
              <w:br w:type="textWrapping"/>
            </w:r>
            <w:r>
              <w:rPr>
                <w:rFonts w:hint="eastAsia" w:ascii="宋体" w:hAnsi="宋体" w:cs="宋体"/>
                <w:kern w:val="0"/>
                <w:sz w:val="22"/>
              </w:rPr>
              <w:t>2、采用红外触控技术，支持在内置电脑操作系统中进行20点或以上触控，支持在嵌入式系统中进行10点或以上触控。</w:t>
            </w:r>
            <w:r>
              <w:rPr>
                <w:rFonts w:hint="eastAsia" w:ascii="宋体" w:hAnsi="宋体" w:cs="宋体"/>
                <w:kern w:val="0"/>
                <w:sz w:val="22"/>
              </w:rPr>
              <w:br w:type="textWrapping"/>
            </w:r>
            <w:r>
              <w:rPr>
                <w:rFonts w:hint="eastAsia" w:ascii="宋体" w:hAnsi="宋体" w:cs="宋体"/>
                <w:kern w:val="0"/>
                <w:sz w:val="22"/>
              </w:rPr>
              <w:t>3、整机显示灰度等级≥256，支持色彩空间可选，包含标准模式和sRGB模式，在sRGB模式下可做到高色准△E≤1.5。</w:t>
            </w:r>
            <w:r>
              <w:rPr>
                <w:rFonts w:hint="eastAsia" w:ascii="宋体" w:hAnsi="宋体" w:cs="宋体"/>
                <w:kern w:val="0"/>
                <w:sz w:val="22"/>
              </w:rPr>
              <w:br w:type="textWrapping"/>
            </w:r>
            <w:r>
              <w:rPr>
                <w:rFonts w:hint="eastAsia" w:ascii="宋体" w:hAnsi="宋体" w:cs="宋体"/>
                <w:kern w:val="0"/>
                <w:sz w:val="22"/>
              </w:rPr>
              <w:t>4、图像模式：支持标准、多媒体和节能三种图像模式调节；支持可自定义图像设置，可对对比度、屏幕色温、图像亮度、亮度范围、色彩空间进行调节设置。</w:t>
            </w:r>
            <w:r>
              <w:rPr>
                <w:rFonts w:hint="eastAsia" w:ascii="宋体" w:hAnsi="宋体" w:cs="宋体"/>
                <w:kern w:val="0"/>
                <w:sz w:val="22"/>
              </w:rPr>
              <w:br w:type="textWrapping"/>
            </w:r>
            <w:r>
              <w:rPr>
                <w:rFonts w:hint="eastAsia" w:ascii="宋体" w:hAnsi="宋体" w:cs="宋体"/>
                <w:kern w:val="0"/>
                <w:sz w:val="22"/>
              </w:rPr>
              <w:t>▲5、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投标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6、整机内置2.2声道扬声器，支持标准、听力、观影三种音效模式，位于设备上边框，顶置朝前发声，前朝向10W高音扬声器2个，上朝向20W中低音扬声器2个，额定总功率≥60W。（投标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7、整机内置扬声器采用缝隙发声技术，喇叭采用槽式开口设计，不大于5.8mm；在100%音量下，可做到1米处声压级≥80db，10米处声压级≥70dB。</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二、PC配置要求</w:t>
            </w:r>
            <w:r>
              <w:rPr>
                <w:rFonts w:hint="eastAsia" w:ascii="宋体" w:hAnsi="宋体" w:cs="宋体"/>
                <w:kern w:val="0"/>
                <w:sz w:val="22"/>
              </w:rPr>
              <w:br w:type="textWrapping"/>
            </w:r>
            <w:r>
              <w:rPr>
                <w:rFonts w:hint="eastAsia" w:ascii="宋体" w:hAnsi="宋体" w:cs="宋体"/>
                <w:kern w:val="0"/>
                <w:sz w:val="22"/>
              </w:rPr>
              <w:t>▲1、处理器：4核8线程或以上配置CPU，主频≥2.4Ghz。</w:t>
            </w:r>
            <w:r>
              <w:rPr>
                <w:rFonts w:hint="eastAsia" w:ascii="宋体" w:hAnsi="宋体" w:cs="宋体"/>
                <w:kern w:val="0"/>
                <w:sz w:val="22"/>
              </w:rPr>
              <w:br w:type="textWrapping"/>
            </w:r>
            <w:r>
              <w:rPr>
                <w:rFonts w:hint="eastAsia" w:ascii="宋体" w:hAnsi="宋体" w:cs="宋体"/>
                <w:kern w:val="0"/>
                <w:sz w:val="22"/>
              </w:rPr>
              <w:t>▲2、内存：≥16GB DDR4或以上配置。</w:t>
            </w:r>
            <w:r>
              <w:rPr>
                <w:rFonts w:hint="eastAsia" w:ascii="宋体" w:hAnsi="宋体" w:cs="宋体"/>
                <w:kern w:val="0"/>
                <w:sz w:val="22"/>
              </w:rPr>
              <w:br w:type="textWrapping"/>
            </w:r>
            <w:r>
              <w:rPr>
                <w:rFonts w:hint="eastAsia" w:ascii="宋体" w:hAnsi="宋体" w:cs="宋体"/>
                <w:kern w:val="0"/>
                <w:sz w:val="22"/>
              </w:rPr>
              <w:t>▲3、硬盘：≥512GB或以上SSD固态硬盘配置。</w:t>
            </w:r>
            <w:r>
              <w:rPr>
                <w:rFonts w:hint="eastAsia" w:ascii="宋体" w:hAnsi="宋体" w:cs="宋体"/>
                <w:kern w:val="0"/>
                <w:sz w:val="22"/>
              </w:rPr>
              <w:br w:type="textWrapping"/>
            </w:r>
            <w:r>
              <w:rPr>
                <w:rFonts w:hint="eastAsia" w:ascii="宋体" w:hAnsi="宋体" w:cs="宋体"/>
                <w:kern w:val="0"/>
                <w:sz w:val="22"/>
              </w:rPr>
              <w:t>4、机身采用热浸镀锌金属材质，采用智能风扇低噪音散热设计。</w:t>
            </w:r>
            <w:r>
              <w:rPr>
                <w:rFonts w:hint="eastAsia" w:ascii="宋体" w:hAnsi="宋体" w:cs="宋体"/>
                <w:kern w:val="0"/>
                <w:sz w:val="22"/>
              </w:rPr>
              <w:br w:type="textWrapping"/>
            </w:r>
            <w:r>
              <w:rPr>
                <w:rFonts w:hint="eastAsia" w:ascii="宋体" w:hAnsi="宋体" w:cs="宋体"/>
                <w:kern w:val="0"/>
                <w:sz w:val="22"/>
              </w:rPr>
              <w:t>5、模块主体尺寸不小于22cm*17cm*3cm以预留足够散热空间，确保封闭空间内有效散热。</w:t>
            </w:r>
            <w:r>
              <w:rPr>
                <w:rFonts w:hint="eastAsia" w:ascii="宋体" w:hAnsi="宋体" w:cs="宋体"/>
                <w:kern w:val="0"/>
                <w:sz w:val="22"/>
              </w:rPr>
              <w:br w:type="textWrapping"/>
            </w:r>
            <w:r>
              <w:rPr>
                <w:rFonts w:hint="eastAsia" w:ascii="宋体" w:hAnsi="宋体" w:cs="宋体"/>
                <w:kern w:val="0"/>
                <w:sz w:val="22"/>
              </w:rPr>
              <w:t>6、和整机的连接采用万兆级接口，传输速率≥10Gbps。</w:t>
            </w:r>
            <w:r>
              <w:rPr>
                <w:rFonts w:hint="eastAsia" w:ascii="宋体" w:hAnsi="宋体" w:cs="宋体"/>
                <w:kern w:val="0"/>
                <w:sz w:val="22"/>
              </w:rPr>
              <w:br w:type="textWrapping"/>
            </w:r>
            <w:r>
              <w:rPr>
                <w:rFonts w:hint="eastAsia" w:ascii="宋体" w:hAnsi="宋体" w:cs="宋体"/>
                <w:kern w:val="0"/>
                <w:sz w:val="22"/>
              </w:rPr>
              <w:t>7、具有独立非外扩展的视频输出接口：≥1路HDMI ，≥3路USB。</w:t>
            </w:r>
            <w:r>
              <w:rPr>
                <w:rFonts w:hint="eastAsia" w:ascii="宋体" w:hAnsi="宋体" w:cs="宋体"/>
                <w:kern w:val="0"/>
                <w:sz w:val="22"/>
              </w:rPr>
              <w:br w:type="textWrapping"/>
            </w:r>
            <w:r>
              <w:rPr>
                <w:rFonts w:hint="eastAsia" w:ascii="宋体" w:hAnsi="宋体" w:cs="宋体"/>
                <w:kern w:val="0"/>
                <w:sz w:val="22"/>
              </w:rPr>
              <w:t>8、PC模块可通过抽拉方式插入整机，可实现无单独接线的插拔。安全性保障：具有标准PC防盗锁孔。</w:t>
            </w:r>
            <w:r>
              <w:rPr>
                <w:rFonts w:hint="eastAsia" w:ascii="宋体" w:hAnsi="宋体" w:cs="宋体"/>
                <w:kern w:val="0"/>
                <w:sz w:val="22"/>
              </w:rPr>
              <w:br w:type="textWrapping"/>
            </w:r>
            <w:r>
              <w:rPr>
                <w:rFonts w:hint="eastAsia" w:ascii="宋体" w:hAnsi="宋体" w:cs="宋体"/>
                <w:kern w:val="0"/>
                <w:sz w:val="22"/>
              </w:rPr>
              <w:t>9、PC模块的USB接口须为冗余备份接口，在正常使用整机的内置摄像头、内置麦克风功能时，USB接口不被占用，确保教师有足够的接口外接存储设备及显示设备。</w:t>
            </w:r>
            <w:r>
              <w:rPr>
                <w:rFonts w:hint="eastAsia" w:ascii="宋体" w:hAnsi="宋体" w:cs="宋体"/>
                <w:kern w:val="0"/>
                <w:sz w:val="22"/>
              </w:rPr>
              <w:br w:type="textWrapping"/>
            </w:r>
            <w:r>
              <w:rPr>
                <w:rFonts w:hint="eastAsia" w:ascii="宋体" w:hAnsi="宋体" w:cs="宋体"/>
                <w:kern w:val="0"/>
                <w:sz w:val="22"/>
              </w:rPr>
              <w:t>▲10、正版电脑操作系统，带永久授权。中标人须完成正版激活流程。</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三、按键和接口设计</w:t>
            </w:r>
            <w:r>
              <w:rPr>
                <w:rFonts w:hint="eastAsia" w:ascii="宋体" w:hAnsi="宋体" w:cs="宋体"/>
                <w:kern w:val="0"/>
                <w:sz w:val="22"/>
              </w:rPr>
              <w:br w:type="textWrapping"/>
            </w:r>
            <w:r>
              <w:rPr>
                <w:rFonts w:hint="eastAsia" w:ascii="宋体" w:hAnsi="宋体" w:cs="宋体"/>
                <w:kern w:val="0"/>
                <w:sz w:val="22"/>
              </w:rPr>
              <w:t>1、前置 USB 接口具备防撞挡板设计，防撞挡板采用转轴式翻转。</w:t>
            </w:r>
            <w:r>
              <w:rPr>
                <w:rFonts w:hint="eastAsia" w:ascii="宋体" w:hAnsi="宋体" w:cs="宋体"/>
                <w:kern w:val="0"/>
                <w:sz w:val="22"/>
              </w:rPr>
              <w:br w:type="textWrapping"/>
            </w:r>
            <w:r>
              <w:rPr>
                <w:rFonts w:hint="eastAsia" w:ascii="宋体" w:hAnsi="宋体" w:cs="宋体"/>
                <w:kern w:val="0"/>
                <w:sz w:val="22"/>
              </w:rPr>
              <w:t>▲2、整机具备至少6个前置按键，实现老师开关机、调出中控菜单、音量+/-、护眼、录屏的操作。（投标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3、智能电子产品一键式设计：三合一电源按键，同一电源物理按键完成完成嵌入式系统和电脑系统的开机、节能熄屏、关机操作；关机状态下按按键开机；开机状态下按按键实现节能熄屏/唤醒，长按按键实现关机。</w:t>
            </w:r>
            <w:r>
              <w:rPr>
                <w:rFonts w:hint="eastAsia" w:ascii="宋体" w:hAnsi="宋体" w:cs="宋体"/>
                <w:kern w:val="0"/>
                <w:sz w:val="22"/>
              </w:rPr>
              <w:br w:type="textWrapping"/>
            </w:r>
            <w:r>
              <w:rPr>
                <w:rFonts w:hint="eastAsia" w:ascii="宋体" w:hAnsi="宋体" w:cs="宋体"/>
                <w:kern w:val="0"/>
                <w:sz w:val="22"/>
              </w:rPr>
              <w:t>4、支持锁定屏幕触摸和整机前置按键，可通过遥控器、十指长按屏幕5秒、软件菜单（调试菜单）实现该功能，也可通过前置面板的物理按键以组合按键的形式进行锁定/解锁。</w:t>
            </w:r>
            <w:r>
              <w:rPr>
                <w:rFonts w:hint="eastAsia" w:ascii="宋体" w:hAnsi="宋体" w:cs="宋体"/>
                <w:kern w:val="0"/>
                <w:sz w:val="22"/>
              </w:rPr>
              <w:br w:type="textWrapping"/>
            </w:r>
            <w:r>
              <w:rPr>
                <w:rFonts w:hint="eastAsia" w:ascii="宋体" w:hAnsi="宋体" w:cs="宋体"/>
                <w:kern w:val="0"/>
                <w:sz w:val="22"/>
              </w:rPr>
              <w:t>▲5、设备支持自定义前置“设置”按键，可通过自定义设置实现前置面板功能按键一键启用任一全局小工具（批注、截屏、计时、降半屏、放大镜、倒数日、日历）、快捷开关（节能模式、纸质护眼模式、经典护眼模式、自动亮度模式）。（投标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6、支持前置Type-C接口，通过Type-C接口实现音视频输入，外接电脑设备通过双头TypeC线连接至整机，即可把外接电脑设备画面投到整机上，同时在整机上操作画面，可实现触摸电脑的操作，无需再连接触控USB线。</w:t>
            </w:r>
            <w:r>
              <w:rPr>
                <w:rFonts w:hint="eastAsia" w:ascii="宋体" w:hAnsi="宋体" w:cs="宋体"/>
                <w:kern w:val="0"/>
                <w:sz w:val="22"/>
              </w:rPr>
              <w:br w:type="textWrapping"/>
            </w:r>
            <w:r>
              <w:rPr>
                <w:rFonts w:hint="eastAsia" w:ascii="宋体" w:hAnsi="宋体" w:cs="宋体"/>
                <w:kern w:val="0"/>
                <w:sz w:val="22"/>
              </w:rPr>
              <w:t>7、外接电脑设备通过双头TypeC线连接至整机，可直接调用整机内置的摄像头、麦克风、扬声器，通过外接电脑可拍摄教室画面。</w:t>
            </w:r>
            <w:r>
              <w:rPr>
                <w:rFonts w:hint="eastAsia" w:ascii="宋体" w:hAnsi="宋体" w:cs="宋体"/>
                <w:kern w:val="0"/>
                <w:sz w:val="22"/>
              </w:rPr>
              <w:br w:type="textWrapping"/>
            </w:r>
            <w:r>
              <w:rPr>
                <w:rFonts w:hint="eastAsia" w:ascii="宋体" w:hAnsi="宋体" w:cs="宋体"/>
                <w:kern w:val="0"/>
                <w:sz w:val="22"/>
              </w:rPr>
              <w:t>8、前置Type-C接口，支持通过外部线缆，实现外接电脑HDMI信号的接入显示。</w:t>
            </w:r>
            <w:r>
              <w:rPr>
                <w:rFonts w:hint="eastAsia" w:ascii="宋体" w:hAnsi="宋体" w:cs="宋体"/>
                <w:kern w:val="0"/>
                <w:sz w:val="22"/>
              </w:rPr>
              <w:br w:type="textWrapping"/>
            </w:r>
            <w:r>
              <w:rPr>
                <w:rFonts w:hint="eastAsia" w:ascii="宋体" w:hAnsi="宋体" w:cs="宋体"/>
                <w:kern w:val="0"/>
                <w:sz w:val="22"/>
              </w:rPr>
              <w:t>9、外接电脑设备连接整机且触摸信号连通时，外接电脑设备可直接读取整机前置USB接口的移动存储设备数据，连接整机前置USB接口的翻页笔和无线键鼠可直接使用于外接电脑。</w:t>
            </w:r>
            <w:r>
              <w:rPr>
                <w:rFonts w:hint="eastAsia" w:ascii="宋体" w:hAnsi="宋体" w:cs="宋体"/>
                <w:kern w:val="0"/>
                <w:sz w:val="22"/>
              </w:rPr>
              <w:br w:type="textWrapping"/>
            </w:r>
            <w:r>
              <w:rPr>
                <w:rFonts w:hint="eastAsia" w:ascii="宋体" w:hAnsi="宋体" w:cs="宋体"/>
                <w:kern w:val="0"/>
                <w:sz w:val="22"/>
              </w:rPr>
              <w:t>10、整机具备不少于1路侧置双通道USB接口，双系统USB接口支持Windows和Android双系统读取外接存储设备数据和识别展台信号。</w:t>
            </w:r>
            <w:r>
              <w:rPr>
                <w:rFonts w:hint="eastAsia" w:ascii="宋体" w:hAnsi="宋体" w:cs="宋体"/>
                <w:kern w:val="0"/>
                <w:sz w:val="22"/>
              </w:rPr>
              <w:br w:type="textWrapping"/>
            </w:r>
            <w:r>
              <w:rPr>
                <w:rFonts w:hint="eastAsia" w:ascii="宋体" w:hAnsi="宋体" w:cs="宋体"/>
                <w:kern w:val="0"/>
                <w:sz w:val="22"/>
              </w:rPr>
              <w:t>11、外接电脑设备通过HDMI线投送画面至整机时，再连接TypeB USB线至整机触控输出接口，即可直接调用整机内置的摄像头、麦克风、扬声器，在外接电脑即可拍摄教室画面。</w:t>
            </w:r>
            <w:r>
              <w:rPr>
                <w:rFonts w:hint="eastAsia" w:ascii="宋体" w:hAnsi="宋体" w:cs="宋体"/>
                <w:kern w:val="0"/>
                <w:sz w:val="22"/>
              </w:rPr>
              <w:br w:type="textWrapping"/>
            </w:r>
            <w:r>
              <w:rPr>
                <w:rFonts w:hint="eastAsia" w:ascii="宋体" w:hAnsi="宋体" w:cs="宋体"/>
                <w:kern w:val="0"/>
                <w:sz w:val="22"/>
              </w:rPr>
              <w:t>12、支持通道自动跳转功能，如整机处于正常使用状态，HDMI信号接入时，能自动识别并切换到对应的HDMI信号源通道，且断开后能回到上一通道，自动跳转前支持选择确认，待确认后再跳转。</w:t>
            </w:r>
            <w:r>
              <w:rPr>
                <w:rFonts w:hint="eastAsia" w:ascii="宋体" w:hAnsi="宋体" w:cs="宋体"/>
                <w:kern w:val="0"/>
                <w:sz w:val="22"/>
              </w:rPr>
              <w:br w:type="textWrapping"/>
            </w:r>
            <w:r>
              <w:rPr>
                <w:rFonts w:hint="eastAsia" w:ascii="宋体" w:hAnsi="宋体" w:cs="宋体"/>
                <w:kern w:val="0"/>
                <w:sz w:val="22"/>
              </w:rPr>
              <w:t>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四、教学工具设计</w:t>
            </w:r>
            <w:r>
              <w:rPr>
                <w:rFonts w:hint="eastAsia" w:ascii="宋体" w:hAnsi="宋体" w:cs="宋体"/>
                <w:kern w:val="0"/>
                <w:sz w:val="22"/>
              </w:rPr>
              <w:br w:type="textWrapping"/>
            </w:r>
            <w:r>
              <w:rPr>
                <w:rFonts w:hint="eastAsia" w:ascii="宋体" w:hAnsi="宋体" w:cs="宋体"/>
                <w:kern w:val="0"/>
                <w:sz w:val="22"/>
              </w:rPr>
              <w:t>▲1、支持统一互通的用户身份认证服务，账号登录后，打开教学白板软件、学生行为评价软件的教学应用工具时无需再次输入账号密码重复登录。（投标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2、整机全通道侧边栏支持快速将设备屏幕降低为半屏幕状态，点击上半屏幕可快速返回全屏状态。</w:t>
            </w:r>
            <w:r>
              <w:rPr>
                <w:rFonts w:hint="eastAsia" w:ascii="宋体" w:hAnsi="宋体" w:cs="宋体"/>
                <w:kern w:val="0"/>
                <w:sz w:val="22"/>
              </w:rPr>
              <w:br w:type="textWrapping"/>
            </w:r>
            <w:r>
              <w:rPr>
                <w:rFonts w:hint="eastAsia" w:ascii="宋体" w:hAnsi="宋体" w:cs="宋体"/>
                <w:kern w:val="0"/>
                <w:sz w:val="22"/>
              </w:rPr>
              <w:t>3、整机全通道侧边栏快捷菜单包含如下小工具：批注、截屏、计时、降半屏、放大镜、日历。</w:t>
            </w:r>
            <w:r>
              <w:rPr>
                <w:rFonts w:hint="eastAsia" w:ascii="宋体" w:hAnsi="宋体" w:cs="宋体"/>
                <w:kern w:val="0"/>
                <w:sz w:val="22"/>
              </w:rPr>
              <w:br w:type="textWrapping"/>
            </w:r>
            <w:r>
              <w:rPr>
                <w:rFonts w:hint="eastAsia" w:ascii="宋体" w:hAnsi="宋体" w:cs="宋体"/>
                <w:kern w:val="0"/>
                <w:sz w:val="22"/>
              </w:rPr>
              <w:t>4、整机具备智能手势识别功能，在任意信号源通道下可识别五指上、下、左、右方向手势、支持将各手势滑动方向自定义设置为无操作、熄屏、批注、桌面、半屏模式。</w:t>
            </w:r>
            <w:r>
              <w:rPr>
                <w:rFonts w:hint="eastAsia" w:ascii="宋体" w:hAnsi="宋体" w:cs="宋体"/>
                <w:kern w:val="0"/>
                <w:sz w:val="22"/>
              </w:rPr>
              <w:br w:type="textWrapping"/>
            </w:r>
            <w:r>
              <w:rPr>
                <w:rFonts w:hint="eastAsia" w:ascii="宋体" w:hAnsi="宋体" w:cs="宋体"/>
                <w:kern w:val="0"/>
                <w:sz w:val="22"/>
              </w:rPr>
              <w:t>5、整机全通道侧边栏支持在任意通道、页面使用批注小工具进行批注讲解，可根据手与屏幕的接触面积自动调整板擦工具的大小，可切换书写笔颜色、截屏保存批注内容、快速清屏。</w:t>
            </w:r>
            <w:r>
              <w:rPr>
                <w:rFonts w:hint="eastAsia" w:ascii="宋体" w:hAnsi="宋体" w:cs="宋体"/>
                <w:kern w:val="0"/>
                <w:sz w:val="22"/>
              </w:rPr>
              <w:br w:type="textWrapping"/>
            </w:r>
            <w:r>
              <w:rPr>
                <w:rFonts w:hint="eastAsia" w:ascii="宋体" w:hAnsi="宋体" w:cs="宋体"/>
                <w:kern w:val="0"/>
                <w:sz w:val="22"/>
              </w:rPr>
              <w:t xml:space="preserve">6、整机内置无线网络模块，PC模块无任何外接或转接天线、网卡可实现Wi-Fi无线上网连接和AP无线热点发射。 </w:t>
            </w:r>
            <w:r>
              <w:rPr>
                <w:rFonts w:hint="eastAsia" w:ascii="宋体" w:hAnsi="宋体" w:cs="宋体"/>
                <w:kern w:val="0"/>
                <w:sz w:val="22"/>
              </w:rPr>
              <w:br w:type="textWrapping"/>
            </w:r>
            <w:r>
              <w:rPr>
                <w:rFonts w:hint="eastAsia" w:ascii="宋体" w:hAnsi="宋体" w:cs="宋体"/>
                <w:kern w:val="0"/>
                <w:sz w:val="22"/>
              </w:rPr>
              <w:t>7、Wi-Fi和AP热点均支持频段 2.4GHz/5GHz ，Wi-Fi制式支持IEEE 802.11 a/b/g/n/ac/ax；支持版本Wi-Fi6。</w:t>
            </w:r>
            <w:r>
              <w:rPr>
                <w:rFonts w:hint="eastAsia" w:ascii="宋体" w:hAnsi="宋体" w:cs="宋体"/>
                <w:kern w:val="0"/>
                <w:sz w:val="22"/>
              </w:rPr>
              <w:br w:type="textWrapping"/>
            </w:r>
            <w:r>
              <w:rPr>
                <w:rFonts w:hint="eastAsia" w:ascii="宋体" w:hAnsi="宋体" w:cs="宋体"/>
                <w:kern w:val="0"/>
                <w:sz w:val="22"/>
              </w:rPr>
              <w:t>▲8、Wi-Fi和AP热点工作距离≥8米。</w:t>
            </w:r>
            <w:r>
              <w:rPr>
                <w:rFonts w:hint="eastAsia" w:ascii="宋体" w:hAnsi="宋体" w:cs="宋体"/>
                <w:kern w:val="0"/>
                <w:sz w:val="22"/>
              </w:rPr>
              <w:br w:type="textWrapping"/>
            </w:r>
            <w:r>
              <w:rPr>
                <w:rFonts w:hint="eastAsia" w:ascii="宋体" w:hAnsi="宋体" w:cs="宋体"/>
                <w:kern w:val="0"/>
                <w:sz w:val="22"/>
              </w:rPr>
              <w:t>▲9、整机内置非独立的高清摄像头，像素≥1200万，支持输出4K分辨率；视场角≥135度且水平视场角≥120度；可用于远程巡课，拍摄范围可以涵盖整机距离摄像头垂直法线左右水平距离各≥4米，左右最边缘深度≥2米范围内，并且可以AI识别人像。</w:t>
            </w:r>
            <w:r>
              <w:rPr>
                <w:rFonts w:hint="eastAsia" w:ascii="宋体" w:hAnsi="宋体" w:cs="宋体"/>
                <w:kern w:val="0"/>
                <w:sz w:val="22"/>
              </w:rPr>
              <w:br w:type="textWrapping"/>
            </w:r>
            <w:r>
              <w:rPr>
                <w:rFonts w:hint="eastAsia" w:ascii="宋体" w:hAnsi="宋体" w:cs="宋体"/>
                <w:kern w:val="0"/>
                <w:sz w:val="22"/>
              </w:rPr>
              <w:t>10、整机摄像头支持环境色温判断，根据环境调节合适的显示图像效果。</w:t>
            </w:r>
            <w:r>
              <w:rPr>
                <w:rFonts w:hint="eastAsia" w:ascii="宋体" w:hAnsi="宋体" w:cs="宋体"/>
                <w:kern w:val="0"/>
                <w:sz w:val="22"/>
              </w:rPr>
              <w:br w:type="textWrapping"/>
            </w:r>
            <w:r>
              <w:rPr>
                <w:rFonts w:hint="eastAsia" w:ascii="宋体" w:hAnsi="宋体" w:cs="宋体"/>
                <w:kern w:val="0"/>
                <w:sz w:val="22"/>
              </w:rPr>
              <w:t>▲11、整机摄像头支持人脸识别、快速点人数、随机抽人；识别所有学生，显示标记，然后随机抽选，同时显示标记≥55人。</w:t>
            </w:r>
            <w:r>
              <w:rPr>
                <w:rFonts w:hint="eastAsia" w:ascii="宋体" w:hAnsi="宋体" w:cs="宋体"/>
                <w:kern w:val="0"/>
                <w:sz w:val="22"/>
              </w:rPr>
              <w:br w:type="textWrapping"/>
            </w:r>
            <w:r>
              <w:rPr>
                <w:rFonts w:hint="eastAsia" w:ascii="宋体" w:hAnsi="宋体" w:cs="宋体"/>
                <w:kern w:val="0"/>
                <w:sz w:val="22"/>
              </w:rPr>
              <w:t>12、整机内置非独立外扩展的4阵列麦克风，可用于对教室环境音频进行采集，拾音距离≥10m。</w:t>
            </w:r>
            <w:r>
              <w:rPr>
                <w:rFonts w:hint="eastAsia" w:ascii="宋体" w:hAnsi="宋体" w:cs="宋体"/>
                <w:kern w:val="0"/>
                <w:sz w:val="22"/>
              </w:rPr>
              <w:br w:type="textWrapping"/>
            </w:r>
            <w:r>
              <w:rPr>
                <w:rFonts w:hint="eastAsia" w:ascii="宋体" w:hAnsi="宋体" w:cs="宋体"/>
                <w:kern w:val="0"/>
                <w:sz w:val="22"/>
              </w:rPr>
              <w:t>▲13、整机支持蓝牙Bluetooth 5.2标准，固件版本号HCI11.20/LMP11.20；蓝牙模块工作距离≥8m。</w:t>
            </w:r>
            <w:r>
              <w:rPr>
                <w:rFonts w:hint="eastAsia" w:ascii="宋体" w:hAnsi="宋体" w:cs="宋体"/>
                <w:kern w:val="0"/>
                <w:sz w:val="22"/>
              </w:rPr>
              <w:br w:type="textWrapping"/>
            </w:r>
            <w:r>
              <w:rPr>
                <w:rFonts w:hint="eastAsia" w:ascii="宋体" w:hAnsi="宋体" w:cs="宋体"/>
                <w:kern w:val="0"/>
                <w:sz w:val="22"/>
              </w:rPr>
              <w:t>14、整机支持搭配具有NFC功能的手机、平板，通过接触整机设备上的NFC标签，即可实现手机、平板与大屏的连接并同步手机、平板的画面到设备上，无需其它操作设置，支持≥4台手机、平板同时连接并显示。</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五、嵌入式操作系统设计</w:t>
            </w:r>
            <w:r>
              <w:rPr>
                <w:rFonts w:hint="eastAsia" w:ascii="宋体" w:hAnsi="宋体" w:cs="宋体"/>
                <w:kern w:val="0"/>
                <w:sz w:val="22"/>
              </w:rPr>
              <w:br w:type="textWrapping"/>
            </w:r>
            <w:r>
              <w:rPr>
                <w:rFonts w:hint="eastAsia" w:ascii="宋体" w:hAnsi="宋体" w:cs="宋体"/>
                <w:kern w:val="0"/>
                <w:sz w:val="22"/>
              </w:rPr>
              <w:t>1、嵌入式系统硬件配置，内存≥2GB，存储空间≥8GB。</w:t>
            </w:r>
            <w:r>
              <w:rPr>
                <w:rFonts w:hint="eastAsia" w:ascii="宋体" w:hAnsi="宋体" w:cs="宋体"/>
                <w:kern w:val="0"/>
                <w:sz w:val="22"/>
              </w:rPr>
              <w:br w:type="textWrapping"/>
            </w:r>
            <w:r>
              <w:rPr>
                <w:rFonts w:hint="eastAsia" w:ascii="宋体" w:hAnsi="宋体" w:cs="宋体"/>
                <w:kern w:val="0"/>
                <w:sz w:val="22"/>
              </w:rPr>
              <w:t>2、无PC状态下，嵌入式操作系统下可实现电脑操作系统中常用的教学应用功能，如白板书写、WPS软件使用、网页浏览。</w:t>
            </w:r>
            <w:r>
              <w:rPr>
                <w:rFonts w:hint="eastAsia" w:ascii="宋体" w:hAnsi="宋体" w:cs="宋体"/>
                <w:kern w:val="0"/>
                <w:sz w:val="22"/>
              </w:rPr>
              <w:br w:type="textWrapping"/>
            </w:r>
            <w:r>
              <w:rPr>
                <w:rFonts w:hint="eastAsia" w:ascii="宋体" w:hAnsi="宋体" w:cs="宋体"/>
                <w:kern w:val="0"/>
                <w:sz w:val="22"/>
              </w:rPr>
              <w:t>3、嵌入式操作系统下，互动白板可支持不同背景颜色，同时提供学科专用背景，如：五线谱、信纸、田字格、英文格、篮球和足球场地平面图。</w:t>
            </w:r>
            <w:r>
              <w:rPr>
                <w:rFonts w:hint="eastAsia" w:ascii="宋体" w:hAnsi="宋体" w:cs="宋体"/>
                <w:kern w:val="0"/>
                <w:sz w:val="22"/>
              </w:rPr>
              <w:br w:type="textWrapping"/>
            </w:r>
            <w:r>
              <w:rPr>
                <w:rFonts w:hint="eastAsia" w:ascii="宋体" w:hAnsi="宋体" w:cs="宋体"/>
                <w:kern w:val="0"/>
                <w:sz w:val="22"/>
              </w:rPr>
              <w:t>4、在嵌入式操作系统下，能对TV多媒体USB所读取到的文件进行自动归类，可快速分类查找文档、板书、音视频，检索后可直接在界面中打开。</w:t>
            </w:r>
            <w:r>
              <w:rPr>
                <w:rFonts w:hint="eastAsia" w:ascii="宋体" w:hAnsi="宋体" w:cs="宋体"/>
                <w:kern w:val="0"/>
                <w:sz w:val="22"/>
              </w:rPr>
              <w:br w:type="textWrapping"/>
            </w:r>
            <w:r>
              <w:rPr>
                <w:rFonts w:hint="eastAsia" w:ascii="宋体" w:hAnsi="宋体" w:cs="宋体"/>
                <w:kern w:val="0"/>
                <w:sz w:val="22"/>
              </w:rPr>
              <w:t>▲5、无PC状态下，嵌入式系统内置互动白板支持十笔书写及手掌擦除（手掌擦除面积根据手掌与屏幕的接触面大小自动调整），白板书写内容可导出PDF、IWB、SVG格式。支持8种以上平面图形工具，支持6种以上立体图形工具。</w:t>
            </w:r>
            <w:r>
              <w:rPr>
                <w:rFonts w:hint="eastAsia" w:ascii="宋体" w:hAnsi="宋体" w:cs="宋体"/>
                <w:kern w:val="0"/>
                <w:sz w:val="22"/>
              </w:rPr>
              <w:br w:type="textWrapping"/>
            </w:r>
            <w:r>
              <w:rPr>
                <w:rFonts w:hint="eastAsia" w:ascii="宋体" w:hAnsi="宋体" w:cs="宋体"/>
                <w:kern w:val="0"/>
                <w:sz w:val="22"/>
              </w:rPr>
              <w:t>6、无PC状态下，嵌入式系统内置互动白板支持全局漫游，并能在工具栏中对全局内容进行预览和移动。</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六、教学白板软件</w:t>
            </w:r>
            <w:r>
              <w:rPr>
                <w:rFonts w:hint="eastAsia" w:ascii="宋体" w:hAnsi="宋体" w:cs="宋体"/>
                <w:kern w:val="0"/>
                <w:sz w:val="22"/>
              </w:rPr>
              <w:br w:type="textWrapping"/>
            </w:r>
            <w:r>
              <w:rPr>
                <w:rFonts w:hint="eastAsia" w:ascii="宋体" w:hAnsi="宋体" w:cs="宋体"/>
                <w:kern w:val="0"/>
                <w:sz w:val="22"/>
              </w:rPr>
              <w:t>1、备授课一体化，具有备课模式及授课模式，且操作界面根据备课和授课使用场景不同而区别设计，符合用户使用需求。</w:t>
            </w:r>
            <w:r>
              <w:rPr>
                <w:rFonts w:hint="eastAsia" w:ascii="宋体" w:hAnsi="宋体" w:cs="宋体"/>
                <w:kern w:val="0"/>
                <w:sz w:val="22"/>
              </w:rPr>
              <w:br w:type="textWrapping"/>
            </w:r>
            <w:r>
              <w:rPr>
                <w:rFonts w:hint="eastAsia" w:ascii="宋体" w:hAnsi="宋体" w:cs="宋体"/>
                <w:kern w:val="0"/>
                <w:sz w:val="22"/>
              </w:rPr>
              <w:t>2、备课模式工具栏会自动根据老师账号中关联的学科不同而提供相对应的教学工具，例如语文学科会出现田字格工具，数学学科则出现几何工具，无需用户自行选择。</w:t>
            </w:r>
            <w:r>
              <w:rPr>
                <w:rFonts w:hint="eastAsia" w:ascii="宋体" w:hAnsi="宋体" w:cs="宋体"/>
                <w:kern w:val="0"/>
                <w:sz w:val="22"/>
              </w:rPr>
              <w:br w:type="textWrapping"/>
            </w:r>
            <w:r>
              <w:rPr>
                <w:rFonts w:hint="eastAsia" w:ascii="宋体" w:hAnsi="宋体" w:cs="宋体"/>
                <w:kern w:val="0"/>
                <w:sz w:val="22"/>
              </w:rPr>
              <w:t>3、支持课件云存储，无需使用 U 盘等存储设备，用户只需联网登录即可在交互式白板软件中获取云课件，并支持课件云分享，可将课件直接分享给其他用户，只需输入其他用户手持终端号即可。</w:t>
            </w:r>
            <w:r>
              <w:rPr>
                <w:rFonts w:hint="eastAsia" w:ascii="宋体" w:hAnsi="宋体" w:cs="宋体"/>
                <w:kern w:val="0"/>
                <w:sz w:val="22"/>
              </w:rPr>
              <w:br w:type="textWrapping"/>
            </w:r>
            <w:r>
              <w:rPr>
                <w:rFonts w:hint="eastAsia" w:ascii="宋体" w:hAnsi="宋体" w:cs="宋体"/>
                <w:kern w:val="0"/>
                <w:sz w:val="22"/>
              </w:rPr>
              <w:t>4、支持课件云同步，课件上的所有修改、操作均可实时同步至云端，无需单独保存上传，确保多终端调用同个课件均为最新版本。</w:t>
            </w:r>
            <w:r>
              <w:rPr>
                <w:rFonts w:hint="eastAsia" w:ascii="宋体" w:hAnsi="宋体" w:cs="宋体"/>
                <w:kern w:val="0"/>
                <w:sz w:val="22"/>
              </w:rPr>
              <w:br w:type="textWrapping"/>
            </w:r>
            <w:r>
              <w:rPr>
                <w:rFonts w:hint="eastAsia" w:ascii="宋体" w:hAnsi="宋体" w:cs="宋体"/>
                <w:kern w:val="0"/>
                <w:sz w:val="22"/>
              </w:rPr>
              <w:t>5、游戏教学功能：支持创建互动分类式游戏，可自定义不同类别及相对应的对象，实现将不同对象拖拽到对应的类别容器中可自动辨识分类，分类正确或错误均有相应提示。类别和对象的样式、数量均可以自定义设置。系统需提供不少于 20种游戏模板，直接选择并输入相应内容即可轻松生成互动分类式游戏，提升课堂趣味性。</w:t>
            </w:r>
            <w:r>
              <w:rPr>
                <w:rFonts w:hint="eastAsia" w:ascii="宋体" w:hAnsi="宋体" w:cs="宋体"/>
                <w:kern w:val="0"/>
                <w:sz w:val="22"/>
              </w:rPr>
              <w:br w:type="textWrapping"/>
            </w:r>
            <w:r>
              <w:rPr>
                <w:rFonts w:hint="eastAsia" w:ascii="宋体" w:hAnsi="宋体" w:cs="宋体"/>
                <w:kern w:val="0"/>
                <w:sz w:val="22"/>
              </w:rPr>
              <w:t>6、支持软件联网自动静默升级，无需用户手动更新。</w:t>
            </w:r>
            <w:r>
              <w:rPr>
                <w:rFonts w:hint="eastAsia" w:ascii="宋体" w:hAnsi="宋体" w:cs="宋体"/>
                <w:kern w:val="0"/>
                <w:sz w:val="22"/>
              </w:rPr>
              <w:br w:type="textWrapping"/>
            </w:r>
            <w:r>
              <w:rPr>
                <w:rFonts w:hint="eastAsia" w:ascii="宋体" w:hAnsi="宋体" w:cs="宋体"/>
                <w:kern w:val="0"/>
                <w:sz w:val="22"/>
              </w:rPr>
              <w:t>7、课件背景：提供不少于12 种以上背景模板供用户选择，持自定义背景。</w:t>
            </w:r>
            <w:r>
              <w:rPr>
                <w:rFonts w:hint="eastAsia" w:ascii="宋体" w:hAnsi="宋体" w:cs="宋体"/>
                <w:kern w:val="0"/>
                <w:sz w:val="22"/>
              </w:rPr>
              <w:br w:type="textWrapping"/>
            </w:r>
            <w:r>
              <w:rPr>
                <w:rFonts w:hint="eastAsia" w:ascii="宋体" w:hAnsi="宋体" w:cs="宋体"/>
                <w:kern w:val="0"/>
                <w:sz w:val="22"/>
              </w:rPr>
              <w:t>8、美术画板：支持美术画板工具，提供铅笔、毛笔、油画笔，可实现模拟调色盘功能，用户可自由选择不同颜色进行混合调色，搭配出任意色彩。</w:t>
            </w:r>
            <w:r>
              <w:rPr>
                <w:rFonts w:hint="eastAsia" w:ascii="宋体" w:hAnsi="宋体" w:cs="宋体"/>
                <w:kern w:val="0"/>
                <w:sz w:val="22"/>
              </w:rPr>
              <w:br w:type="textWrapping"/>
            </w:r>
            <w:r>
              <w:rPr>
                <w:rFonts w:hint="eastAsia" w:ascii="宋体" w:hAnsi="宋体" w:cs="宋体"/>
                <w:kern w:val="0"/>
                <w:sz w:val="22"/>
              </w:rPr>
              <w:t>9、快捷抠图：无需借助专业图片处理软件，即可在白板软件中对导入的图片进行快捷抠图、去背景，处理后的图片主体边缘没有明显毛边，可导出保存成 PNG 格式。</w:t>
            </w:r>
            <w:r>
              <w:rPr>
                <w:rFonts w:hint="eastAsia" w:ascii="宋体" w:hAnsi="宋体" w:cs="宋体"/>
                <w:kern w:val="0"/>
                <w:sz w:val="22"/>
              </w:rPr>
              <w:br w:type="textWrapping"/>
            </w:r>
            <w:r>
              <w:rPr>
                <w:rFonts w:hint="eastAsia" w:ascii="宋体" w:hAnsi="宋体" w:cs="宋体"/>
                <w:kern w:val="0"/>
                <w:sz w:val="22"/>
              </w:rPr>
              <w:t>10、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宋体" w:hAnsi="宋体" w:cs="宋体"/>
                <w:kern w:val="0"/>
                <w:sz w:val="22"/>
              </w:rPr>
              <w:br w:type="textWrapping"/>
            </w:r>
            <w:r>
              <w:rPr>
                <w:rFonts w:hint="eastAsia" w:ascii="宋体" w:hAnsi="宋体" w:cs="宋体"/>
                <w:kern w:val="0"/>
                <w:sz w:val="22"/>
              </w:rPr>
              <w:t>11、数学公式编辑器：支持复杂数学公式输入，提供不少于 20 个数学符号及和不少于15种公式模板，输出的公式内容支持不同颜色标记及二次编辑。</w:t>
            </w:r>
            <w:r>
              <w:rPr>
                <w:rFonts w:hint="eastAsia" w:ascii="宋体" w:hAnsi="宋体" w:cs="宋体"/>
                <w:kern w:val="0"/>
                <w:sz w:val="22"/>
              </w:rPr>
              <w:br w:type="textWrapping"/>
            </w:r>
            <w:r>
              <w:rPr>
                <w:rFonts w:hint="eastAsia" w:ascii="宋体" w:hAnsi="宋体" w:cs="宋体"/>
                <w:kern w:val="0"/>
                <w:sz w:val="22"/>
              </w:rPr>
              <w:t xml:space="preserve">12、3D星球模型：提供3D立体星球模型，包括地球、太阳、火星、水星等太阳系行星，支持360°自由旋转、缩放展示；并支持在立体地球模型清晰展现地球表面的六大板块、降水分布、气温分布、气候分布、人口分布、表层洋流、陆地自然带、海平面等压线等内容；且支持三维、二维切换展示，方便地理学科教学。 </w:t>
            </w:r>
            <w:r>
              <w:rPr>
                <w:rFonts w:hint="eastAsia" w:ascii="宋体" w:hAnsi="宋体" w:cs="宋体"/>
                <w:kern w:val="0"/>
                <w:sz w:val="22"/>
              </w:rPr>
              <w:br w:type="textWrapping"/>
            </w:r>
            <w:r>
              <w:rPr>
                <w:rFonts w:hint="eastAsia" w:ascii="宋体" w:hAnsi="宋体" w:cs="宋体"/>
                <w:kern w:val="0"/>
                <w:sz w:val="22"/>
              </w:rPr>
              <w:t>13、古诗词资源：</w:t>
            </w:r>
            <w:r>
              <w:rPr>
                <w:rFonts w:hint="eastAsia" w:ascii="宋体" w:hAnsi="宋体" w:cs="宋体"/>
                <w:kern w:val="0"/>
                <w:sz w:val="22"/>
              </w:rPr>
              <w:br w:type="textWrapping"/>
            </w:r>
            <w:r>
              <w:rPr>
                <w:rFonts w:hint="eastAsia" w:ascii="宋体" w:hAnsi="宋体" w:cs="宋体"/>
                <w:kern w:val="0"/>
                <w:sz w:val="22"/>
              </w:rPr>
              <w:t>（1）提供覆盖小学、初中、高中的古诗词资源，包含原文、翻译、背景介绍、作者介绍、朗诵音频等。</w:t>
            </w:r>
            <w:r>
              <w:rPr>
                <w:rFonts w:hint="eastAsia" w:ascii="宋体" w:hAnsi="宋体" w:cs="宋体"/>
                <w:kern w:val="0"/>
                <w:sz w:val="22"/>
              </w:rPr>
              <w:br w:type="textWrapping"/>
            </w:r>
            <w:r>
              <w:rPr>
                <w:rFonts w:hint="eastAsia" w:ascii="宋体" w:hAnsi="宋体" w:cs="宋体"/>
                <w:kern w:val="0"/>
                <w:sz w:val="22"/>
              </w:rPr>
              <w:t>（2）支持用户根据年级、朝代、诗人等进行分类查找，也可直接搜索诗词、古文名称或作者名查找。</w:t>
            </w:r>
            <w:r>
              <w:rPr>
                <w:rFonts w:hint="eastAsia" w:ascii="宋体" w:hAnsi="宋体" w:cs="宋体"/>
                <w:kern w:val="0"/>
                <w:sz w:val="22"/>
              </w:rPr>
              <w:br w:type="textWrapping"/>
            </w:r>
            <w:r>
              <w:rPr>
                <w:rFonts w:hint="eastAsia" w:ascii="宋体" w:hAnsi="宋体" w:cs="宋体"/>
                <w:kern w:val="0"/>
                <w:sz w:val="22"/>
              </w:rPr>
              <w:t>（3）提供不少于9种古诗词专用背景模板，用户可贴合古诗词意境选择合适背景进行教学。</w:t>
            </w:r>
            <w:r>
              <w:rPr>
                <w:rFonts w:hint="eastAsia" w:ascii="宋体" w:hAnsi="宋体" w:cs="宋体"/>
                <w:kern w:val="0"/>
                <w:sz w:val="22"/>
              </w:rPr>
              <w:br w:type="textWrapping"/>
            </w:r>
            <w:r>
              <w:rPr>
                <w:rFonts w:hint="eastAsia" w:ascii="宋体" w:hAnsi="宋体" w:cs="宋体"/>
                <w:kern w:val="0"/>
                <w:sz w:val="22"/>
              </w:rPr>
              <w:t>（4）古诗词、古文提供原文及翻译、背景介绍、作者介绍等，同时支持一键跳转打开网页，展示对应的背景或者介绍。</w:t>
            </w:r>
            <w:r>
              <w:rPr>
                <w:rFonts w:hint="eastAsia" w:ascii="宋体" w:hAnsi="宋体" w:cs="宋体"/>
                <w:kern w:val="0"/>
                <w:sz w:val="22"/>
              </w:rPr>
              <w:br w:type="textWrapping"/>
            </w:r>
            <w:r>
              <w:rPr>
                <w:rFonts w:hint="eastAsia" w:ascii="宋体" w:hAnsi="宋体" w:cs="宋体"/>
                <w:kern w:val="0"/>
                <w:sz w:val="22"/>
              </w:rPr>
              <w:t>（5）提供原文朗读功能，全部诗词、古文均配备专业朗读配音，且支持用户在备课时对朗读音频进行打点操作，上课时可播放提前选择好的片段。</w:t>
            </w:r>
            <w:r>
              <w:rPr>
                <w:rFonts w:hint="eastAsia" w:ascii="宋体" w:hAnsi="宋体" w:cs="宋体"/>
                <w:kern w:val="0"/>
                <w:sz w:val="22"/>
              </w:rPr>
              <w:br w:type="textWrapping"/>
            </w:r>
            <w:r>
              <w:rPr>
                <w:rFonts w:hint="eastAsia" w:ascii="宋体" w:hAnsi="宋体" w:cs="宋体"/>
                <w:kern w:val="0"/>
                <w:sz w:val="22"/>
              </w:rPr>
              <w:t>（6）支持用户备课时对原文进行注释、标重点等操作，方便用户讲解重点字词。</w:t>
            </w:r>
            <w:r>
              <w:rPr>
                <w:rFonts w:hint="eastAsia" w:ascii="宋体" w:hAnsi="宋体" w:cs="宋体"/>
                <w:kern w:val="0"/>
                <w:sz w:val="22"/>
              </w:rPr>
              <w:br w:type="textWrapping"/>
            </w:r>
            <w:r>
              <w:rPr>
                <w:rFonts w:hint="eastAsia" w:ascii="宋体" w:hAnsi="宋体" w:cs="宋体"/>
                <w:kern w:val="0"/>
                <w:sz w:val="22"/>
              </w:rPr>
              <w:t>14、立体几何：</w:t>
            </w:r>
            <w:r>
              <w:rPr>
                <w:rFonts w:hint="eastAsia" w:ascii="宋体" w:hAnsi="宋体" w:cs="宋体"/>
                <w:kern w:val="0"/>
                <w:sz w:val="22"/>
              </w:rPr>
              <w:br w:type="textWrapping"/>
            </w:r>
            <w:r>
              <w:rPr>
                <w:rFonts w:hint="eastAsia" w:ascii="宋体" w:hAnsi="宋体" w:cs="宋体"/>
                <w:kern w:val="0"/>
                <w:sz w:val="22"/>
              </w:rPr>
              <w:t>（1）支持绘制立方体、圆柱体等立体几何图形。</w:t>
            </w:r>
            <w:r>
              <w:rPr>
                <w:rFonts w:hint="eastAsia" w:ascii="宋体" w:hAnsi="宋体" w:cs="宋体"/>
                <w:kern w:val="0"/>
                <w:sz w:val="22"/>
              </w:rPr>
              <w:br w:type="textWrapping"/>
            </w:r>
            <w:r>
              <w:rPr>
                <w:rFonts w:hint="eastAsia" w:ascii="宋体" w:hAnsi="宋体" w:cs="宋体"/>
                <w:kern w:val="0"/>
                <w:sz w:val="22"/>
              </w:rPr>
              <w:t>（2）支持任意调节立体几何图形的尺寸，改变长宽高比例。</w:t>
            </w:r>
            <w:r>
              <w:rPr>
                <w:rFonts w:hint="eastAsia" w:ascii="宋体" w:hAnsi="宋体" w:cs="宋体"/>
                <w:kern w:val="0"/>
                <w:sz w:val="22"/>
              </w:rPr>
              <w:br w:type="textWrapping"/>
            </w:r>
            <w:r>
              <w:rPr>
                <w:rFonts w:hint="eastAsia" w:ascii="宋体" w:hAnsi="宋体" w:cs="宋体"/>
                <w:kern w:val="0"/>
                <w:sz w:val="22"/>
              </w:rPr>
              <w:t>（3）支持沿任意方向旋转立体几何。</w:t>
            </w:r>
            <w:r>
              <w:rPr>
                <w:rFonts w:hint="eastAsia" w:ascii="宋体" w:hAnsi="宋体" w:cs="宋体"/>
                <w:kern w:val="0"/>
                <w:sz w:val="22"/>
              </w:rPr>
              <w:br w:type="textWrapping"/>
            </w:r>
            <w:r>
              <w:rPr>
                <w:rFonts w:hint="eastAsia" w:ascii="宋体" w:hAnsi="宋体" w:cs="宋体"/>
                <w:kern w:val="0"/>
                <w:sz w:val="22"/>
              </w:rPr>
              <w:t>（4）支持为长方体6个面分别涂色，并且可通过任意旋转观察涂色与未涂色的表面</w:t>
            </w:r>
            <w:r>
              <w:rPr>
                <w:rFonts w:hint="eastAsia" w:ascii="宋体" w:hAnsi="宋体" w:cs="宋体"/>
                <w:kern w:val="0"/>
                <w:sz w:val="22"/>
              </w:rPr>
              <w:br w:type="textWrapping"/>
            </w:r>
            <w:r>
              <w:rPr>
                <w:rFonts w:hint="eastAsia" w:ascii="宋体" w:hAnsi="宋体" w:cs="宋体"/>
                <w:kern w:val="0"/>
                <w:sz w:val="22"/>
              </w:rPr>
              <w:t>15.数学画板功能：</w:t>
            </w:r>
            <w:r>
              <w:rPr>
                <w:rFonts w:hint="eastAsia" w:ascii="宋体" w:hAnsi="宋体" w:cs="宋体"/>
                <w:kern w:val="0"/>
                <w:sz w:val="22"/>
              </w:rPr>
              <w:br w:type="textWrapping"/>
            </w:r>
            <w:r>
              <w:rPr>
                <w:rFonts w:hint="eastAsia" w:ascii="宋体" w:hAnsi="宋体" w:cs="宋体"/>
                <w:kern w:val="0"/>
                <w:sz w:val="22"/>
              </w:rPr>
              <w:t>（1）支持在白板中插入在线画板，授课时可以一键打开,方便老师配合课件内容进行讲解。</w:t>
            </w:r>
            <w:r>
              <w:rPr>
                <w:rFonts w:hint="eastAsia" w:ascii="宋体" w:hAnsi="宋体" w:cs="宋体"/>
                <w:kern w:val="0"/>
                <w:sz w:val="22"/>
              </w:rPr>
              <w:br w:type="textWrapping"/>
            </w:r>
            <w:r>
              <w:rPr>
                <w:rFonts w:hint="eastAsia" w:ascii="宋体" w:hAnsi="宋体" w:cs="宋体"/>
                <w:kern w:val="0"/>
                <w:sz w:val="22"/>
              </w:rPr>
              <w:t>（2）提供超过500个数学画板资源，覆盖小学、初中、高中学段数学学科主要知识点，并按照知识点分类，便于老师查找。</w:t>
            </w:r>
            <w:r>
              <w:rPr>
                <w:rFonts w:hint="eastAsia" w:ascii="宋体" w:hAnsi="宋体" w:cs="宋体"/>
                <w:kern w:val="0"/>
                <w:sz w:val="22"/>
              </w:rPr>
              <w:br w:type="textWrapping"/>
            </w:r>
            <w:r>
              <w:rPr>
                <w:rFonts w:hint="eastAsia" w:ascii="宋体" w:hAnsi="宋体" w:cs="宋体"/>
                <w:kern w:val="0"/>
                <w:sz w:val="22"/>
              </w:rPr>
              <w:t>（3）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宋体" w:hAnsi="宋体" w:cs="宋体"/>
                <w:kern w:val="0"/>
                <w:sz w:val="22"/>
              </w:rPr>
              <w:br w:type="textWrapping"/>
            </w:r>
            <w:r>
              <w:rPr>
                <w:rFonts w:hint="eastAsia" w:ascii="宋体" w:hAnsi="宋体" w:cs="宋体"/>
                <w:kern w:val="0"/>
                <w:sz w:val="22"/>
              </w:rPr>
              <w:t>（4）支持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宋体" w:hAnsi="宋体" w:cs="宋体"/>
                <w:kern w:val="0"/>
                <w:sz w:val="22"/>
              </w:rPr>
              <w:br w:type="textWrapping"/>
            </w:r>
            <w:r>
              <w:rPr>
                <w:rFonts w:hint="eastAsia" w:ascii="宋体" w:hAnsi="宋体" w:cs="宋体"/>
                <w:kern w:val="0"/>
                <w:sz w:val="22"/>
              </w:rPr>
              <w:t>16、多学科题库：</w:t>
            </w:r>
            <w:r>
              <w:rPr>
                <w:rFonts w:hint="eastAsia" w:ascii="宋体" w:hAnsi="宋体" w:cs="宋体"/>
                <w:kern w:val="0"/>
                <w:sz w:val="22"/>
              </w:rPr>
              <w:br w:type="textWrapping"/>
            </w:r>
            <w:r>
              <w:rPr>
                <w:rFonts w:hint="eastAsia" w:ascii="宋体" w:hAnsi="宋体" w:cs="宋体"/>
                <w:kern w:val="0"/>
                <w:sz w:val="22"/>
              </w:rPr>
              <w:t>（1）提供不少于30万道试题给老师使用。</w:t>
            </w:r>
            <w:r>
              <w:rPr>
                <w:rFonts w:hint="eastAsia" w:ascii="宋体" w:hAnsi="宋体" w:cs="宋体"/>
                <w:kern w:val="0"/>
                <w:sz w:val="22"/>
              </w:rPr>
              <w:br w:type="textWrapping"/>
            </w:r>
            <w:r>
              <w:rPr>
                <w:rFonts w:hint="eastAsia" w:ascii="宋体" w:hAnsi="宋体" w:cs="宋体"/>
                <w:kern w:val="0"/>
                <w:sz w:val="22"/>
              </w:rPr>
              <w:t>（2）涵盖小学、初中、高中，其中中学部分包含语文、数学、英语、物理、化学、生物、政治、历史、地理等多个学科。</w:t>
            </w:r>
            <w:r>
              <w:rPr>
                <w:rFonts w:hint="eastAsia" w:ascii="宋体" w:hAnsi="宋体" w:cs="宋体"/>
                <w:kern w:val="0"/>
                <w:sz w:val="22"/>
              </w:rPr>
              <w:br w:type="textWrapping"/>
            </w:r>
            <w:r>
              <w:rPr>
                <w:rFonts w:hint="eastAsia" w:ascii="宋体" w:hAnsi="宋体" w:cs="宋体"/>
                <w:kern w:val="0"/>
                <w:sz w:val="22"/>
              </w:rPr>
              <w:t>（3）题库总知识点不少于9000个，除选择、填空、判断等基本题型外，还包含诗歌阅读、完形填空、阅读理解、辨析题、材料题、实验题、作图题等。</w:t>
            </w:r>
            <w:r>
              <w:rPr>
                <w:rFonts w:hint="eastAsia" w:ascii="宋体" w:hAnsi="宋体" w:cs="宋体"/>
                <w:kern w:val="0"/>
                <w:sz w:val="22"/>
              </w:rPr>
              <w:br w:type="textWrapping"/>
            </w:r>
            <w:r>
              <w:rPr>
                <w:rFonts w:hint="eastAsia" w:ascii="宋体" w:hAnsi="宋体" w:cs="宋体"/>
                <w:kern w:val="0"/>
                <w:sz w:val="22"/>
              </w:rPr>
              <w:t>（4）可批量选择多题并以交互式试题卡的形式插入到白板中。试题卡包含题干、答案和解析，并可一键实时展开、收起答案和解析。</w:t>
            </w:r>
            <w:r>
              <w:rPr>
                <w:rFonts w:hint="eastAsia" w:ascii="宋体" w:hAnsi="宋体" w:cs="宋体"/>
                <w:kern w:val="0"/>
                <w:sz w:val="22"/>
              </w:rPr>
              <w:br w:type="textWrapping"/>
            </w:r>
            <w:r>
              <w:rPr>
                <w:rFonts w:hint="eastAsia" w:ascii="宋体" w:hAnsi="宋体" w:cs="宋体"/>
                <w:kern w:val="0"/>
                <w:sz w:val="22"/>
              </w:rPr>
              <w:t>17、课堂小测：提供不少于40000道初中数学试题。</w:t>
            </w:r>
            <w:r>
              <w:rPr>
                <w:rFonts w:hint="eastAsia" w:ascii="宋体" w:hAnsi="宋体" w:cs="宋体"/>
                <w:kern w:val="0"/>
                <w:sz w:val="22"/>
              </w:rPr>
              <w:br w:type="textWrapping"/>
            </w:r>
            <w:r>
              <w:rPr>
                <w:rFonts w:hint="eastAsia" w:ascii="宋体" w:hAnsi="宋体" w:cs="宋体"/>
                <w:kern w:val="0"/>
                <w:sz w:val="22"/>
              </w:rPr>
              <w:t>（1）老师可根据所使用教材版本自由选择人教新版、苏科新版、北师大版、北京课改新版等不同版本试题。</w:t>
            </w:r>
            <w:r>
              <w:rPr>
                <w:rFonts w:hint="eastAsia" w:ascii="宋体" w:hAnsi="宋体" w:cs="宋体"/>
                <w:kern w:val="0"/>
                <w:sz w:val="22"/>
              </w:rPr>
              <w:br w:type="textWrapping"/>
            </w:r>
            <w:r>
              <w:rPr>
                <w:rFonts w:hint="eastAsia" w:ascii="宋体" w:hAnsi="宋体" w:cs="宋体"/>
                <w:kern w:val="0"/>
                <w:sz w:val="22"/>
              </w:rPr>
              <w:t>（2）试题按照教学进度分类，精确到每一章每一节，方便老师查找。</w:t>
            </w:r>
            <w:r>
              <w:rPr>
                <w:rFonts w:hint="eastAsia" w:ascii="宋体" w:hAnsi="宋体" w:cs="宋体"/>
                <w:kern w:val="0"/>
                <w:sz w:val="22"/>
              </w:rPr>
              <w:br w:type="textWrapping"/>
            </w:r>
            <w:r>
              <w:rPr>
                <w:rFonts w:hint="eastAsia" w:ascii="宋体" w:hAnsi="宋体" w:cs="宋体"/>
                <w:kern w:val="0"/>
                <w:sz w:val="22"/>
              </w:rPr>
              <w:t>（3）试题按照使用场景分类，分为课堂小测、课时练习、课后基础、课后提高等，方便老师在不同场景下选择。</w:t>
            </w:r>
            <w:r>
              <w:rPr>
                <w:rFonts w:hint="eastAsia" w:ascii="宋体" w:hAnsi="宋体" w:cs="宋体"/>
                <w:kern w:val="0"/>
                <w:sz w:val="22"/>
              </w:rPr>
              <w:br w:type="textWrapping"/>
            </w:r>
            <w:r>
              <w:rPr>
                <w:rFonts w:hint="eastAsia" w:ascii="宋体" w:hAnsi="宋体" w:cs="宋体"/>
                <w:kern w:val="0"/>
                <w:sz w:val="22"/>
              </w:rPr>
              <w:t>（4）题目已根据老师使用需要，组成套题，老师可一键批量选择；同时也支持老师自由组题，形成个性化套题。</w:t>
            </w:r>
            <w:r>
              <w:rPr>
                <w:rFonts w:hint="eastAsia" w:ascii="宋体" w:hAnsi="宋体" w:cs="宋体"/>
                <w:kern w:val="0"/>
                <w:sz w:val="22"/>
              </w:rPr>
              <w:br w:type="textWrapping"/>
            </w:r>
            <w:r>
              <w:rPr>
                <w:rFonts w:hint="eastAsia" w:ascii="宋体" w:hAnsi="宋体" w:cs="宋体"/>
                <w:kern w:val="0"/>
                <w:sz w:val="22"/>
              </w:rPr>
              <w:t>18、表格工具：</w:t>
            </w:r>
            <w:r>
              <w:rPr>
                <w:rFonts w:hint="eastAsia" w:ascii="宋体" w:hAnsi="宋体" w:cs="宋体"/>
                <w:kern w:val="0"/>
                <w:sz w:val="22"/>
              </w:rPr>
              <w:br w:type="textWrapping"/>
            </w:r>
            <w:r>
              <w:rPr>
                <w:rFonts w:hint="eastAsia" w:ascii="宋体" w:hAnsi="宋体" w:cs="宋体"/>
                <w:kern w:val="0"/>
                <w:sz w:val="22"/>
              </w:rPr>
              <w:t>（1）支持老师插入表格，并提供5种以上表格样式供老师选择。</w:t>
            </w:r>
            <w:r>
              <w:rPr>
                <w:rFonts w:hint="eastAsia" w:ascii="宋体" w:hAnsi="宋体" w:cs="宋体"/>
                <w:kern w:val="0"/>
                <w:sz w:val="22"/>
              </w:rPr>
              <w:br w:type="textWrapping"/>
            </w:r>
            <w:r>
              <w:rPr>
                <w:rFonts w:hint="eastAsia" w:ascii="宋体" w:hAnsi="宋体" w:cs="宋体"/>
                <w:kern w:val="0"/>
                <w:sz w:val="22"/>
              </w:rPr>
              <w:t>（2）支持表格自适应，可一键将表格的行、列调整到最合适的大小。</w:t>
            </w:r>
            <w:r>
              <w:rPr>
                <w:rFonts w:hint="eastAsia" w:ascii="宋体" w:hAnsi="宋体" w:cs="宋体"/>
                <w:kern w:val="0"/>
                <w:sz w:val="22"/>
              </w:rPr>
              <w:br w:type="textWrapping"/>
            </w:r>
            <w:r>
              <w:rPr>
                <w:rFonts w:hint="eastAsia" w:ascii="宋体" w:hAnsi="宋体" w:cs="宋体"/>
                <w:kern w:val="0"/>
                <w:sz w:val="22"/>
              </w:rPr>
              <w:t>（3）支持表格遮罩功能，可对表格中任意一格添加遮罩，在授课模式下通过点击可消除遮罩，方便老师设置互动活动。</w:t>
            </w:r>
            <w:r>
              <w:rPr>
                <w:rFonts w:hint="eastAsia" w:ascii="宋体" w:hAnsi="宋体" w:cs="宋体"/>
                <w:kern w:val="0"/>
                <w:sz w:val="22"/>
              </w:rPr>
              <w:br w:type="textWrapping"/>
            </w:r>
            <w:r>
              <w:rPr>
                <w:rFonts w:hint="eastAsia" w:ascii="宋体" w:hAnsi="宋体" w:cs="宋体"/>
                <w:kern w:val="0"/>
                <w:sz w:val="22"/>
              </w:rPr>
              <w:t>（4）在授课模式下，支持表格克隆功能，可克隆出多个相同表格，方便老师请多位同学进行答题互动。</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七、学生行为评价软件</w:t>
            </w:r>
            <w:r>
              <w:rPr>
                <w:rFonts w:hint="eastAsia" w:ascii="宋体" w:hAnsi="宋体" w:cs="宋体"/>
                <w:kern w:val="0"/>
                <w:sz w:val="22"/>
              </w:rPr>
              <w:br w:type="textWrapping"/>
            </w:r>
            <w:r>
              <w:rPr>
                <w:rFonts w:hint="eastAsia" w:ascii="宋体" w:hAnsi="宋体" w:cs="宋体"/>
                <w:kern w:val="0"/>
                <w:sz w:val="22"/>
              </w:rPr>
              <w:t>1、学生行为评价系统，集成三大功能模块：基础信息管理、课堂表现评价、家校互联互通，功能及操作均统一在同一软件平台同一账号体系实现。</w:t>
            </w:r>
            <w:r>
              <w:rPr>
                <w:rFonts w:hint="eastAsia" w:ascii="宋体" w:hAnsi="宋体" w:cs="宋体"/>
                <w:kern w:val="0"/>
                <w:sz w:val="22"/>
              </w:rPr>
              <w:br w:type="textWrapping"/>
            </w:r>
            <w:r>
              <w:rPr>
                <w:rFonts w:hint="eastAsia" w:ascii="宋体" w:hAnsi="宋体" w:cs="宋体"/>
                <w:kern w:val="0"/>
                <w:sz w:val="22"/>
              </w:rPr>
              <w:t>2、支持 PC客户端、PC 网页端、安卓手持终端端、苹果手持终端端登陆使用，且各个端的数据是互通的，方便用户随时随地对学生进行管理与评价。</w:t>
            </w:r>
            <w:r>
              <w:rPr>
                <w:rFonts w:hint="eastAsia" w:ascii="宋体" w:hAnsi="宋体" w:cs="宋体"/>
                <w:kern w:val="0"/>
                <w:sz w:val="22"/>
              </w:rPr>
              <w:br w:type="textWrapping"/>
            </w:r>
            <w:r>
              <w:rPr>
                <w:rFonts w:hint="eastAsia" w:ascii="宋体" w:hAnsi="宋体" w:cs="宋体"/>
                <w:kern w:val="0"/>
                <w:sz w:val="22"/>
              </w:rPr>
              <w:t>3、支持多个用户管理同一个班级，从而满足一个班级有班主任和多个任课用户的实际情况。</w:t>
            </w:r>
            <w:r>
              <w:rPr>
                <w:rFonts w:hint="eastAsia" w:ascii="宋体" w:hAnsi="宋体" w:cs="宋体"/>
                <w:kern w:val="0"/>
                <w:sz w:val="22"/>
              </w:rPr>
              <w:br w:type="textWrapping"/>
            </w:r>
            <w:r>
              <w:rPr>
                <w:rFonts w:hint="eastAsia" w:ascii="宋体" w:hAnsi="宋体" w:cs="宋体"/>
                <w:kern w:val="0"/>
                <w:sz w:val="22"/>
              </w:rPr>
              <w:t>4、支持邀请家长入班，使家长可查看到自己的孩子在学校的各种表现。</w:t>
            </w:r>
            <w:r>
              <w:rPr>
                <w:rFonts w:hint="eastAsia" w:ascii="宋体" w:hAnsi="宋体" w:cs="宋体"/>
                <w:kern w:val="0"/>
                <w:sz w:val="22"/>
              </w:rPr>
              <w:br w:type="textWrapping"/>
            </w:r>
            <w:r>
              <w:rPr>
                <w:rFonts w:hint="eastAsia" w:ascii="宋体" w:hAnsi="宋体" w:cs="宋体"/>
                <w:kern w:val="0"/>
                <w:sz w:val="22"/>
              </w:rPr>
              <w:t>5、用户可通过移动端、PC端及网页端对学生、小组及班级进行行为评价，通过卡通游戏化的方式对学生进行表扬或提醒。</w:t>
            </w:r>
            <w:r>
              <w:rPr>
                <w:rFonts w:hint="eastAsia" w:ascii="宋体" w:hAnsi="宋体" w:cs="宋体"/>
                <w:kern w:val="0"/>
                <w:sz w:val="22"/>
              </w:rPr>
              <w:br w:type="textWrapping"/>
            </w:r>
            <w:r>
              <w:rPr>
                <w:rFonts w:hint="eastAsia" w:ascii="宋体" w:hAnsi="宋体" w:cs="宋体"/>
                <w:kern w:val="0"/>
                <w:sz w:val="22"/>
              </w:rPr>
              <w:t>6、支持查看课堂表现评价统计报表，按饼状图形式展现学生课堂表现情况，支持查看班级或学生个人的评价情况，并可具体查看到每一条评价的原因、对象、分值，便于用户做统计分析。</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八、大小屏互动软件</w:t>
            </w:r>
            <w:r>
              <w:rPr>
                <w:rFonts w:hint="eastAsia" w:ascii="宋体" w:hAnsi="宋体" w:cs="宋体"/>
                <w:kern w:val="0"/>
                <w:sz w:val="22"/>
              </w:rPr>
              <w:br w:type="textWrapping"/>
            </w:r>
            <w:r>
              <w:rPr>
                <w:rFonts w:hint="eastAsia" w:ascii="宋体" w:hAnsi="宋体" w:cs="宋体"/>
                <w:kern w:val="0"/>
                <w:sz w:val="22"/>
              </w:rPr>
              <w:t>1、如手机、PAD等移动终端，可通过本软件与交互智能平板实现无线连接，可对连接的设备进行密码的权限管理，支持二维码扫码自连接服务器功能。</w:t>
            </w:r>
            <w:r>
              <w:rPr>
                <w:rFonts w:hint="eastAsia" w:ascii="宋体" w:hAnsi="宋体" w:cs="宋体"/>
                <w:kern w:val="0"/>
                <w:sz w:val="22"/>
              </w:rPr>
              <w:br w:type="textWrapping"/>
            </w:r>
            <w:r>
              <w:rPr>
                <w:rFonts w:hint="eastAsia" w:ascii="宋体" w:hAnsi="宋体" w:cs="宋体"/>
                <w:kern w:val="0"/>
                <w:sz w:val="22"/>
              </w:rPr>
              <w:t>2、支持多图对比展示功能，可将多位学生的作业、试卷或实验结果进行拍摄，并上传至智能平板的互动教学软件里进行对比展示，支持点评功能，可给每位同学的作品以不同的奖章。</w:t>
            </w:r>
            <w:r>
              <w:rPr>
                <w:rFonts w:hint="eastAsia" w:ascii="宋体" w:hAnsi="宋体" w:cs="宋体"/>
                <w:kern w:val="0"/>
                <w:sz w:val="22"/>
              </w:rPr>
              <w:br w:type="textWrapping"/>
            </w:r>
            <w:r>
              <w:rPr>
                <w:rFonts w:hint="eastAsia" w:ascii="宋体" w:hAnsi="宋体" w:cs="宋体"/>
                <w:kern w:val="0"/>
                <w:sz w:val="22"/>
              </w:rP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r>
              <w:rPr>
                <w:rFonts w:hint="eastAsia" w:ascii="宋体" w:hAnsi="宋体" w:cs="宋体"/>
                <w:kern w:val="0"/>
                <w:sz w:val="22"/>
              </w:rPr>
              <w:br w:type="textWrapping"/>
            </w:r>
            <w:r>
              <w:rPr>
                <w:rFonts w:hint="eastAsia" w:ascii="宋体" w:hAnsi="宋体" w:cs="宋体"/>
                <w:kern w:val="0"/>
                <w:sz w:val="22"/>
              </w:rP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九、其它要求：</w:t>
            </w:r>
            <w:r>
              <w:rPr>
                <w:rFonts w:hint="eastAsia" w:ascii="宋体" w:hAnsi="宋体" w:cs="宋体"/>
                <w:kern w:val="0"/>
                <w:sz w:val="22"/>
              </w:rPr>
              <w:br w:type="textWrapping"/>
            </w:r>
            <w:r>
              <w:rPr>
                <w:rFonts w:hint="eastAsia" w:ascii="宋体" w:hAnsi="宋体" w:cs="宋体"/>
                <w:kern w:val="0"/>
                <w:sz w:val="22"/>
              </w:rPr>
              <w:t>1、全国24小时免费400/800等电话保修、二维码扫描保修、区域化驻地技术工程师专线保修。</w:t>
            </w:r>
            <w:r>
              <w:rPr>
                <w:rFonts w:hint="eastAsia" w:ascii="宋体" w:hAnsi="宋体" w:cs="宋体"/>
                <w:kern w:val="0"/>
                <w:sz w:val="22"/>
              </w:rPr>
              <w:br w:type="textWrapping"/>
            </w:r>
            <w:r>
              <w:rPr>
                <w:rFonts w:hint="eastAsia" w:ascii="宋体" w:hAnsi="宋体" w:cs="宋体"/>
                <w:kern w:val="0"/>
                <w:sz w:val="22"/>
              </w:rPr>
              <w:t>2、开机LOGO定制，开机时显示“隆安县教育局2024年配备”。</w:t>
            </w:r>
          </w:p>
        </w:tc>
        <w:tc>
          <w:tcPr>
            <w:tcW w:w="462" w:type="dxa"/>
            <w:shd w:val="clear" w:color="auto" w:fill="auto"/>
            <w:noWrap/>
            <w:vAlign w:val="center"/>
          </w:tcPr>
          <w:p w14:paraId="1F088436">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24C4D679">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2E64A50B">
            <w:pPr>
              <w:widowControl/>
              <w:jc w:val="left"/>
              <w:rPr>
                <w:rFonts w:ascii="宋体" w:hAnsi="宋体" w:cs="宋体"/>
                <w:kern w:val="0"/>
                <w:sz w:val="22"/>
              </w:rPr>
            </w:pPr>
            <w:r>
              <w:rPr>
                <w:rFonts w:hint="eastAsia" w:ascii="宋体" w:hAnsi="宋体" w:cs="宋体"/>
                <w:kern w:val="0"/>
                <w:sz w:val="22"/>
              </w:rPr>
              <w:t>24000</w:t>
            </w:r>
          </w:p>
        </w:tc>
        <w:tc>
          <w:tcPr>
            <w:tcW w:w="1489" w:type="dxa"/>
            <w:shd w:val="clear" w:color="auto" w:fill="auto"/>
            <w:noWrap/>
            <w:vAlign w:val="center"/>
          </w:tcPr>
          <w:p w14:paraId="661C5C9A">
            <w:pPr>
              <w:widowControl/>
              <w:jc w:val="left"/>
              <w:rPr>
                <w:rFonts w:ascii="宋体" w:hAnsi="宋体" w:cs="宋体"/>
                <w:kern w:val="0"/>
                <w:sz w:val="22"/>
              </w:rPr>
            </w:pPr>
            <w:r>
              <w:rPr>
                <w:rFonts w:hint="eastAsia" w:ascii="宋体" w:hAnsi="宋体" w:cs="宋体"/>
                <w:kern w:val="0"/>
                <w:sz w:val="22"/>
              </w:rPr>
              <w:t>24000</w:t>
            </w:r>
          </w:p>
        </w:tc>
      </w:tr>
      <w:tr w14:paraId="29273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DD746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w:t>
            </w:r>
          </w:p>
        </w:tc>
        <w:tc>
          <w:tcPr>
            <w:tcW w:w="1072" w:type="dxa"/>
            <w:shd w:val="clear" w:color="auto" w:fill="auto"/>
            <w:vAlign w:val="center"/>
          </w:tcPr>
          <w:p w14:paraId="1AC80909">
            <w:pPr>
              <w:widowControl/>
              <w:jc w:val="left"/>
              <w:rPr>
                <w:rFonts w:ascii="宋体" w:hAnsi="宋体" w:cs="宋体"/>
                <w:kern w:val="0"/>
                <w:sz w:val="22"/>
              </w:rPr>
            </w:pPr>
            <w:r>
              <w:rPr>
                <w:rFonts w:hint="eastAsia" w:ascii="宋体" w:hAnsi="宋体" w:cs="宋体"/>
                <w:kern w:val="0"/>
                <w:sz w:val="22"/>
              </w:rPr>
              <w:t>视频展台</w:t>
            </w:r>
          </w:p>
        </w:tc>
        <w:tc>
          <w:tcPr>
            <w:tcW w:w="4897" w:type="dxa"/>
            <w:shd w:val="clear" w:color="auto" w:fill="auto"/>
            <w:vAlign w:val="center"/>
          </w:tcPr>
          <w:p w14:paraId="070F61C9">
            <w:pPr>
              <w:widowControl/>
              <w:jc w:val="left"/>
              <w:rPr>
                <w:rFonts w:ascii="宋体" w:hAnsi="宋体" w:cs="宋体"/>
                <w:kern w:val="0"/>
                <w:sz w:val="22"/>
              </w:rPr>
            </w:pPr>
            <w:r>
              <w:rPr>
                <w:rFonts w:hint="eastAsia" w:ascii="宋体" w:hAnsi="宋体" w:cs="宋体"/>
                <w:kern w:val="0"/>
                <w:sz w:val="22"/>
              </w:rPr>
              <w:t>一、展台硬件</w:t>
            </w:r>
            <w:r>
              <w:rPr>
                <w:rFonts w:hint="eastAsia" w:ascii="宋体" w:hAnsi="宋体" w:cs="宋体"/>
                <w:kern w:val="0"/>
                <w:sz w:val="22"/>
              </w:rPr>
              <w:br w:type="textWrapping"/>
            </w:r>
            <w:r>
              <w:rPr>
                <w:rFonts w:hint="eastAsia" w:ascii="宋体" w:hAnsi="宋体" w:cs="宋体"/>
                <w:kern w:val="0"/>
                <w:sz w:val="22"/>
              </w:rPr>
              <w:t>1、壁挂式安装，防盗防破坏。</w:t>
            </w:r>
            <w:r>
              <w:rPr>
                <w:rFonts w:hint="eastAsia" w:ascii="宋体" w:hAnsi="宋体" w:cs="宋体"/>
                <w:kern w:val="0"/>
                <w:sz w:val="22"/>
              </w:rPr>
              <w:br w:type="textWrapping"/>
            </w:r>
            <w:r>
              <w:rPr>
                <w:rFonts w:hint="eastAsia" w:ascii="宋体" w:hAnsi="宋体" w:cs="宋体"/>
                <w:kern w:val="0"/>
                <w:sz w:val="22"/>
              </w:rPr>
              <w:t>2、无锐角无利边设计，有效防止师生碰伤、划伤。</w:t>
            </w:r>
            <w:r>
              <w:rPr>
                <w:rFonts w:hint="eastAsia" w:ascii="宋体" w:hAnsi="宋体" w:cs="宋体"/>
                <w:kern w:val="0"/>
                <w:sz w:val="22"/>
              </w:rPr>
              <w:br w:type="textWrapping"/>
            </w:r>
            <w:r>
              <w:rPr>
                <w:rFonts w:hint="eastAsia" w:ascii="宋体" w:hAnsi="宋体" w:cs="宋体"/>
                <w:kern w:val="0"/>
                <w:sz w:val="22"/>
              </w:rPr>
              <w:t>3、采用三折叠开合式托板，展开后托板尺寸≥A4面积，收起时小巧不占空间，高效利用挂墙面积。</w:t>
            </w:r>
            <w:r>
              <w:rPr>
                <w:rFonts w:hint="eastAsia" w:ascii="宋体" w:hAnsi="宋体" w:cs="宋体"/>
                <w:kern w:val="0"/>
                <w:sz w:val="22"/>
              </w:rPr>
              <w:br w:type="textWrapping"/>
            </w:r>
            <w:r>
              <w:rPr>
                <w:rFonts w:hint="eastAsia" w:ascii="宋体" w:hAnsi="宋体" w:cs="宋体"/>
                <w:kern w:val="0"/>
                <w:sz w:val="22"/>
              </w:rPr>
              <w:t>4、采用USB高速接口，单根USB线实现供电、高清数据传输需求。</w:t>
            </w:r>
            <w:r>
              <w:rPr>
                <w:rFonts w:hint="eastAsia" w:ascii="宋体" w:hAnsi="宋体" w:cs="宋体"/>
                <w:kern w:val="0"/>
                <w:sz w:val="22"/>
              </w:rPr>
              <w:br w:type="textWrapping"/>
            </w:r>
            <w:r>
              <w:rPr>
                <w:rFonts w:hint="eastAsia" w:ascii="宋体" w:hAnsi="宋体" w:cs="宋体"/>
                <w:kern w:val="0"/>
                <w:sz w:val="22"/>
              </w:rPr>
              <w:t>▲5、采用≥1200W像素自动对焦摄像头，可拍摄A4画幅。</w:t>
            </w:r>
            <w:r>
              <w:rPr>
                <w:rFonts w:hint="eastAsia" w:ascii="宋体" w:hAnsi="宋体" w:cs="宋体"/>
                <w:kern w:val="0"/>
                <w:sz w:val="22"/>
              </w:rPr>
              <w:br w:type="textWrapping"/>
            </w:r>
            <w:r>
              <w:rPr>
                <w:rFonts w:hint="eastAsia" w:ascii="宋体" w:hAnsi="宋体" w:cs="宋体"/>
                <w:kern w:val="0"/>
                <w:sz w:val="22"/>
              </w:rPr>
              <w:t>6、支持通过双击屏幕画面任意位置，即时改变对焦位置，可对立体物体的局部进行精确对焦。</w:t>
            </w:r>
            <w:r>
              <w:rPr>
                <w:rFonts w:hint="eastAsia" w:ascii="宋体" w:hAnsi="宋体" w:cs="宋体"/>
                <w:kern w:val="0"/>
                <w:sz w:val="22"/>
              </w:rPr>
              <w:br w:type="textWrapping"/>
            </w:r>
            <w:r>
              <w:rPr>
                <w:rFonts w:hint="eastAsia" w:ascii="宋体" w:hAnsi="宋体" w:cs="宋体"/>
                <w:kern w:val="0"/>
                <w:sz w:val="22"/>
              </w:rPr>
              <w:t>▲7、展台按键采用电容式触摸按键，可实现一键启动展台画面、画面放大、画面缩小、画面旋转、拍照截图等功能，同时也支持在展台软件上进行同样的操作。</w:t>
            </w:r>
            <w:r>
              <w:rPr>
                <w:rFonts w:hint="eastAsia" w:ascii="宋体" w:hAnsi="宋体" w:cs="宋体"/>
                <w:kern w:val="0"/>
                <w:sz w:val="22"/>
              </w:rPr>
              <w:br w:type="textWrapping"/>
            </w:r>
            <w:r>
              <w:rPr>
                <w:rFonts w:hint="eastAsia" w:ascii="宋体" w:hAnsi="宋体" w:cs="宋体"/>
                <w:kern w:val="0"/>
                <w:sz w:val="22"/>
              </w:rPr>
              <w:t>二、展台软件</w:t>
            </w:r>
            <w:r>
              <w:rPr>
                <w:rFonts w:hint="eastAsia" w:ascii="宋体" w:hAnsi="宋体" w:cs="宋体"/>
                <w:kern w:val="0"/>
                <w:sz w:val="22"/>
              </w:rPr>
              <w:br w:type="textWrapping"/>
            </w:r>
            <w:r>
              <w:rPr>
                <w:rFonts w:hint="eastAsia" w:ascii="宋体" w:hAnsi="宋体" w:cs="宋体"/>
                <w:kern w:val="0"/>
                <w:sz w:val="22"/>
              </w:rPr>
              <w:t>▲1、支持对展台实时画面进行放大、缩小、旋转、自适应、冻结画面等操作。</w:t>
            </w:r>
            <w:r>
              <w:rPr>
                <w:rFonts w:hint="eastAsia" w:ascii="宋体" w:hAnsi="宋体" w:cs="宋体"/>
                <w:kern w:val="0"/>
                <w:sz w:val="22"/>
              </w:rPr>
              <w:br w:type="textWrapping"/>
            </w:r>
            <w:r>
              <w:rPr>
                <w:rFonts w:hint="eastAsia" w:ascii="宋体" w:hAnsi="宋体" w:cs="宋体"/>
                <w:kern w:val="0"/>
                <w:sz w:val="22"/>
              </w:rPr>
              <w:t>2、支持展台画面实时批注，预设多种笔划粗细及颜色供选择，且支持对展台画面联同批注内容进行同步缩放、移动。</w:t>
            </w:r>
            <w:r>
              <w:rPr>
                <w:rFonts w:hint="eastAsia" w:ascii="宋体" w:hAnsi="宋体" w:cs="宋体"/>
                <w:kern w:val="0"/>
                <w:sz w:val="22"/>
              </w:rPr>
              <w:br w:type="textWrapping"/>
            </w:r>
            <w:r>
              <w:rPr>
                <w:rFonts w:hint="eastAsia" w:ascii="宋体" w:hAnsi="宋体" w:cs="宋体"/>
                <w:kern w:val="0"/>
                <w:sz w:val="22"/>
              </w:rPr>
              <w:t>3、支持展台画面拍照截图并进行多图预览，可对任一图片进行全屏显示。</w:t>
            </w:r>
            <w:r>
              <w:rPr>
                <w:rFonts w:hint="eastAsia" w:ascii="宋体" w:hAnsi="宋体" w:cs="宋体"/>
                <w:kern w:val="0"/>
                <w:sz w:val="22"/>
              </w:rPr>
              <w:br w:type="textWrapping"/>
            </w:r>
            <w:r>
              <w:rPr>
                <w:rFonts w:hint="eastAsia" w:ascii="宋体" w:hAnsi="宋体" w:cs="宋体"/>
                <w:kern w:val="0"/>
                <w:sz w:val="22"/>
              </w:rPr>
              <w:t>4、老师可在一体机或电脑上选择延时拍照功能，支持5秒或10秒延时模式，预留充足时间以便调整拍摄内容。</w:t>
            </w:r>
            <w:r>
              <w:rPr>
                <w:rFonts w:hint="eastAsia" w:ascii="宋体" w:hAnsi="宋体" w:cs="宋体"/>
                <w:kern w:val="0"/>
                <w:sz w:val="22"/>
              </w:rPr>
              <w:br w:type="textWrapping"/>
            </w:r>
            <w:r>
              <w:rPr>
                <w:rFonts w:hint="eastAsia" w:ascii="宋体" w:hAnsi="宋体" w:cs="宋体"/>
                <w:kern w:val="0"/>
                <w:sz w:val="22"/>
              </w:rPr>
              <w:t>5、可选择图像、文本或动态等多种情景模式，适应不同展示内容。</w:t>
            </w:r>
            <w:r>
              <w:rPr>
                <w:rFonts w:hint="eastAsia" w:ascii="宋体" w:hAnsi="宋体" w:cs="宋体"/>
                <w:kern w:val="0"/>
                <w:sz w:val="22"/>
              </w:rPr>
              <w:br w:type="textWrapping"/>
            </w:r>
            <w:r>
              <w:rPr>
                <w:rFonts w:hint="eastAsia" w:ascii="宋体" w:hAnsi="宋体" w:cs="宋体"/>
                <w:kern w:val="0"/>
                <w:sz w:val="22"/>
              </w:rPr>
              <w:t>6、支持故障自动检测，在软件无法出现展台拍摄画面时，自动出现检测链接，帮助用户检测“无画面”的原因，并给出引导性解决方案。可判断硬件连接、显卡驱动、摄像头占用、软件版本等问题</w:t>
            </w:r>
            <w:r>
              <w:rPr>
                <w:rFonts w:hint="eastAsia" w:ascii="宋体" w:hAnsi="宋体" w:cs="宋体"/>
                <w:kern w:val="0"/>
                <w:sz w:val="22"/>
              </w:rPr>
              <w:br w:type="textWrapping"/>
            </w:r>
            <w:r>
              <w:rPr>
                <w:rFonts w:hint="eastAsia" w:ascii="宋体" w:hAnsi="宋体" w:cs="宋体"/>
                <w:kern w:val="0"/>
                <w:sz w:val="22"/>
              </w:rPr>
              <w:t>7、支持二维码扫码功能：打开扫一扫功能后，将书本上的二维码放入扫描框内即可自动扫描，并进入系统浏览器获取二维码的链接内容，帮助老师快速获取电子教学资源。</w:t>
            </w:r>
          </w:p>
        </w:tc>
        <w:tc>
          <w:tcPr>
            <w:tcW w:w="462" w:type="dxa"/>
            <w:shd w:val="clear" w:color="auto" w:fill="auto"/>
            <w:noWrap/>
            <w:vAlign w:val="center"/>
          </w:tcPr>
          <w:p w14:paraId="74270261">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17934372">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078F17CD">
            <w:pPr>
              <w:widowControl/>
              <w:jc w:val="left"/>
              <w:rPr>
                <w:rFonts w:ascii="宋体" w:hAnsi="宋体" w:cs="宋体"/>
                <w:kern w:val="0"/>
                <w:sz w:val="22"/>
              </w:rPr>
            </w:pPr>
            <w:r>
              <w:rPr>
                <w:rFonts w:hint="eastAsia" w:ascii="宋体" w:hAnsi="宋体" w:cs="宋体"/>
                <w:kern w:val="0"/>
                <w:sz w:val="22"/>
              </w:rPr>
              <w:t>900</w:t>
            </w:r>
          </w:p>
        </w:tc>
        <w:tc>
          <w:tcPr>
            <w:tcW w:w="1489" w:type="dxa"/>
            <w:shd w:val="clear" w:color="auto" w:fill="auto"/>
            <w:noWrap/>
            <w:vAlign w:val="center"/>
          </w:tcPr>
          <w:p w14:paraId="1790CD78">
            <w:pPr>
              <w:widowControl/>
              <w:jc w:val="left"/>
              <w:rPr>
                <w:rFonts w:ascii="宋体" w:hAnsi="宋体" w:cs="宋体"/>
                <w:kern w:val="0"/>
                <w:sz w:val="22"/>
              </w:rPr>
            </w:pPr>
            <w:r>
              <w:rPr>
                <w:rFonts w:hint="eastAsia" w:ascii="宋体" w:hAnsi="宋体" w:cs="宋体"/>
                <w:kern w:val="0"/>
                <w:sz w:val="22"/>
              </w:rPr>
              <w:t>900</w:t>
            </w:r>
          </w:p>
        </w:tc>
      </w:tr>
      <w:tr w14:paraId="369F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19D252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w:t>
            </w:r>
          </w:p>
        </w:tc>
        <w:tc>
          <w:tcPr>
            <w:tcW w:w="1072" w:type="dxa"/>
            <w:shd w:val="clear" w:color="auto" w:fill="auto"/>
            <w:vAlign w:val="center"/>
          </w:tcPr>
          <w:p w14:paraId="64A737FC">
            <w:pPr>
              <w:widowControl/>
              <w:jc w:val="left"/>
              <w:rPr>
                <w:rFonts w:ascii="宋体" w:hAnsi="宋体" w:cs="宋体"/>
                <w:kern w:val="0"/>
                <w:sz w:val="22"/>
              </w:rPr>
            </w:pPr>
            <w:r>
              <w:rPr>
                <w:rFonts w:hint="eastAsia" w:ascii="宋体" w:hAnsi="宋体" w:cs="宋体"/>
                <w:kern w:val="0"/>
                <w:sz w:val="22"/>
              </w:rPr>
              <w:t>推拉黑板</w:t>
            </w:r>
          </w:p>
        </w:tc>
        <w:tc>
          <w:tcPr>
            <w:tcW w:w="4897" w:type="dxa"/>
            <w:shd w:val="clear" w:color="auto" w:fill="auto"/>
            <w:vAlign w:val="center"/>
          </w:tcPr>
          <w:p w14:paraId="7E1BB12F">
            <w:pPr>
              <w:widowControl/>
              <w:jc w:val="left"/>
              <w:rPr>
                <w:rFonts w:ascii="宋体" w:hAnsi="宋体" w:cs="宋体"/>
                <w:kern w:val="0"/>
                <w:sz w:val="22"/>
              </w:rPr>
            </w:pPr>
            <w:r>
              <w:rPr>
                <w:rFonts w:hint="eastAsia" w:ascii="宋体" w:hAnsi="宋体" w:cs="宋体"/>
                <w:kern w:val="0"/>
                <w:sz w:val="22"/>
              </w:rPr>
              <w:t>1、结构：推拉板由大框及四块同等大小的书写板组装而成，书写板分内外双层结构，内层为两块固定书写板与液晶一体机正面平齐，外层为两块滑动书写板，滑动板配装刻有黑板品牌LOGO标识的挂锁，开闭自如确保液晶一体机的安全管理。（中标人提供图样，经使用人同意后方可实施）</w:t>
            </w:r>
            <w:r>
              <w:rPr>
                <w:rFonts w:hint="eastAsia" w:ascii="宋体" w:hAnsi="宋体" w:cs="宋体"/>
                <w:kern w:val="0"/>
                <w:sz w:val="22"/>
              </w:rPr>
              <w:br w:type="textWrapping"/>
            </w:r>
            <w:r>
              <w:rPr>
                <w:rFonts w:hint="eastAsia" w:ascii="宋体" w:hAnsi="宋体" w:cs="宋体"/>
                <w:kern w:val="0"/>
                <w:sz w:val="22"/>
              </w:rPr>
              <w:t>2、基本尺寸：≥4300mm×1300mm，可根据所配电子产品适当调整，确保与电子产品的有效配套。</w:t>
            </w:r>
            <w:r>
              <w:rPr>
                <w:rFonts w:hint="eastAsia" w:ascii="宋体" w:hAnsi="宋体" w:cs="宋体"/>
                <w:kern w:val="0"/>
                <w:sz w:val="22"/>
              </w:rPr>
              <w:br w:type="textWrapping"/>
            </w:r>
            <w:r>
              <w:rPr>
                <w:rFonts w:hint="eastAsia" w:ascii="宋体" w:hAnsi="宋体" w:cs="宋体"/>
                <w:kern w:val="0"/>
                <w:sz w:val="22"/>
              </w:rPr>
              <w:t>3、书写板面：采用280℃高温烤漆板面，具体面板颜色根据使用人要求定、亚光，厚度≥0.32mm，漆膜硬度6H，粗糙度Ra1.6-3.2um，光泽度≤6﹪，没有明显眩光，板面表面附有一层透明保护膜，符合GB/T 28231-2011《书写板安全卫生要求》（中标人提供图样，经使用人同意后方可实施）。</w:t>
            </w:r>
            <w:r>
              <w:rPr>
                <w:rFonts w:hint="eastAsia" w:ascii="宋体" w:hAnsi="宋体" w:cs="宋体"/>
                <w:kern w:val="0"/>
                <w:sz w:val="22"/>
              </w:rPr>
              <w:br w:type="textWrapping"/>
            </w:r>
            <w:r>
              <w:rPr>
                <w:rFonts w:hint="eastAsia" w:ascii="宋体" w:hAnsi="宋体" w:cs="宋体"/>
                <w:kern w:val="0"/>
                <w:sz w:val="22"/>
              </w:rPr>
              <w:t>4、内芯材料：高强度、吸音、聚苯乙烯泡沫板，采用国际适用工艺，书写无吱咔声，改善书写手感。</w:t>
            </w:r>
            <w:r>
              <w:rPr>
                <w:rFonts w:hint="eastAsia" w:ascii="宋体" w:hAnsi="宋体" w:cs="宋体"/>
                <w:kern w:val="0"/>
                <w:sz w:val="22"/>
              </w:rPr>
              <w:br w:type="textWrapping"/>
            </w:r>
            <w:r>
              <w:rPr>
                <w:rFonts w:hint="eastAsia" w:ascii="宋体" w:hAnsi="宋体" w:cs="宋体"/>
                <w:kern w:val="0"/>
                <w:sz w:val="22"/>
              </w:rPr>
              <w:t>5、背板：采用优质防锈热镀锌钢板，厚度≥0.25mm，流水线一次成型，间隔80mm压有20mm凹槽加强筋,确保均布承压不低于635N，凹槽造型美观、增加强度，更加耐用。</w:t>
            </w:r>
            <w:r>
              <w:rPr>
                <w:rFonts w:hint="eastAsia" w:ascii="宋体" w:hAnsi="宋体" w:cs="宋体"/>
                <w:kern w:val="0"/>
                <w:sz w:val="22"/>
              </w:rPr>
              <w:br w:type="textWrapping"/>
            </w:r>
            <w:r>
              <w:rPr>
                <w:rFonts w:hint="eastAsia" w:ascii="宋体" w:hAnsi="宋体" w:cs="宋体"/>
                <w:kern w:val="0"/>
                <w:sz w:val="22"/>
              </w:rPr>
              <w:t>6、板面与衬板粘贴：采用环保型双组份聚氨酯胶水1:1配置，使用自动化覆板流水线作业，喷胶、压固、切割下料一次成型，确保粘接牢固板面平整。</w:t>
            </w:r>
            <w:r>
              <w:rPr>
                <w:rFonts w:hint="eastAsia" w:ascii="宋体" w:hAnsi="宋体" w:cs="宋体"/>
                <w:kern w:val="0"/>
                <w:sz w:val="22"/>
              </w:rPr>
              <w:br w:type="textWrapping"/>
            </w:r>
            <w:r>
              <w:rPr>
                <w:rFonts w:hint="eastAsia" w:ascii="宋体" w:hAnsi="宋体" w:cs="宋体"/>
                <w:kern w:val="0"/>
                <w:sz w:val="22"/>
              </w:rPr>
              <w:t>7、边框：采用工业用高强度铝合金型材，电泳香槟色，模具挤压一次成型，上框规格57mm×100mm，左右框规格29mm×100mm，横（立）框采用双层加强结构，厚度≥15mm。轨道上置隐藏式平滑轮滑道，结构性解决滑轮受粉尘影响的情况，配有宽度≥30mm的粉尘槽，粉尘槽与滑动系统分离，与边框一次模具成形，防止粉尘垂直落地。</w:t>
            </w:r>
            <w:r>
              <w:rPr>
                <w:rFonts w:hint="eastAsia" w:ascii="宋体" w:hAnsi="宋体" w:cs="宋体"/>
                <w:kern w:val="0"/>
                <w:sz w:val="22"/>
              </w:rPr>
              <w:br w:type="textWrapping"/>
            </w:r>
            <w:r>
              <w:rPr>
                <w:rFonts w:hint="eastAsia" w:ascii="宋体" w:hAnsi="宋体" w:cs="宋体"/>
                <w:kern w:val="0"/>
                <w:sz w:val="22"/>
              </w:rPr>
              <w:t>8、包角材料：采用抗老化高强度ABS工程塑料注塑成型。规格：100mm×29mm×29mm◆，采用双壁成腔流线型设计，≥R25mm的圆角，正面带黑板品牌LOGO标识，无尖角毛刺，符合JY0001-2003《教学仪器设备产品一般质量要求》。</w:t>
            </w:r>
            <w:r>
              <w:rPr>
                <w:rFonts w:hint="eastAsia" w:ascii="宋体" w:hAnsi="宋体" w:cs="宋体"/>
                <w:kern w:val="0"/>
                <w:sz w:val="22"/>
              </w:rPr>
              <w:br w:type="textWrapping"/>
            </w:r>
            <w:r>
              <w:rPr>
                <w:rFonts w:hint="eastAsia" w:ascii="宋体" w:hAnsi="宋体" w:cs="宋体"/>
                <w:kern w:val="0"/>
                <w:sz w:val="22"/>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r>
              <w:rPr>
                <w:rFonts w:hint="eastAsia" w:ascii="宋体" w:hAnsi="宋体" w:cs="宋体"/>
                <w:kern w:val="0"/>
                <w:sz w:val="22"/>
              </w:rPr>
              <w:br w:type="textWrapping"/>
            </w:r>
            <w:r>
              <w:rPr>
                <w:rFonts w:hint="eastAsia" w:ascii="宋体" w:hAnsi="宋体" w:cs="宋体"/>
                <w:kern w:val="0"/>
                <w:sz w:val="22"/>
              </w:rPr>
              <w:t>10、除尘装置：外下框两侧各开一个直径25mm的圆孔，配置100*80mm的抽拉式粉尘盒，粉尘盒可拆卸清洁。</w:t>
            </w:r>
            <w:r>
              <w:rPr>
                <w:rFonts w:hint="eastAsia" w:ascii="宋体" w:hAnsi="宋体" w:cs="宋体"/>
                <w:kern w:val="0"/>
                <w:sz w:val="22"/>
              </w:rPr>
              <w:br w:type="textWrapping"/>
            </w:r>
            <w:r>
              <w:rPr>
                <w:rFonts w:hint="eastAsia" w:ascii="宋体" w:hAnsi="宋体" w:cs="宋体"/>
                <w:kern w:val="0"/>
                <w:sz w:val="22"/>
              </w:rPr>
              <w:t>11、限位档：黑板边框内部两侧安装滑动板限位档，防止活动黑板开启时撞击立框。</w:t>
            </w:r>
            <w:r>
              <w:rPr>
                <w:rFonts w:hint="eastAsia" w:ascii="宋体" w:hAnsi="宋体" w:cs="宋体"/>
                <w:kern w:val="0"/>
                <w:sz w:val="22"/>
              </w:rPr>
              <w:br w:type="textWrapping"/>
            </w:r>
            <w:r>
              <w:rPr>
                <w:rFonts w:hint="eastAsia" w:ascii="宋体" w:hAnsi="宋体" w:cs="宋体"/>
                <w:kern w:val="0"/>
                <w:sz w:val="22"/>
              </w:rPr>
              <w:t>12、易维护性：一体机上下配同色同质书写板，上下可根据一体机尺寸进行微调，两侧用H型边框与固定板配合，可自由拆装。使一体机不用拆整个黑板即可直接拆装维护，减少麻烦，延长使用寿命。</w:t>
            </w:r>
            <w:r>
              <w:rPr>
                <w:rFonts w:hint="eastAsia" w:ascii="宋体" w:hAnsi="宋体" w:cs="宋体"/>
                <w:kern w:val="0"/>
                <w:sz w:val="22"/>
              </w:rPr>
              <w:br w:type="textWrapping"/>
            </w:r>
            <w:r>
              <w:rPr>
                <w:rFonts w:hint="eastAsia" w:ascii="宋体" w:hAnsi="宋体" w:cs="宋体"/>
                <w:kern w:val="0"/>
                <w:sz w:val="22"/>
              </w:rPr>
              <w:t>13、安全性：一把锁实现对滑动黑板的锁定，钥匙通用，方便实用。</w:t>
            </w:r>
            <w:r>
              <w:rPr>
                <w:rFonts w:hint="eastAsia" w:ascii="宋体" w:hAnsi="宋体" w:cs="宋体"/>
                <w:kern w:val="0"/>
                <w:sz w:val="22"/>
              </w:rPr>
              <w:br w:type="textWrapping"/>
            </w:r>
            <w:r>
              <w:rPr>
                <w:rFonts w:hint="eastAsia" w:ascii="宋体" w:hAnsi="宋体" w:cs="宋体"/>
                <w:kern w:val="0"/>
                <w:sz w:val="22"/>
              </w:rPr>
              <w:t>14、根据所选黑板，提供书写耗材一套：</w:t>
            </w:r>
            <w:r>
              <w:rPr>
                <w:rFonts w:hint="eastAsia" w:ascii="宋体" w:hAnsi="宋体" w:cs="宋体"/>
                <w:kern w:val="0"/>
                <w:sz w:val="22"/>
              </w:rPr>
              <w:br w:type="textWrapping"/>
            </w:r>
            <w:r>
              <w:rPr>
                <w:rFonts w:hint="eastAsia" w:ascii="宋体" w:hAnsi="宋体" w:cs="宋体"/>
                <w:kern w:val="0"/>
                <w:sz w:val="22"/>
              </w:rPr>
              <w:t>（1）不同颜色的水溶性粉笔各一盒，盒装≥20支/盒；专用笔套≥2支；清洗装置≥1套，专用板擦≥1个。</w:t>
            </w:r>
            <w:r>
              <w:rPr>
                <w:rFonts w:hint="eastAsia" w:ascii="宋体" w:hAnsi="宋体" w:cs="宋体"/>
                <w:kern w:val="0"/>
                <w:sz w:val="22"/>
              </w:rPr>
              <w:br w:type="textWrapping"/>
            </w:r>
            <w:r>
              <w:rPr>
                <w:rFonts w:hint="eastAsia" w:ascii="宋体" w:hAnsi="宋体" w:cs="宋体"/>
                <w:kern w:val="0"/>
                <w:sz w:val="22"/>
              </w:rPr>
              <w:t>或者</w:t>
            </w:r>
            <w:r>
              <w:rPr>
                <w:rFonts w:hint="eastAsia" w:ascii="宋体" w:hAnsi="宋体" w:cs="宋体"/>
                <w:kern w:val="0"/>
                <w:sz w:val="22"/>
              </w:rPr>
              <w:br w:type="textWrapping"/>
            </w:r>
            <w:r>
              <w:rPr>
                <w:rFonts w:hint="eastAsia" w:ascii="宋体" w:hAnsi="宋体" w:cs="宋体"/>
                <w:kern w:val="0"/>
                <w:sz w:val="22"/>
              </w:rPr>
              <w:t>（2）新型成膜墨水笔≥3支（红色蓝色黑色各1支）；环保墨水≥3瓶（红色蓝色黑色各1瓶），墨水容量每瓶100ml；板擦≥1个；黑板专用清洁毛巾 ≥1条。</w:t>
            </w:r>
          </w:p>
        </w:tc>
        <w:tc>
          <w:tcPr>
            <w:tcW w:w="462" w:type="dxa"/>
            <w:shd w:val="clear" w:color="auto" w:fill="auto"/>
            <w:noWrap/>
            <w:vAlign w:val="center"/>
          </w:tcPr>
          <w:p w14:paraId="076954D5">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6EE8337C">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5D0C2085">
            <w:pPr>
              <w:widowControl/>
              <w:jc w:val="left"/>
              <w:rPr>
                <w:rFonts w:ascii="宋体" w:hAnsi="宋体" w:cs="宋体"/>
                <w:kern w:val="0"/>
                <w:sz w:val="22"/>
              </w:rPr>
            </w:pPr>
            <w:r>
              <w:rPr>
                <w:rFonts w:hint="eastAsia" w:ascii="宋体" w:hAnsi="宋体" w:cs="宋体"/>
                <w:kern w:val="0"/>
                <w:sz w:val="22"/>
              </w:rPr>
              <w:t>1300</w:t>
            </w:r>
          </w:p>
        </w:tc>
        <w:tc>
          <w:tcPr>
            <w:tcW w:w="1489" w:type="dxa"/>
            <w:shd w:val="clear" w:color="auto" w:fill="auto"/>
            <w:noWrap/>
            <w:vAlign w:val="center"/>
          </w:tcPr>
          <w:p w14:paraId="35486D8D">
            <w:pPr>
              <w:widowControl/>
              <w:jc w:val="left"/>
              <w:rPr>
                <w:rFonts w:ascii="宋体" w:hAnsi="宋体" w:cs="宋体"/>
                <w:kern w:val="0"/>
                <w:sz w:val="22"/>
              </w:rPr>
            </w:pPr>
            <w:r>
              <w:rPr>
                <w:rFonts w:hint="eastAsia" w:ascii="宋体" w:hAnsi="宋体" w:cs="宋体"/>
                <w:kern w:val="0"/>
                <w:sz w:val="22"/>
              </w:rPr>
              <w:t>1300</w:t>
            </w:r>
          </w:p>
        </w:tc>
      </w:tr>
      <w:tr w14:paraId="4C73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239A46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w:t>
            </w:r>
          </w:p>
        </w:tc>
        <w:tc>
          <w:tcPr>
            <w:tcW w:w="1072" w:type="dxa"/>
            <w:shd w:val="clear" w:color="auto" w:fill="auto"/>
            <w:vAlign w:val="center"/>
          </w:tcPr>
          <w:p w14:paraId="186512FC">
            <w:pPr>
              <w:widowControl/>
              <w:jc w:val="left"/>
              <w:rPr>
                <w:rFonts w:ascii="宋体" w:hAnsi="宋体" w:cs="宋体"/>
                <w:kern w:val="0"/>
                <w:sz w:val="22"/>
              </w:rPr>
            </w:pPr>
            <w:r>
              <w:rPr>
                <w:rFonts w:hint="eastAsia" w:ascii="宋体" w:hAnsi="宋体" w:cs="宋体"/>
                <w:kern w:val="0"/>
                <w:sz w:val="22"/>
              </w:rPr>
              <w:t>音响话筒</w:t>
            </w:r>
          </w:p>
        </w:tc>
        <w:tc>
          <w:tcPr>
            <w:tcW w:w="4897" w:type="dxa"/>
            <w:shd w:val="clear" w:color="auto" w:fill="auto"/>
            <w:vAlign w:val="center"/>
          </w:tcPr>
          <w:p w14:paraId="789601EB">
            <w:pPr>
              <w:widowControl/>
              <w:jc w:val="left"/>
              <w:rPr>
                <w:rFonts w:ascii="宋体" w:hAnsi="宋体" w:cs="宋体"/>
                <w:kern w:val="0"/>
                <w:sz w:val="22"/>
              </w:rPr>
            </w:pPr>
            <w:r>
              <w:rPr>
                <w:rFonts w:hint="eastAsia" w:ascii="宋体" w:hAnsi="宋体" w:cs="宋体"/>
                <w:kern w:val="0"/>
                <w:sz w:val="22"/>
              </w:rPr>
              <w:t>一、音箱</w:t>
            </w:r>
            <w:r>
              <w:rPr>
                <w:rFonts w:hint="eastAsia" w:ascii="宋体" w:hAnsi="宋体" w:cs="宋体"/>
                <w:kern w:val="0"/>
                <w:sz w:val="22"/>
              </w:rPr>
              <w:br w:type="textWrapping"/>
            </w:r>
            <w:r>
              <w:rPr>
                <w:rFonts w:hint="eastAsia" w:ascii="宋体" w:hAnsi="宋体" w:cs="宋体"/>
                <w:kern w:val="0"/>
                <w:sz w:val="22"/>
              </w:rPr>
              <w:t>▲1、采用功放与有源音箱一体化设计，内置麦克风无线接收模块。</w:t>
            </w:r>
            <w:r>
              <w:rPr>
                <w:rFonts w:hint="eastAsia" w:ascii="宋体" w:hAnsi="宋体" w:cs="宋体"/>
                <w:kern w:val="0"/>
                <w:sz w:val="22"/>
              </w:rPr>
              <w:br w:type="textWrapping"/>
            </w:r>
            <w:r>
              <w:rPr>
                <w:rFonts w:hint="eastAsia" w:ascii="宋体" w:hAnsi="宋体" w:cs="宋体"/>
                <w:kern w:val="0"/>
                <w:sz w:val="22"/>
              </w:rPr>
              <w:t>2、双音箱有线连接，机箱采用塑胶材质，保护设备免受环境影响。</w:t>
            </w:r>
            <w:r>
              <w:rPr>
                <w:rFonts w:hint="eastAsia" w:ascii="宋体" w:hAnsi="宋体" w:cs="宋体"/>
                <w:kern w:val="0"/>
                <w:sz w:val="22"/>
              </w:rPr>
              <w:br w:type="textWrapping"/>
            </w:r>
            <w:r>
              <w:rPr>
                <w:rFonts w:hint="eastAsia" w:ascii="宋体" w:hAnsi="宋体" w:cs="宋体"/>
                <w:kern w:val="0"/>
                <w:sz w:val="22"/>
              </w:rPr>
              <w:t>3、输出额定功率: 2*15W，喇叭单元尺寸≥5寸。</w:t>
            </w:r>
            <w:r>
              <w:rPr>
                <w:rFonts w:hint="eastAsia" w:ascii="宋体" w:hAnsi="宋体" w:cs="宋体"/>
                <w:kern w:val="0"/>
                <w:sz w:val="22"/>
              </w:rPr>
              <w:br w:type="textWrapping"/>
            </w:r>
            <w:r>
              <w:rPr>
                <w:rFonts w:hint="eastAsia" w:ascii="宋体" w:hAnsi="宋体" w:cs="宋体"/>
                <w:kern w:val="0"/>
                <w:sz w:val="22"/>
              </w:rPr>
              <w:t>4、端口：220V电源接口*1、Line in*1、USB*1。</w:t>
            </w:r>
            <w:r>
              <w:rPr>
                <w:rFonts w:hint="eastAsia" w:ascii="宋体" w:hAnsi="宋体" w:cs="宋体"/>
                <w:kern w:val="0"/>
                <w:sz w:val="22"/>
              </w:rPr>
              <w:br w:type="textWrapping"/>
            </w:r>
            <w:r>
              <w:rPr>
                <w:rFonts w:hint="eastAsia" w:ascii="宋体" w:hAnsi="宋体" w:cs="宋体"/>
                <w:kern w:val="0"/>
                <w:sz w:val="22"/>
              </w:rPr>
              <w:t>5、麦克风和功放音箱之间采用数字U段传输技术，有效避免环境中2.4G信号干扰，例如蓝牙及WIFI设备。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6、配置独立音频数字信号处理芯片，支持啸叫抑制功能。</w:t>
            </w:r>
            <w:r>
              <w:rPr>
                <w:rFonts w:hint="eastAsia" w:ascii="宋体" w:hAnsi="宋体" w:cs="宋体"/>
                <w:kern w:val="0"/>
                <w:sz w:val="22"/>
              </w:rPr>
              <w:br w:type="textWrapping"/>
            </w:r>
            <w:r>
              <w:rPr>
                <w:rFonts w:hint="eastAsia" w:ascii="宋体" w:hAnsi="宋体" w:cs="宋体"/>
                <w:kern w:val="0"/>
                <w:sz w:val="22"/>
              </w:rPr>
              <w:t>7、支持教师扩声和输入音源叠加输出，可对接录播系统实现教师扩声音频的纯净采集，避免环境杂音干扰采集效果。</w:t>
            </w:r>
            <w:r>
              <w:rPr>
                <w:rFonts w:hint="eastAsia" w:ascii="宋体" w:hAnsi="宋体" w:cs="宋体"/>
                <w:kern w:val="0"/>
                <w:sz w:val="22"/>
              </w:rPr>
              <w:br w:type="textWrapping"/>
            </w:r>
            <w:r>
              <w:rPr>
                <w:rFonts w:hint="eastAsia" w:ascii="宋体" w:hAnsi="宋体" w:cs="宋体"/>
                <w:kern w:val="0"/>
                <w:sz w:val="22"/>
              </w:rPr>
              <w:t>二、无线麦克风</w:t>
            </w:r>
            <w:r>
              <w:rPr>
                <w:rFonts w:hint="eastAsia" w:ascii="宋体" w:hAnsi="宋体" w:cs="宋体"/>
                <w:kern w:val="0"/>
                <w:sz w:val="22"/>
              </w:rPr>
              <w:br w:type="textWrapping"/>
            </w:r>
            <w:r>
              <w:rPr>
                <w:rFonts w:hint="eastAsia" w:ascii="宋体" w:hAnsi="宋体" w:cs="宋体"/>
                <w:kern w:val="0"/>
                <w:sz w:val="22"/>
              </w:rPr>
              <w:t>▲1、无线麦克风集音频发射处理器、天线、电池、拾音麦克风于一体，配合一体化有源音箱，无需任何外接辅助设备即可实现本地扩声功能。</w:t>
            </w:r>
            <w:r>
              <w:rPr>
                <w:rFonts w:hint="eastAsia" w:ascii="宋体" w:hAnsi="宋体" w:cs="宋体"/>
                <w:kern w:val="0"/>
                <w:sz w:val="22"/>
              </w:rPr>
              <w:br w:type="textWrapping"/>
            </w:r>
            <w:r>
              <w:rPr>
                <w:rFonts w:hint="eastAsia" w:ascii="宋体" w:hAnsi="宋体" w:cs="宋体"/>
                <w:kern w:val="0"/>
                <w:sz w:val="22"/>
              </w:rPr>
              <w:t>2、采用U段传输，有效避免环境中2.4G信号干扰，例如蓝牙及WIFI设备。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3、采用红外对码方式连接，避免连接到其他教室音箱。可在2s内快速完成与教学扩声音箱对码，无需繁琐操作。</w:t>
            </w:r>
            <w:r>
              <w:rPr>
                <w:rFonts w:hint="eastAsia" w:ascii="宋体" w:hAnsi="宋体" w:cs="宋体"/>
                <w:kern w:val="0"/>
                <w:sz w:val="22"/>
              </w:rPr>
              <w:br w:type="textWrapping"/>
            </w:r>
            <w:r>
              <w:rPr>
                <w:rFonts w:hint="eastAsia" w:ascii="宋体" w:hAnsi="宋体" w:cs="宋体"/>
                <w:kern w:val="0"/>
                <w:sz w:val="22"/>
              </w:rPr>
              <w:t>4、配合USB麦克风接收器连接一体机，具备翻页键功能，可远程操控一体机设备进行课件软件翻页功能。</w:t>
            </w:r>
            <w:r>
              <w:rPr>
                <w:rFonts w:hint="eastAsia" w:ascii="宋体" w:hAnsi="宋体" w:cs="宋体"/>
                <w:kern w:val="0"/>
                <w:sz w:val="22"/>
              </w:rPr>
              <w:br w:type="textWrapping"/>
            </w:r>
            <w:r>
              <w:rPr>
                <w:rFonts w:hint="eastAsia" w:ascii="宋体" w:hAnsi="宋体" w:cs="宋体"/>
                <w:kern w:val="0"/>
                <w:sz w:val="22"/>
              </w:rPr>
              <w:t>5、配合USB接收器连接一体机，可通过一体机对老师的声音进行录制。</w:t>
            </w:r>
            <w:r>
              <w:rPr>
                <w:rFonts w:hint="eastAsia" w:ascii="宋体" w:hAnsi="宋体" w:cs="宋体"/>
                <w:kern w:val="0"/>
                <w:sz w:val="22"/>
              </w:rPr>
              <w:br w:type="textWrapping"/>
            </w:r>
            <w:r>
              <w:rPr>
                <w:rFonts w:hint="eastAsia" w:ascii="宋体" w:hAnsi="宋体" w:cs="宋体"/>
                <w:kern w:val="0"/>
                <w:sz w:val="22"/>
              </w:rPr>
              <w:t>6、采用触点磁吸式充电方式，充电10分钟，可扩音80分钟。</w:t>
            </w:r>
            <w:r>
              <w:rPr>
                <w:rFonts w:hint="eastAsia" w:ascii="宋体" w:hAnsi="宋体" w:cs="宋体"/>
                <w:kern w:val="0"/>
                <w:sz w:val="22"/>
              </w:rPr>
              <w:br w:type="textWrapping"/>
            </w:r>
            <w:r>
              <w:rPr>
                <w:rFonts w:hint="eastAsia" w:ascii="宋体" w:hAnsi="宋体" w:cs="宋体"/>
                <w:kern w:val="0"/>
                <w:sz w:val="22"/>
              </w:rPr>
              <w:t>7、具备磁吸式触点接口，与充电接口复用，保证整机的整洁、平整性，无易损的插入式接口。</w:t>
            </w:r>
            <w:r>
              <w:rPr>
                <w:rFonts w:hint="eastAsia" w:ascii="宋体" w:hAnsi="宋体" w:cs="宋体"/>
                <w:kern w:val="0"/>
                <w:sz w:val="22"/>
              </w:rPr>
              <w:br w:type="textWrapping"/>
            </w:r>
            <w:r>
              <w:rPr>
                <w:rFonts w:hint="eastAsia" w:ascii="宋体" w:hAnsi="宋体" w:cs="宋体"/>
                <w:kern w:val="0"/>
                <w:sz w:val="22"/>
              </w:rPr>
              <w:t>8、无遮挡情况下，有效工作距离≥10米，保证全教室覆盖。</w:t>
            </w:r>
          </w:p>
        </w:tc>
        <w:tc>
          <w:tcPr>
            <w:tcW w:w="462" w:type="dxa"/>
            <w:shd w:val="clear" w:color="auto" w:fill="auto"/>
            <w:noWrap/>
            <w:vAlign w:val="center"/>
          </w:tcPr>
          <w:p w14:paraId="2DD4934D">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4F23BF6C">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297372E5">
            <w:pPr>
              <w:widowControl/>
              <w:jc w:val="left"/>
              <w:rPr>
                <w:rFonts w:ascii="宋体" w:hAnsi="宋体" w:cs="宋体"/>
                <w:kern w:val="0"/>
                <w:sz w:val="22"/>
              </w:rPr>
            </w:pPr>
            <w:r>
              <w:rPr>
                <w:rFonts w:hint="eastAsia" w:ascii="宋体" w:hAnsi="宋体" w:cs="宋体"/>
                <w:kern w:val="0"/>
                <w:sz w:val="22"/>
              </w:rPr>
              <w:t>1300</w:t>
            </w:r>
          </w:p>
        </w:tc>
        <w:tc>
          <w:tcPr>
            <w:tcW w:w="1489" w:type="dxa"/>
            <w:shd w:val="clear" w:color="auto" w:fill="auto"/>
            <w:noWrap/>
            <w:vAlign w:val="center"/>
          </w:tcPr>
          <w:p w14:paraId="4D0B7ACE">
            <w:pPr>
              <w:widowControl/>
              <w:jc w:val="left"/>
              <w:rPr>
                <w:rFonts w:ascii="宋体" w:hAnsi="宋体" w:cs="宋体"/>
                <w:kern w:val="0"/>
                <w:sz w:val="22"/>
              </w:rPr>
            </w:pPr>
            <w:r>
              <w:rPr>
                <w:rFonts w:hint="eastAsia" w:ascii="宋体" w:hAnsi="宋体" w:cs="宋体"/>
                <w:kern w:val="0"/>
                <w:sz w:val="22"/>
              </w:rPr>
              <w:t>1300</w:t>
            </w:r>
          </w:p>
        </w:tc>
      </w:tr>
      <w:tr w14:paraId="2CE5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5A6B26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w:t>
            </w:r>
          </w:p>
        </w:tc>
        <w:tc>
          <w:tcPr>
            <w:tcW w:w="1072" w:type="dxa"/>
            <w:shd w:val="clear" w:color="auto" w:fill="auto"/>
            <w:vAlign w:val="center"/>
          </w:tcPr>
          <w:p w14:paraId="1717BDCA">
            <w:pPr>
              <w:widowControl/>
              <w:jc w:val="left"/>
              <w:rPr>
                <w:rFonts w:ascii="宋体" w:hAnsi="宋体" w:cs="宋体"/>
                <w:kern w:val="0"/>
                <w:sz w:val="22"/>
              </w:rPr>
            </w:pPr>
            <w:r>
              <w:rPr>
                <w:rFonts w:hint="eastAsia" w:ascii="宋体" w:hAnsi="宋体" w:cs="宋体"/>
                <w:kern w:val="0"/>
                <w:sz w:val="22"/>
              </w:rPr>
              <w:t>教辅设备</w:t>
            </w:r>
          </w:p>
        </w:tc>
        <w:tc>
          <w:tcPr>
            <w:tcW w:w="4897" w:type="dxa"/>
            <w:shd w:val="clear" w:color="auto" w:fill="auto"/>
            <w:vAlign w:val="center"/>
          </w:tcPr>
          <w:p w14:paraId="04D8BF3C">
            <w:pPr>
              <w:widowControl/>
              <w:jc w:val="left"/>
              <w:rPr>
                <w:rFonts w:ascii="宋体" w:hAnsi="宋体" w:cs="宋体"/>
                <w:kern w:val="0"/>
                <w:sz w:val="22"/>
              </w:rPr>
            </w:pPr>
            <w:r>
              <w:rPr>
                <w:rFonts w:hint="eastAsia" w:ascii="宋体" w:hAnsi="宋体" w:cs="宋体"/>
                <w:kern w:val="0"/>
                <w:sz w:val="22"/>
              </w:rPr>
              <w:t>1、电子教鞭×2支：</w:t>
            </w:r>
            <w:r>
              <w:rPr>
                <w:rFonts w:hint="eastAsia" w:ascii="宋体" w:hAnsi="宋体" w:cs="宋体"/>
                <w:kern w:val="0"/>
                <w:sz w:val="22"/>
              </w:rPr>
              <w:br w:type="textWrapping"/>
            </w:r>
            <w:r>
              <w:rPr>
                <w:rFonts w:hint="eastAsia" w:ascii="宋体" w:hAnsi="宋体" w:cs="宋体"/>
                <w:kern w:val="0"/>
                <w:sz w:val="22"/>
              </w:rPr>
              <w:t>▲（1）采用笔型设计，具有三个遥控按键（上下翻页和功能键），既可用于触摸书写，也可用于远程操控。</w:t>
            </w:r>
            <w:r>
              <w:rPr>
                <w:rFonts w:hint="eastAsia" w:ascii="宋体" w:hAnsi="宋体" w:cs="宋体"/>
                <w:kern w:val="0"/>
                <w:sz w:val="22"/>
              </w:rPr>
              <w:br w:type="textWrapping"/>
            </w:r>
            <w:r>
              <w:rPr>
                <w:rFonts w:hint="eastAsia" w:ascii="宋体" w:hAnsi="宋体" w:cs="宋体"/>
                <w:kern w:val="0"/>
                <w:sz w:val="22"/>
              </w:rPr>
              <w:t>（2）采用2.4G无线连接技术，无线接收距离最大可达15米。</w:t>
            </w:r>
            <w:r>
              <w:rPr>
                <w:rFonts w:hint="eastAsia" w:ascii="宋体" w:hAnsi="宋体" w:cs="宋体"/>
                <w:kern w:val="0"/>
                <w:sz w:val="22"/>
              </w:rPr>
              <w:br w:type="textWrapping"/>
            </w:r>
            <w:r>
              <w:rPr>
                <w:rFonts w:hint="eastAsia" w:ascii="宋体" w:hAnsi="宋体" w:cs="宋体"/>
                <w:kern w:val="0"/>
                <w:sz w:val="22"/>
              </w:rPr>
              <w:t>（3）无线接收器采用微型nano设计，并能收纳在笔上。</w:t>
            </w:r>
            <w:r>
              <w:rPr>
                <w:rFonts w:hint="eastAsia" w:ascii="宋体" w:hAnsi="宋体" w:cs="宋体"/>
                <w:kern w:val="0"/>
                <w:sz w:val="22"/>
              </w:rPr>
              <w:br w:type="textWrapping"/>
            </w:r>
            <w:r>
              <w:rPr>
                <w:rFonts w:hint="eastAsia" w:ascii="宋体" w:hAnsi="宋体" w:cs="宋体"/>
                <w:kern w:val="0"/>
                <w:sz w:val="22"/>
              </w:rPr>
              <w:t>（4）使用单节7号电池驱动，并带自动休眠节电设计。</w:t>
            </w:r>
            <w:r>
              <w:rPr>
                <w:rFonts w:hint="eastAsia" w:ascii="宋体" w:hAnsi="宋体" w:cs="宋体"/>
                <w:kern w:val="0"/>
                <w:sz w:val="22"/>
              </w:rPr>
              <w:br w:type="textWrapping"/>
            </w:r>
            <w:r>
              <w:rPr>
                <w:rFonts w:hint="eastAsia" w:ascii="宋体" w:hAnsi="宋体" w:cs="宋体"/>
                <w:kern w:val="0"/>
                <w:sz w:val="22"/>
              </w:rPr>
              <w:t>▲（5）单接收器设计，android、windows双系统同时响应。只需安装一个接收器，双系统都能响应智能笔的操作指令。</w:t>
            </w:r>
            <w:r>
              <w:rPr>
                <w:rFonts w:hint="eastAsia" w:ascii="宋体" w:hAnsi="宋体" w:cs="宋体"/>
                <w:kern w:val="0"/>
                <w:sz w:val="22"/>
              </w:rPr>
              <w:br w:type="textWrapping"/>
            </w:r>
            <w:r>
              <w:rPr>
                <w:rFonts w:hint="eastAsia" w:ascii="宋体" w:hAnsi="宋体" w:cs="宋体"/>
                <w:kern w:val="0"/>
                <w:sz w:val="22"/>
              </w:rPr>
              <w:t>（6）支持白板课件、PPT、PDF等多种格式的课件进行远程无线翻页。</w:t>
            </w:r>
            <w:r>
              <w:rPr>
                <w:rFonts w:hint="eastAsia" w:ascii="宋体" w:hAnsi="宋体" w:cs="宋体"/>
                <w:kern w:val="0"/>
                <w:sz w:val="22"/>
              </w:rPr>
              <w:br w:type="textWrapping"/>
            </w:r>
            <w:r>
              <w:rPr>
                <w:rFonts w:hint="eastAsia" w:ascii="宋体" w:hAnsi="宋体" w:cs="宋体"/>
                <w:kern w:val="0"/>
                <w:sz w:val="22"/>
              </w:rPr>
              <w:t>▲（7）功能按键可通过长按/短按实现两种快捷功能，方便教师操作。</w:t>
            </w:r>
            <w:r>
              <w:rPr>
                <w:rFonts w:hint="eastAsia" w:ascii="宋体" w:hAnsi="宋体" w:cs="宋体"/>
                <w:kern w:val="0"/>
                <w:sz w:val="22"/>
              </w:rPr>
              <w:br w:type="textWrapping"/>
            </w:r>
            <w:r>
              <w:rPr>
                <w:rFonts w:hint="eastAsia" w:ascii="宋体" w:hAnsi="宋体" w:cs="宋体"/>
                <w:kern w:val="0"/>
                <w:sz w:val="22"/>
              </w:rPr>
              <w:t>▲（8）支持自定义按键功能，可选功能包括：一键启动任意通道批注、一键启动/退出PPT播放、一键启动PPT批注、一键启动任意通道冻结与放大屏幕内容。</w:t>
            </w:r>
            <w:r>
              <w:rPr>
                <w:rFonts w:hint="eastAsia" w:ascii="宋体" w:hAnsi="宋体" w:cs="宋体"/>
                <w:kern w:val="0"/>
                <w:sz w:val="22"/>
              </w:rPr>
              <w:br w:type="textWrapping"/>
            </w:r>
            <w:r>
              <w:rPr>
                <w:rFonts w:hint="eastAsia" w:ascii="宋体" w:hAnsi="宋体" w:cs="宋体"/>
                <w:kern w:val="0"/>
                <w:sz w:val="22"/>
              </w:rPr>
              <w:t>▲2、小蜜蜂便携式扩音器×5个；</w:t>
            </w:r>
            <w:r>
              <w:rPr>
                <w:rFonts w:hint="eastAsia" w:ascii="宋体" w:hAnsi="宋体" w:cs="宋体"/>
                <w:kern w:val="0"/>
                <w:sz w:val="22"/>
              </w:rPr>
              <w:br w:type="textWrapping"/>
            </w:r>
            <w:r>
              <w:rPr>
                <w:rFonts w:hint="eastAsia" w:ascii="宋体" w:hAnsi="宋体" w:cs="宋体"/>
                <w:kern w:val="0"/>
                <w:sz w:val="22"/>
              </w:rPr>
              <w:t>3、双音圈喇叭（66mm/2欧姆）+双通道功放；</w:t>
            </w:r>
            <w:r>
              <w:rPr>
                <w:rFonts w:hint="eastAsia" w:ascii="宋体" w:hAnsi="宋体" w:cs="宋体"/>
                <w:kern w:val="0"/>
                <w:sz w:val="22"/>
              </w:rPr>
              <w:br w:type="textWrapping"/>
            </w:r>
            <w:r>
              <w:rPr>
                <w:rFonts w:hint="eastAsia" w:ascii="宋体" w:hAnsi="宋体" w:cs="宋体"/>
                <w:kern w:val="0"/>
                <w:sz w:val="22"/>
              </w:rPr>
              <w:t>▲4、3.7V/1500mAH锂离子电池，micro USB A充电口；</w:t>
            </w:r>
            <w:r>
              <w:rPr>
                <w:rFonts w:hint="eastAsia" w:ascii="宋体" w:hAnsi="宋体" w:cs="宋体"/>
                <w:kern w:val="0"/>
                <w:sz w:val="22"/>
              </w:rPr>
              <w:br w:type="textWrapping"/>
            </w:r>
            <w:r>
              <w:rPr>
                <w:rFonts w:hint="eastAsia" w:ascii="宋体" w:hAnsi="宋体" w:cs="宋体"/>
                <w:kern w:val="0"/>
                <w:sz w:val="22"/>
              </w:rPr>
              <w:t>5、AUX音频输入，MIC有线麦输入接口；</w:t>
            </w:r>
            <w:r>
              <w:rPr>
                <w:rFonts w:hint="eastAsia" w:ascii="宋体" w:hAnsi="宋体" w:cs="宋体"/>
                <w:kern w:val="0"/>
                <w:sz w:val="22"/>
              </w:rPr>
              <w:br w:type="textWrapping"/>
            </w:r>
            <w:r>
              <w:rPr>
                <w:rFonts w:hint="eastAsia" w:ascii="宋体" w:hAnsi="宋体" w:cs="宋体"/>
                <w:kern w:val="0"/>
                <w:sz w:val="22"/>
              </w:rPr>
              <w:t>6、有线麦克风头戴式，3.5MM插头线长约1米；</w:t>
            </w:r>
            <w:r>
              <w:rPr>
                <w:rFonts w:hint="eastAsia" w:ascii="宋体" w:hAnsi="宋体" w:cs="宋体"/>
                <w:kern w:val="0"/>
                <w:sz w:val="22"/>
              </w:rPr>
              <w:br w:type="textWrapping"/>
            </w:r>
            <w:r>
              <w:rPr>
                <w:rFonts w:hint="eastAsia" w:ascii="宋体" w:hAnsi="宋体" w:cs="宋体"/>
                <w:kern w:val="0"/>
                <w:sz w:val="22"/>
              </w:rPr>
              <w:t>7、信噪比≥50dB。</w:t>
            </w:r>
          </w:p>
        </w:tc>
        <w:tc>
          <w:tcPr>
            <w:tcW w:w="462" w:type="dxa"/>
            <w:shd w:val="clear" w:color="auto" w:fill="auto"/>
            <w:noWrap/>
            <w:vAlign w:val="center"/>
          </w:tcPr>
          <w:p w14:paraId="0A2D13E7">
            <w:pPr>
              <w:widowControl/>
              <w:jc w:val="left"/>
              <w:rPr>
                <w:rFonts w:ascii="宋体" w:hAnsi="宋体" w:cs="宋体"/>
                <w:kern w:val="0"/>
                <w:sz w:val="22"/>
              </w:rPr>
            </w:pPr>
            <w:r>
              <w:rPr>
                <w:rFonts w:hint="eastAsia" w:ascii="宋体" w:hAnsi="宋体" w:cs="宋体"/>
                <w:kern w:val="0"/>
                <w:sz w:val="22"/>
              </w:rPr>
              <w:t>批</w:t>
            </w:r>
          </w:p>
        </w:tc>
        <w:tc>
          <w:tcPr>
            <w:tcW w:w="605" w:type="dxa"/>
            <w:shd w:val="clear" w:color="auto" w:fill="auto"/>
            <w:noWrap/>
            <w:vAlign w:val="center"/>
          </w:tcPr>
          <w:p w14:paraId="7E6133BF">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720B1461">
            <w:pPr>
              <w:widowControl/>
              <w:jc w:val="left"/>
              <w:rPr>
                <w:rFonts w:ascii="宋体" w:hAnsi="宋体" w:cs="宋体"/>
                <w:kern w:val="0"/>
                <w:sz w:val="22"/>
              </w:rPr>
            </w:pPr>
            <w:r>
              <w:rPr>
                <w:rFonts w:hint="eastAsia" w:ascii="宋体" w:hAnsi="宋体" w:cs="宋体"/>
                <w:kern w:val="0"/>
                <w:sz w:val="22"/>
              </w:rPr>
              <w:t>300</w:t>
            </w:r>
          </w:p>
        </w:tc>
        <w:tc>
          <w:tcPr>
            <w:tcW w:w="1489" w:type="dxa"/>
            <w:shd w:val="clear" w:color="auto" w:fill="auto"/>
            <w:noWrap/>
            <w:vAlign w:val="center"/>
          </w:tcPr>
          <w:p w14:paraId="2E19BFF4">
            <w:pPr>
              <w:widowControl/>
              <w:jc w:val="left"/>
              <w:rPr>
                <w:rFonts w:ascii="宋体" w:hAnsi="宋体" w:cs="宋体"/>
                <w:kern w:val="0"/>
                <w:sz w:val="22"/>
              </w:rPr>
            </w:pPr>
            <w:r>
              <w:rPr>
                <w:rFonts w:hint="eastAsia" w:ascii="宋体" w:hAnsi="宋体" w:cs="宋体"/>
                <w:kern w:val="0"/>
                <w:sz w:val="22"/>
              </w:rPr>
              <w:t>300</w:t>
            </w:r>
          </w:p>
        </w:tc>
      </w:tr>
      <w:tr w14:paraId="67B1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792B32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w:t>
            </w:r>
          </w:p>
        </w:tc>
        <w:tc>
          <w:tcPr>
            <w:tcW w:w="1072" w:type="dxa"/>
            <w:shd w:val="clear" w:color="auto" w:fill="auto"/>
            <w:vAlign w:val="center"/>
          </w:tcPr>
          <w:p w14:paraId="21EF8C34">
            <w:pPr>
              <w:widowControl/>
              <w:jc w:val="left"/>
              <w:rPr>
                <w:rFonts w:ascii="宋体" w:hAnsi="宋体" w:cs="宋体"/>
                <w:kern w:val="0"/>
                <w:sz w:val="22"/>
              </w:rPr>
            </w:pPr>
            <w:r>
              <w:rPr>
                <w:rFonts w:hint="eastAsia" w:ascii="宋体" w:hAnsi="宋体" w:cs="宋体"/>
                <w:kern w:val="0"/>
                <w:sz w:val="22"/>
              </w:rPr>
              <w:t>多功能实验下水装置</w:t>
            </w:r>
          </w:p>
        </w:tc>
        <w:tc>
          <w:tcPr>
            <w:tcW w:w="4897" w:type="dxa"/>
            <w:shd w:val="clear" w:color="auto" w:fill="auto"/>
            <w:vAlign w:val="center"/>
          </w:tcPr>
          <w:p w14:paraId="7DE260BB">
            <w:pPr>
              <w:widowControl/>
              <w:jc w:val="left"/>
              <w:rPr>
                <w:rFonts w:ascii="宋体" w:hAnsi="宋体" w:cs="宋体"/>
                <w:kern w:val="0"/>
                <w:sz w:val="22"/>
              </w:rPr>
            </w:pPr>
            <w:r>
              <w:rPr>
                <w:rFonts w:hint="eastAsia" w:ascii="宋体" w:hAnsi="宋体" w:cs="宋体"/>
                <w:kern w:val="0"/>
                <w:sz w:val="22"/>
              </w:rPr>
              <w:t>采用“S”型防腐蛇形PP管；过滤防堵处理、防止污水及异味倒灌。</w:t>
            </w:r>
          </w:p>
        </w:tc>
        <w:tc>
          <w:tcPr>
            <w:tcW w:w="462" w:type="dxa"/>
            <w:shd w:val="clear" w:color="auto" w:fill="auto"/>
            <w:noWrap/>
            <w:vAlign w:val="center"/>
          </w:tcPr>
          <w:p w14:paraId="70A5EED3">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28C80F76">
            <w:pPr>
              <w:widowControl/>
              <w:jc w:val="left"/>
              <w:rPr>
                <w:rFonts w:ascii="宋体" w:hAnsi="宋体" w:cs="宋体"/>
                <w:kern w:val="0"/>
                <w:sz w:val="22"/>
              </w:rPr>
            </w:pPr>
            <w:r>
              <w:rPr>
                <w:rFonts w:hint="eastAsia" w:ascii="宋体" w:hAnsi="宋体" w:cs="宋体"/>
                <w:kern w:val="0"/>
                <w:sz w:val="22"/>
              </w:rPr>
              <w:t>8</w:t>
            </w:r>
          </w:p>
        </w:tc>
        <w:tc>
          <w:tcPr>
            <w:tcW w:w="1048" w:type="dxa"/>
            <w:shd w:val="clear" w:color="auto" w:fill="auto"/>
            <w:noWrap/>
            <w:vAlign w:val="center"/>
          </w:tcPr>
          <w:p w14:paraId="1E05F09F">
            <w:pPr>
              <w:widowControl/>
              <w:jc w:val="left"/>
              <w:rPr>
                <w:rFonts w:ascii="宋体" w:hAnsi="宋体" w:cs="宋体"/>
                <w:kern w:val="0"/>
                <w:sz w:val="22"/>
              </w:rPr>
            </w:pPr>
            <w:r>
              <w:rPr>
                <w:rFonts w:hint="eastAsia" w:ascii="宋体" w:hAnsi="宋体" w:cs="宋体"/>
                <w:kern w:val="0"/>
                <w:sz w:val="22"/>
              </w:rPr>
              <w:t>120</w:t>
            </w:r>
          </w:p>
        </w:tc>
        <w:tc>
          <w:tcPr>
            <w:tcW w:w="1489" w:type="dxa"/>
            <w:shd w:val="clear" w:color="auto" w:fill="auto"/>
            <w:noWrap/>
            <w:vAlign w:val="center"/>
          </w:tcPr>
          <w:p w14:paraId="64ECB390">
            <w:pPr>
              <w:widowControl/>
              <w:jc w:val="left"/>
              <w:rPr>
                <w:rFonts w:ascii="宋体" w:hAnsi="宋体" w:cs="宋体"/>
                <w:kern w:val="0"/>
                <w:sz w:val="22"/>
              </w:rPr>
            </w:pPr>
            <w:r>
              <w:rPr>
                <w:rFonts w:hint="eastAsia" w:ascii="宋体" w:hAnsi="宋体" w:cs="宋体"/>
                <w:kern w:val="0"/>
                <w:sz w:val="22"/>
              </w:rPr>
              <w:t>960</w:t>
            </w:r>
          </w:p>
        </w:tc>
      </w:tr>
      <w:tr w14:paraId="150E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301302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w:t>
            </w:r>
          </w:p>
        </w:tc>
        <w:tc>
          <w:tcPr>
            <w:tcW w:w="1072" w:type="dxa"/>
            <w:shd w:val="clear" w:color="auto" w:fill="auto"/>
            <w:vAlign w:val="center"/>
          </w:tcPr>
          <w:p w14:paraId="7FA01DDA">
            <w:pPr>
              <w:widowControl/>
              <w:jc w:val="left"/>
              <w:rPr>
                <w:rFonts w:ascii="宋体" w:hAnsi="宋体" w:cs="宋体"/>
                <w:kern w:val="0"/>
                <w:sz w:val="22"/>
              </w:rPr>
            </w:pPr>
            <w:r>
              <w:rPr>
                <w:rFonts w:hint="eastAsia" w:ascii="宋体" w:hAnsi="宋体" w:cs="宋体"/>
                <w:kern w:val="0"/>
                <w:sz w:val="22"/>
              </w:rPr>
              <w:t>电气布线</w:t>
            </w:r>
          </w:p>
        </w:tc>
        <w:tc>
          <w:tcPr>
            <w:tcW w:w="4897" w:type="dxa"/>
            <w:shd w:val="clear" w:color="auto" w:fill="auto"/>
            <w:vAlign w:val="center"/>
          </w:tcPr>
          <w:p w14:paraId="3CA6396B">
            <w:pPr>
              <w:widowControl/>
              <w:jc w:val="left"/>
              <w:rPr>
                <w:rFonts w:ascii="宋体" w:hAnsi="宋体" w:cs="宋体"/>
                <w:kern w:val="0"/>
                <w:sz w:val="22"/>
              </w:rPr>
            </w:pPr>
            <w:r>
              <w:rPr>
                <w:rFonts w:hint="eastAsia" w:ascii="宋体" w:hAnsi="宋体" w:cs="宋体"/>
                <w:kern w:val="0"/>
                <w:sz w:val="22"/>
              </w:rPr>
              <w:t>国标阻燃PVC线管，国标优质铜芯线，4平方毫米、2.5平方毫米。</w:t>
            </w:r>
          </w:p>
        </w:tc>
        <w:tc>
          <w:tcPr>
            <w:tcW w:w="462" w:type="dxa"/>
            <w:shd w:val="clear" w:color="auto" w:fill="auto"/>
            <w:noWrap/>
            <w:vAlign w:val="center"/>
          </w:tcPr>
          <w:p w14:paraId="4FF59636">
            <w:pPr>
              <w:widowControl/>
              <w:jc w:val="left"/>
              <w:rPr>
                <w:rFonts w:ascii="宋体" w:hAnsi="宋体" w:cs="宋体"/>
                <w:kern w:val="0"/>
                <w:sz w:val="22"/>
              </w:rPr>
            </w:pPr>
            <w:r>
              <w:rPr>
                <w:rFonts w:hint="eastAsia" w:ascii="宋体" w:hAnsi="宋体" w:cs="宋体"/>
                <w:kern w:val="0"/>
                <w:sz w:val="22"/>
              </w:rPr>
              <w:t>间</w:t>
            </w:r>
          </w:p>
        </w:tc>
        <w:tc>
          <w:tcPr>
            <w:tcW w:w="605" w:type="dxa"/>
            <w:shd w:val="clear" w:color="auto" w:fill="auto"/>
            <w:noWrap/>
            <w:vAlign w:val="center"/>
          </w:tcPr>
          <w:p w14:paraId="1B907561">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0FF3C2F6">
            <w:pPr>
              <w:widowControl/>
              <w:jc w:val="left"/>
              <w:rPr>
                <w:rFonts w:ascii="宋体" w:hAnsi="宋体" w:cs="宋体"/>
                <w:kern w:val="0"/>
                <w:sz w:val="22"/>
              </w:rPr>
            </w:pPr>
            <w:r>
              <w:rPr>
                <w:rFonts w:hint="eastAsia" w:ascii="宋体" w:hAnsi="宋体" w:cs="宋体"/>
                <w:kern w:val="0"/>
                <w:sz w:val="22"/>
              </w:rPr>
              <w:t>1500</w:t>
            </w:r>
          </w:p>
        </w:tc>
        <w:tc>
          <w:tcPr>
            <w:tcW w:w="1489" w:type="dxa"/>
            <w:shd w:val="clear" w:color="auto" w:fill="auto"/>
            <w:noWrap/>
            <w:vAlign w:val="center"/>
          </w:tcPr>
          <w:p w14:paraId="158B1E1A">
            <w:pPr>
              <w:widowControl/>
              <w:jc w:val="left"/>
              <w:rPr>
                <w:rFonts w:ascii="宋体" w:hAnsi="宋体" w:cs="宋体"/>
                <w:kern w:val="0"/>
                <w:sz w:val="22"/>
              </w:rPr>
            </w:pPr>
            <w:r>
              <w:rPr>
                <w:rFonts w:hint="eastAsia" w:ascii="宋体" w:hAnsi="宋体" w:cs="宋体"/>
                <w:kern w:val="0"/>
                <w:sz w:val="22"/>
              </w:rPr>
              <w:t>1500</w:t>
            </w:r>
          </w:p>
        </w:tc>
      </w:tr>
      <w:tr w14:paraId="3ACF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D9D65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w:t>
            </w:r>
          </w:p>
        </w:tc>
        <w:tc>
          <w:tcPr>
            <w:tcW w:w="1072" w:type="dxa"/>
            <w:shd w:val="clear" w:color="auto" w:fill="auto"/>
            <w:vAlign w:val="center"/>
          </w:tcPr>
          <w:p w14:paraId="4201B5EE">
            <w:pPr>
              <w:widowControl/>
              <w:jc w:val="left"/>
              <w:rPr>
                <w:rFonts w:ascii="宋体" w:hAnsi="宋体" w:cs="宋体"/>
                <w:kern w:val="0"/>
                <w:sz w:val="22"/>
              </w:rPr>
            </w:pPr>
            <w:r>
              <w:rPr>
                <w:rFonts w:hint="eastAsia" w:ascii="宋体" w:hAnsi="宋体" w:cs="宋体"/>
                <w:kern w:val="0"/>
                <w:sz w:val="22"/>
              </w:rPr>
              <w:t>室内给排水系统</w:t>
            </w:r>
          </w:p>
        </w:tc>
        <w:tc>
          <w:tcPr>
            <w:tcW w:w="4897" w:type="dxa"/>
            <w:shd w:val="clear" w:color="auto" w:fill="auto"/>
            <w:vAlign w:val="center"/>
          </w:tcPr>
          <w:p w14:paraId="56AD46F3">
            <w:pPr>
              <w:widowControl/>
              <w:jc w:val="left"/>
              <w:rPr>
                <w:rFonts w:ascii="宋体" w:hAnsi="宋体" w:cs="宋体"/>
                <w:kern w:val="0"/>
                <w:sz w:val="22"/>
              </w:rPr>
            </w:pPr>
            <w:r>
              <w:rPr>
                <w:rFonts w:hint="eastAsia" w:ascii="宋体" w:hAnsi="宋体" w:cs="宋体"/>
                <w:kern w:val="0"/>
                <w:sz w:val="22"/>
              </w:rPr>
              <w:t>国标直径20mm优质PPR管、国标直径50mm优质防腐PVC管。</w:t>
            </w:r>
          </w:p>
        </w:tc>
        <w:tc>
          <w:tcPr>
            <w:tcW w:w="462" w:type="dxa"/>
            <w:shd w:val="clear" w:color="auto" w:fill="auto"/>
            <w:noWrap/>
            <w:vAlign w:val="center"/>
          </w:tcPr>
          <w:p w14:paraId="5087A9CC">
            <w:pPr>
              <w:widowControl/>
              <w:jc w:val="left"/>
              <w:rPr>
                <w:rFonts w:ascii="宋体" w:hAnsi="宋体" w:cs="宋体"/>
                <w:kern w:val="0"/>
                <w:sz w:val="22"/>
              </w:rPr>
            </w:pPr>
            <w:r>
              <w:rPr>
                <w:rFonts w:hint="eastAsia" w:ascii="宋体" w:hAnsi="宋体" w:cs="宋体"/>
                <w:kern w:val="0"/>
                <w:sz w:val="22"/>
              </w:rPr>
              <w:t>间</w:t>
            </w:r>
          </w:p>
        </w:tc>
        <w:tc>
          <w:tcPr>
            <w:tcW w:w="605" w:type="dxa"/>
            <w:shd w:val="clear" w:color="auto" w:fill="auto"/>
            <w:noWrap/>
            <w:vAlign w:val="center"/>
          </w:tcPr>
          <w:p w14:paraId="7F89E8EC">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68B9A290">
            <w:pPr>
              <w:widowControl/>
              <w:jc w:val="left"/>
              <w:rPr>
                <w:rFonts w:ascii="宋体" w:hAnsi="宋体" w:cs="宋体"/>
                <w:kern w:val="0"/>
                <w:sz w:val="22"/>
              </w:rPr>
            </w:pPr>
            <w:r>
              <w:rPr>
                <w:rFonts w:hint="eastAsia" w:ascii="宋体" w:hAnsi="宋体" w:cs="宋体"/>
                <w:kern w:val="0"/>
                <w:sz w:val="22"/>
              </w:rPr>
              <w:t>2000</w:t>
            </w:r>
          </w:p>
        </w:tc>
        <w:tc>
          <w:tcPr>
            <w:tcW w:w="1489" w:type="dxa"/>
            <w:shd w:val="clear" w:color="auto" w:fill="auto"/>
            <w:noWrap/>
            <w:vAlign w:val="center"/>
          </w:tcPr>
          <w:p w14:paraId="349E5FD4">
            <w:pPr>
              <w:widowControl/>
              <w:jc w:val="left"/>
              <w:rPr>
                <w:rFonts w:ascii="宋体" w:hAnsi="宋体" w:cs="宋体"/>
                <w:kern w:val="0"/>
                <w:sz w:val="22"/>
              </w:rPr>
            </w:pPr>
            <w:r>
              <w:rPr>
                <w:rFonts w:hint="eastAsia" w:ascii="宋体" w:hAnsi="宋体" w:cs="宋体"/>
                <w:kern w:val="0"/>
                <w:sz w:val="22"/>
              </w:rPr>
              <w:t>2000</w:t>
            </w:r>
          </w:p>
        </w:tc>
      </w:tr>
      <w:tr w14:paraId="037C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63B3F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w:t>
            </w:r>
          </w:p>
        </w:tc>
        <w:tc>
          <w:tcPr>
            <w:tcW w:w="1072" w:type="dxa"/>
            <w:shd w:val="clear" w:color="auto" w:fill="auto"/>
            <w:vAlign w:val="center"/>
          </w:tcPr>
          <w:p w14:paraId="63FB1C6F">
            <w:pPr>
              <w:widowControl/>
              <w:jc w:val="left"/>
              <w:rPr>
                <w:rFonts w:ascii="宋体" w:hAnsi="宋体" w:cs="宋体"/>
                <w:kern w:val="0"/>
                <w:sz w:val="22"/>
              </w:rPr>
            </w:pPr>
            <w:r>
              <w:rPr>
                <w:rFonts w:hint="eastAsia" w:ascii="宋体" w:hAnsi="宋体" w:cs="宋体"/>
                <w:kern w:val="0"/>
                <w:sz w:val="22"/>
              </w:rPr>
              <w:t>辅材及安装</w:t>
            </w:r>
          </w:p>
        </w:tc>
        <w:tc>
          <w:tcPr>
            <w:tcW w:w="4897" w:type="dxa"/>
            <w:shd w:val="clear" w:color="auto" w:fill="auto"/>
            <w:vAlign w:val="center"/>
          </w:tcPr>
          <w:p w14:paraId="337EC024">
            <w:pPr>
              <w:widowControl/>
              <w:jc w:val="left"/>
              <w:rPr>
                <w:rFonts w:ascii="宋体" w:hAnsi="宋体" w:cs="宋体"/>
                <w:kern w:val="0"/>
                <w:sz w:val="22"/>
              </w:rPr>
            </w:pPr>
            <w:r>
              <w:rPr>
                <w:rFonts w:hint="eastAsia" w:ascii="宋体" w:hAnsi="宋体" w:cs="宋体"/>
                <w:kern w:val="0"/>
                <w:sz w:val="22"/>
              </w:rPr>
              <w:t>1.材料：各种安装支架、HDMI线，铜线电源线，音频线，插座等必备配件，六类网线。 PVC不燃线槽（管）、视频线接头、电源插座等线材设备以及相关的周边设备、音视频线接头及相关配件、材料全部包干并安装（包括仪器上架贴签等）、调试、培训直至设备正常使用；</w:t>
            </w:r>
            <w:r>
              <w:rPr>
                <w:rFonts w:hint="eastAsia" w:ascii="宋体" w:hAnsi="宋体" w:cs="宋体"/>
                <w:kern w:val="0"/>
                <w:sz w:val="22"/>
              </w:rPr>
              <w:br w:type="textWrapping"/>
            </w:r>
            <w:r>
              <w:rPr>
                <w:rFonts w:hint="eastAsia" w:ascii="宋体" w:hAnsi="宋体" w:cs="宋体"/>
                <w:kern w:val="0"/>
                <w:sz w:val="22"/>
              </w:rPr>
              <w:t>2.如有开槽施工，开槽后的回填方案由使用方签字确认后实施。</w:t>
            </w:r>
            <w:r>
              <w:rPr>
                <w:rFonts w:hint="eastAsia" w:ascii="宋体" w:hAnsi="宋体" w:cs="宋体"/>
                <w:kern w:val="0"/>
                <w:sz w:val="22"/>
              </w:rPr>
              <w:br w:type="textWrapping"/>
            </w:r>
            <w:r>
              <w:rPr>
                <w:rFonts w:hint="eastAsia" w:ascii="宋体" w:hAnsi="宋体" w:cs="宋体"/>
                <w:kern w:val="0"/>
                <w:sz w:val="22"/>
              </w:rPr>
              <w:t>3.安装工艺：安装前要把安装方案的思路（如开槽或吊装等）、优点、可能存在的问题事先与学校沟通好，形成书面协议、图样，由学校盖章确认后再实施。</w:t>
            </w:r>
            <w:r>
              <w:rPr>
                <w:rFonts w:hint="eastAsia" w:ascii="宋体" w:hAnsi="宋体" w:cs="宋体"/>
                <w:kern w:val="0"/>
                <w:sz w:val="22"/>
              </w:rPr>
              <w:br w:type="textWrapping"/>
            </w:r>
            <w:r>
              <w:rPr>
                <w:rFonts w:hint="eastAsia" w:ascii="宋体" w:hAnsi="宋体" w:cs="宋体"/>
                <w:kern w:val="0"/>
                <w:sz w:val="22"/>
              </w:rPr>
              <w:t>4.拆装旧设备并搬运至学校指定地点。</w:t>
            </w:r>
          </w:p>
        </w:tc>
        <w:tc>
          <w:tcPr>
            <w:tcW w:w="462" w:type="dxa"/>
            <w:shd w:val="clear" w:color="auto" w:fill="auto"/>
            <w:noWrap/>
            <w:vAlign w:val="center"/>
          </w:tcPr>
          <w:p w14:paraId="209DFB8C">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67C7F4DC">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7D09954D">
            <w:pPr>
              <w:widowControl/>
              <w:jc w:val="left"/>
              <w:rPr>
                <w:rFonts w:ascii="宋体" w:hAnsi="宋体" w:cs="宋体"/>
                <w:kern w:val="0"/>
                <w:sz w:val="22"/>
              </w:rPr>
            </w:pPr>
            <w:r>
              <w:rPr>
                <w:rFonts w:hint="eastAsia" w:ascii="宋体" w:hAnsi="宋体" w:cs="宋体"/>
                <w:kern w:val="0"/>
                <w:sz w:val="22"/>
              </w:rPr>
              <w:t>400</w:t>
            </w:r>
          </w:p>
        </w:tc>
        <w:tc>
          <w:tcPr>
            <w:tcW w:w="1489" w:type="dxa"/>
            <w:shd w:val="clear" w:color="auto" w:fill="auto"/>
            <w:noWrap/>
            <w:vAlign w:val="center"/>
          </w:tcPr>
          <w:p w14:paraId="73B1B510">
            <w:pPr>
              <w:widowControl/>
              <w:jc w:val="left"/>
              <w:rPr>
                <w:rFonts w:ascii="宋体" w:hAnsi="宋体" w:cs="宋体"/>
                <w:kern w:val="0"/>
                <w:sz w:val="22"/>
              </w:rPr>
            </w:pPr>
            <w:r>
              <w:rPr>
                <w:rFonts w:hint="eastAsia" w:ascii="宋体" w:hAnsi="宋体" w:cs="宋体"/>
                <w:kern w:val="0"/>
                <w:sz w:val="22"/>
              </w:rPr>
              <w:t>400</w:t>
            </w:r>
          </w:p>
        </w:tc>
      </w:tr>
      <w:tr w14:paraId="3A1A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226" w:type="dxa"/>
            <w:gridSpan w:val="7"/>
            <w:shd w:val="clear" w:color="auto" w:fill="auto"/>
            <w:noWrap/>
            <w:vAlign w:val="center"/>
          </w:tcPr>
          <w:p w14:paraId="4B98A5B8">
            <w:pPr>
              <w:widowControl/>
              <w:jc w:val="left"/>
              <w:textAlignment w:val="center"/>
              <w:rPr>
                <w:rFonts w:ascii="宋体" w:hAnsi="宋体" w:cs="宋体"/>
                <w:color w:val="000000"/>
                <w:sz w:val="22"/>
                <w:szCs w:val="22"/>
              </w:rPr>
            </w:pPr>
            <w:r>
              <w:rPr>
                <w:rFonts w:hint="eastAsia" w:ascii="宋体" w:hAnsi="宋体" w:cs="宋体"/>
                <w:b/>
                <w:bCs/>
                <w:kern w:val="0"/>
                <w:sz w:val="22"/>
              </w:rPr>
              <w:t>十、心理健康专用教室设备</w:t>
            </w:r>
          </w:p>
        </w:tc>
      </w:tr>
      <w:tr w14:paraId="6E03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0E1F03D">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1072" w:type="dxa"/>
            <w:shd w:val="clear" w:color="auto" w:fill="auto"/>
            <w:vAlign w:val="center"/>
          </w:tcPr>
          <w:p w14:paraId="16CA20E4">
            <w:pPr>
              <w:widowControl/>
              <w:jc w:val="left"/>
              <w:rPr>
                <w:rFonts w:ascii="宋体" w:hAnsi="宋体" w:cs="宋体"/>
                <w:kern w:val="0"/>
                <w:sz w:val="20"/>
                <w:szCs w:val="20"/>
              </w:rPr>
            </w:pPr>
            <w:r>
              <w:rPr>
                <w:rFonts w:hint="eastAsia" w:ascii="宋体" w:hAnsi="宋体" w:cs="宋体"/>
                <w:kern w:val="0"/>
                <w:sz w:val="20"/>
                <w:szCs w:val="20"/>
              </w:rPr>
              <w:t>单人VR心理训练座舱</w:t>
            </w:r>
          </w:p>
        </w:tc>
        <w:tc>
          <w:tcPr>
            <w:tcW w:w="4897" w:type="dxa"/>
            <w:shd w:val="clear" w:color="auto" w:fill="auto"/>
            <w:vAlign w:val="center"/>
          </w:tcPr>
          <w:p w14:paraId="635C7E4D">
            <w:pPr>
              <w:widowControl/>
              <w:jc w:val="left"/>
              <w:rPr>
                <w:rFonts w:ascii="宋体" w:hAnsi="宋体" w:cs="宋体"/>
                <w:kern w:val="0"/>
                <w:sz w:val="20"/>
                <w:szCs w:val="20"/>
              </w:rPr>
            </w:pPr>
            <w:r>
              <w:rPr>
                <w:rFonts w:hint="eastAsia" w:ascii="宋体" w:hAnsi="宋体" w:cs="宋体"/>
                <w:kern w:val="0"/>
                <w:sz w:val="20"/>
                <w:szCs w:val="20"/>
              </w:rPr>
              <w:t>一、软件功能：</w:t>
            </w:r>
          </w:p>
          <w:p w14:paraId="6E664801">
            <w:pPr>
              <w:widowControl/>
              <w:jc w:val="left"/>
              <w:rPr>
                <w:rFonts w:ascii="宋体" w:hAnsi="宋体" w:cs="宋体"/>
                <w:kern w:val="0"/>
                <w:sz w:val="20"/>
                <w:szCs w:val="20"/>
              </w:rPr>
            </w:pPr>
            <w:r>
              <w:rPr>
                <w:rFonts w:hint="eastAsia" w:ascii="宋体" w:hAnsi="宋体" w:cs="宋体"/>
                <w:kern w:val="0"/>
                <w:sz w:val="20"/>
                <w:szCs w:val="20"/>
              </w:rPr>
              <w:t>1.心理影院：通过虚拟现实技术构建出≥700寸巨幕影院，在经典剧院环境中在干扰的环境中欣赏心理影片，提供比现实影院更强的沉浸感和视觉冲击；系统支持动态影片库，可根据需求自行导入影片，影院大屏幕自动识别影片目录，通过手柄操控或中控系统选择影片播放。放松版：包含放松类、励志类，不少于10部影片，支持剧场内自主选片系统</w:t>
            </w:r>
          </w:p>
          <w:p w14:paraId="64E54E1D">
            <w:pPr>
              <w:widowControl/>
              <w:jc w:val="left"/>
              <w:rPr>
                <w:rFonts w:ascii="宋体" w:hAnsi="宋体" w:cs="宋体"/>
                <w:kern w:val="0"/>
                <w:sz w:val="20"/>
                <w:szCs w:val="20"/>
              </w:rPr>
            </w:pPr>
            <w:r>
              <w:rPr>
                <w:rFonts w:hint="eastAsia" w:ascii="宋体" w:hAnsi="宋体" w:cs="宋体"/>
                <w:kern w:val="0"/>
                <w:sz w:val="20"/>
                <w:szCs w:val="20"/>
              </w:rPr>
              <w:t>2.放松系统：1）压力评估系统：放松前后进行压力评估2）放松训练系统：VR放松训练系统是采用虚拟现实技术和专业放松训练法相结合，通过虚拟现实系统在舒适的环境中指导使用者进行放松训练，可以使使用者缓解心理压力，减轻繁重工作带来的疲劳，保持良好的情绪状态。3）VR冥想放松系统是采用虚拟现实技术结合智能语音引导系统引导使用者进行冥想放松，本系统提供大海、草原、芦苇湖泊等多种动态3D场景供使用者选择，场景采用次世代3D渲染技术、高品质贴图烘培技术，提供千万级像素高度拟实3D场景，呈现影视级实景效果；场景模拟船舶摇曳、风水草动、牛羊成群、水波荡漾等自然场景；训练时长不少于80分钟。4）VR呼吸放松系统：VR呼吸放松系统是采用虚拟现实技术结合专业呼吸放松技术，指导使用者在多种优美的自然环境中进行呼吸训练，以达到呼吸协调身心放松的目的。5）VR音乐放松系统：VR音乐放松系统是采用虚拟现实技术和专业心理疏导技术相结合，通过虚拟现实系统将使用者带入预设好的心理调适环境，同时结合音乐疗法，潜意识疏导，心理投射等多种心理疏导技巧进行心理健康调节、稳定个体情绪、协调自我生理状态的疏导系统。本系统提供标准化情绪疏导流程，全方位的为用户提供适宜的减压途径，以达到心理放松和身心健康的目的。不少于180种VR放松场景包含：大海、沙滩、雪山、田野、草原、高山、海底、云端、河流、丛林、小溪、公园、四季等场景，系统支持场景智能推荐。音乐包含自然之声、脑波音乐、冥想音乐、催眠音乐、古典音乐、放松音乐等多种类型的放松音乐，音乐可通过手柄或中控系统进行切换。6）肌肉放松系统：在虚拟环境中以人体引导动画配套专业心理放松引导，通过全身主要肌肉收缩——放松的反复交替训练实现专业肌肉放松引导。</w:t>
            </w:r>
          </w:p>
          <w:p w14:paraId="4BF2A333">
            <w:pPr>
              <w:widowControl/>
              <w:jc w:val="left"/>
              <w:rPr>
                <w:rFonts w:ascii="宋体" w:hAnsi="宋体" w:cs="宋体"/>
                <w:kern w:val="0"/>
                <w:sz w:val="20"/>
                <w:szCs w:val="20"/>
              </w:rPr>
            </w:pPr>
            <w:r>
              <w:rPr>
                <w:rFonts w:hint="eastAsia" w:ascii="宋体" w:hAnsi="宋体" w:cs="宋体"/>
                <w:kern w:val="0"/>
                <w:sz w:val="20"/>
                <w:szCs w:val="20"/>
              </w:rPr>
              <w:t>3.心境空间：以身临其境的沉浸体验感受独特的心理视角，以刺激的情节设计引起体验者的情绪波动，配合心理咨询师进行专业的心理辅导。场景包含鸟瞰世界、海底巡游、飞机驾驶、极速飞车、跳伞体验、星球大战、过山车、高空滑翔、二战回忆、火山爆发、行星撞击、奇幻漂流等极端体验。</w:t>
            </w:r>
          </w:p>
          <w:p w14:paraId="366BAE40">
            <w:pPr>
              <w:widowControl/>
              <w:jc w:val="left"/>
              <w:rPr>
                <w:rFonts w:ascii="宋体" w:hAnsi="宋体" w:cs="宋体"/>
                <w:kern w:val="0"/>
                <w:sz w:val="20"/>
                <w:szCs w:val="20"/>
              </w:rPr>
            </w:pPr>
            <w:r>
              <w:rPr>
                <w:rFonts w:hint="eastAsia" w:ascii="宋体" w:hAnsi="宋体" w:cs="宋体"/>
                <w:kern w:val="0"/>
                <w:sz w:val="20"/>
                <w:szCs w:val="20"/>
              </w:rPr>
              <w:t>二、硬件参数</w:t>
            </w:r>
          </w:p>
          <w:p w14:paraId="5C08951B">
            <w:pPr>
              <w:widowControl/>
              <w:jc w:val="left"/>
              <w:rPr>
                <w:rFonts w:ascii="宋体" w:hAnsi="宋体" w:cs="宋体"/>
                <w:kern w:val="0"/>
                <w:sz w:val="20"/>
                <w:szCs w:val="20"/>
              </w:rPr>
            </w:pPr>
            <w:r>
              <w:rPr>
                <w:rFonts w:hint="eastAsia" w:ascii="宋体" w:hAnsi="宋体" w:cs="宋体"/>
                <w:kern w:val="0"/>
                <w:sz w:val="20"/>
                <w:szCs w:val="20"/>
              </w:rPr>
              <w:t>1、座舱采用高级玻璃钢材质，人体工程学设计，体验舒适安全。内置高保真音响设备，环绕立体声效果，采用自动控制技术，动作模拟细腻精准，能模拟俯冲、跳跃、旋转、爬升等多种姿态，带来完美的真实体验。</w:t>
            </w:r>
          </w:p>
          <w:p w14:paraId="504D0E11">
            <w:pPr>
              <w:widowControl/>
              <w:jc w:val="left"/>
              <w:rPr>
                <w:rFonts w:ascii="宋体" w:hAnsi="宋体" w:cs="宋体"/>
                <w:kern w:val="0"/>
                <w:sz w:val="20"/>
                <w:szCs w:val="20"/>
              </w:rPr>
            </w:pPr>
            <w:r>
              <w:rPr>
                <w:rFonts w:hint="eastAsia" w:ascii="宋体" w:hAnsi="宋体" w:cs="宋体"/>
                <w:kern w:val="0"/>
                <w:sz w:val="20"/>
                <w:szCs w:val="20"/>
              </w:rPr>
              <w:t>2、训练舱额定承载≥90KG，电缸动力驱动，曲柄连杆传动，俯仰幅度±15°，摇摆幅度±15°，升降幅度0-120mm，伺服电机转速≥2000r/min，减速机减速比为1：70。</w:t>
            </w:r>
          </w:p>
          <w:p w14:paraId="3721732D">
            <w:pPr>
              <w:widowControl/>
              <w:jc w:val="left"/>
              <w:rPr>
                <w:rFonts w:ascii="宋体" w:hAnsi="宋体" w:cs="宋体"/>
                <w:kern w:val="0"/>
                <w:sz w:val="20"/>
                <w:szCs w:val="20"/>
              </w:rPr>
            </w:pPr>
            <w:r>
              <w:rPr>
                <w:rFonts w:hint="eastAsia" w:ascii="宋体" w:hAnsi="宋体" w:cs="宋体"/>
                <w:kern w:val="0"/>
                <w:sz w:val="20"/>
                <w:szCs w:val="20"/>
              </w:rPr>
              <w:t>3、分辨率≥2560*1440、90-110度视场角、重力传感器、陀螺仪、自适应瞳距。</w:t>
            </w:r>
          </w:p>
        </w:tc>
        <w:tc>
          <w:tcPr>
            <w:tcW w:w="462" w:type="dxa"/>
            <w:shd w:val="clear" w:color="auto" w:fill="auto"/>
            <w:noWrap/>
            <w:vAlign w:val="center"/>
          </w:tcPr>
          <w:p w14:paraId="194C4663">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1E3510EB">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74D6CFC0">
            <w:pPr>
              <w:widowControl/>
              <w:jc w:val="center"/>
              <w:rPr>
                <w:rFonts w:ascii="宋体" w:hAnsi="宋体" w:cs="宋体"/>
                <w:kern w:val="0"/>
                <w:sz w:val="20"/>
                <w:szCs w:val="20"/>
              </w:rPr>
            </w:pPr>
            <w:r>
              <w:rPr>
                <w:rFonts w:hint="eastAsia" w:ascii="宋体" w:hAnsi="宋体" w:cs="宋体"/>
                <w:kern w:val="0"/>
                <w:sz w:val="20"/>
                <w:szCs w:val="20"/>
              </w:rPr>
              <w:t xml:space="preserve">96900.00 </w:t>
            </w:r>
          </w:p>
        </w:tc>
        <w:tc>
          <w:tcPr>
            <w:tcW w:w="1489" w:type="dxa"/>
            <w:shd w:val="clear" w:color="auto" w:fill="auto"/>
            <w:noWrap/>
            <w:vAlign w:val="center"/>
          </w:tcPr>
          <w:p w14:paraId="6FECE46B">
            <w:pPr>
              <w:widowControl/>
              <w:jc w:val="center"/>
              <w:rPr>
                <w:rFonts w:ascii="宋体" w:hAnsi="宋体" w:cs="宋体"/>
                <w:kern w:val="0"/>
                <w:sz w:val="20"/>
                <w:szCs w:val="20"/>
              </w:rPr>
            </w:pPr>
            <w:r>
              <w:rPr>
                <w:rFonts w:hint="eastAsia" w:ascii="宋体" w:hAnsi="宋体" w:cs="宋体"/>
                <w:kern w:val="0"/>
                <w:sz w:val="20"/>
                <w:szCs w:val="20"/>
              </w:rPr>
              <w:t xml:space="preserve">96900.00 </w:t>
            </w:r>
          </w:p>
        </w:tc>
      </w:tr>
      <w:tr w14:paraId="1DB6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561B25C">
            <w:pPr>
              <w:widowControl/>
              <w:jc w:val="center"/>
              <w:textAlignment w:val="center"/>
              <w:rPr>
                <w:rFonts w:ascii="宋体" w:hAnsi="宋体" w:cs="宋体"/>
                <w:color w:val="000000"/>
                <w:sz w:val="22"/>
                <w:szCs w:val="22"/>
              </w:rPr>
            </w:pPr>
            <w:r>
              <w:rPr>
                <w:rFonts w:hint="eastAsia" w:ascii="宋体" w:hAnsi="宋体" w:cs="宋体"/>
                <w:color w:val="000000"/>
                <w:sz w:val="22"/>
                <w:szCs w:val="22"/>
              </w:rPr>
              <w:t>2</w:t>
            </w:r>
          </w:p>
        </w:tc>
        <w:tc>
          <w:tcPr>
            <w:tcW w:w="1072" w:type="dxa"/>
            <w:shd w:val="clear" w:color="auto" w:fill="auto"/>
            <w:vAlign w:val="center"/>
          </w:tcPr>
          <w:p w14:paraId="30042AA5">
            <w:pPr>
              <w:widowControl/>
              <w:jc w:val="center"/>
              <w:rPr>
                <w:rFonts w:ascii="宋体" w:hAnsi="宋体" w:cs="宋体"/>
                <w:kern w:val="0"/>
                <w:sz w:val="20"/>
                <w:szCs w:val="20"/>
              </w:rPr>
            </w:pPr>
            <w:r>
              <w:rPr>
                <w:rFonts w:hint="eastAsia" w:ascii="宋体" w:hAnsi="宋体" w:cs="宋体"/>
                <w:kern w:val="0"/>
                <w:sz w:val="20"/>
                <w:szCs w:val="20"/>
              </w:rPr>
              <w:t>VR心理单车</w:t>
            </w:r>
          </w:p>
        </w:tc>
        <w:tc>
          <w:tcPr>
            <w:tcW w:w="4897" w:type="dxa"/>
            <w:shd w:val="clear" w:color="auto" w:fill="auto"/>
            <w:vAlign w:val="center"/>
          </w:tcPr>
          <w:p w14:paraId="2AE4D0C3">
            <w:pPr>
              <w:widowControl/>
              <w:jc w:val="left"/>
              <w:rPr>
                <w:rFonts w:ascii="宋体" w:hAnsi="宋体" w:cs="宋体"/>
                <w:kern w:val="0"/>
                <w:sz w:val="20"/>
                <w:szCs w:val="20"/>
              </w:rPr>
            </w:pPr>
            <w:r>
              <w:rPr>
                <w:rFonts w:hint="eastAsia" w:ascii="宋体" w:hAnsi="宋体" w:cs="宋体"/>
                <w:kern w:val="0"/>
                <w:sz w:val="20"/>
                <w:szCs w:val="20"/>
              </w:rPr>
              <w:t>一、VR骑行专用头盔1套</w:t>
            </w:r>
          </w:p>
          <w:p w14:paraId="272993FF">
            <w:pPr>
              <w:widowControl/>
              <w:jc w:val="left"/>
              <w:rPr>
                <w:rFonts w:ascii="宋体" w:hAnsi="宋体" w:cs="宋体"/>
                <w:kern w:val="0"/>
                <w:sz w:val="20"/>
                <w:szCs w:val="20"/>
              </w:rPr>
            </w:pPr>
            <w:r>
              <w:rPr>
                <w:rFonts w:hint="eastAsia" w:ascii="宋体" w:hAnsi="宋体" w:cs="宋体"/>
                <w:kern w:val="0"/>
                <w:sz w:val="20"/>
                <w:szCs w:val="20"/>
              </w:rPr>
              <w:t>二、42寸互动一体机1套：≥42英寸，≥1920*1080，十点红外触摸</w:t>
            </w:r>
          </w:p>
          <w:p w14:paraId="011F583C">
            <w:pPr>
              <w:widowControl/>
              <w:jc w:val="left"/>
              <w:rPr>
                <w:rFonts w:ascii="宋体" w:hAnsi="宋体" w:cs="宋体"/>
                <w:kern w:val="0"/>
                <w:sz w:val="20"/>
                <w:szCs w:val="20"/>
              </w:rPr>
            </w:pPr>
            <w:r>
              <w:rPr>
                <w:rFonts w:hint="eastAsia" w:ascii="宋体" w:hAnsi="宋体" w:cs="宋体"/>
                <w:kern w:val="0"/>
                <w:sz w:val="20"/>
                <w:szCs w:val="20"/>
              </w:rPr>
              <w:t>三、VR设备专用支架1套</w:t>
            </w:r>
          </w:p>
          <w:p w14:paraId="2A88AAEC">
            <w:pPr>
              <w:widowControl/>
              <w:jc w:val="left"/>
              <w:rPr>
                <w:rFonts w:ascii="宋体" w:hAnsi="宋体" w:cs="宋体"/>
                <w:kern w:val="0"/>
                <w:sz w:val="20"/>
                <w:szCs w:val="20"/>
              </w:rPr>
            </w:pPr>
            <w:r>
              <w:rPr>
                <w:rFonts w:hint="eastAsia" w:ascii="宋体" w:hAnsi="宋体" w:cs="宋体"/>
                <w:kern w:val="0"/>
                <w:sz w:val="20"/>
                <w:szCs w:val="20"/>
              </w:rPr>
              <w:t>四、生物反馈采集系统：实时采集运动与静息状态下心率数据，实时显示指标，骑行结束后得到减压报告，可外接设备打印。</w:t>
            </w:r>
          </w:p>
          <w:p w14:paraId="5811F142">
            <w:pPr>
              <w:widowControl/>
              <w:jc w:val="left"/>
              <w:rPr>
                <w:rFonts w:ascii="宋体" w:hAnsi="宋体" w:cs="宋体"/>
                <w:kern w:val="0"/>
                <w:sz w:val="20"/>
                <w:szCs w:val="20"/>
              </w:rPr>
            </w:pPr>
            <w:r>
              <w:rPr>
                <w:rFonts w:hint="eastAsia" w:ascii="宋体" w:hAnsi="宋体" w:cs="宋体"/>
                <w:kern w:val="0"/>
                <w:sz w:val="20"/>
                <w:szCs w:val="20"/>
              </w:rPr>
              <w:t>五、VR心理骑行软件系统 ：</w:t>
            </w:r>
          </w:p>
          <w:p w14:paraId="436147EE">
            <w:pPr>
              <w:widowControl/>
              <w:jc w:val="left"/>
              <w:rPr>
                <w:rFonts w:ascii="宋体" w:hAnsi="宋体" w:cs="宋体"/>
                <w:kern w:val="0"/>
                <w:sz w:val="20"/>
                <w:szCs w:val="20"/>
              </w:rPr>
            </w:pPr>
            <w:r>
              <w:rPr>
                <w:rFonts w:hint="eastAsia" w:ascii="宋体" w:hAnsi="宋体" w:cs="宋体"/>
                <w:kern w:val="0"/>
                <w:sz w:val="20"/>
                <w:szCs w:val="20"/>
              </w:rPr>
              <w:t>1、减压放松系统：提供雪地骑行、草原骑行、花海骑行、天空之镜、等不少于四个VR放松场景，身临其境自由骑行，来访者可自由选择视角，720度沉浸体验。配套智能语音系统与放松音效，完成放松练习，消除身体和心理的紧张和焦虑情绪。支持运动后训练反馈报告。支持场景自动生成。</w:t>
            </w:r>
          </w:p>
          <w:p w14:paraId="06115A9E">
            <w:pPr>
              <w:widowControl/>
              <w:jc w:val="left"/>
              <w:rPr>
                <w:rFonts w:ascii="宋体" w:hAnsi="宋体" w:cs="宋体"/>
                <w:kern w:val="0"/>
                <w:sz w:val="20"/>
                <w:szCs w:val="20"/>
              </w:rPr>
            </w:pPr>
            <w:r>
              <w:rPr>
                <w:rFonts w:hint="eastAsia" w:ascii="宋体" w:hAnsi="宋体" w:cs="宋体"/>
                <w:kern w:val="0"/>
                <w:sz w:val="20"/>
                <w:szCs w:val="20"/>
              </w:rPr>
              <w:t>2、数据中心：个人中心（账户、密码、姓名、性别、年龄等）、训练反馈报告含运动时长、速度、心率、完成情况等。</w:t>
            </w:r>
          </w:p>
          <w:p w14:paraId="62CE1B1D">
            <w:pPr>
              <w:widowControl/>
              <w:jc w:val="left"/>
              <w:rPr>
                <w:rFonts w:ascii="宋体" w:hAnsi="宋体" w:cs="宋体"/>
                <w:kern w:val="0"/>
                <w:sz w:val="20"/>
                <w:szCs w:val="20"/>
              </w:rPr>
            </w:pPr>
            <w:r>
              <w:rPr>
                <w:rFonts w:hint="eastAsia" w:ascii="宋体" w:hAnsi="宋体" w:cs="宋体"/>
                <w:kern w:val="0"/>
                <w:sz w:val="20"/>
                <w:szCs w:val="20"/>
              </w:rPr>
              <w:t>3、团体模式：多人联网竞赛模式，支持团体辅导</w:t>
            </w:r>
          </w:p>
          <w:p w14:paraId="17F31ED3">
            <w:pPr>
              <w:widowControl/>
              <w:jc w:val="left"/>
              <w:rPr>
                <w:rFonts w:ascii="宋体" w:hAnsi="宋体" w:cs="宋体"/>
                <w:kern w:val="0"/>
                <w:sz w:val="20"/>
                <w:szCs w:val="20"/>
              </w:rPr>
            </w:pPr>
            <w:r>
              <w:rPr>
                <w:rFonts w:hint="eastAsia" w:ascii="宋体" w:hAnsi="宋体" w:cs="宋体"/>
                <w:kern w:val="0"/>
                <w:sz w:val="20"/>
                <w:szCs w:val="20"/>
              </w:rPr>
              <w:t>4、实时数据反馈：显示速度、里程、排名、心率等指标</w:t>
            </w:r>
          </w:p>
          <w:p w14:paraId="64F23EB8">
            <w:pPr>
              <w:widowControl/>
              <w:jc w:val="left"/>
              <w:rPr>
                <w:rFonts w:ascii="宋体" w:hAnsi="宋体" w:cs="宋体"/>
                <w:kern w:val="0"/>
                <w:sz w:val="20"/>
                <w:szCs w:val="20"/>
              </w:rPr>
            </w:pPr>
            <w:r>
              <w:rPr>
                <w:rFonts w:hint="eastAsia" w:ascii="宋体" w:hAnsi="宋体" w:cs="宋体"/>
                <w:kern w:val="0"/>
                <w:sz w:val="20"/>
                <w:szCs w:val="20"/>
              </w:rPr>
              <w:t>5、支持VR立体与基础平面双版本适配</w:t>
            </w:r>
          </w:p>
          <w:p w14:paraId="3C5D1048">
            <w:pPr>
              <w:widowControl/>
              <w:jc w:val="left"/>
              <w:rPr>
                <w:rFonts w:ascii="宋体" w:hAnsi="宋体" w:cs="宋体"/>
                <w:kern w:val="0"/>
                <w:sz w:val="20"/>
                <w:szCs w:val="20"/>
              </w:rPr>
            </w:pPr>
            <w:r>
              <w:rPr>
                <w:rFonts w:hint="eastAsia" w:ascii="宋体" w:hAnsi="宋体" w:cs="宋体"/>
                <w:kern w:val="0"/>
                <w:sz w:val="20"/>
                <w:szCs w:val="20"/>
              </w:rPr>
              <w:t>6、运动课堂：包含单车使用教程、VR单车使用教程、方向矫正教程、安全警示等骑行教练专业指导、科学运动避免伤害</w:t>
            </w:r>
          </w:p>
          <w:p w14:paraId="59466229">
            <w:pPr>
              <w:widowControl/>
              <w:jc w:val="left"/>
              <w:rPr>
                <w:rFonts w:ascii="宋体" w:hAnsi="宋体" w:cs="宋体"/>
                <w:kern w:val="0"/>
                <w:sz w:val="20"/>
                <w:szCs w:val="20"/>
              </w:rPr>
            </w:pPr>
            <w:r>
              <w:rPr>
                <w:rFonts w:hint="eastAsia" w:ascii="宋体" w:hAnsi="宋体" w:cs="宋体"/>
                <w:kern w:val="0"/>
                <w:sz w:val="20"/>
                <w:szCs w:val="20"/>
              </w:rPr>
              <w:t>7、情绪释压系统：关卡制释压设计/支持3-30分钟训练模式，同时支持无级设置模式/支持场景自动生成，支持积分奖励机制/支持智能语音引导/支持HRV等生理指标的采集/支持环境结合心理因素动态变化/支持运动后训练反馈报告/至少包含海岛小镇、城市竞速等两种场景</w:t>
            </w:r>
          </w:p>
          <w:p w14:paraId="7C30AE16">
            <w:pPr>
              <w:widowControl/>
              <w:jc w:val="left"/>
              <w:rPr>
                <w:rFonts w:ascii="宋体" w:hAnsi="宋体" w:cs="宋体"/>
                <w:kern w:val="0"/>
                <w:sz w:val="20"/>
                <w:szCs w:val="20"/>
              </w:rPr>
            </w:pPr>
            <w:r>
              <w:rPr>
                <w:rFonts w:hint="eastAsia" w:ascii="宋体" w:hAnsi="宋体" w:cs="宋体"/>
                <w:kern w:val="0"/>
                <w:sz w:val="20"/>
                <w:szCs w:val="20"/>
              </w:rPr>
              <w:t>一、VR骑行专用单车1套：支持底座水平调节、扶手高低调节、车座双向维度调节，适应不同身高人群；配置安全防滑脚踏、紧急刹车模式、阻力调节器、移动滚轮、超静音皮带，产品参数：净重：30kg~50kg，最大载重：≥120kg，产品尺寸：80~120cm*40~60cm*90~110cm</w:t>
            </w:r>
          </w:p>
        </w:tc>
        <w:tc>
          <w:tcPr>
            <w:tcW w:w="462" w:type="dxa"/>
            <w:shd w:val="clear" w:color="auto" w:fill="auto"/>
            <w:noWrap/>
            <w:vAlign w:val="center"/>
          </w:tcPr>
          <w:p w14:paraId="7293711C">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1D672766">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195F4102">
            <w:pPr>
              <w:widowControl/>
              <w:jc w:val="center"/>
              <w:rPr>
                <w:rFonts w:ascii="宋体" w:hAnsi="宋体" w:cs="宋体"/>
                <w:kern w:val="0"/>
                <w:sz w:val="20"/>
                <w:szCs w:val="20"/>
              </w:rPr>
            </w:pPr>
            <w:r>
              <w:rPr>
                <w:rFonts w:hint="eastAsia" w:ascii="宋体" w:hAnsi="宋体" w:cs="宋体"/>
                <w:kern w:val="0"/>
                <w:sz w:val="20"/>
                <w:szCs w:val="20"/>
              </w:rPr>
              <w:t xml:space="preserve">96900.00 </w:t>
            </w:r>
          </w:p>
        </w:tc>
        <w:tc>
          <w:tcPr>
            <w:tcW w:w="1489" w:type="dxa"/>
            <w:shd w:val="clear" w:color="auto" w:fill="auto"/>
            <w:noWrap/>
            <w:vAlign w:val="center"/>
          </w:tcPr>
          <w:p w14:paraId="764DB21B">
            <w:pPr>
              <w:widowControl/>
              <w:jc w:val="center"/>
              <w:rPr>
                <w:rFonts w:ascii="宋体" w:hAnsi="宋体" w:cs="宋体"/>
                <w:kern w:val="0"/>
                <w:sz w:val="20"/>
                <w:szCs w:val="20"/>
              </w:rPr>
            </w:pPr>
            <w:r>
              <w:rPr>
                <w:rFonts w:hint="eastAsia" w:ascii="宋体" w:hAnsi="宋体" w:cs="宋体"/>
                <w:kern w:val="0"/>
                <w:sz w:val="20"/>
                <w:szCs w:val="20"/>
              </w:rPr>
              <w:t xml:space="preserve">96900.00 </w:t>
            </w:r>
          </w:p>
        </w:tc>
      </w:tr>
      <w:tr w14:paraId="233A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5DC647">
            <w:pPr>
              <w:widowControl/>
              <w:jc w:val="center"/>
              <w:textAlignment w:val="center"/>
              <w:rPr>
                <w:rFonts w:ascii="宋体" w:hAnsi="宋体" w:cs="宋体"/>
                <w:color w:val="000000"/>
                <w:sz w:val="22"/>
                <w:szCs w:val="22"/>
              </w:rPr>
            </w:pPr>
            <w:r>
              <w:rPr>
                <w:rFonts w:hint="eastAsia" w:ascii="宋体" w:hAnsi="宋体" w:cs="宋体"/>
                <w:color w:val="000000"/>
                <w:sz w:val="22"/>
                <w:szCs w:val="22"/>
              </w:rPr>
              <w:t>3</w:t>
            </w:r>
          </w:p>
        </w:tc>
        <w:tc>
          <w:tcPr>
            <w:tcW w:w="1072" w:type="dxa"/>
            <w:shd w:val="clear" w:color="auto" w:fill="auto"/>
            <w:vAlign w:val="center"/>
          </w:tcPr>
          <w:p w14:paraId="628C360E">
            <w:pPr>
              <w:widowControl/>
              <w:jc w:val="center"/>
              <w:rPr>
                <w:rFonts w:ascii="宋体" w:hAnsi="宋体" w:cs="宋体"/>
                <w:kern w:val="0"/>
                <w:sz w:val="20"/>
                <w:szCs w:val="20"/>
              </w:rPr>
            </w:pPr>
            <w:r>
              <w:rPr>
                <w:rFonts w:hint="eastAsia" w:ascii="宋体" w:hAnsi="宋体" w:cs="宋体"/>
                <w:kern w:val="0"/>
                <w:sz w:val="20"/>
                <w:szCs w:val="20"/>
              </w:rPr>
              <w:t>情绪调节释压系统</w:t>
            </w:r>
          </w:p>
        </w:tc>
        <w:tc>
          <w:tcPr>
            <w:tcW w:w="4897" w:type="dxa"/>
            <w:shd w:val="clear" w:color="auto" w:fill="auto"/>
            <w:vAlign w:val="center"/>
          </w:tcPr>
          <w:p w14:paraId="3802B3FF">
            <w:pPr>
              <w:widowControl/>
              <w:jc w:val="left"/>
              <w:rPr>
                <w:rFonts w:ascii="宋体" w:hAnsi="宋体" w:cs="宋体"/>
                <w:kern w:val="0"/>
                <w:sz w:val="20"/>
                <w:szCs w:val="20"/>
              </w:rPr>
            </w:pPr>
            <w:r>
              <w:rPr>
                <w:rFonts w:hint="eastAsia" w:ascii="宋体" w:hAnsi="宋体" w:cs="宋体"/>
                <w:kern w:val="0"/>
                <w:sz w:val="22"/>
              </w:rPr>
              <w:t>▲</w:t>
            </w:r>
            <w:r>
              <w:rPr>
                <w:rFonts w:hint="eastAsia" w:ascii="宋体" w:hAnsi="宋体" w:cs="宋体"/>
                <w:kern w:val="0"/>
                <w:sz w:val="20"/>
                <w:szCs w:val="20"/>
              </w:rPr>
              <w:t>一、智能情绪调节释压系统硬件设备1个，上部不超过1400mm，底座直径不超过680mm，高不超过400mm。卡通外形，材料无毒环保，高弹性海绵，产品人性化设计结构简单，安装容易，击打时，摆动小，持久耐用、手感好，可击打可拥抱。材料组成部分包括底座、衣服、填充物、头套、内衬等组成部分，整体打造温馨舒适的体验效果；★提供CMA标记的“智能情绪调节释压系统”材质相关（铅, 镉, 汞和六价铬，多溴联苯 ，多溴二苯醚 ）的检测报告复印件佐证；</w:t>
            </w:r>
          </w:p>
          <w:p w14:paraId="5AC0003F">
            <w:pPr>
              <w:widowControl/>
              <w:jc w:val="left"/>
              <w:rPr>
                <w:rFonts w:ascii="宋体" w:hAnsi="宋体" w:cs="宋体"/>
                <w:kern w:val="0"/>
                <w:sz w:val="20"/>
                <w:szCs w:val="20"/>
              </w:rPr>
            </w:pPr>
            <w:r>
              <w:rPr>
                <w:rFonts w:hint="eastAsia" w:ascii="宋体" w:hAnsi="宋体" w:cs="宋体"/>
                <w:kern w:val="0"/>
                <w:sz w:val="20"/>
                <w:szCs w:val="20"/>
              </w:rPr>
              <w:t>二、系统采用高性能主控芯片，有效保证系统稳定及高速运算能力；高性能解码芯片，实现MP3音频格式快速解码，播放流畅，音质清晰；</w:t>
            </w:r>
          </w:p>
          <w:p w14:paraId="12D65D16">
            <w:pPr>
              <w:widowControl/>
              <w:jc w:val="left"/>
              <w:rPr>
                <w:rFonts w:ascii="宋体" w:hAnsi="宋体" w:cs="宋体"/>
                <w:kern w:val="0"/>
                <w:sz w:val="20"/>
                <w:szCs w:val="20"/>
              </w:rPr>
            </w:pPr>
            <w:r>
              <w:rPr>
                <w:rFonts w:hint="eastAsia" w:ascii="宋体" w:hAnsi="宋体" w:cs="宋体"/>
                <w:kern w:val="0"/>
                <w:sz w:val="20"/>
                <w:szCs w:val="20"/>
              </w:rPr>
              <w:t>三、系统提供了丰富的积极阳光正能量的语音内容，可满足不同情绪问题的正向引导；</w:t>
            </w:r>
          </w:p>
          <w:p w14:paraId="44BDD38F">
            <w:pPr>
              <w:widowControl/>
              <w:jc w:val="left"/>
              <w:rPr>
                <w:rFonts w:ascii="宋体" w:hAnsi="宋体" w:cs="宋体"/>
                <w:kern w:val="0"/>
                <w:sz w:val="20"/>
                <w:szCs w:val="20"/>
              </w:rPr>
            </w:pPr>
            <w:r>
              <w:rPr>
                <w:rFonts w:hint="eastAsia" w:ascii="宋体" w:hAnsi="宋体" w:cs="宋体"/>
                <w:kern w:val="0"/>
                <w:sz w:val="20"/>
                <w:szCs w:val="20"/>
              </w:rPr>
              <w:t>四、系统自带传感器振动检测，可对操作进行检测，防止使用者过度使用，实现系统自我保护作用。</w:t>
            </w:r>
          </w:p>
          <w:p w14:paraId="4169E220">
            <w:pPr>
              <w:widowControl/>
              <w:jc w:val="left"/>
              <w:rPr>
                <w:rFonts w:ascii="宋体" w:hAnsi="宋体" w:cs="宋体"/>
                <w:kern w:val="0"/>
                <w:sz w:val="20"/>
                <w:szCs w:val="20"/>
              </w:rPr>
            </w:pPr>
            <w:r>
              <w:rPr>
                <w:rFonts w:hint="eastAsia" w:ascii="宋体" w:hAnsi="宋体" w:cs="宋体"/>
                <w:kern w:val="0"/>
                <w:sz w:val="20"/>
                <w:szCs w:val="20"/>
              </w:rPr>
              <w:t>五、智能语音提醒功能：当使用一定时间后语音提醒，防止过度使用；</w:t>
            </w:r>
          </w:p>
          <w:p w14:paraId="1614C2EA">
            <w:pPr>
              <w:widowControl/>
              <w:jc w:val="left"/>
              <w:rPr>
                <w:rFonts w:ascii="宋体" w:hAnsi="宋体" w:cs="宋体"/>
                <w:kern w:val="0"/>
                <w:sz w:val="20"/>
                <w:szCs w:val="20"/>
              </w:rPr>
            </w:pPr>
            <w:r>
              <w:rPr>
                <w:rFonts w:hint="eastAsia" w:ascii="宋体" w:hAnsi="宋体" w:cs="宋体"/>
                <w:kern w:val="0"/>
                <w:sz w:val="20"/>
                <w:szCs w:val="20"/>
              </w:rPr>
              <w:t>六、系统采用DC12V电压供电，电流输出稳定且简易安全；自带功放，直接接喇叭，功率可达30W，确保良好的音质输出。</w:t>
            </w:r>
          </w:p>
          <w:p w14:paraId="358643F4">
            <w:pPr>
              <w:widowControl/>
              <w:jc w:val="left"/>
              <w:rPr>
                <w:rFonts w:ascii="宋体" w:hAnsi="宋体" w:cs="宋体"/>
                <w:kern w:val="0"/>
                <w:sz w:val="20"/>
                <w:szCs w:val="20"/>
              </w:rPr>
            </w:pPr>
            <w:r>
              <w:rPr>
                <w:rFonts w:hint="eastAsia" w:ascii="宋体" w:hAnsi="宋体" w:cs="宋体"/>
                <w:kern w:val="0"/>
                <w:sz w:val="20"/>
                <w:szCs w:val="20"/>
              </w:rPr>
              <w:t>七、护手套2对，采用了轻型耐用材料，可有效的缓冲打击时的撞击。</w:t>
            </w:r>
          </w:p>
          <w:p w14:paraId="7AE9C346">
            <w:pPr>
              <w:widowControl/>
              <w:jc w:val="left"/>
              <w:rPr>
                <w:rFonts w:ascii="宋体" w:hAnsi="宋体" w:cs="宋体"/>
                <w:kern w:val="0"/>
                <w:sz w:val="20"/>
                <w:szCs w:val="20"/>
              </w:rPr>
            </w:pPr>
            <w:r>
              <w:rPr>
                <w:rFonts w:hint="eastAsia" w:ascii="宋体" w:hAnsi="宋体" w:cs="宋体"/>
                <w:kern w:val="0"/>
                <w:sz w:val="20"/>
                <w:szCs w:val="20"/>
              </w:rPr>
              <w:t>八、摔打宣泄球2个，橡胶材质，充气使用，回弹性好，可坐和摔打。</w:t>
            </w:r>
          </w:p>
          <w:p w14:paraId="74F55A40">
            <w:pPr>
              <w:widowControl/>
              <w:jc w:val="left"/>
              <w:rPr>
                <w:rFonts w:ascii="宋体" w:hAnsi="宋体" w:cs="宋体"/>
                <w:kern w:val="0"/>
                <w:sz w:val="20"/>
                <w:szCs w:val="20"/>
              </w:rPr>
            </w:pPr>
            <w:r>
              <w:rPr>
                <w:rFonts w:hint="eastAsia" w:ascii="宋体" w:hAnsi="宋体" w:cs="宋体"/>
                <w:kern w:val="0"/>
                <w:sz w:val="20"/>
                <w:szCs w:val="20"/>
              </w:rPr>
              <w:t>九、立式宣泄球1个，</w:t>
            </w:r>
          </w:p>
          <w:p w14:paraId="039432FA">
            <w:pPr>
              <w:widowControl/>
              <w:jc w:val="left"/>
              <w:rPr>
                <w:rFonts w:ascii="宋体" w:hAnsi="宋体" w:cs="宋体"/>
                <w:kern w:val="0"/>
                <w:sz w:val="20"/>
                <w:szCs w:val="20"/>
              </w:rPr>
            </w:pPr>
            <w:r>
              <w:rPr>
                <w:rFonts w:hint="eastAsia" w:ascii="宋体" w:hAnsi="宋体" w:cs="宋体"/>
                <w:kern w:val="0"/>
                <w:sz w:val="20"/>
                <w:szCs w:val="20"/>
              </w:rPr>
              <w:t>十、充气棒2根，充气使用，内胆防水材质，外套保护套。</w:t>
            </w:r>
          </w:p>
        </w:tc>
        <w:tc>
          <w:tcPr>
            <w:tcW w:w="462" w:type="dxa"/>
            <w:shd w:val="clear" w:color="auto" w:fill="auto"/>
            <w:noWrap/>
            <w:vAlign w:val="center"/>
          </w:tcPr>
          <w:p w14:paraId="67745FAF">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7687A59F">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4CE9B7ED">
            <w:pPr>
              <w:widowControl/>
              <w:jc w:val="center"/>
              <w:rPr>
                <w:rFonts w:ascii="宋体" w:hAnsi="宋体" w:cs="宋体"/>
                <w:kern w:val="0"/>
                <w:sz w:val="20"/>
                <w:szCs w:val="20"/>
              </w:rPr>
            </w:pPr>
            <w:r>
              <w:rPr>
                <w:rFonts w:hint="eastAsia" w:ascii="宋体" w:hAnsi="宋体" w:cs="宋体"/>
                <w:kern w:val="0"/>
                <w:sz w:val="20"/>
                <w:szCs w:val="20"/>
              </w:rPr>
              <w:t xml:space="preserve">13100.00 </w:t>
            </w:r>
          </w:p>
        </w:tc>
        <w:tc>
          <w:tcPr>
            <w:tcW w:w="1489" w:type="dxa"/>
            <w:shd w:val="clear" w:color="auto" w:fill="auto"/>
            <w:noWrap/>
            <w:vAlign w:val="center"/>
          </w:tcPr>
          <w:p w14:paraId="3D41DFFB">
            <w:pPr>
              <w:widowControl/>
              <w:jc w:val="center"/>
              <w:rPr>
                <w:rFonts w:ascii="宋体" w:hAnsi="宋体" w:cs="宋体"/>
                <w:kern w:val="0"/>
                <w:sz w:val="20"/>
                <w:szCs w:val="20"/>
              </w:rPr>
            </w:pPr>
            <w:r>
              <w:rPr>
                <w:rFonts w:hint="eastAsia" w:ascii="宋体" w:hAnsi="宋体" w:cs="宋体"/>
                <w:kern w:val="0"/>
                <w:sz w:val="20"/>
                <w:szCs w:val="20"/>
              </w:rPr>
              <w:t xml:space="preserve">13100.00 </w:t>
            </w:r>
          </w:p>
        </w:tc>
      </w:tr>
      <w:tr w14:paraId="5118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49BF309">
            <w:pPr>
              <w:widowControl/>
              <w:jc w:val="center"/>
              <w:textAlignment w:val="center"/>
              <w:rPr>
                <w:rFonts w:ascii="宋体" w:hAnsi="宋体" w:cs="宋体"/>
                <w:color w:val="000000"/>
                <w:sz w:val="22"/>
                <w:szCs w:val="22"/>
              </w:rPr>
            </w:pPr>
            <w:r>
              <w:rPr>
                <w:rFonts w:hint="eastAsia" w:ascii="宋体" w:hAnsi="宋体" w:cs="宋体"/>
                <w:color w:val="000000"/>
                <w:sz w:val="22"/>
                <w:szCs w:val="22"/>
              </w:rPr>
              <w:t>4</w:t>
            </w:r>
          </w:p>
        </w:tc>
        <w:tc>
          <w:tcPr>
            <w:tcW w:w="1072" w:type="dxa"/>
            <w:shd w:val="clear" w:color="auto" w:fill="auto"/>
            <w:vAlign w:val="center"/>
          </w:tcPr>
          <w:p w14:paraId="3DC76B59">
            <w:pPr>
              <w:widowControl/>
              <w:jc w:val="center"/>
              <w:rPr>
                <w:rFonts w:ascii="宋体" w:hAnsi="宋体" w:cs="宋体"/>
                <w:kern w:val="0"/>
                <w:sz w:val="20"/>
                <w:szCs w:val="20"/>
              </w:rPr>
            </w:pPr>
            <w:r>
              <w:rPr>
                <w:rFonts w:hint="eastAsia" w:ascii="宋体" w:hAnsi="宋体" w:cs="宋体"/>
                <w:kern w:val="0"/>
                <w:sz w:val="20"/>
                <w:szCs w:val="20"/>
              </w:rPr>
              <w:t>宣泄人</w:t>
            </w:r>
          </w:p>
        </w:tc>
        <w:tc>
          <w:tcPr>
            <w:tcW w:w="4897" w:type="dxa"/>
            <w:shd w:val="clear" w:color="auto" w:fill="auto"/>
            <w:vAlign w:val="center"/>
          </w:tcPr>
          <w:p w14:paraId="266E0F53">
            <w:pPr>
              <w:widowControl/>
              <w:jc w:val="left"/>
              <w:rPr>
                <w:rFonts w:ascii="宋体" w:hAnsi="宋体" w:cs="宋体"/>
                <w:kern w:val="0"/>
                <w:sz w:val="20"/>
                <w:szCs w:val="20"/>
              </w:rPr>
            </w:pPr>
            <w:r>
              <w:rPr>
                <w:rFonts w:hint="eastAsia" w:ascii="宋体" w:hAnsi="宋体" w:cs="宋体"/>
                <w:kern w:val="0"/>
                <w:sz w:val="20"/>
                <w:szCs w:val="20"/>
              </w:rPr>
              <w:t>1、155~165cm硅胶宣泄人1个, 底座为PE材料的水桶，直径500~700mm，高300~500mm</w:t>
            </w:r>
            <w:r>
              <w:rPr>
                <w:rFonts w:hint="eastAsia" w:ascii="宋体" w:hAnsi="宋体" w:cs="宋体"/>
                <w:kern w:val="0"/>
                <w:sz w:val="20"/>
                <w:szCs w:val="20"/>
              </w:rPr>
              <w:br w:type="textWrapping"/>
            </w:r>
            <w:r>
              <w:rPr>
                <w:rFonts w:hint="eastAsia" w:ascii="宋体" w:hAnsi="宋体" w:cs="宋体"/>
                <w:kern w:val="0"/>
                <w:sz w:val="20"/>
                <w:szCs w:val="20"/>
              </w:rPr>
              <w:t>（真人发声设计）</w:t>
            </w:r>
            <w:r>
              <w:rPr>
                <w:rFonts w:hint="eastAsia" w:ascii="宋体" w:hAnsi="宋体" w:cs="宋体"/>
                <w:kern w:val="0"/>
                <w:sz w:val="20"/>
                <w:szCs w:val="20"/>
              </w:rPr>
              <w:br w:type="textWrapping"/>
            </w:r>
            <w:r>
              <w:rPr>
                <w:rFonts w:hint="eastAsia" w:ascii="宋体" w:hAnsi="宋体" w:cs="宋体"/>
                <w:kern w:val="0"/>
                <w:sz w:val="20"/>
                <w:szCs w:val="20"/>
              </w:rPr>
              <w:t>2、立式释压球1个（立式不倒，外层高级仿皮材料，高度可调节。）</w:t>
            </w:r>
            <w:r>
              <w:rPr>
                <w:rFonts w:hint="eastAsia" w:ascii="宋体" w:hAnsi="宋体" w:cs="宋体"/>
                <w:kern w:val="0"/>
                <w:sz w:val="20"/>
                <w:szCs w:val="20"/>
              </w:rPr>
              <w:br w:type="textWrapping"/>
            </w:r>
            <w:r>
              <w:rPr>
                <w:rFonts w:hint="eastAsia" w:ascii="宋体" w:hAnsi="宋体" w:cs="宋体"/>
                <w:kern w:val="0"/>
                <w:sz w:val="20"/>
                <w:szCs w:val="20"/>
              </w:rPr>
              <w:t xml:space="preserve">3、摔打型释压球4个（橡胶）         </w:t>
            </w:r>
            <w:r>
              <w:rPr>
                <w:rFonts w:hint="eastAsia" w:ascii="宋体" w:hAnsi="宋体" w:cs="宋体"/>
                <w:kern w:val="0"/>
                <w:sz w:val="20"/>
                <w:szCs w:val="20"/>
              </w:rPr>
              <w:br w:type="textWrapping"/>
            </w:r>
            <w:r>
              <w:rPr>
                <w:rFonts w:hint="eastAsia" w:ascii="宋体" w:hAnsi="宋体" w:cs="宋体"/>
                <w:kern w:val="0"/>
                <w:sz w:val="20"/>
                <w:szCs w:val="20"/>
              </w:rPr>
              <w:t>4、释压手套2对(可有效的缓冲打击时的撞击，采用了轻型耐用材料)</w:t>
            </w:r>
            <w:r>
              <w:rPr>
                <w:rFonts w:hint="eastAsia" w:ascii="宋体" w:hAnsi="宋体" w:cs="宋体"/>
                <w:kern w:val="0"/>
                <w:sz w:val="20"/>
                <w:szCs w:val="20"/>
              </w:rPr>
              <w:br w:type="textWrapping"/>
            </w:r>
            <w:r>
              <w:rPr>
                <w:rFonts w:hint="eastAsia" w:ascii="宋体" w:hAnsi="宋体" w:cs="宋体"/>
                <w:kern w:val="0"/>
                <w:sz w:val="20"/>
                <w:szCs w:val="20"/>
              </w:rPr>
              <w:t xml:space="preserve">5、释压挂图4张（高清晰画质、永不退色,）           </w:t>
            </w:r>
            <w:r>
              <w:rPr>
                <w:rFonts w:hint="eastAsia" w:ascii="宋体" w:hAnsi="宋体" w:cs="宋体"/>
                <w:kern w:val="0"/>
                <w:sz w:val="20"/>
                <w:szCs w:val="20"/>
              </w:rPr>
              <w:br w:type="textWrapping"/>
            </w:r>
            <w:r>
              <w:rPr>
                <w:rFonts w:hint="eastAsia" w:ascii="宋体" w:hAnsi="宋体" w:cs="宋体"/>
                <w:kern w:val="0"/>
                <w:sz w:val="20"/>
                <w:szCs w:val="20"/>
              </w:rPr>
              <w:t xml:space="preserve">6、宣泄室制度1张（高清晰画质、永不退色,） </w:t>
            </w:r>
            <w:r>
              <w:rPr>
                <w:rFonts w:hint="eastAsia" w:ascii="宋体" w:hAnsi="宋体" w:cs="宋体"/>
                <w:kern w:val="0"/>
                <w:sz w:val="20"/>
                <w:szCs w:val="20"/>
              </w:rPr>
              <w:br w:type="textWrapping"/>
            </w:r>
            <w:r>
              <w:rPr>
                <w:rFonts w:hint="eastAsia" w:ascii="宋体" w:hAnsi="宋体" w:cs="宋体"/>
                <w:kern w:val="0"/>
                <w:sz w:val="20"/>
                <w:szCs w:val="20"/>
              </w:rPr>
              <w:t xml:space="preserve">7、释压脸谱4张  (布艺丝印，经久耐用）         </w:t>
            </w:r>
            <w:r>
              <w:rPr>
                <w:rFonts w:hint="eastAsia" w:ascii="宋体" w:hAnsi="宋体" w:cs="宋体"/>
                <w:kern w:val="0"/>
                <w:sz w:val="20"/>
                <w:szCs w:val="20"/>
              </w:rPr>
              <w:br w:type="textWrapping"/>
            </w:r>
            <w:r>
              <w:rPr>
                <w:rFonts w:hint="eastAsia" w:ascii="宋体" w:hAnsi="宋体" w:cs="宋体"/>
                <w:kern w:val="0"/>
                <w:sz w:val="20"/>
                <w:szCs w:val="20"/>
              </w:rPr>
              <w:t>8、释压背心2件（强弹力棉纺织)</w:t>
            </w:r>
            <w:r>
              <w:rPr>
                <w:rFonts w:hint="eastAsia" w:ascii="宋体" w:hAnsi="宋体" w:cs="宋体"/>
                <w:kern w:val="0"/>
                <w:sz w:val="20"/>
                <w:szCs w:val="20"/>
              </w:rPr>
              <w:br w:type="textWrapping"/>
            </w:r>
            <w:r>
              <w:rPr>
                <w:rFonts w:hint="eastAsia" w:ascii="宋体" w:hAnsi="宋体" w:cs="宋体"/>
                <w:kern w:val="0"/>
                <w:sz w:val="20"/>
                <w:szCs w:val="20"/>
              </w:rPr>
              <w:t>9、注水水管1根</w:t>
            </w:r>
          </w:p>
        </w:tc>
        <w:tc>
          <w:tcPr>
            <w:tcW w:w="462" w:type="dxa"/>
            <w:shd w:val="clear" w:color="auto" w:fill="auto"/>
            <w:noWrap/>
            <w:vAlign w:val="center"/>
          </w:tcPr>
          <w:p w14:paraId="674E9C65">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4DD2C634">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2A0A87DE">
            <w:pPr>
              <w:widowControl/>
              <w:jc w:val="center"/>
              <w:rPr>
                <w:rFonts w:ascii="宋体" w:hAnsi="宋体" w:cs="宋体"/>
                <w:kern w:val="0"/>
                <w:sz w:val="20"/>
                <w:szCs w:val="20"/>
              </w:rPr>
            </w:pPr>
            <w:r>
              <w:rPr>
                <w:rFonts w:hint="eastAsia" w:ascii="宋体" w:hAnsi="宋体" w:cs="宋体"/>
                <w:kern w:val="0"/>
                <w:sz w:val="20"/>
                <w:szCs w:val="20"/>
              </w:rPr>
              <w:t xml:space="preserve">5600.00 </w:t>
            </w:r>
          </w:p>
        </w:tc>
        <w:tc>
          <w:tcPr>
            <w:tcW w:w="1489" w:type="dxa"/>
            <w:shd w:val="clear" w:color="auto" w:fill="auto"/>
            <w:noWrap/>
            <w:vAlign w:val="center"/>
          </w:tcPr>
          <w:p w14:paraId="710B145B">
            <w:pPr>
              <w:widowControl/>
              <w:jc w:val="center"/>
              <w:rPr>
                <w:rFonts w:ascii="宋体" w:hAnsi="宋体" w:cs="宋体"/>
                <w:kern w:val="0"/>
                <w:sz w:val="20"/>
                <w:szCs w:val="20"/>
              </w:rPr>
            </w:pPr>
            <w:r>
              <w:rPr>
                <w:rFonts w:hint="eastAsia" w:ascii="宋体" w:hAnsi="宋体" w:cs="宋体"/>
                <w:kern w:val="0"/>
                <w:sz w:val="20"/>
                <w:szCs w:val="20"/>
              </w:rPr>
              <w:t xml:space="preserve">5600.00 </w:t>
            </w:r>
          </w:p>
        </w:tc>
      </w:tr>
      <w:tr w14:paraId="38DB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0EBC3DA">
            <w:pPr>
              <w:widowControl/>
              <w:jc w:val="center"/>
              <w:textAlignment w:val="center"/>
              <w:rPr>
                <w:rFonts w:ascii="宋体" w:hAnsi="宋体" w:cs="宋体"/>
                <w:color w:val="000000"/>
                <w:sz w:val="22"/>
                <w:szCs w:val="22"/>
              </w:rPr>
            </w:pPr>
            <w:r>
              <w:rPr>
                <w:rFonts w:hint="eastAsia" w:ascii="宋体" w:hAnsi="宋体" w:cs="宋体"/>
                <w:color w:val="000000"/>
                <w:sz w:val="22"/>
                <w:szCs w:val="22"/>
              </w:rPr>
              <w:t>5</w:t>
            </w:r>
          </w:p>
        </w:tc>
        <w:tc>
          <w:tcPr>
            <w:tcW w:w="1072" w:type="dxa"/>
            <w:shd w:val="clear" w:color="auto" w:fill="auto"/>
            <w:vAlign w:val="center"/>
          </w:tcPr>
          <w:p w14:paraId="2FC559DD">
            <w:pPr>
              <w:widowControl/>
              <w:jc w:val="center"/>
              <w:rPr>
                <w:rFonts w:ascii="宋体" w:hAnsi="宋体" w:cs="宋体"/>
                <w:kern w:val="0"/>
                <w:sz w:val="20"/>
                <w:szCs w:val="20"/>
              </w:rPr>
            </w:pPr>
            <w:r>
              <w:rPr>
                <w:rFonts w:hint="eastAsia" w:ascii="宋体" w:hAnsi="宋体" w:cs="宋体"/>
                <w:kern w:val="0"/>
                <w:sz w:val="20"/>
                <w:szCs w:val="20"/>
              </w:rPr>
              <w:t>塑造系统</w:t>
            </w:r>
          </w:p>
        </w:tc>
        <w:tc>
          <w:tcPr>
            <w:tcW w:w="4897" w:type="dxa"/>
            <w:shd w:val="clear" w:color="auto" w:fill="auto"/>
            <w:vAlign w:val="bottom"/>
          </w:tcPr>
          <w:p w14:paraId="41153AB1">
            <w:pPr>
              <w:widowControl/>
              <w:jc w:val="left"/>
              <w:rPr>
                <w:rFonts w:ascii="宋体" w:hAnsi="宋体" w:cs="宋体"/>
                <w:kern w:val="0"/>
                <w:sz w:val="18"/>
                <w:szCs w:val="18"/>
              </w:rPr>
            </w:pPr>
            <w:r>
              <w:rPr>
                <w:rFonts w:hint="eastAsia" w:ascii="宋体" w:hAnsi="宋体" w:cs="宋体"/>
                <w:kern w:val="0"/>
                <w:sz w:val="18"/>
                <w:szCs w:val="18"/>
              </w:rPr>
              <w:t>一、【硬件参数】</w:t>
            </w:r>
          </w:p>
          <w:p w14:paraId="6679761C">
            <w:pPr>
              <w:widowControl/>
              <w:jc w:val="left"/>
              <w:rPr>
                <w:rFonts w:ascii="宋体" w:hAnsi="宋体" w:cs="宋体"/>
                <w:kern w:val="0"/>
                <w:sz w:val="18"/>
                <w:szCs w:val="18"/>
              </w:rPr>
            </w:pPr>
            <w:r>
              <w:rPr>
                <w:rFonts w:hint="eastAsia" w:ascii="宋体" w:hAnsi="宋体" w:cs="宋体"/>
                <w:kern w:val="0"/>
                <w:sz w:val="18"/>
                <w:szCs w:val="18"/>
              </w:rPr>
              <w:t>1、整机尺寸：800~mm1000mm（长）*500mm~600mm（宽）*1500mm~1700mm(高），上部尺寸：≥940mm（长）*520mm（宽）；</w:t>
            </w:r>
          </w:p>
          <w:p w14:paraId="5CB4F9E5">
            <w:pPr>
              <w:widowControl/>
              <w:jc w:val="left"/>
              <w:rPr>
                <w:rFonts w:ascii="宋体" w:hAnsi="宋体" w:cs="宋体"/>
                <w:kern w:val="0"/>
                <w:sz w:val="18"/>
                <w:szCs w:val="18"/>
              </w:rPr>
            </w:pPr>
            <w:r>
              <w:rPr>
                <w:rFonts w:hint="eastAsia" w:ascii="宋体" w:hAnsi="宋体" w:cs="宋体"/>
                <w:kern w:val="0"/>
                <w:sz w:val="18"/>
                <w:szCs w:val="18"/>
              </w:rPr>
              <w:t>2、摄像头：最高有效像素：1920*1080；连接接口：USB2.0 SMD；有效焦距：≤3mm；供电电压：DC5V；工作电流：150-180MA。</w:t>
            </w:r>
          </w:p>
          <w:p w14:paraId="25E3AB59">
            <w:pPr>
              <w:widowControl/>
              <w:jc w:val="left"/>
              <w:rPr>
                <w:rFonts w:ascii="宋体" w:hAnsi="宋体" w:cs="宋体"/>
                <w:kern w:val="0"/>
                <w:sz w:val="18"/>
                <w:szCs w:val="18"/>
              </w:rPr>
            </w:pPr>
            <w:r>
              <w:rPr>
                <w:rFonts w:hint="eastAsia" w:ascii="宋体" w:hAnsi="宋体" w:cs="宋体"/>
                <w:kern w:val="0"/>
                <w:sz w:val="18"/>
                <w:szCs w:val="18"/>
              </w:rPr>
              <w:t>二、【系统功能】</w:t>
            </w:r>
          </w:p>
          <w:p w14:paraId="2A31310D">
            <w:pPr>
              <w:widowControl/>
              <w:jc w:val="left"/>
              <w:rPr>
                <w:rFonts w:ascii="宋体" w:hAnsi="宋体" w:cs="宋体"/>
                <w:kern w:val="0"/>
                <w:sz w:val="18"/>
                <w:szCs w:val="18"/>
              </w:rPr>
            </w:pPr>
            <w:r>
              <w:rPr>
                <w:rFonts w:hint="eastAsia" w:ascii="宋体" w:hAnsi="宋体" w:cs="宋体"/>
                <w:kern w:val="0"/>
                <w:sz w:val="18"/>
                <w:szCs w:val="18"/>
              </w:rPr>
              <w:t>1、支持账号密码登陆和人脸登陆进入系统；</w:t>
            </w:r>
          </w:p>
          <w:p w14:paraId="3C3390A5">
            <w:pPr>
              <w:widowControl/>
              <w:jc w:val="left"/>
              <w:rPr>
                <w:rFonts w:ascii="宋体" w:hAnsi="宋体" w:cs="宋体"/>
                <w:kern w:val="0"/>
                <w:sz w:val="18"/>
                <w:szCs w:val="18"/>
              </w:rPr>
            </w:pPr>
            <w:r>
              <w:rPr>
                <w:rFonts w:hint="eastAsia" w:ascii="宋体" w:hAnsi="宋体" w:cs="宋体"/>
                <w:kern w:val="0"/>
                <w:sz w:val="18"/>
                <w:szCs w:val="18"/>
              </w:rPr>
              <w:t>2、支持单个用户注册和多个用户批量导入；</w:t>
            </w:r>
          </w:p>
          <w:p w14:paraId="2140EA60">
            <w:pPr>
              <w:widowControl/>
              <w:jc w:val="left"/>
              <w:rPr>
                <w:rFonts w:ascii="宋体" w:hAnsi="宋体" w:cs="宋体"/>
                <w:kern w:val="0"/>
                <w:sz w:val="18"/>
                <w:szCs w:val="18"/>
              </w:rPr>
            </w:pPr>
            <w:r>
              <w:rPr>
                <w:rFonts w:hint="eastAsia" w:ascii="宋体" w:hAnsi="宋体" w:cs="宋体"/>
                <w:kern w:val="0"/>
                <w:sz w:val="18"/>
                <w:szCs w:val="18"/>
              </w:rPr>
              <w:t>3、支持可通过手机号与验证码找回密码；</w:t>
            </w:r>
          </w:p>
          <w:p w14:paraId="526C35F2">
            <w:pPr>
              <w:widowControl/>
              <w:jc w:val="left"/>
              <w:rPr>
                <w:rFonts w:ascii="宋体" w:hAnsi="宋体" w:cs="宋体"/>
                <w:kern w:val="0"/>
                <w:sz w:val="18"/>
                <w:szCs w:val="18"/>
              </w:rPr>
            </w:pPr>
            <w:r>
              <w:rPr>
                <w:rFonts w:hint="eastAsia" w:ascii="宋体" w:hAnsi="宋体" w:cs="宋体"/>
                <w:kern w:val="0"/>
                <w:sz w:val="18"/>
                <w:szCs w:val="18"/>
              </w:rPr>
              <w:t>4、支持人脸绑定和人脸解绑功能。</w:t>
            </w:r>
          </w:p>
          <w:p w14:paraId="1C5E7349">
            <w:pPr>
              <w:widowControl/>
              <w:jc w:val="left"/>
              <w:rPr>
                <w:rFonts w:ascii="宋体" w:hAnsi="宋体" w:cs="宋体"/>
                <w:kern w:val="0"/>
                <w:sz w:val="18"/>
                <w:szCs w:val="18"/>
              </w:rPr>
            </w:pPr>
            <w:r>
              <w:rPr>
                <w:rFonts w:hint="eastAsia" w:ascii="宋体" w:hAnsi="宋体" w:cs="宋体"/>
                <w:kern w:val="0"/>
                <w:sz w:val="20"/>
                <w:szCs w:val="20"/>
              </w:rPr>
              <w:t>▲</w:t>
            </w:r>
            <w:r>
              <w:rPr>
                <w:rFonts w:hint="eastAsia" w:ascii="宋体" w:hAnsi="宋体" w:cs="宋体"/>
                <w:kern w:val="0"/>
                <w:sz w:val="18"/>
                <w:szCs w:val="18"/>
              </w:rPr>
              <w:t>5、系统包括自信、虚心、迎难、坚强、包容、感恩等不少于6个品格塑造模块。（提供CMA或CNAS标记的报告扫描件以及功能性界面截图予以佐证）</w:t>
            </w:r>
          </w:p>
          <w:p w14:paraId="6E798059">
            <w:pPr>
              <w:widowControl/>
              <w:jc w:val="left"/>
              <w:rPr>
                <w:rFonts w:ascii="宋体" w:hAnsi="宋体" w:cs="宋体"/>
                <w:kern w:val="0"/>
                <w:sz w:val="18"/>
                <w:szCs w:val="18"/>
              </w:rPr>
            </w:pPr>
            <w:r>
              <w:rPr>
                <w:rFonts w:hint="eastAsia" w:ascii="宋体" w:hAnsi="宋体" w:cs="宋体"/>
                <w:kern w:val="0"/>
                <w:sz w:val="18"/>
                <w:szCs w:val="18"/>
              </w:rPr>
              <w:t>6、塑造模块包括微课、动画故事、心能训练、学习中心等不少于4个学习模块。</w:t>
            </w:r>
          </w:p>
          <w:p w14:paraId="463DC573">
            <w:pPr>
              <w:widowControl/>
              <w:jc w:val="left"/>
              <w:rPr>
                <w:rFonts w:ascii="宋体" w:hAnsi="宋体" w:cs="宋体"/>
                <w:kern w:val="0"/>
                <w:sz w:val="18"/>
                <w:szCs w:val="18"/>
              </w:rPr>
            </w:pPr>
            <w:r>
              <w:rPr>
                <w:rFonts w:hint="eastAsia" w:ascii="宋体" w:hAnsi="宋体" w:cs="宋体"/>
                <w:kern w:val="0"/>
                <w:sz w:val="20"/>
                <w:szCs w:val="20"/>
              </w:rPr>
              <w:t>▲</w:t>
            </w:r>
            <w:r>
              <w:rPr>
                <w:rFonts w:hint="eastAsia" w:ascii="宋体" w:hAnsi="宋体" w:cs="宋体"/>
                <w:kern w:val="0"/>
                <w:sz w:val="18"/>
                <w:szCs w:val="18"/>
              </w:rPr>
              <w:t>、支持通过微课播放（自信、虚心、迎难、坚强、包容、感恩）等不少于6种品质视频，通过视频的教学形式，以提升学习效果和吸引力。（提供CMA或CNAS标记的报告扫描件以及功能性界面截图予以佐证）</w:t>
            </w:r>
          </w:p>
          <w:p w14:paraId="4ACCB501">
            <w:pPr>
              <w:widowControl/>
              <w:jc w:val="left"/>
              <w:rPr>
                <w:rFonts w:ascii="宋体" w:hAnsi="宋体" w:cs="宋体"/>
                <w:kern w:val="0"/>
                <w:sz w:val="18"/>
                <w:szCs w:val="18"/>
              </w:rPr>
            </w:pPr>
            <w:r>
              <w:rPr>
                <w:rFonts w:hint="eastAsia" w:ascii="宋体" w:hAnsi="宋体" w:cs="宋体"/>
                <w:kern w:val="0"/>
                <w:sz w:val="18"/>
                <w:szCs w:val="18"/>
              </w:rPr>
              <w:t>8、支持通过动画故事播放（自信、虚心、迎难、坚强、包容、感恩）等不少于6种动画故事，以引起用户的兴趣和注意力，通过故事情节和角色塑造，帮助用户理解和应对不同情境下的品格问题。（提供CMA或CNAS标记的报告扫描件以及功能性界面截图予以佐证）</w:t>
            </w:r>
          </w:p>
          <w:p w14:paraId="2A48B43E">
            <w:pPr>
              <w:widowControl/>
              <w:jc w:val="left"/>
              <w:rPr>
                <w:rFonts w:ascii="宋体" w:hAnsi="宋体" w:cs="宋体"/>
                <w:kern w:val="0"/>
                <w:sz w:val="18"/>
                <w:szCs w:val="18"/>
              </w:rPr>
            </w:pPr>
            <w:r>
              <w:rPr>
                <w:rFonts w:hint="eastAsia" w:ascii="宋体" w:hAnsi="宋体" w:cs="宋体"/>
                <w:kern w:val="0"/>
                <w:sz w:val="18"/>
                <w:szCs w:val="18"/>
              </w:rPr>
              <w:t>9、支持心能训练提供不少于10个心能训练。（提供CMA或CNAS标记的报告扫描件以及功能性界面截图予以佐证）</w:t>
            </w:r>
          </w:p>
          <w:p w14:paraId="42376FF0">
            <w:pPr>
              <w:widowControl/>
              <w:jc w:val="left"/>
              <w:rPr>
                <w:rFonts w:ascii="宋体" w:hAnsi="宋体" w:cs="宋体"/>
                <w:kern w:val="0"/>
                <w:sz w:val="18"/>
                <w:szCs w:val="18"/>
              </w:rPr>
            </w:pPr>
            <w:r>
              <w:rPr>
                <w:rFonts w:hint="eastAsia" w:ascii="宋体" w:hAnsi="宋体" w:cs="宋体"/>
                <w:kern w:val="0"/>
                <w:sz w:val="18"/>
                <w:szCs w:val="18"/>
              </w:rPr>
              <w:t>10、支持互动训练、可参与互动活动功能，涵盖了多个场景和挑战，让用户在不同的情境中进行心理训练。以“激励引导—正面回应—赞美肯定—反复训练”模式，系统通过高灵敏度声音采集分析芯片对训练者的应答内容、声音强度、次数、状态等进行采集，智能同步输出相应的正向语音引导、培养自信心的训练，从而达到调整训练者心理认知、激发内在自信、重塑积极心理状态的目的。</w:t>
            </w:r>
          </w:p>
          <w:p w14:paraId="63CE139E">
            <w:pPr>
              <w:widowControl/>
              <w:jc w:val="left"/>
              <w:rPr>
                <w:rFonts w:ascii="宋体" w:hAnsi="宋体" w:cs="宋体"/>
                <w:kern w:val="0"/>
                <w:sz w:val="18"/>
                <w:szCs w:val="18"/>
              </w:rPr>
            </w:pPr>
            <w:r>
              <w:rPr>
                <w:rFonts w:hint="eastAsia" w:ascii="宋体" w:hAnsi="宋体" w:cs="宋体"/>
                <w:kern w:val="0"/>
                <w:sz w:val="18"/>
                <w:szCs w:val="18"/>
              </w:rPr>
              <w:t>11、学习中心通过音频课堂播放（自信、虚心、迎难、坚强、包容、感恩）等不少于6种音频内容；</w:t>
            </w:r>
          </w:p>
          <w:p w14:paraId="73D36E89">
            <w:pPr>
              <w:widowControl/>
              <w:jc w:val="left"/>
              <w:rPr>
                <w:rFonts w:ascii="宋体" w:hAnsi="宋体" w:cs="宋体"/>
                <w:kern w:val="0"/>
                <w:sz w:val="18"/>
                <w:szCs w:val="18"/>
              </w:rPr>
            </w:pPr>
            <w:r>
              <w:rPr>
                <w:rFonts w:hint="eastAsia" w:ascii="宋体" w:hAnsi="宋体" w:cs="宋体"/>
                <w:kern w:val="0"/>
                <w:sz w:val="18"/>
                <w:szCs w:val="18"/>
              </w:rPr>
              <w:t>12、学习中心通过视频课堂播放（自信、虚心、迎难、坚强、包容、感恩）等不少于6种视频内容；</w:t>
            </w:r>
          </w:p>
          <w:p w14:paraId="11446B51">
            <w:pPr>
              <w:widowControl/>
              <w:jc w:val="left"/>
              <w:rPr>
                <w:rFonts w:ascii="宋体" w:hAnsi="宋体" w:cs="宋体"/>
                <w:kern w:val="0"/>
                <w:sz w:val="18"/>
                <w:szCs w:val="18"/>
              </w:rPr>
            </w:pPr>
            <w:r>
              <w:rPr>
                <w:rFonts w:hint="eastAsia" w:ascii="宋体" w:hAnsi="宋体" w:cs="宋体"/>
                <w:kern w:val="0"/>
                <w:sz w:val="18"/>
                <w:szCs w:val="18"/>
              </w:rPr>
              <w:t>13、音频课堂包括不少于50首专业策划的音频学习内容，涵盖了心理健康相关的各个方面，包括情绪管理、焦虑缓解、压力调节等，能够有效地帮助用户了解和掌握心理健康知识，提升心理健康水平。</w:t>
            </w:r>
          </w:p>
          <w:p w14:paraId="08D5CB7C">
            <w:pPr>
              <w:widowControl/>
              <w:jc w:val="left"/>
              <w:rPr>
                <w:rFonts w:ascii="宋体" w:hAnsi="宋体" w:cs="宋体"/>
                <w:kern w:val="0"/>
                <w:sz w:val="18"/>
                <w:szCs w:val="18"/>
              </w:rPr>
            </w:pPr>
            <w:r>
              <w:rPr>
                <w:rFonts w:hint="eastAsia" w:ascii="宋体" w:hAnsi="宋体" w:cs="宋体"/>
                <w:kern w:val="0"/>
                <w:sz w:val="18"/>
                <w:szCs w:val="18"/>
              </w:rPr>
              <w:t>14、视频课堂包括不少于24个精心制作的视频课程，内容具有针对性，涵盖了心理健康的各个方面，如自信、虚心、坚强等。视频课程配有生动形象的图像和案例，具有很强的启发性和实践性。</w:t>
            </w:r>
          </w:p>
          <w:p w14:paraId="0CEC0B59">
            <w:pPr>
              <w:widowControl/>
              <w:jc w:val="left"/>
              <w:rPr>
                <w:rFonts w:ascii="宋体" w:hAnsi="宋体" w:cs="宋体"/>
                <w:kern w:val="0"/>
                <w:sz w:val="18"/>
                <w:szCs w:val="18"/>
              </w:rPr>
            </w:pPr>
            <w:r>
              <w:rPr>
                <w:rFonts w:hint="eastAsia" w:ascii="宋体" w:hAnsi="宋体" w:cs="宋体"/>
                <w:kern w:val="0"/>
                <w:sz w:val="18"/>
                <w:szCs w:val="18"/>
              </w:rPr>
              <w:t>15、支持与云平台系统实现用户数据对接，实现用户信息的录入、保存、批量导入、删除、报告查看等管理功能。</w:t>
            </w:r>
          </w:p>
        </w:tc>
        <w:tc>
          <w:tcPr>
            <w:tcW w:w="462" w:type="dxa"/>
            <w:shd w:val="clear" w:color="auto" w:fill="auto"/>
            <w:noWrap/>
            <w:vAlign w:val="center"/>
          </w:tcPr>
          <w:p w14:paraId="567C0AC1">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6FB57B82">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20500B90">
            <w:pPr>
              <w:widowControl/>
              <w:jc w:val="center"/>
              <w:rPr>
                <w:rFonts w:ascii="宋体" w:hAnsi="宋体" w:cs="宋体"/>
                <w:kern w:val="0"/>
                <w:sz w:val="20"/>
                <w:szCs w:val="20"/>
              </w:rPr>
            </w:pPr>
            <w:r>
              <w:rPr>
                <w:rFonts w:hint="eastAsia" w:ascii="宋体" w:hAnsi="宋体" w:cs="宋体"/>
                <w:kern w:val="0"/>
                <w:sz w:val="20"/>
                <w:szCs w:val="20"/>
              </w:rPr>
              <w:t xml:space="preserve">64700.00 </w:t>
            </w:r>
          </w:p>
        </w:tc>
        <w:tc>
          <w:tcPr>
            <w:tcW w:w="1489" w:type="dxa"/>
            <w:shd w:val="clear" w:color="auto" w:fill="auto"/>
            <w:noWrap/>
            <w:vAlign w:val="center"/>
          </w:tcPr>
          <w:p w14:paraId="39D844FE">
            <w:pPr>
              <w:widowControl/>
              <w:jc w:val="center"/>
              <w:rPr>
                <w:rFonts w:ascii="宋体" w:hAnsi="宋体" w:cs="宋体"/>
                <w:kern w:val="0"/>
                <w:sz w:val="20"/>
                <w:szCs w:val="20"/>
              </w:rPr>
            </w:pPr>
            <w:r>
              <w:rPr>
                <w:rFonts w:hint="eastAsia" w:ascii="宋体" w:hAnsi="宋体" w:cs="宋体"/>
                <w:kern w:val="0"/>
                <w:sz w:val="20"/>
                <w:szCs w:val="20"/>
              </w:rPr>
              <w:t xml:space="preserve">64700.00 </w:t>
            </w:r>
          </w:p>
        </w:tc>
      </w:tr>
      <w:tr w14:paraId="5CFA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9035619">
            <w:pPr>
              <w:widowControl/>
              <w:jc w:val="center"/>
              <w:textAlignment w:val="center"/>
              <w:rPr>
                <w:rFonts w:ascii="宋体" w:hAnsi="宋体" w:cs="宋体"/>
                <w:color w:val="000000"/>
                <w:sz w:val="22"/>
                <w:szCs w:val="22"/>
              </w:rPr>
            </w:pPr>
            <w:r>
              <w:rPr>
                <w:rFonts w:hint="eastAsia" w:ascii="宋体" w:hAnsi="宋体" w:cs="宋体"/>
                <w:color w:val="000000"/>
                <w:sz w:val="22"/>
                <w:szCs w:val="22"/>
              </w:rPr>
              <w:t>6</w:t>
            </w:r>
          </w:p>
        </w:tc>
        <w:tc>
          <w:tcPr>
            <w:tcW w:w="1072" w:type="dxa"/>
            <w:shd w:val="clear" w:color="auto" w:fill="auto"/>
            <w:vAlign w:val="center"/>
          </w:tcPr>
          <w:p w14:paraId="700AE8AD">
            <w:pPr>
              <w:widowControl/>
              <w:jc w:val="center"/>
              <w:rPr>
                <w:rFonts w:ascii="宋体" w:hAnsi="宋体" w:cs="宋体"/>
                <w:kern w:val="0"/>
                <w:sz w:val="20"/>
                <w:szCs w:val="20"/>
              </w:rPr>
            </w:pPr>
            <w:r>
              <w:rPr>
                <w:rFonts w:hint="eastAsia" w:ascii="宋体" w:hAnsi="宋体" w:cs="宋体"/>
                <w:kern w:val="0"/>
                <w:sz w:val="20"/>
                <w:szCs w:val="20"/>
              </w:rPr>
              <w:t>互动减压系统</w:t>
            </w:r>
          </w:p>
        </w:tc>
        <w:tc>
          <w:tcPr>
            <w:tcW w:w="4897" w:type="dxa"/>
            <w:shd w:val="clear" w:color="auto" w:fill="auto"/>
            <w:vAlign w:val="center"/>
          </w:tcPr>
          <w:p w14:paraId="6D8D2EC1">
            <w:pPr>
              <w:widowControl/>
              <w:jc w:val="left"/>
              <w:rPr>
                <w:rFonts w:ascii="宋体" w:hAnsi="宋体" w:cs="宋体"/>
                <w:kern w:val="0"/>
                <w:sz w:val="20"/>
                <w:szCs w:val="20"/>
              </w:rPr>
            </w:pPr>
            <w:r>
              <w:rPr>
                <w:rFonts w:hint="eastAsia" w:ascii="宋体" w:hAnsi="宋体" w:cs="宋体"/>
                <w:kern w:val="0"/>
                <w:sz w:val="20"/>
                <w:szCs w:val="20"/>
              </w:rPr>
              <w:t>【系统介绍】</w:t>
            </w:r>
          </w:p>
          <w:p w14:paraId="5C479055">
            <w:pPr>
              <w:widowControl/>
              <w:jc w:val="left"/>
              <w:rPr>
                <w:rFonts w:ascii="宋体" w:hAnsi="宋体" w:cs="宋体"/>
                <w:kern w:val="0"/>
                <w:sz w:val="20"/>
                <w:szCs w:val="20"/>
              </w:rPr>
            </w:pPr>
            <w:r>
              <w:rPr>
                <w:rFonts w:hint="eastAsia" w:ascii="宋体" w:hAnsi="宋体" w:cs="宋体"/>
                <w:kern w:val="0"/>
                <w:sz w:val="20"/>
                <w:szCs w:val="20"/>
              </w:rPr>
              <w:t>1、一款互动形式丰富的情绪疏导设备，互动形式包括呐喊互动、击打互动、面部互动、体感互动，达到情绪放松、认知调整的目的。</w:t>
            </w:r>
          </w:p>
          <w:p w14:paraId="4078EE36">
            <w:pPr>
              <w:widowControl/>
              <w:jc w:val="left"/>
              <w:rPr>
                <w:rFonts w:ascii="宋体" w:hAnsi="宋体" w:cs="宋体"/>
                <w:kern w:val="0"/>
                <w:sz w:val="20"/>
                <w:szCs w:val="20"/>
              </w:rPr>
            </w:pPr>
            <w:r>
              <w:rPr>
                <w:rFonts w:hint="eastAsia" w:ascii="宋体" w:hAnsi="宋体" w:cs="宋体"/>
                <w:kern w:val="0"/>
                <w:sz w:val="20"/>
                <w:szCs w:val="20"/>
              </w:rPr>
              <w:t>【硬件参数】</w:t>
            </w:r>
          </w:p>
          <w:p w14:paraId="7A576594">
            <w:pPr>
              <w:widowControl/>
              <w:jc w:val="left"/>
              <w:rPr>
                <w:rFonts w:ascii="宋体" w:hAnsi="宋体" w:cs="宋体"/>
                <w:kern w:val="0"/>
                <w:sz w:val="20"/>
                <w:szCs w:val="20"/>
              </w:rPr>
            </w:pPr>
            <w:r>
              <w:rPr>
                <w:rFonts w:hint="eastAsia" w:ascii="宋体" w:hAnsi="宋体" w:cs="宋体"/>
                <w:kern w:val="0"/>
                <w:sz w:val="20"/>
                <w:szCs w:val="20"/>
              </w:rPr>
              <w:t>2、尺寸：硬件搭载主端柜：≥长100cm，≥宽48cm，高≥170cm；击打靶底座：≥直径60cm,≥高30cm；靶心：≥直径30cm，≥高100cm；</w:t>
            </w:r>
          </w:p>
          <w:p w14:paraId="05E0E86A">
            <w:pPr>
              <w:widowControl/>
              <w:jc w:val="left"/>
              <w:rPr>
                <w:rFonts w:ascii="宋体" w:hAnsi="宋体" w:cs="宋体"/>
                <w:kern w:val="0"/>
                <w:sz w:val="20"/>
                <w:szCs w:val="20"/>
              </w:rPr>
            </w:pPr>
            <w:r>
              <w:rPr>
                <w:rFonts w:hint="eastAsia" w:ascii="宋体" w:hAnsi="宋体" w:cs="宋体"/>
                <w:kern w:val="0"/>
                <w:sz w:val="20"/>
                <w:szCs w:val="20"/>
              </w:rPr>
              <w:t>3、屏幕：采用≥42寸高清LED液晶屏;显示尺寸：≥94*52.6cm；分辨率：≥1920*1080；</w:t>
            </w:r>
          </w:p>
          <w:p w14:paraId="2040D18C">
            <w:pPr>
              <w:widowControl/>
              <w:jc w:val="left"/>
              <w:rPr>
                <w:rFonts w:ascii="宋体" w:hAnsi="宋体" w:cs="宋体"/>
                <w:kern w:val="0"/>
                <w:sz w:val="20"/>
                <w:szCs w:val="20"/>
              </w:rPr>
            </w:pPr>
            <w:r>
              <w:rPr>
                <w:rFonts w:hint="eastAsia" w:ascii="宋体" w:hAnsi="宋体" w:cs="宋体"/>
                <w:kern w:val="0"/>
                <w:sz w:val="20"/>
                <w:szCs w:val="20"/>
              </w:rPr>
              <w:t>4、采用感应方式：红外触摸；底座具有氛围灯。</w:t>
            </w:r>
          </w:p>
          <w:p w14:paraId="71B3B3AF">
            <w:pPr>
              <w:widowControl/>
              <w:jc w:val="left"/>
              <w:rPr>
                <w:rFonts w:ascii="宋体" w:hAnsi="宋体" w:cs="宋体"/>
                <w:kern w:val="0"/>
                <w:sz w:val="20"/>
                <w:szCs w:val="20"/>
              </w:rPr>
            </w:pPr>
            <w:r>
              <w:rPr>
                <w:rFonts w:hint="eastAsia" w:ascii="宋体" w:hAnsi="宋体" w:cs="宋体"/>
                <w:kern w:val="0"/>
                <w:sz w:val="20"/>
                <w:szCs w:val="20"/>
              </w:rPr>
              <w:t>5、安卓操作系统；多核 CPU（处理器）；内存：≥4G；储存空间：≥16G。</w:t>
            </w:r>
          </w:p>
          <w:p w14:paraId="160139E3">
            <w:pPr>
              <w:widowControl/>
              <w:jc w:val="left"/>
              <w:rPr>
                <w:rFonts w:ascii="宋体" w:hAnsi="宋体" w:cs="宋体"/>
                <w:kern w:val="0"/>
                <w:sz w:val="20"/>
                <w:szCs w:val="20"/>
              </w:rPr>
            </w:pPr>
            <w:r>
              <w:rPr>
                <w:rFonts w:hint="eastAsia" w:ascii="宋体" w:hAnsi="宋体" w:cs="宋体"/>
                <w:kern w:val="0"/>
                <w:sz w:val="20"/>
                <w:szCs w:val="20"/>
              </w:rPr>
              <w:t>6、摄像头：最高有效像素：1920*1080；连接接口：USB2.0 SMD；有效焦距：≤3mm；供电电压：DC5V；工作电流：150-180MA。</w:t>
            </w:r>
          </w:p>
          <w:p w14:paraId="48166FF0">
            <w:pPr>
              <w:widowControl/>
              <w:jc w:val="left"/>
              <w:rPr>
                <w:rFonts w:ascii="宋体" w:hAnsi="宋体" w:cs="宋体"/>
                <w:kern w:val="0"/>
                <w:sz w:val="20"/>
                <w:szCs w:val="20"/>
              </w:rPr>
            </w:pPr>
            <w:r>
              <w:rPr>
                <w:rFonts w:hint="eastAsia" w:ascii="宋体" w:hAnsi="宋体" w:cs="宋体"/>
                <w:kern w:val="0"/>
                <w:sz w:val="20"/>
                <w:szCs w:val="20"/>
              </w:rPr>
              <w:t>7、3D数字加速度传感器：采用计算精度高的3D加速度传感器，配合蓝牙无线传输技术，能准确、更全面的采集和分析使用者的击打释压动作，实现释压行为的及时反馈，深度评估。</w:t>
            </w:r>
          </w:p>
          <w:p w14:paraId="1FD1260D">
            <w:pPr>
              <w:widowControl/>
              <w:jc w:val="left"/>
              <w:rPr>
                <w:rFonts w:ascii="宋体" w:hAnsi="宋体" w:cs="宋体"/>
                <w:kern w:val="0"/>
                <w:sz w:val="20"/>
                <w:szCs w:val="20"/>
              </w:rPr>
            </w:pPr>
            <w:r>
              <w:rPr>
                <w:rFonts w:hint="eastAsia" w:ascii="宋体" w:hAnsi="宋体" w:cs="宋体"/>
                <w:kern w:val="0"/>
                <w:sz w:val="20"/>
                <w:szCs w:val="20"/>
              </w:rPr>
              <w:t>8、采集仪：采用无线蓝牙指脉式生理指标采集，集成手腕式生物反馈系统，精确反馈人体血氧、脉率、灌注指数等多项生理指标。</w:t>
            </w:r>
          </w:p>
          <w:p w14:paraId="35AD8EB9">
            <w:pPr>
              <w:widowControl/>
              <w:jc w:val="left"/>
              <w:rPr>
                <w:rFonts w:ascii="宋体" w:hAnsi="宋体" w:cs="宋体"/>
                <w:kern w:val="0"/>
                <w:sz w:val="20"/>
                <w:szCs w:val="20"/>
              </w:rPr>
            </w:pPr>
            <w:r>
              <w:rPr>
                <w:rFonts w:hint="eastAsia" w:ascii="宋体" w:hAnsi="宋体" w:cs="宋体"/>
                <w:kern w:val="0"/>
                <w:sz w:val="20"/>
                <w:szCs w:val="20"/>
              </w:rPr>
              <w:t>【系统功能】</w:t>
            </w:r>
          </w:p>
          <w:p w14:paraId="5E492C6B">
            <w:pPr>
              <w:widowControl/>
              <w:jc w:val="left"/>
              <w:rPr>
                <w:rFonts w:ascii="宋体" w:hAnsi="宋体" w:cs="宋体"/>
                <w:kern w:val="0"/>
                <w:sz w:val="20"/>
                <w:szCs w:val="20"/>
              </w:rPr>
            </w:pPr>
            <w:r>
              <w:rPr>
                <w:rFonts w:hint="eastAsia" w:ascii="宋体" w:hAnsi="宋体" w:cs="宋体"/>
                <w:kern w:val="0"/>
                <w:sz w:val="20"/>
                <w:szCs w:val="20"/>
              </w:rPr>
              <w:t>▲9、支持设置击打仪和血氧仪蓝牙连接、人脸识别绑定、退出等；</w:t>
            </w:r>
          </w:p>
          <w:p w14:paraId="3839DD36">
            <w:pPr>
              <w:widowControl/>
              <w:jc w:val="left"/>
              <w:rPr>
                <w:rFonts w:ascii="宋体" w:hAnsi="宋体" w:cs="宋体"/>
                <w:kern w:val="0"/>
                <w:sz w:val="20"/>
                <w:szCs w:val="20"/>
              </w:rPr>
            </w:pPr>
            <w:r>
              <w:rPr>
                <w:rFonts w:hint="eastAsia" w:ascii="宋体" w:hAnsi="宋体" w:cs="宋体"/>
                <w:kern w:val="0"/>
                <w:sz w:val="20"/>
                <w:szCs w:val="20"/>
              </w:rPr>
              <w:t>10、系统实现用户数据对接，实现用户信息的录入、保存、批量导入、删除、报告查看，数据分析等管理功能；</w:t>
            </w:r>
          </w:p>
          <w:p w14:paraId="1EE84061">
            <w:pPr>
              <w:widowControl/>
              <w:jc w:val="left"/>
              <w:rPr>
                <w:rFonts w:ascii="宋体" w:hAnsi="宋体" w:cs="宋体"/>
                <w:kern w:val="0"/>
                <w:sz w:val="20"/>
                <w:szCs w:val="20"/>
              </w:rPr>
            </w:pPr>
            <w:r>
              <w:rPr>
                <w:rFonts w:hint="eastAsia" w:ascii="宋体" w:hAnsi="宋体" w:cs="宋体"/>
                <w:kern w:val="0"/>
                <w:sz w:val="20"/>
                <w:szCs w:val="20"/>
              </w:rPr>
              <w:t>11、可设置游戏的难易程度、音量调节、灵敏度调节；</w:t>
            </w:r>
          </w:p>
          <w:p w14:paraId="4EFA81F5">
            <w:pPr>
              <w:widowControl/>
              <w:jc w:val="left"/>
              <w:rPr>
                <w:rFonts w:ascii="宋体" w:hAnsi="宋体" w:cs="宋体"/>
                <w:kern w:val="0"/>
                <w:sz w:val="20"/>
                <w:szCs w:val="20"/>
              </w:rPr>
            </w:pPr>
            <w:r>
              <w:rPr>
                <w:rFonts w:hint="eastAsia" w:ascii="宋体" w:hAnsi="宋体" w:cs="宋体"/>
                <w:kern w:val="0"/>
                <w:sz w:val="20"/>
                <w:szCs w:val="20"/>
              </w:rPr>
              <w:t>12、支持数据采集和蓝牙链接状态悬浮展示，动态监测。</w:t>
            </w:r>
          </w:p>
          <w:p w14:paraId="7B588119">
            <w:pPr>
              <w:widowControl/>
              <w:jc w:val="left"/>
              <w:rPr>
                <w:rFonts w:ascii="宋体" w:hAnsi="宋体" w:cs="宋体"/>
                <w:kern w:val="0"/>
                <w:sz w:val="20"/>
                <w:szCs w:val="20"/>
              </w:rPr>
            </w:pPr>
            <w:r>
              <w:rPr>
                <w:rFonts w:hint="eastAsia" w:ascii="宋体" w:hAnsi="宋体" w:cs="宋体"/>
                <w:kern w:val="0"/>
                <w:sz w:val="20"/>
                <w:szCs w:val="20"/>
              </w:rPr>
              <w:t>13、系统支持击打、呐喊、互动三位一体减压形式，智能语音交流互动等多种释压模式，适应不同用户的体验需求，吸引和激励训练者全身心释压释放。从而帮助用户疏导工作学习压力、缓解人际关系紧张、调整环境适应、克服焦虑、战胜挫折、自卑、消除压抑、释放不良情绪等问题。</w:t>
            </w:r>
          </w:p>
          <w:p w14:paraId="0D5D87E8">
            <w:pPr>
              <w:widowControl/>
              <w:jc w:val="left"/>
              <w:rPr>
                <w:rFonts w:ascii="宋体" w:hAnsi="宋体" w:cs="宋体"/>
                <w:kern w:val="0"/>
                <w:sz w:val="20"/>
                <w:szCs w:val="20"/>
              </w:rPr>
            </w:pPr>
            <w:r>
              <w:rPr>
                <w:rFonts w:hint="eastAsia" w:ascii="宋体" w:hAnsi="宋体" w:cs="宋体"/>
                <w:kern w:val="0"/>
                <w:sz w:val="20"/>
                <w:szCs w:val="20"/>
              </w:rPr>
              <w:t>14、游戏内容：系统包含呐喊互动、击打互动、面部互动、体感互动四大部分，全系不少于12款互动游戏。</w:t>
            </w:r>
          </w:p>
          <w:p w14:paraId="58339171">
            <w:pPr>
              <w:widowControl/>
              <w:jc w:val="left"/>
              <w:rPr>
                <w:rFonts w:ascii="宋体" w:hAnsi="宋体" w:cs="宋体"/>
                <w:kern w:val="0"/>
                <w:sz w:val="20"/>
                <w:szCs w:val="20"/>
              </w:rPr>
            </w:pPr>
            <w:r>
              <w:rPr>
                <w:rFonts w:hint="eastAsia" w:ascii="宋体" w:hAnsi="宋体" w:cs="宋体"/>
                <w:kern w:val="0"/>
                <w:sz w:val="20"/>
                <w:szCs w:val="20"/>
              </w:rPr>
              <w:t>14.1、呐喊互动类游戏提供不少于4款。系统通过采集用户的呐喊分贝进行人机互动游戏训练，随着呐喊声音的大小变化，游戏训练过程会实时显示音量、速度量表和积分的变化以帮助用户有更好的视觉、听觉及使用体验。</w:t>
            </w:r>
          </w:p>
          <w:p w14:paraId="4D5F84CD">
            <w:pPr>
              <w:widowControl/>
              <w:jc w:val="left"/>
              <w:rPr>
                <w:rFonts w:ascii="宋体" w:hAnsi="宋体" w:cs="宋体"/>
                <w:kern w:val="0"/>
                <w:sz w:val="20"/>
                <w:szCs w:val="20"/>
              </w:rPr>
            </w:pPr>
            <w:r>
              <w:rPr>
                <w:rFonts w:hint="eastAsia" w:ascii="宋体" w:hAnsi="宋体" w:cs="宋体"/>
                <w:kern w:val="0"/>
                <w:sz w:val="20"/>
                <w:szCs w:val="20"/>
              </w:rPr>
              <w:t>14.2击打互动类游戏提供不少于4款游戏。通过嵌入式微电子控制技术和逻辑计算，蓝牙无线传输技术。智能的分析并实时显示击打力度、积分、当前排名、游戏时间，便于用户实时掌握自我训练动态。</w:t>
            </w:r>
          </w:p>
          <w:p w14:paraId="647683C3">
            <w:pPr>
              <w:widowControl/>
              <w:jc w:val="left"/>
              <w:rPr>
                <w:rFonts w:ascii="宋体" w:hAnsi="宋体" w:cs="宋体"/>
                <w:kern w:val="0"/>
                <w:sz w:val="20"/>
                <w:szCs w:val="20"/>
              </w:rPr>
            </w:pPr>
            <w:r>
              <w:rPr>
                <w:rFonts w:hint="eastAsia" w:ascii="宋体" w:hAnsi="宋体" w:cs="宋体"/>
                <w:kern w:val="0"/>
                <w:sz w:val="20"/>
                <w:szCs w:val="20"/>
              </w:rPr>
              <w:t>14.3面部互动类游戏提供不少于2款游戏。通过人脸识别技术和微计算机图形分析计算处理，游戏训练过程实时通过脸部识别控制游戏，用户可在游戏过程中进行肢体动作控制和脸部表情控制管理。(提供带有CMA或CNAS标识的第三方检测机构出具的测试报告复印件)</w:t>
            </w:r>
          </w:p>
          <w:p w14:paraId="31A9C122">
            <w:pPr>
              <w:widowControl/>
              <w:jc w:val="left"/>
              <w:rPr>
                <w:rFonts w:ascii="宋体" w:hAnsi="宋体" w:cs="宋体"/>
                <w:kern w:val="0"/>
                <w:sz w:val="20"/>
                <w:szCs w:val="20"/>
              </w:rPr>
            </w:pPr>
            <w:r>
              <w:rPr>
                <w:rFonts w:hint="eastAsia" w:ascii="宋体" w:hAnsi="宋体" w:cs="宋体"/>
                <w:kern w:val="0"/>
                <w:sz w:val="20"/>
                <w:szCs w:val="20"/>
              </w:rPr>
              <w:t>14.4体感互动类游戏不少于2款游戏。通过人体扫描技术和微计算机图形分析计算处理，游戏训练过程实时识别用户身形动作，通过用户的动作辅助来完成游戏，用户可在游戏过程中训练肢体动作、协调力、注意力、专注力、综合反应能力、心理素质等多维能力。</w:t>
            </w:r>
          </w:p>
          <w:p w14:paraId="58630167">
            <w:pPr>
              <w:widowControl/>
              <w:jc w:val="left"/>
              <w:rPr>
                <w:rFonts w:ascii="宋体" w:hAnsi="宋体" w:cs="宋体"/>
                <w:kern w:val="0"/>
                <w:sz w:val="20"/>
                <w:szCs w:val="20"/>
              </w:rPr>
            </w:pPr>
            <w:r>
              <w:rPr>
                <w:rFonts w:hint="eastAsia" w:ascii="宋体" w:hAnsi="宋体" w:cs="宋体"/>
                <w:kern w:val="0"/>
                <w:sz w:val="20"/>
                <w:szCs w:val="20"/>
              </w:rPr>
              <w:t>14.5支持游戏过程中系统提供加油鼓励的动画和正向语音语库，包括工作、学习、情绪、社会等各方面8大类多种热点，通过心理激励语和心理疏导语，正向引导与鼓励，激发积极能量。</w:t>
            </w:r>
          </w:p>
          <w:p w14:paraId="6939B444">
            <w:pPr>
              <w:widowControl/>
              <w:jc w:val="left"/>
              <w:rPr>
                <w:rFonts w:ascii="宋体" w:hAnsi="宋体" w:cs="宋体"/>
                <w:kern w:val="0"/>
                <w:sz w:val="20"/>
                <w:szCs w:val="20"/>
              </w:rPr>
            </w:pPr>
            <w:r>
              <w:rPr>
                <w:rFonts w:hint="eastAsia" w:ascii="宋体" w:hAnsi="宋体" w:cs="宋体"/>
                <w:kern w:val="0"/>
                <w:sz w:val="20"/>
                <w:szCs w:val="20"/>
              </w:rPr>
              <w:t>15、支持游戏结束后对用户训练的点评及成绩排行，提升用户的心理健康和自我认知，加强用户者在释压过程中正向心理激励内容的记忆和巩固。</w:t>
            </w:r>
          </w:p>
          <w:p w14:paraId="65C58B76">
            <w:pPr>
              <w:widowControl/>
              <w:jc w:val="left"/>
              <w:rPr>
                <w:rFonts w:ascii="宋体" w:hAnsi="宋体" w:cs="宋体"/>
                <w:kern w:val="0"/>
                <w:sz w:val="20"/>
                <w:szCs w:val="20"/>
              </w:rPr>
            </w:pPr>
            <w:r>
              <w:rPr>
                <w:rFonts w:hint="eastAsia" w:ascii="宋体" w:hAnsi="宋体" w:cs="宋体"/>
                <w:kern w:val="0"/>
                <w:sz w:val="20"/>
                <w:szCs w:val="20"/>
              </w:rPr>
              <w:t>16、支持训练游戏结束后系统自动统计并上传游戏数据。</w:t>
            </w:r>
          </w:p>
          <w:p w14:paraId="66842A3F">
            <w:pPr>
              <w:widowControl/>
              <w:jc w:val="left"/>
              <w:rPr>
                <w:rFonts w:ascii="宋体" w:hAnsi="宋体" w:cs="宋体"/>
                <w:kern w:val="0"/>
                <w:sz w:val="20"/>
                <w:szCs w:val="20"/>
              </w:rPr>
            </w:pPr>
            <w:r>
              <w:rPr>
                <w:rFonts w:hint="eastAsia" w:ascii="宋体" w:hAnsi="宋体" w:cs="宋体"/>
                <w:kern w:val="0"/>
                <w:sz w:val="20"/>
                <w:szCs w:val="20"/>
              </w:rPr>
              <w:t>【系统配置】</w:t>
            </w:r>
          </w:p>
          <w:p w14:paraId="7755A0CE">
            <w:pPr>
              <w:widowControl/>
              <w:jc w:val="left"/>
              <w:rPr>
                <w:rFonts w:ascii="宋体" w:hAnsi="宋体" w:cs="宋体"/>
                <w:kern w:val="0"/>
                <w:sz w:val="20"/>
                <w:szCs w:val="20"/>
              </w:rPr>
            </w:pPr>
            <w:r>
              <w:rPr>
                <w:rFonts w:hint="eastAsia" w:ascii="宋体" w:hAnsi="宋体" w:cs="宋体"/>
                <w:kern w:val="0"/>
                <w:sz w:val="20"/>
                <w:szCs w:val="20"/>
              </w:rPr>
              <w:t>17、含系统显示终端1套、立式击打靶1个、血氧仪1个、蓝牙模块1个。</w:t>
            </w:r>
          </w:p>
        </w:tc>
        <w:tc>
          <w:tcPr>
            <w:tcW w:w="462" w:type="dxa"/>
            <w:shd w:val="clear" w:color="auto" w:fill="auto"/>
            <w:noWrap/>
            <w:vAlign w:val="center"/>
          </w:tcPr>
          <w:p w14:paraId="2B06EA96">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436237C3">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2A020151">
            <w:pPr>
              <w:widowControl/>
              <w:jc w:val="center"/>
              <w:rPr>
                <w:rFonts w:ascii="宋体" w:hAnsi="宋体" w:cs="宋体"/>
                <w:kern w:val="0"/>
                <w:sz w:val="20"/>
                <w:szCs w:val="20"/>
              </w:rPr>
            </w:pPr>
            <w:r>
              <w:rPr>
                <w:rFonts w:hint="eastAsia" w:ascii="宋体" w:hAnsi="宋体" w:cs="宋体"/>
                <w:kern w:val="0"/>
                <w:sz w:val="20"/>
                <w:szCs w:val="20"/>
              </w:rPr>
              <w:t xml:space="preserve">48800.00 </w:t>
            </w:r>
          </w:p>
        </w:tc>
        <w:tc>
          <w:tcPr>
            <w:tcW w:w="1489" w:type="dxa"/>
            <w:shd w:val="clear" w:color="auto" w:fill="auto"/>
            <w:noWrap/>
            <w:vAlign w:val="center"/>
          </w:tcPr>
          <w:p w14:paraId="29F95339">
            <w:pPr>
              <w:widowControl/>
              <w:jc w:val="center"/>
              <w:rPr>
                <w:rFonts w:ascii="宋体" w:hAnsi="宋体" w:cs="宋体"/>
                <w:kern w:val="0"/>
                <w:sz w:val="20"/>
                <w:szCs w:val="20"/>
              </w:rPr>
            </w:pPr>
            <w:r>
              <w:rPr>
                <w:rFonts w:hint="eastAsia" w:ascii="宋体" w:hAnsi="宋体" w:cs="宋体"/>
                <w:kern w:val="0"/>
                <w:sz w:val="20"/>
                <w:szCs w:val="20"/>
              </w:rPr>
              <w:t xml:space="preserve">48800.00 </w:t>
            </w:r>
          </w:p>
        </w:tc>
      </w:tr>
      <w:tr w14:paraId="47AE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121BE8C">
            <w:pPr>
              <w:widowControl/>
              <w:jc w:val="center"/>
              <w:textAlignment w:val="center"/>
              <w:rPr>
                <w:rFonts w:ascii="宋体" w:hAnsi="宋体" w:cs="宋体"/>
                <w:color w:val="000000"/>
                <w:sz w:val="22"/>
                <w:szCs w:val="22"/>
              </w:rPr>
            </w:pPr>
            <w:r>
              <w:rPr>
                <w:rFonts w:hint="eastAsia" w:ascii="宋体" w:hAnsi="宋体" w:cs="宋体"/>
                <w:color w:val="000000"/>
                <w:sz w:val="22"/>
                <w:szCs w:val="22"/>
              </w:rPr>
              <w:t>7</w:t>
            </w:r>
          </w:p>
        </w:tc>
        <w:tc>
          <w:tcPr>
            <w:tcW w:w="1072" w:type="dxa"/>
            <w:shd w:val="clear" w:color="auto" w:fill="auto"/>
            <w:vAlign w:val="center"/>
          </w:tcPr>
          <w:p w14:paraId="5697ABDE">
            <w:pPr>
              <w:widowControl/>
              <w:jc w:val="center"/>
              <w:rPr>
                <w:rFonts w:ascii="宋体" w:hAnsi="宋体" w:cs="宋体"/>
                <w:kern w:val="0"/>
                <w:sz w:val="20"/>
                <w:szCs w:val="20"/>
              </w:rPr>
            </w:pPr>
            <w:r>
              <w:rPr>
                <w:rFonts w:hint="eastAsia" w:ascii="宋体" w:hAnsi="宋体" w:cs="宋体"/>
                <w:kern w:val="0"/>
                <w:sz w:val="20"/>
                <w:szCs w:val="20"/>
              </w:rPr>
              <w:t>团体活动桌椅</w:t>
            </w:r>
          </w:p>
        </w:tc>
        <w:tc>
          <w:tcPr>
            <w:tcW w:w="4897" w:type="dxa"/>
            <w:shd w:val="clear" w:color="auto" w:fill="auto"/>
            <w:vAlign w:val="center"/>
          </w:tcPr>
          <w:p w14:paraId="13A94788">
            <w:pPr>
              <w:widowControl/>
              <w:jc w:val="left"/>
              <w:rPr>
                <w:rFonts w:ascii="宋体" w:hAnsi="宋体" w:cs="宋体"/>
                <w:kern w:val="0"/>
                <w:sz w:val="20"/>
                <w:szCs w:val="20"/>
              </w:rPr>
            </w:pPr>
            <w:r>
              <w:rPr>
                <w:rFonts w:hint="eastAsia" w:ascii="宋体" w:hAnsi="宋体" w:cs="宋体"/>
                <w:kern w:val="0"/>
                <w:sz w:val="20"/>
                <w:szCs w:val="20"/>
              </w:rPr>
              <w:t>每套环形组合桌，8个扇形桌面。颜色：红蓝绿黄橙白等不少于8种，能够根据团体活动需要，组合成圆形、扇形、方形、S形、C形、X形等十几种排列方式。</w:t>
            </w:r>
            <w:r>
              <w:rPr>
                <w:rFonts w:hint="eastAsia" w:ascii="宋体" w:hAnsi="宋体" w:cs="宋体"/>
                <w:kern w:val="0"/>
                <w:sz w:val="20"/>
                <w:szCs w:val="20"/>
              </w:rPr>
              <w:br w:type="textWrapping"/>
            </w:r>
            <w:r>
              <w:rPr>
                <w:rFonts w:hint="eastAsia" w:ascii="宋体" w:hAnsi="宋体" w:cs="宋体"/>
                <w:kern w:val="0"/>
                <w:sz w:val="20"/>
                <w:szCs w:val="20"/>
              </w:rPr>
              <w:t>钢木材质，木质多层双面漆面板，厚度不少于18mm金属支架，扇形半径不少于600mm。桌子外圆直径约1800mm（8面），整体高度不少于680mm；色彩丰富，单色色度艳丽无色差，不开裂不变形，耐热耐污耐擦，更加环保。桌面支架采用直径不少于50mm的圆管，榫卯结构让支架组合更美观牢固。配8个折叠椅支架由铁管加烤漆工艺构成。坐面宽大，坐感舒适；人体工程设计。</w:t>
            </w:r>
          </w:p>
        </w:tc>
        <w:tc>
          <w:tcPr>
            <w:tcW w:w="462" w:type="dxa"/>
            <w:shd w:val="clear" w:color="auto" w:fill="auto"/>
            <w:noWrap/>
            <w:vAlign w:val="center"/>
          </w:tcPr>
          <w:p w14:paraId="6029E4C0">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42398A5E">
            <w:pPr>
              <w:widowControl/>
              <w:jc w:val="center"/>
              <w:rPr>
                <w:rFonts w:ascii="宋体" w:hAnsi="宋体" w:cs="宋体"/>
                <w:kern w:val="0"/>
                <w:sz w:val="20"/>
                <w:szCs w:val="20"/>
              </w:rPr>
            </w:pPr>
            <w:r>
              <w:rPr>
                <w:rFonts w:hint="eastAsia" w:ascii="宋体" w:hAnsi="宋体" w:cs="宋体"/>
                <w:kern w:val="0"/>
                <w:sz w:val="20"/>
                <w:szCs w:val="20"/>
              </w:rPr>
              <w:t>6</w:t>
            </w:r>
          </w:p>
        </w:tc>
        <w:tc>
          <w:tcPr>
            <w:tcW w:w="1048" w:type="dxa"/>
            <w:shd w:val="clear" w:color="auto" w:fill="auto"/>
            <w:noWrap/>
            <w:vAlign w:val="center"/>
          </w:tcPr>
          <w:p w14:paraId="347E1237">
            <w:pPr>
              <w:widowControl/>
              <w:jc w:val="center"/>
              <w:rPr>
                <w:rFonts w:ascii="宋体" w:hAnsi="宋体" w:cs="宋体"/>
                <w:kern w:val="0"/>
                <w:sz w:val="20"/>
                <w:szCs w:val="20"/>
              </w:rPr>
            </w:pPr>
            <w:r>
              <w:rPr>
                <w:rFonts w:hint="eastAsia" w:ascii="宋体" w:hAnsi="宋体" w:cs="宋体"/>
                <w:kern w:val="0"/>
                <w:sz w:val="20"/>
                <w:szCs w:val="20"/>
              </w:rPr>
              <w:t xml:space="preserve">4450.00 </w:t>
            </w:r>
          </w:p>
        </w:tc>
        <w:tc>
          <w:tcPr>
            <w:tcW w:w="1489" w:type="dxa"/>
            <w:shd w:val="clear" w:color="auto" w:fill="auto"/>
            <w:noWrap/>
            <w:vAlign w:val="center"/>
          </w:tcPr>
          <w:p w14:paraId="638D8831">
            <w:pPr>
              <w:widowControl/>
              <w:jc w:val="center"/>
              <w:rPr>
                <w:rFonts w:ascii="宋体" w:hAnsi="宋体" w:cs="宋体"/>
                <w:kern w:val="0"/>
                <w:sz w:val="20"/>
                <w:szCs w:val="20"/>
              </w:rPr>
            </w:pPr>
            <w:r>
              <w:rPr>
                <w:rFonts w:hint="eastAsia" w:ascii="宋体" w:hAnsi="宋体" w:cs="宋体"/>
                <w:kern w:val="0"/>
                <w:sz w:val="20"/>
                <w:szCs w:val="20"/>
              </w:rPr>
              <w:t xml:space="preserve">26700.00 </w:t>
            </w:r>
          </w:p>
        </w:tc>
      </w:tr>
      <w:tr w14:paraId="0E43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41D2E27">
            <w:pPr>
              <w:widowControl/>
              <w:jc w:val="center"/>
              <w:textAlignment w:val="center"/>
              <w:rPr>
                <w:rFonts w:ascii="宋体" w:hAnsi="宋体" w:cs="宋体"/>
                <w:color w:val="000000"/>
                <w:sz w:val="22"/>
                <w:szCs w:val="22"/>
              </w:rPr>
            </w:pPr>
            <w:r>
              <w:rPr>
                <w:rFonts w:hint="eastAsia" w:ascii="宋体" w:hAnsi="宋体" w:cs="宋体"/>
                <w:color w:val="000000"/>
                <w:sz w:val="22"/>
                <w:szCs w:val="22"/>
              </w:rPr>
              <w:t>8</w:t>
            </w:r>
          </w:p>
        </w:tc>
        <w:tc>
          <w:tcPr>
            <w:tcW w:w="1072" w:type="dxa"/>
            <w:shd w:val="clear" w:color="auto" w:fill="auto"/>
            <w:vAlign w:val="center"/>
          </w:tcPr>
          <w:p w14:paraId="3E804F5B">
            <w:pPr>
              <w:widowControl/>
              <w:jc w:val="center"/>
              <w:rPr>
                <w:rFonts w:ascii="宋体" w:hAnsi="宋体" w:cs="宋体"/>
                <w:kern w:val="0"/>
                <w:sz w:val="20"/>
                <w:szCs w:val="20"/>
              </w:rPr>
            </w:pPr>
            <w:r>
              <w:rPr>
                <w:rFonts w:hint="eastAsia" w:ascii="宋体" w:hAnsi="宋体" w:cs="宋体"/>
                <w:kern w:val="0"/>
                <w:sz w:val="20"/>
                <w:szCs w:val="20"/>
              </w:rPr>
              <w:t>交互智能平板一体机</w:t>
            </w:r>
          </w:p>
        </w:tc>
        <w:tc>
          <w:tcPr>
            <w:tcW w:w="4897" w:type="dxa"/>
            <w:shd w:val="clear" w:color="auto" w:fill="auto"/>
            <w:vAlign w:val="center"/>
          </w:tcPr>
          <w:p w14:paraId="5B7130F2">
            <w:pPr>
              <w:widowControl/>
              <w:jc w:val="left"/>
              <w:rPr>
                <w:rFonts w:ascii="宋体" w:hAnsi="宋体" w:cs="宋体"/>
                <w:kern w:val="0"/>
                <w:sz w:val="20"/>
                <w:szCs w:val="20"/>
              </w:rPr>
            </w:pPr>
            <w:r>
              <w:rPr>
                <w:rFonts w:hint="eastAsia" w:ascii="宋体" w:hAnsi="宋体" w:cs="宋体"/>
                <w:kern w:val="0"/>
                <w:sz w:val="20"/>
                <w:szCs w:val="20"/>
              </w:rPr>
              <w:t>一、整机屏显、音效设计</w:t>
            </w:r>
            <w:r>
              <w:rPr>
                <w:rFonts w:hint="eastAsia" w:ascii="宋体" w:hAnsi="宋体" w:cs="宋体"/>
                <w:kern w:val="0"/>
                <w:sz w:val="20"/>
                <w:szCs w:val="20"/>
              </w:rPr>
              <w:br w:type="textWrapping"/>
            </w:r>
            <w:r>
              <w:rPr>
                <w:rFonts w:hint="eastAsia" w:ascii="宋体" w:hAnsi="宋体" w:cs="宋体"/>
                <w:kern w:val="0"/>
                <w:sz w:val="20"/>
                <w:szCs w:val="20"/>
              </w:rPr>
              <w:t>1、采用UHD超高清LED防眩光液晶屏，尺寸≥86英寸，显示比例16:9，分辨率≥3840×2160。</w:t>
            </w:r>
            <w:r>
              <w:rPr>
                <w:rFonts w:hint="eastAsia" w:ascii="宋体" w:hAnsi="宋体" w:cs="宋体"/>
                <w:kern w:val="0"/>
                <w:sz w:val="20"/>
                <w:szCs w:val="20"/>
              </w:rPr>
              <w:br w:type="textWrapping"/>
            </w:r>
            <w:r>
              <w:rPr>
                <w:rFonts w:hint="eastAsia" w:ascii="宋体" w:hAnsi="宋体" w:cs="宋体"/>
                <w:kern w:val="0"/>
                <w:sz w:val="20"/>
                <w:szCs w:val="20"/>
              </w:rPr>
              <w:t>2、采用红外触控技术，支持在内置电脑操作系统中进行20点或以上触控，支持在嵌入式系统中进行10点或以上触控。</w:t>
            </w:r>
            <w:r>
              <w:rPr>
                <w:rFonts w:hint="eastAsia" w:ascii="宋体" w:hAnsi="宋体" w:cs="宋体"/>
                <w:kern w:val="0"/>
                <w:sz w:val="20"/>
                <w:szCs w:val="20"/>
              </w:rPr>
              <w:br w:type="textWrapping"/>
            </w:r>
            <w:r>
              <w:rPr>
                <w:rFonts w:hint="eastAsia" w:ascii="宋体" w:hAnsi="宋体" w:cs="宋体"/>
                <w:kern w:val="0"/>
                <w:sz w:val="20"/>
                <w:szCs w:val="20"/>
              </w:rPr>
              <w:t>3、整机显示灰度等级≥256，支持色彩空间可选，包含标准模式和sRGB模式，在sRGB模式下可做到高色准△E≤1.5。</w:t>
            </w:r>
            <w:r>
              <w:rPr>
                <w:rFonts w:hint="eastAsia" w:ascii="宋体" w:hAnsi="宋体" w:cs="宋体"/>
                <w:kern w:val="0"/>
                <w:sz w:val="20"/>
                <w:szCs w:val="20"/>
              </w:rPr>
              <w:br w:type="textWrapping"/>
            </w:r>
            <w:r>
              <w:rPr>
                <w:rFonts w:hint="eastAsia" w:ascii="宋体" w:hAnsi="宋体" w:cs="宋体"/>
                <w:kern w:val="0"/>
                <w:sz w:val="20"/>
                <w:szCs w:val="20"/>
              </w:rPr>
              <w:t>4、图像模式：支持标准、多媒体和节能三种图像模式调节；支持可自定义图像设置，可对对比度、屏幕色温、图像亮度、亮度范围、色彩空间进行调节设置。</w:t>
            </w:r>
            <w:r>
              <w:rPr>
                <w:rFonts w:hint="eastAsia" w:ascii="宋体" w:hAnsi="宋体" w:cs="宋体"/>
                <w:kern w:val="0"/>
                <w:sz w:val="20"/>
                <w:szCs w:val="20"/>
              </w:rPr>
              <w:br w:type="textWrapping"/>
            </w:r>
            <w:r>
              <w:rPr>
                <w:rFonts w:hint="eastAsia" w:ascii="宋体" w:hAnsi="宋体" w:cs="宋体"/>
                <w:kern w:val="0"/>
                <w:sz w:val="20"/>
                <w:szCs w:val="20"/>
              </w:rPr>
              <w:t>▲5、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投标时须提供国家认可的带CMA标志的第三方检测（检验）机构出具的关于该功能检测（检验）报告复印件，原件备查）</w:t>
            </w:r>
            <w:r>
              <w:rPr>
                <w:rFonts w:hint="eastAsia" w:ascii="宋体" w:hAnsi="宋体" w:cs="宋体"/>
                <w:kern w:val="0"/>
                <w:sz w:val="20"/>
                <w:szCs w:val="20"/>
              </w:rPr>
              <w:br w:type="textWrapping"/>
            </w:r>
            <w:r>
              <w:rPr>
                <w:rFonts w:hint="eastAsia" w:ascii="宋体" w:hAnsi="宋体" w:cs="宋体"/>
                <w:kern w:val="0"/>
                <w:sz w:val="20"/>
                <w:szCs w:val="20"/>
              </w:rPr>
              <w:t>▲6、整机内置2.2声道扬声器，支持标准、听力、观影三种音效模式，位于设备上边框，顶置朝前发声，前朝向10W高音扬声器2个，上朝向20W中低音扬声器2个，额定总功率≥60W。（投标时须提供国家认可的带CMA标志的第三方检测（检验）机构出具的关于该功能检测（检验）报告复印件，原件备查）</w:t>
            </w:r>
            <w:r>
              <w:rPr>
                <w:rFonts w:hint="eastAsia" w:ascii="宋体" w:hAnsi="宋体" w:cs="宋体"/>
                <w:kern w:val="0"/>
                <w:sz w:val="20"/>
                <w:szCs w:val="20"/>
              </w:rPr>
              <w:br w:type="textWrapping"/>
            </w:r>
            <w:r>
              <w:rPr>
                <w:rFonts w:hint="eastAsia" w:ascii="宋体" w:hAnsi="宋体" w:cs="宋体"/>
                <w:kern w:val="0"/>
                <w:sz w:val="20"/>
                <w:szCs w:val="20"/>
              </w:rPr>
              <w:t>7、整机内置扬声器采用缝隙发声技术，喇叭采用槽式开口设计，不大于5.8mm；在100%音量下，可做到1米处声压级≥80db，10米处声压级≥70dB。</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二、PC配置要求</w:t>
            </w:r>
            <w:r>
              <w:rPr>
                <w:rFonts w:hint="eastAsia" w:ascii="宋体" w:hAnsi="宋体" w:cs="宋体"/>
                <w:kern w:val="0"/>
                <w:sz w:val="20"/>
                <w:szCs w:val="20"/>
              </w:rPr>
              <w:br w:type="textWrapping"/>
            </w:r>
            <w:r>
              <w:rPr>
                <w:rFonts w:hint="eastAsia" w:ascii="宋体" w:hAnsi="宋体" w:cs="宋体"/>
                <w:kern w:val="0"/>
                <w:sz w:val="20"/>
                <w:szCs w:val="20"/>
              </w:rPr>
              <w:t>▲1、处理器：4核8线程或以上配置CPU，主频≥2.4Ghz。</w:t>
            </w:r>
            <w:r>
              <w:rPr>
                <w:rFonts w:hint="eastAsia" w:ascii="宋体" w:hAnsi="宋体" w:cs="宋体"/>
                <w:kern w:val="0"/>
                <w:sz w:val="20"/>
                <w:szCs w:val="20"/>
              </w:rPr>
              <w:br w:type="textWrapping"/>
            </w:r>
            <w:r>
              <w:rPr>
                <w:rFonts w:hint="eastAsia" w:ascii="宋体" w:hAnsi="宋体" w:cs="宋体"/>
                <w:kern w:val="0"/>
                <w:sz w:val="20"/>
                <w:szCs w:val="20"/>
              </w:rPr>
              <w:t>▲2、内存：≥16GB DDR4或以上配置。</w:t>
            </w:r>
            <w:r>
              <w:rPr>
                <w:rFonts w:hint="eastAsia" w:ascii="宋体" w:hAnsi="宋体" w:cs="宋体"/>
                <w:kern w:val="0"/>
                <w:sz w:val="20"/>
                <w:szCs w:val="20"/>
              </w:rPr>
              <w:br w:type="textWrapping"/>
            </w:r>
            <w:r>
              <w:rPr>
                <w:rFonts w:hint="eastAsia" w:ascii="宋体" w:hAnsi="宋体" w:cs="宋体"/>
                <w:kern w:val="0"/>
                <w:sz w:val="20"/>
                <w:szCs w:val="20"/>
              </w:rPr>
              <w:t>▲3、硬盘：≥512GB或以上SSD固态硬盘配置。</w:t>
            </w:r>
            <w:r>
              <w:rPr>
                <w:rFonts w:hint="eastAsia" w:ascii="宋体" w:hAnsi="宋体" w:cs="宋体"/>
                <w:kern w:val="0"/>
                <w:sz w:val="20"/>
                <w:szCs w:val="20"/>
              </w:rPr>
              <w:br w:type="textWrapping"/>
            </w:r>
            <w:r>
              <w:rPr>
                <w:rFonts w:hint="eastAsia" w:ascii="宋体" w:hAnsi="宋体" w:cs="宋体"/>
                <w:kern w:val="0"/>
                <w:sz w:val="20"/>
                <w:szCs w:val="20"/>
              </w:rPr>
              <w:t>4、机身采用热浸镀锌金属材质，采用智能风扇低噪音散热设计。</w:t>
            </w:r>
            <w:r>
              <w:rPr>
                <w:rFonts w:hint="eastAsia" w:ascii="宋体" w:hAnsi="宋体" w:cs="宋体"/>
                <w:kern w:val="0"/>
                <w:sz w:val="20"/>
                <w:szCs w:val="20"/>
              </w:rPr>
              <w:br w:type="textWrapping"/>
            </w:r>
            <w:r>
              <w:rPr>
                <w:rFonts w:hint="eastAsia" w:ascii="宋体" w:hAnsi="宋体" w:cs="宋体"/>
                <w:kern w:val="0"/>
                <w:sz w:val="20"/>
                <w:szCs w:val="20"/>
              </w:rPr>
              <w:t>5、模块主体尺寸不小于22cm*17cm*3cm以预留足够散热空间，确保封闭空间内有效散热。</w:t>
            </w:r>
            <w:r>
              <w:rPr>
                <w:rFonts w:hint="eastAsia" w:ascii="宋体" w:hAnsi="宋体" w:cs="宋体"/>
                <w:kern w:val="0"/>
                <w:sz w:val="20"/>
                <w:szCs w:val="20"/>
              </w:rPr>
              <w:br w:type="textWrapping"/>
            </w:r>
            <w:r>
              <w:rPr>
                <w:rFonts w:hint="eastAsia" w:ascii="宋体" w:hAnsi="宋体" w:cs="宋体"/>
                <w:kern w:val="0"/>
                <w:sz w:val="20"/>
                <w:szCs w:val="20"/>
              </w:rPr>
              <w:t>6、和整机的连接采用万兆级接口，传输速率≥10Gbps。</w:t>
            </w:r>
            <w:r>
              <w:rPr>
                <w:rFonts w:hint="eastAsia" w:ascii="宋体" w:hAnsi="宋体" w:cs="宋体"/>
                <w:kern w:val="0"/>
                <w:sz w:val="20"/>
                <w:szCs w:val="20"/>
              </w:rPr>
              <w:br w:type="textWrapping"/>
            </w:r>
            <w:r>
              <w:rPr>
                <w:rFonts w:hint="eastAsia" w:ascii="宋体" w:hAnsi="宋体" w:cs="宋体"/>
                <w:kern w:val="0"/>
                <w:sz w:val="20"/>
                <w:szCs w:val="20"/>
              </w:rPr>
              <w:t>7、具有独立非外扩展的视频输出接口：≥1路HDMI ，≥3路USB。</w:t>
            </w:r>
            <w:r>
              <w:rPr>
                <w:rFonts w:hint="eastAsia" w:ascii="宋体" w:hAnsi="宋体" w:cs="宋体"/>
                <w:kern w:val="0"/>
                <w:sz w:val="20"/>
                <w:szCs w:val="20"/>
              </w:rPr>
              <w:br w:type="textWrapping"/>
            </w:r>
            <w:r>
              <w:rPr>
                <w:rFonts w:hint="eastAsia" w:ascii="宋体" w:hAnsi="宋体" w:cs="宋体"/>
                <w:kern w:val="0"/>
                <w:sz w:val="20"/>
                <w:szCs w:val="20"/>
              </w:rPr>
              <w:t>8、PC模块可通过抽拉方式插入整机，可实现无单独接线的插拔。安全性保障：具有标准PC防盗锁孔。</w:t>
            </w:r>
            <w:r>
              <w:rPr>
                <w:rFonts w:hint="eastAsia" w:ascii="宋体" w:hAnsi="宋体" w:cs="宋体"/>
                <w:kern w:val="0"/>
                <w:sz w:val="20"/>
                <w:szCs w:val="20"/>
              </w:rPr>
              <w:br w:type="textWrapping"/>
            </w:r>
            <w:r>
              <w:rPr>
                <w:rFonts w:hint="eastAsia" w:ascii="宋体" w:hAnsi="宋体" w:cs="宋体"/>
                <w:kern w:val="0"/>
                <w:sz w:val="20"/>
                <w:szCs w:val="20"/>
              </w:rPr>
              <w:t>9、PC模块的USB接口须为冗余备份接口，在正常使用整机的内置摄像头、内置麦克风功能时，USB接口不被占用，确保教师有足够的接口外接存储设备及显示设备。</w:t>
            </w:r>
            <w:r>
              <w:rPr>
                <w:rFonts w:hint="eastAsia" w:ascii="宋体" w:hAnsi="宋体" w:cs="宋体"/>
                <w:kern w:val="0"/>
                <w:sz w:val="20"/>
                <w:szCs w:val="20"/>
              </w:rPr>
              <w:br w:type="textWrapping"/>
            </w:r>
            <w:r>
              <w:rPr>
                <w:rFonts w:hint="eastAsia" w:ascii="宋体" w:hAnsi="宋体" w:cs="宋体"/>
                <w:kern w:val="0"/>
                <w:sz w:val="20"/>
                <w:szCs w:val="20"/>
              </w:rPr>
              <w:t>▲10、正版电脑操作系统，带永久授权。中标人须完成正版激活流程。</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三、按键和接口设计</w:t>
            </w:r>
            <w:r>
              <w:rPr>
                <w:rFonts w:hint="eastAsia" w:ascii="宋体" w:hAnsi="宋体" w:cs="宋体"/>
                <w:kern w:val="0"/>
                <w:sz w:val="20"/>
                <w:szCs w:val="20"/>
              </w:rPr>
              <w:br w:type="textWrapping"/>
            </w:r>
            <w:r>
              <w:rPr>
                <w:rFonts w:hint="eastAsia" w:ascii="宋体" w:hAnsi="宋体" w:cs="宋体"/>
                <w:kern w:val="0"/>
                <w:sz w:val="20"/>
                <w:szCs w:val="20"/>
              </w:rPr>
              <w:t>1、前置 USB 接口具备防撞挡板设计，防撞挡板采用转轴式翻转。</w:t>
            </w:r>
            <w:r>
              <w:rPr>
                <w:rFonts w:hint="eastAsia" w:ascii="宋体" w:hAnsi="宋体" w:cs="宋体"/>
                <w:kern w:val="0"/>
                <w:sz w:val="20"/>
                <w:szCs w:val="20"/>
              </w:rPr>
              <w:br w:type="textWrapping"/>
            </w:r>
            <w:r>
              <w:rPr>
                <w:rFonts w:hint="eastAsia" w:ascii="宋体" w:hAnsi="宋体" w:cs="宋体"/>
                <w:kern w:val="0"/>
                <w:sz w:val="20"/>
                <w:szCs w:val="20"/>
              </w:rPr>
              <w:t>▲2、整机具备至少6个前置按键，实现老师开关机、调出中控菜单、音量+/-、护眼、录屏的操作。（投标时须提供国家认可的带CMA标志的第三方检测（检验）机构出具的关于该功能检测（检验）报告复印件，原件备查）</w:t>
            </w:r>
            <w:r>
              <w:rPr>
                <w:rFonts w:hint="eastAsia" w:ascii="宋体" w:hAnsi="宋体" w:cs="宋体"/>
                <w:kern w:val="0"/>
                <w:sz w:val="20"/>
                <w:szCs w:val="20"/>
              </w:rPr>
              <w:br w:type="textWrapping"/>
            </w:r>
            <w:r>
              <w:rPr>
                <w:rFonts w:hint="eastAsia" w:ascii="宋体" w:hAnsi="宋体" w:cs="宋体"/>
                <w:kern w:val="0"/>
                <w:sz w:val="20"/>
                <w:szCs w:val="20"/>
              </w:rPr>
              <w:t>3、智能电子产品一键式设计：三合一电源按键，同一电源物理按键完成完成嵌入式系统和电脑系统的开机、节能熄屏、关机操作；关机状态下按按键开机；开机状态下按按键实现节能熄屏/唤醒，长按按键实现关机。</w:t>
            </w:r>
            <w:r>
              <w:rPr>
                <w:rFonts w:hint="eastAsia" w:ascii="宋体" w:hAnsi="宋体" w:cs="宋体"/>
                <w:kern w:val="0"/>
                <w:sz w:val="20"/>
                <w:szCs w:val="20"/>
              </w:rPr>
              <w:br w:type="textWrapping"/>
            </w:r>
            <w:r>
              <w:rPr>
                <w:rFonts w:hint="eastAsia" w:ascii="宋体" w:hAnsi="宋体" w:cs="宋体"/>
                <w:kern w:val="0"/>
                <w:sz w:val="20"/>
                <w:szCs w:val="20"/>
              </w:rPr>
              <w:t>4、支持锁定屏幕触摸和整机前置按键，可通过遥控器、十指长按屏幕5秒、软件菜单（调试菜单）实现该功能，也可通过前置面板的物理按键以组合按键的形式进行锁定/解锁。</w:t>
            </w:r>
            <w:r>
              <w:rPr>
                <w:rFonts w:hint="eastAsia" w:ascii="宋体" w:hAnsi="宋体" w:cs="宋体"/>
                <w:kern w:val="0"/>
                <w:sz w:val="20"/>
                <w:szCs w:val="20"/>
              </w:rPr>
              <w:br w:type="textWrapping"/>
            </w:r>
            <w:r>
              <w:rPr>
                <w:rFonts w:hint="eastAsia" w:ascii="宋体" w:hAnsi="宋体" w:cs="宋体"/>
                <w:kern w:val="0"/>
                <w:sz w:val="20"/>
                <w:szCs w:val="20"/>
              </w:rPr>
              <w:t>▲5、设备支持自定义前置“设置”按键，可通过自定义设置实现前置面板功能按键一键启用任一全局小工具（批注、截屏、计时、降半屏、放大镜、倒数日、日历）、快捷开关（节能模式、纸质护眼模式、经典护眼模式、自动亮度模式）。（投标时须提供国家认可的带CMA标志的第三方检测（检验）机构出具的关于该功能检测（检验）报告复印件，原件备查）</w:t>
            </w:r>
            <w:r>
              <w:rPr>
                <w:rFonts w:hint="eastAsia" w:ascii="宋体" w:hAnsi="宋体" w:cs="宋体"/>
                <w:kern w:val="0"/>
                <w:sz w:val="20"/>
                <w:szCs w:val="20"/>
              </w:rPr>
              <w:br w:type="textWrapping"/>
            </w:r>
            <w:r>
              <w:rPr>
                <w:rFonts w:hint="eastAsia" w:ascii="宋体" w:hAnsi="宋体" w:cs="宋体"/>
                <w:kern w:val="0"/>
                <w:sz w:val="20"/>
                <w:szCs w:val="20"/>
              </w:rPr>
              <w:t>6、支持前置Type-C接口，通过Type-C接口实现音视频输入，外接电脑设备通过双头TypeC线连接至整机，即可把外接电脑设备画面投到整机上，同时在整机上操作画面，可实现触摸电脑的操作，无需再连接触控USB线。</w:t>
            </w:r>
            <w:r>
              <w:rPr>
                <w:rFonts w:hint="eastAsia" w:ascii="宋体" w:hAnsi="宋体" w:cs="宋体"/>
                <w:kern w:val="0"/>
                <w:sz w:val="20"/>
                <w:szCs w:val="20"/>
              </w:rPr>
              <w:br w:type="textWrapping"/>
            </w:r>
            <w:r>
              <w:rPr>
                <w:rFonts w:hint="eastAsia" w:ascii="宋体" w:hAnsi="宋体" w:cs="宋体"/>
                <w:kern w:val="0"/>
                <w:sz w:val="20"/>
                <w:szCs w:val="20"/>
              </w:rPr>
              <w:t>7、外接电脑设备通过双头TypeC线连接至整机，可直接调用整机内置的摄像头、麦克风、扬声器，通过外接电脑可拍摄教室画面。</w:t>
            </w:r>
            <w:r>
              <w:rPr>
                <w:rFonts w:hint="eastAsia" w:ascii="宋体" w:hAnsi="宋体" w:cs="宋体"/>
                <w:kern w:val="0"/>
                <w:sz w:val="20"/>
                <w:szCs w:val="20"/>
              </w:rPr>
              <w:br w:type="textWrapping"/>
            </w:r>
            <w:r>
              <w:rPr>
                <w:rFonts w:hint="eastAsia" w:ascii="宋体" w:hAnsi="宋体" w:cs="宋体"/>
                <w:kern w:val="0"/>
                <w:sz w:val="20"/>
                <w:szCs w:val="20"/>
              </w:rPr>
              <w:t>8、前置Type-C接口，支持通过外部线缆，实现外接电脑HDMI信号的接入显示。</w:t>
            </w:r>
            <w:r>
              <w:rPr>
                <w:rFonts w:hint="eastAsia" w:ascii="宋体" w:hAnsi="宋体" w:cs="宋体"/>
                <w:kern w:val="0"/>
                <w:sz w:val="20"/>
                <w:szCs w:val="20"/>
              </w:rPr>
              <w:br w:type="textWrapping"/>
            </w:r>
            <w:r>
              <w:rPr>
                <w:rFonts w:hint="eastAsia" w:ascii="宋体" w:hAnsi="宋体" w:cs="宋体"/>
                <w:kern w:val="0"/>
                <w:sz w:val="20"/>
                <w:szCs w:val="20"/>
              </w:rPr>
              <w:t>9、外接电脑设备连接整机且触摸信号连通时，外接电脑设备可直接读取整机前置USB接口的移动存储设备数据，连接整机前置USB接口的翻页笔和无线键鼠可直接使用于外接电脑。</w:t>
            </w:r>
            <w:r>
              <w:rPr>
                <w:rFonts w:hint="eastAsia" w:ascii="宋体" w:hAnsi="宋体" w:cs="宋体"/>
                <w:kern w:val="0"/>
                <w:sz w:val="20"/>
                <w:szCs w:val="20"/>
              </w:rPr>
              <w:br w:type="textWrapping"/>
            </w:r>
            <w:r>
              <w:rPr>
                <w:rFonts w:hint="eastAsia" w:ascii="宋体" w:hAnsi="宋体" w:cs="宋体"/>
                <w:kern w:val="0"/>
                <w:sz w:val="20"/>
                <w:szCs w:val="20"/>
              </w:rPr>
              <w:t>10、整机具备不少于1路侧置双通道USB接口，双系统USB接口支持Windows和Android双系统读取外接存储设备数据和识别展台信号。</w:t>
            </w:r>
            <w:r>
              <w:rPr>
                <w:rFonts w:hint="eastAsia" w:ascii="宋体" w:hAnsi="宋体" w:cs="宋体"/>
                <w:kern w:val="0"/>
                <w:sz w:val="20"/>
                <w:szCs w:val="20"/>
              </w:rPr>
              <w:br w:type="textWrapping"/>
            </w:r>
            <w:r>
              <w:rPr>
                <w:rFonts w:hint="eastAsia" w:ascii="宋体" w:hAnsi="宋体" w:cs="宋体"/>
                <w:kern w:val="0"/>
                <w:sz w:val="20"/>
                <w:szCs w:val="20"/>
              </w:rPr>
              <w:t>11、外接电脑设备通过HDMI线投送画面至整机时，再连接TypeB USB线至整机触控输出接口，即可直接调用整机内置的摄像头、麦克风、扬声器，在外接电脑即可拍摄教室画面。</w:t>
            </w:r>
            <w:r>
              <w:rPr>
                <w:rFonts w:hint="eastAsia" w:ascii="宋体" w:hAnsi="宋体" w:cs="宋体"/>
                <w:kern w:val="0"/>
                <w:sz w:val="20"/>
                <w:szCs w:val="20"/>
              </w:rPr>
              <w:br w:type="textWrapping"/>
            </w:r>
            <w:r>
              <w:rPr>
                <w:rFonts w:hint="eastAsia" w:ascii="宋体" w:hAnsi="宋体" w:cs="宋体"/>
                <w:kern w:val="0"/>
                <w:sz w:val="20"/>
                <w:szCs w:val="20"/>
              </w:rPr>
              <w:t>12、支持通道自动跳转功能，如整机处于正常使用状态，HDMI信号接入时，能自动识别并切换到对应的HDMI信号源通道，且断开后能回到上一通道，自动跳转前支持选择确认，待确认后再跳转。</w:t>
            </w:r>
            <w:r>
              <w:rPr>
                <w:rFonts w:hint="eastAsia" w:ascii="宋体" w:hAnsi="宋体" w:cs="宋体"/>
                <w:kern w:val="0"/>
                <w:sz w:val="20"/>
                <w:szCs w:val="20"/>
              </w:rPr>
              <w:br w:type="textWrapping"/>
            </w:r>
            <w:r>
              <w:rPr>
                <w:rFonts w:hint="eastAsia" w:ascii="宋体" w:hAnsi="宋体" w:cs="宋体"/>
                <w:kern w:val="0"/>
                <w:sz w:val="20"/>
                <w:szCs w:val="20"/>
              </w:rPr>
              <w:t>饱和度增强、图片边框动态识别、图片剪裁与拉伸等，提升所拍摄课本、试卷内容的展示效果。</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四、教学工具设计</w:t>
            </w:r>
            <w:r>
              <w:rPr>
                <w:rFonts w:hint="eastAsia" w:ascii="宋体" w:hAnsi="宋体" w:cs="宋体"/>
                <w:kern w:val="0"/>
                <w:sz w:val="20"/>
                <w:szCs w:val="20"/>
              </w:rPr>
              <w:br w:type="textWrapping"/>
            </w:r>
            <w:r>
              <w:rPr>
                <w:rFonts w:hint="eastAsia" w:ascii="宋体" w:hAnsi="宋体" w:cs="宋体"/>
                <w:kern w:val="0"/>
                <w:sz w:val="20"/>
                <w:szCs w:val="20"/>
              </w:rPr>
              <w:t>▲1、支持统一互通的用户身份认证服务，账号登录后，打开教学白板软件、学生行为评价软件的教学应用工具时无需再次输入账号密码重复登录。（投标时须提供国家认可的带CMA标志的第三方检测（检验）机构出具的关于该功能检测（检验）报告复印件，原件备查）</w:t>
            </w:r>
            <w:r>
              <w:rPr>
                <w:rFonts w:hint="eastAsia" w:ascii="宋体" w:hAnsi="宋体" w:cs="宋体"/>
                <w:kern w:val="0"/>
                <w:sz w:val="20"/>
                <w:szCs w:val="20"/>
              </w:rPr>
              <w:br w:type="textWrapping"/>
            </w:r>
            <w:r>
              <w:rPr>
                <w:rFonts w:hint="eastAsia" w:ascii="宋体" w:hAnsi="宋体" w:cs="宋体"/>
                <w:kern w:val="0"/>
                <w:sz w:val="20"/>
                <w:szCs w:val="20"/>
              </w:rPr>
              <w:t>2、整机全通道侧边栏支持快速将设备屏幕降低为半屏幕状态，点击上半屏幕可快速返回全屏状态。</w:t>
            </w:r>
            <w:r>
              <w:rPr>
                <w:rFonts w:hint="eastAsia" w:ascii="宋体" w:hAnsi="宋体" w:cs="宋体"/>
                <w:kern w:val="0"/>
                <w:sz w:val="20"/>
                <w:szCs w:val="20"/>
              </w:rPr>
              <w:br w:type="textWrapping"/>
            </w:r>
            <w:r>
              <w:rPr>
                <w:rFonts w:hint="eastAsia" w:ascii="宋体" w:hAnsi="宋体" w:cs="宋体"/>
                <w:kern w:val="0"/>
                <w:sz w:val="20"/>
                <w:szCs w:val="20"/>
              </w:rPr>
              <w:t>3、整机全通道侧边栏快捷菜单包含如下小工具：批注、截屏、计时、降半屏、放大镜、日历。</w:t>
            </w:r>
            <w:r>
              <w:rPr>
                <w:rFonts w:hint="eastAsia" w:ascii="宋体" w:hAnsi="宋体" w:cs="宋体"/>
                <w:kern w:val="0"/>
                <w:sz w:val="20"/>
                <w:szCs w:val="20"/>
              </w:rPr>
              <w:br w:type="textWrapping"/>
            </w:r>
            <w:r>
              <w:rPr>
                <w:rFonts w:hint="eastAsia" w:ascii="宋体" w:hAnsi="宋体" w:cs="宋体"/>
                <w:kern w:val="0"/>
                <w:sz w:val="20"/>
                <w:szCs w:val="20"/>
              </w:rPr>
              <w:t>4、整机具备智能手势识别功能，在任意信号源通道下可识别五指上、下、左、右方向手势、支持将各手势滑动方向自定义设置为无操作、熄屏、批注、桌面、半屏模式。</w:t>
            </w:r>
            <w:r>
              <w:rPr>
                <w:rFonts w:hint="eastAsia" w:ascii="宋体" w:hAnsi="宋体" w:cs="宋体"/>
                <w:kern w:val="0"/>
                <w:sz w:val="20"/>
                <w:szCs w:val="20"/>
              </w:rPr>
              <w:br w:type="textWrapping"/>
            </w:r>
            <w:r>
              <w:rPr>
                <w:rFonts w:hint="eastAsia" w:ascii="宋体" w:hAnsi="宋体" w:cs="宋体"/>
                <w:kern w:val="0"/>
                <w:sz w:val="20"/>
                <w:szCs w:val="20"/>
              </w:rPr>
              <w:t>5、整机全通道侧边栏支持在任意通道、页面使用批注小工具进行批注讲解，可根据手与屏幕的接触面积自动调整板擦工具的大小，可切换书写笔颜色、截屏保存批注内容、快速清屏。</w:t>
            </w:r>
            <w:r>
              <w:rPr>
                <w:rFonts w:hint="eastAsia" w:ascii="宋体" w:hAnsi="宋体" w:cs="宋体"/>
                <w:kern w:val="0"/>
                <w:sz w:val="20"/>
                <w:szCs w:val="20"/>
              </w:rPr>
              <w:br w:type="textWrapping"/>
            </w:r>
            <w:r>
              <w:rPr>
                <w:rFonts w:hint="eastAsia" w:ascii="宋体" w:hAnsi="宋体" w:cs="宋体"/>
                <w:kern w:val="0"/>
                <w:sz w:val="20"/>
                <w:szCs w:val="20"/>
              </w:rPr>
              <w:t xml:space="preserve">6、整机内置无线网络模块，PC模块无任何外接或转接天线、网卡可实现Wi-Fi无线上网连接和AP无线热点发射。 </w:t>
            </w:r>
            <w:r>
              <w:rPr>
                <w:rFonts w:hint="eastAsia" w:ascii="宋体" w:hAnsi="宋体" w:cs="宋体"/>
                <w:kern w:val="0"/>
                <w:sz w:val="20"/>
                <w:szCs w:val="20"/>
              </w:rPr>
              <w:br w:type="textWrapping"/>
            </w:r>
            <w:r>
              <w:rPr>
                <w:rFonts w:hint="eastAsia" w:ascii="宋体" w:hAnsi="宋体" w:cs="宋体"/>
                <w:kern w:val="0"/>
                <w:sz w:val="20"/>
                <w:szCs w:val="20"/>
              </w:rPr>
              <w:t>7、Wi-Fi和AP热点均支持频段 2.4GHz/5GHz ，Wi-Fi制式支持IEEE 802.11 a/b/g/n/ac/ax；支持版本Wi-Fi6。</w:t>
            </w:r>
            <w:r>
              <w:rPr>
                <w:rFonts w:hint="eastAsia" w:ascii="宋体" w:hAnsi="宋体" w:cs="宋体"/>
                <w:kern w:val="0"/>
                <w:sz w:val="20"/>
                <w:szCs w:val="20"/>
              </w:rPr>
              <w:br w:type="textWrapping"/>
            </w:r>
            <w:r>
              <w:rPr>
                <w:rFonts w:hint="eastAsia" w:ascii="宋体" w:hAnsi="宋体" w:cs="宋体"/>
                <w:kern w:val="0"/>
                <w:sz w:val="22"/>
              </w:rPr>
              <w:t>▲</w:t>
            </w:r>
            <w:r>
              <w:rPr>
                <w:rFonts w:hint="eastAsia" w:ascii="宋体" w:hAnsi="宋体" w:cs="宋体"/>
                <w:kern w:val="0"/>
                <w:sz w:val="20"/>
                <w:szCs w:val="20"/>
              </w:rPr>
              <w:t>8、Wi-Fi和AP热点工作距离≥8米。</w:t>
            </w:r>
            <w:r>
              <w:rPr>
                <w:rFonts w:hint="eastAsia" w:ascii="宋体" w:hAnsi="宋体" w:cs="宋体"/>
                <w:kern w:val="0"/>
                <w:sz w:val="20"/>
                <w:szCs w:val="20"/>
              </w:rPr>
              <w:br w:type="textWrapping"/>
            </w:r>
            <w:r>
              <w:rPr>
                <w:rFonts w:hint="eastAsia" w:ascii="宋体" w:hAnsi="宋体" w:cs="宋体"/>
                <w:kern w:val="0"/>
                <w:sz w:val="22"/>
              </w:rPr>
              <w:t>▲</w:t>
            </w:r>
            <w:r>
              <w:rPr>
                <w:rFonts w:hint="eastAsia" w:ascii="宋体" w:hAnsi="宋体" w:cs="宋体"/>
                <w:kern w:val="0"/>
                <w:sz w:val="20"/>
                <w:szCs w:val="20"/>
              </w:rPr>
              <w:t>9、整机内置非独立的高清摄像头，像素≥1200万，支持输出4K分辨率；视场角≥135度且水平视场角≥120度；可用于远程巡课，拍摄范围可以涵盖整机距离摄像头垂直法线左右水平距离各≥4米，左右最边缘深度≥2米范围内，并且可以AI识别人像。</w:t>
            </w:r>
            <w:r>
              <w:rPr>
                <w:rFonts w:hint="eastAsia" w:ascii="宋体" w:hAnsi="宋体" w:cs="宋体"/>
                <w:kern w:val="0"/>
                <w:sz w:val="20"/>
                <w:szCs w:val="20"/>
              </w:rPr>
              <w:br w:type="textWrapping"/>
            </w:r>
            <w:r>
              <w:rPr>
                <w:rFonts w:hint="eastAsia" w:ascii="宋体" w:hAnsi="宋体" w:cs="宋体"/>
                <w:kern w:val="0"/>
                <w:sz w:val="20"/>
                <w:szCs w:val="20"/>
              </w:rPr>
              <w:t>10、整机摄像头支持环境色温判断，根据环境调节合适的显示图像效果。</w:t>
            </w:r>
            <w:r>
              <w:rPr>
                <w:rFonts w:hint="eastAsia" w:ascii="宋体" w:hAnsi="宋体" w:cs="宋体"/>
                <w:kern w:val="0"/>
                <w:sz w:val="20"/>
                <w:szCs w:val="20"/>
              </w:rPr>
              <w:br w:type="textWrapping"/>
            </w:r>
            <w:r>
              <w:rPr>
                <w:rFonts w:hint="eastAsia" w:ascii="宋体" w:hAnsi="宋体" w:cs="宋体"/>
                <w:kern w:val="0"/>
                <w:sz w:val="22"/>
              </w:rPr>
              <w:t>▲</w:t>
            </w:r>
            <w:r>
              <w:rPr>
                <w:rFonts w:hint="eastAsia" w:ascii="宋体" w:hAnsi="宋体" w:cs="宋体"/>
                <w:kern w:val="0"/>
                <w:sz w:val="20"/>
                <w:szCs w:val="20"/>
              </w:rPr>
              <w:t>11、整机摄像头支持人脸识别、快速点人数、随机抽人；识别所有学生，显示标记，然后随机抽选，同时显示标记≥55人。</w:t>
            </w:r>
            <w:r>
              <w:rPr>
                <w:rFonts w:hint="eastAsia" w:ascii="宋体" w:hAnsi="宋体" w:cs="宋体"/>
                <w:kern w:val="0"/>
                <w:sz w:val="20"/>
                <w:szCs w:val="20"/>
              </w:rPr>
              <w:br w:type="textWrapping"/>
            </w:r>
            <w:r>
              <w:rPr>
                <w:rFonts w:hint="eastAsia" w:ascii="宋体" w:hAnsi="宋体" w:cs="宋体"/>
                <w:kern w:val="0"/>
                <w:sz w:val="20"/>
                <w:szCs w:val="20"/>
              </w:rPr>
              <w:t>12、整机内置非独立外扩展的4阵列麦克风，可用于对教室环境音频进行采集，拾音距离≥10m。</w:t>
            </w:r>
            <w:r>
              <w:rPr>
                <w:rFonts w:hint="eastAsia" w:ascii="宋体" w:hAnsi="宋体" w:cs="宋体"/>
                <w:kern w:val="0"/>
                <w:sz w:val="20"/>
                <w:szCs w:val="20"/>
              </w:rPr>
              <w:br w:type="textWrapping"/>
            </w:r>
            <w:r>
              <w:rPr>
                <w:rFonts w:hint="eastAsia" w:ascii="宋体" w:hAnsi="宋体" w:cs="宋体"/>
                <w:kern w:val="0"/>
                <w:sz w:val="22"/>
              </w:rPr>
              <w:t>▲</w:t>
            </w:r>
            <w:r>
              <w:rPr>
                <w:rFonts w:hint="eastAsia" w:ascii="宋体" w:hAnsi="宋体" w:cs="宋体"/>
                <w:kern w:val="0"/>
                <w:sz w:val="20"/>
                <w:szCs w:val="20"/>
              </w:rPr>
              <w:t>13、整机支持蓝牙Bluetooth 5.2标准，固件版本号HCI11.20/LMP11.20；蓝牙模块工作距离≥8m。</w:t>
            </w:r>
            <w:r>
              <w:rPr>
                <w:rFonts w:hint="eastAsia" w:ascii="宋体" w:hAnsi="宋体" w:cs="宋体"/>
                <w:kern w:val="0"/>
                <w:sz w:val="20"/>
                <w:szCs w:val="20"/>
              </w:rPr>
              <w:br w:type="textWrapping"/>
            </w:r>
            <w:r>
              <w:rPr>
                <w:rFonts w:hint="eastAsia" w:ascii="宋体" w:hAnsi="宋体" w:cs="宋体"/>
                <w:kern w:val="0"/>
                <w:sz w:val="20"/>
                <w:szCs w:val="20"/>
              </w:rPr>
              <w:t>14、整机支持搭配具有NFC功能的手机、平板，通过接触整机设备上的NFC标签，即可实现手机、平板与大屏的连接并同步手机、平板的画面到设备上，无需其它操作设置，支持≥4台手机、平板同时连接并显示。</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五、嵌入式操作系统设计</w:t>
            </w:r>
            <w:r>
              <w:rPr>
                <w:rFonts w:hint="eastAsia" w:ascii="宋体" w:hAnsi="宋体" w:cs="宋体"/>
                <w:kern w:val="0"/>
                <w:sz w:val="20"/>
                <w:szCs w:val="20"/>
              </w:rPr>
              <w:br w:type="textWrapping"/>
            </w:r>
            <w:r>
              <w:rPr>
                <w:rFonts w:hint="eastAsia" w:ascii="宋体" w:hAnsi="宋体" w:cs="宋体"/>
                <w:kern w:val="0"/>
                <w:sz w:val="20"/>
                <w:szCs w:val="20"/>
              </w:rPr>
              <w:t>1、嵌入式系统硬件配置，内存≥2GB，存储空间≥8GB。</w:t>
            </w:r>
            <w:r>
              <w:rPr>
                <w:rFonts w:hint="eastAsia" w:ascii="宋体" w:hAnsi="宋体" w:cs="宋体"/>
                <w:kern w:val="0"/>
                <w:sz w:val="20"/>
                <w:szCs w:val="20"/>
              </w:rPr>
              <w:br w:type="textWrapping"/>
            </w:r>
            <w:r>
              <w:rPr>
                <w:rFonts w:hint="eastAsia" w:ascii="宋体" w:hAnsi="宋体" w:cs="宋体"/>
                <w:kern w:val="0"/>
                <w:sz w:val="20"/>
                <w:szCs w:val="20"/>
              </w:rPr>
              <w:t>2、无PC状态下，嵌入式操作系统下可实现电脑操作系统中常用的教学应用功能，如白板书写、WPS软件使用、网页浏览。</w:t>
            </w:r>
            <w:r>
              <w:rPr>
                <w:rFonts w:hint="eastAsia" w:ascii="宋体" w:hAnsi="宋体" w:cs="宋体"/>
                <w:kern w:val="0"/>
                <w:sz w:val="20"/>
                <w:szCs w:val="20"/>
              </w:rPr>
              <w:br w:type="textWrapping"/>
            </w:r>
            <w:r>
              <w:rPr>
                <w:rFonts w:hint="eastAsia" w:ascii="宋体" w:hAnsi="宋体" w:cs="宋体"/>
                <w:kern w:val="0"/>
                <w:sz w:val="20"/>
                <w:szCs w:val="20"/>
              </w:rPr>
              <w:t>3、嵌入式操作系统下，互动白板可支持不同背景颜色，同时提供学科专用背景，如：五线谱、信纸、田字格、英文格、篮球和足球场地平面图。</w:t>
            </w:r>
            <w:r>
              <w:rPr>
                <w:rFonts w:hint="eastAsia" w:ascii="宋体" w:hAnsi="宋体" w:cs="宋体"/>
                <w:kern w:val="0"/>
                <w:sz w:val="20"/>
                <w:szCs w:val="20"/>
              </w:rPr>
              <w:br w:type="textWrapping"/>
            </w:r>
            <w:r>
              <w:rPr>
                <w:rFonts w:hint="eastAsia" w:ascii="宋体" w:hAnsi="宋体" w:cs="宋体"/>
                <w:kern w:val="0"/>
                <w:sz w:val="20"/>
                <w:szCs w:val="20"/>
              </w:rPr>
              <w:t>4、在嵌入式操作系统下，能对TV多媒体USB所读取到的文件进行自动归类，可快速分类查找文档、板书、音视频，检索后可直接在界面中打开。</w:t>
            </w:r>
            <w:r>
              <w:rPr>
                <w:rFonts w:hint="eastAsia" w:ascii="宋体" w:hAnsi="宋体" w:cs="宋体"/>
                <w:kern w:val="0"/>
                <w:sz w:val="20"/>
                <w:szCs w:val="20"/>
              </w:rPr>
              <w:br w:type="textWrapping"/>
            </w:r>
            <w:r>
              <w:rPr>
                <w:rFonts w:hint="eastAsia" w:ascii="宋体" w:hAnsi="宋体" w:cs="宋体"/>
                <w:kern w:val="0"/>
                <w:sz w:val="22"/>
              </w:rPr>
              <w:t>▲</w:t>
            </w:r>
            <w:r>
              <w:rPr>
                <w:rFonts w:hint="eastAsia" w:ascii="宋体" w:hAnsi="宋体" w:cs="宋体"/>
                <w:kern w:val="0"/>
                <w:sz w:val="20"/>
                <w:szCs w:val="20"/>
              </w:rPr>
              <w:t>5、无PC状态下，嵌入式系统内置互动白板支持十笔书写及手掌擦除（手掌擦除面积根据手掌与屏幕的接触面大小自动调整），白板书写内容可导出PDF、IWB、SVG格式。支持8种以上平面图形工具，支持6种以上立体图形工具。</w:t>
            </w:r>
            <w:r>
              <w:rPr>
                <w:rFonts w:hint="eastAsia" w:ascii="宋体" w:hAnsi="宋体" w:cs="宋体"/>
                <w:kern w:val="0"/>
                <w:sz w:val="20"/>
                <w:szCs w:val="20"/>
              </w:rPr>
              <w:br w:type="textWrapping"/>
            </w:r>
            <w:r>
              <w:rPr>
                <w:rFonts w:hint="eastAsia" w:ascii="宋体" w:hAnsi="宋体" w:cs="宋体"/>
                <w:kern w:val="0"/>
                <w:sz w:val="20"/>
                <w:szCs w:val="20"/>
              </w:rPr>
              <w:t>6、无PC状态下，嵌入式系统内置互动白板支持全局漫游，并能在工具栏中对全局内容进行预览和移动。</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六、教学白板软件</w:t>
            </w:r>
            <w:r>
              <w:rPr>
                <w:rFonts w:hint="eastAsia" w:ascii="宋体" w:hAnsi="宋体" w:cs="宋体"/>
                <w:kern w:val="0"/>
                <w:sz w:val="20"/>
                <w:szCs w:val="20"/>
              </w:rPr>
              <w:br w:type="textWrapping"/>
            </w:r>
            <w:r>
              <w:rPr>
                <w:rFonts w:hint="eastAsia" w:ascii="宋体" w:hAnsi="宋体" w:cs="宋体"/>
                <w:kern w:val="0"/>
                <w:sz w:val="20"/>
                <w:szCs w:val="20"/>
              </w:rPr>
              <w:t>1、备授课一体化，具有备课模式及授课模式，且操作界面根据备课和授课使用场景不同而区别设计，符合用户使用需求。</w:t>
            </w:r>
            <w:r>
              <w:rPr>
                <w:rFonts w:hint="eastAsia" w:ascii="宋体" w:hAnsi="宋体" w:cs="宋体"/>
                <w:kern w:val="0"/>
                <w:sz w:val="20"/>
                <w:szCs w:val="20"/>
              </w:rPr>
              <w:br w:type="textWrapping"/>
            </w:r>
            <w:r>
              <w:rPr>
                <w:rFonts w:hint="eastAsia" w:ascii="宋体" w:hAnsi="宋体" w:cs="宋体"/>
                <w:kern w:val="0"/>
                <w:sz w:val="20"/>
                <w:szCs w:val="20"/>
              </w:rPr>
              <w:t>2、备课模式工具栏会自动根据老师账号中关联的学科不同而提供相对应的教学工具，例如语文学科会出现田字格工具，数学学科则出现几何工具，无需用户自行选择。</w:t>
            </w:r>
            <w:r>
              <w:rPr>
                <w:rFonts w:hint="eastAsia" w:ascii="宋体" w:hAnsi="宋体" w:cs="宋体"/>
                <w:kern w:val="0"/>
                <w:sz w:val="20"/>
                <w:szCs w:val="20"/>
              </w:rPr>
              <w:br w:type="textWrapping"/>
            </w:r>
            <w:r>
              <w:rPr>
                <w:rFonts w:hint="eastAsia" w:ascii="宋体" w:hAnsi="宋体" w:cs="宋体"/>
                <w:kern w:val="0"/>
                <w:sz w:val="20"/>
                <w:szCs w:val="20"/>
              </w:rPr>
              <w:t>3、支持课件云存储，无需使用 U 盘等存储设备，用户只需联网登录即可在交互式白板软件中获取云课件，并支持课件云分享，可将课件直接分享给其他用户，只需输入其他用户手持终端号即可。</w:t>
            </w:r>
            <w:r>
              <w:rPr>
                <w:rFonts w:hint="eastAsia" w:ascii="宋体" w:hAnsi="宋体" w:cs="宋体"/>
                <w:kern w:val="0"/>
                <w:sz w:val="20"/>
                <w:szCs w:val="20"/>
              </w:rPr>
              <w:br w:type="textWrapping"/>
            </w:r>
            <w:r>
              <w:rPr>
                <w:rFonts w:hint="eastAsia" w:ascii="宋体" w:hAnsi="宋体" w:cs="宋体"/>
                <w:kern w:val="0"/>
                <w:sz w:val="20"/>
                <w:szCs w:val="20"/>
              </w:rPr>
              <w:t>4、支持课件云同步，课件上的所有修改、操作均可实时同步至云端，无需单独保存上传，确保多终端调用同个课件均为最新版本。</w:t>
            </w:r>
            <w:r>
              <w:rPr>
                <w:rFonts w:hint="eastAsia" w:ascii="宋体" w:hAnsi="宋体" w:cs="宋体"/>
                <w:kern w:val="0"/>
                <w:sz w:val="20"/>
                <w:szCs w:val="20"/>
              </w:rPr>
              <w:br w:type="textWrapping"/>
            </w:r>
            <w:r>
              <w:rPr>
                <w:rFonts w:hint="eastAsia" w:ascii="宋体" w:hAnsi="宋体" w:cs="宋体"/>
                <w:kern w:val="0"/>
                <w:sz w:val="20"/>
                <w:szCs w:val="20"/>
              </w:rPr>
              <w:t>5、游戏教学功能：支持创建互动分类式游戏，可自定义不同类别及相对应的对象，实现将不同对象拖拽到对应的类别容器中可自动辨识分类，分类正确或错误均有相应提示。类别和对象的样式、数量均可以自定义设置。系统需提供不少于 20种游戏模板，直接选择并输入相应内容即可轻松生成互动分类式游戏，提升课堂趣味性。</w:t>
            </w:r>
            <w:r>
              <w:rPr>
                <w:rFonts w:hint="eastAsia" w:ascii="宋体" w:hAnsi="宋体" w:cs="宋体"/>
                <w:kern w:val="0"/>
                <w:sz w:val="20"/>
                <w:szCs w:val="20"/>
              </w:rPr>
              <w:br w:type="textWrapping"/>
            </w:r>
            <w:r>
              <w:rPr>
                <w:rFonts w:hint="eastAsia" w:ascii="宋体" w:hAnsi="宋体" w:cs="宋体"/>
                <w:kern w:val="0"/>
                <w:sz w:val="20"/>
                <w:szCs w:val="20"/>
              </w:rPr>
              <w:t>6、支持软件联网自动静默升级，无需用户手动更新。</w:t>
            </w:r>
            <w:r>
              <w:rPr>
                <w:rFonts w:hint="eastAsia" w:ascii="宋体" w:hAnsi="宋体" w:cs="宋体"/>
                <w:kern w:val="0"/>
                <w:sz w:val="20"/>
                <w:szCs w:val="20"/>
              </w:rPr>
              <w:br w:type="textWrapping"/>
            </w:r>
            <w:r>
              <w:rPr>
                <w:rFonts w:hint="eastAsia" w:ascii="宋体" w:hAnsi="宋体" w:cs="宋体"/>
                <w:kern w:val="0"/>
                <w:sz w:val="20"/>
                <w:szCs w:val="20"/>
              </w:rPr>
              <w:t>7、课件背景：提供不少于12 种以上背景模板供用户选择，持自定义背景。</w:t>
            </w:r>
            <w:r>
              <w:rPr>
                <w:rFonts w:hint="eastAsia" w:ascii="宋体" w:hAnsi="宋体" w:cs="宋体"/>
                <w:kern w:val="0"/>
                <w:sz w:val="20"/>
                <w:szCs w:val="20"/>
              </w:rPr>
              <w:br w:type="textWrapping"/>
            </w:r>
            <w:r>
              <w:rPr>
                <w:rFonts w:hint="eastAsia" w:ascii="宋体" w:hAnsi="宋体" w:cs="宋体"/>
                <w:kern w:val="0"/>
                <w:sz w:val="20"/>
                <w:szCs w:val="20"/>
              </w:rPr>
              <w:t>8、美术画板：支持美术画板工具，提供铅笔、毛笔、油画笔，可实现模拟调色盘功能，用户可自由选择不同颜色进行混合调色，搭配出任意色彩。</w:t>
            </w:r>
            <w:r>
              <w:rPr>
                <w:rFonts w:hint="eastAsia" w:ascii="宋体" w:hAnsi="宋体" w:cs="宋体"/>
                <w:kern w:val="0"/>
                <w:sz w:val="20"/>
                <w:szCs w:val="20"/>
              </w:rPr>
              <w:br w:type="textWrapping"/>
            </w:r>
            <w:r>
              <w:rPr>
                <w:rFonts w:hint="eastAsia" w:ascii="宋体" w:hAnsi="宋体" w:cs="宋体"/>
                <w:kern w:val="0"/>
                <w:sz w:val="20"/>
                <w:szCs w:val="20"/>
              </w:rPr>
              <w:t>9、快捷抠图：无需借助专业图片处理软件，即可在白板软件中对导入的图片进行快捷抠图、去背景，处理后的图片主体边缘没有明显毛边，可导出保存成 PNG 格式。</w:t>
            </w:r>
            <w:r>
              <w:rPr>
                <w:rFonts w:hint="eastAsia" w:ascii="宋体" w:hAnsi="宋体" w:cs="宋体"/>
                <w:kern w:val="0"/>
                <w:sz w:val="20"/>
                <w:szCs w:val="20"/>
              </w:rPr>
              <w:br w:type="textWrapping"/>
            </w:r>
            <w:r>
              <w:rPr>
                <w:rFonts w:hint="eastAsia" w:ascii="宋体" w:hAnsi="宋体" w:cs="宋体"/>
                <w:kern w:val="0"/>
                <w:sz w:val="20"/>
                <w:szCs w:val="20"/>
              </w:rPr>
              <w:t>10、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宋体" w:hAnsi="宋体" w:cs="宋体"/>
                <w:kern w:val="0"/>
                <w:sz w:val="20"/>
                <w:szCs w:val="20"/>
              </w:rPr>
              <w:br w:type="textWrapping"/>
            </w:r>
            <w:r>
              <w:rPr>
                <w:rFonts w:hint="eastAsia" w:ascii="宋体" w:hAnsi="宋体" w:cs="宋体"/>
                <w:kern w:val="0"/>
                <w:sz w:val="20"/>
                <w:szCs w:val="20"/>
              </w:rPr>
              <w:t>11、数学公式编辑器：支持复杂数学公式输入，提供不少于 20 个数学符号及和不少于15种公式模板，输出的公式内容支持不同颜色标记及二次编辑。</w:t>
            </w:r>
            <w:r>
              <w:rPr>
                <w:rFonts w:hint="eastAsia" w:ascii="宋体" w:hAnsi="宋体" w:cs="宋体"/>
                <w:kern w:val="0"/>
                <w:sz w:val="20"/>
                <w:szCs w:val="20"/>
              </w:rPr>
              <w:br w:type="textWrapping"/>
            </w:r>
            <w:r>
              <w:rPr>
                <w:rFonts w:hint="eastAsia" w:ascii="宋体" w:hAnsi="宋体" w:cs="宋体"/>
                <w:kern w:val="0"/>
                <w:sz w:val="20"/>
                <w:szCs w:val="20"/>
              </w:rPr>
              <w:t xml:space="preserve">12、3D星球模型：提供3D立体星球模型，包括地球、太阳、火星、水星等太阳系行星，支持360°自由旋转、缩放展示；并支持在立体地球模型清晰展现地球表面的六大板块、降水分布、气温分布、气候分布、人口分布、表层洋流、陆地自然带、海平面等压线等内容；且支持三维、二维切换展示，方便地理学科教学。 </w:t>
            </w:r>
            <w:r>
              <w:rPr>
                <w:rFonts w:hint="eastAsia" w:ascii="宋体" w:hAnsi="宋体" w:cs="宋体"/>
                <w:kern w:val="0"/>
                <w:sz w:val="20"/>
                <w:szCs w:val="20"/>
              </w:rPr>
              <w:br w:type="textWrapping"/>
            </w:r>
            <w:r>
              <w:rPr>
                <w:rFonts w:hint="eastAsia" w:ascii="宋体" w:hAnsi="宋体" w:cs="宋体"/>
                <w:kern w:val="0"/>
                <w:sz w:val="20"/>
                <w:szCs w:val="20"/>
              </w:rPr>
              <w:t>13、古诗词资源：</w:t>
            </w:r>
            <w:r>
              <w:rPr>
                <w:rFonts w:hint="eastAsia" w:ascii="宋体" w:hAnsi="宋体" w:cs="宋体"/>
                <w:kern w:val="0"/>
                <w:sz w:val="20"/>
                <w:szCs w:val="20"/>
              </w:rPr>
              <w:br w:type="textWrapping"/>
            </w:r>
            <w:r>
              <w:rPr>
                <w:rFonts w:hint="eastAsia" w:ascii="宋体" w:hAnsi="宋体" w:cs="宋体"/>
                <w:kern w:val="0"/>
                <w:sz w:val="20"/>
                <w:szCs w:val="20"/>
              </w:rPr>
              <w:t>（1）提供覆盖小学、初中、高中的古诗词资源，包含原文、翻译、背景介绍、作者介绍、朗诵音频等。</w:t>
            </w:r>
            <w:r>
              <w:rPr>
                <w:rFonts w:hint="eastAsia" w:ascii="宋体" w:hAnsi="宋体" w:cs="宋体"/>
                <w:kern w:val="0"/>
                <w:sz w:val="20"/>
                <w:szCs w:val="20"/>
              </w:rPr>
              <w:br w:type="textWrapping"/>
            </w:r>
            <w:r>
              <w:rPr>
                <w:rFonts w:hint="eastAsia" w:ascii="宋体" w:hAnsi="宋体" w:cs="宋体"/>
                <w:kern w:val="0"/>
                <w:sz w:val="20"/>
                <w:szCs w:val="20"/>
              </w:rPr>
              <w:t>（2）支持用户根据年级、朝代、诗人等进行分类查找，也可直接搜索诗词、古文名称或作者名查找。</w:t>
            </w:r>
            <w:r>
              <w:rPr>
                <w:rFonts w:hint="eastAsia" w:ascii="宋体" w:hAnsi="宋体" w:cs="宋体"/>
                <w:kern w:val="0"/>
                <w:sz w:val="20"/>
                <w:szCs w:val="20"/>
              </w:rPr>
              <w:br w:type="textWrapping"/>
            </w:r>
            <w:r>
              <w:rPr>
                <w:rFonts w:hint="eastAsia" w:ascii="宋体" w:hAnsi="宋体" w:cs="宋体"/>
                <w:kern w:val="0"/>
                <w:sz w:val="20"/>
                <w:szCs w:val="20"/>
              </w:rPr>
              <w:t>（3）提供不少于9种古诗词专用背景模板，用户可贴合古诗词意境选择合适背景进行教学。</w:t>
            </w:r>
            <w:r>
              <w:rPr>
                <w:rFonts w:hint="eastAsia" w:ascii="宋体" w:hAnsi="宋体" w:cs="宋体"/>
                <w:kern w:val="0"/>
                <w:sz w:val="20"/>
                <w:szCs w:val="20"/>
              </w:rPr>
              <w:br w:type="textWrapping"/>
            </w:r>
            <w:r>
              <w:rPr>
                <w:rFonts w:hint="eastAsia" w:ascii="宋体" w:hAnsi="宋体" w:cs="宋体"/>
                <w:kern w:val="0"/>
                <w:sz w:val="20"/>
                <w:szCs w:val="20"/>
              </w:rPr>
              <w:t>（4）古诗词、古文提供原文及翻译、背景介绍、作者介绍等，同时支持一键跳转打开网页，展示对应的背景或者介绍。</w:t>
            </w:r>
            <w:r>
              <w:rPr>
                <w:rFonts w:hint="eastAsia" w:ascii="宋体" w:hAnsi="宋体" w:cs="宋体"/>
                <w:kern w:val="0"/>
                <w:sz w:val="20"/>
                <w:szCs w:val="20"/>
              </w:rPr>
              <w:br w:type="textWrapping"/>
            </w:r>
            <w:r>
              <w:rPr>
                <w:rFonts w:hint="eastAsia" w:ascii="宋体" w:hAnsi="宋体" w:cs="宋体"/>
                <w:kern w:val="0"/>
                <w:sz w:val="20"/>
                <w:szCs w:val="20"/>
              </w:rPr>
              <w:t>（5）提供原文朗读功能，全部诗词、古文均配备专业朗读配音，且支持用户在备课时对朗读音频进行打点操作，上课时可播放提前选择好的片段。</w:t>
            </w:r>
            <w:r>
              <w:rPr>
                <w:rFonts w:hint="eastAsia" w:ascii="宋体" w:hAnsi="宋体" w:cs="宋体"/>
                <w:kern w:val="0"/>
                <w:sz w:val="20"/>
                <w:szCs w:val="20"/>
              </w:rPr>
              <w:br w:type="textWrapping"/>
            </w:r>
            <w:r>
              <w:rPr>
                <w:rFonts w:hint="eastAsia" w:ascii="宋体" w:hAnsi="宋体" w:cs="宋体"/>
                <w:kern w:val="0"/>
                <w:sz w:val="20"/>
                <w:szCs w:val="20"/>
              </w:rPr>
              <w:t>（6）支持用户备课时对原文进行注释、标重点等操作，方便用户讲解重点字词。</w:t>
            </w:r>
            <w:r>
              <w:rPr>
                <w:rFonts w:hint="eastAsia" w:ascii="宋体" w:hAnsi="宋体" w:cs="宋体"/>
                <w:kern w:val="0"/>
                <w:sz w:val="20"/>
                <w:szCs w:val="20"/>
              </w:rPr>
              <w:br w:type="textWrapping"/>
            </w:r>
            <w:r>
              <w:rPr>
                <w:rFonts w:hint="eastAsia" w:ascii="宋体" w:hAnsi="宋体" w:cs="宋体"/>
                <w:kern w:val="0"/>
                <w:sz w:val="20"/>
                <w:szCs w:val="20"/>
              </w:rPr>
              <w:t>14、立体几何：</w:t>
            </w:r>
            <w:r>
              <w:rPr>
                <w:rFonts w:hint="eastAsia" w:ascii="宋体" w:hAnsi="宋体" w:cs="宋体"/>
                <w:kern w:val="0"/>
                <w:sz w:val="20"/>
                <w:szCs w:val="20"/>
              </w:rPr>
              <w:br w:type="textWrapping"/>
            </w:r>
            <w:r>
              <w:rPr>
                <w:rFonts w:hint="eastAsia" w:ascii="宋体" w:hAnsi="宋体" w:cs="宋体"/>
                <w:kern w:val="0"/>
                <w:sz w:val="20"/>
                <w:szCs w:val="20"/>
              </w:rPr>
              <w:t>（1）支持绘制立方体、圆柱体等立体几何图形。</w:t>
            </w:r>
            <w:r>
              <w:rPr>
                <w:rFonts w:hint="eastAsia" w:ascii="宋体" w:hAnsi="宋体" w:cs="宋体"/>
                <w:kern w:val="0"/>
                <w:sz w:val="20"/>
                <w:szCs w:val="20"/>
              </w:rPr>
              <w:br w:type="textWrapping"/>
            </w:r>
            <w:r>
              <w:rPr>
                <w:rFonts w:hint="eastAsia" w:ascii="宋体" w:hAnsi="宋体" w:cs="宋体"/>
                <w:kern w:val="0"/>
                <w:sz w:val="20"/>
                <w:szCs w:val="20"/>
              </w:rPr>
              <w:t>（2）支持任意调节立体几何图形的尺寸，改变长宽高比例。</w:t>
            </w:r>
            <w:r>
              <w:rPr>
                <w:rFonts w:hint="eastAsia" w:ascii="宋体" w:hAnsi="宋体" w:cs="宋体"/>
                <w:kern w:val="0"/>
                <w:sz w:val="20"/>
                <w:szCs w:val="20"/>
              </w:rPr>
              <w:br w:type="textWrapping"/>
            </w:r>
            <w:r>
              <w:rPr>
                <w:rFonts w:hint="eastAsia" w:ascii="宋体" w:hAnsi="宋体" w:cs="宋体"/>
                <w:kern w:val="0"/>
                <w:sz w:val="20"/>
                <w:szCs w:val="20"/>
              </w:rPr>
              <w:t>（3）支持沿任意方向旋转立体几何。</w:t>
            </w:r>
            <w:r>
              <w:rPr>
                <w:rFonts w:hint="eastAsia" w:ascii="宋体" w:hAnsi="宋体" w:cs="宋体"/>
                <w:kern w:val="0"/>
                <w:sz w:val="20"/>
                <w:szCs w:val="20"/>
              </w:rPr>
              <w:br w:type="textWrapping"/>
            </w:r>
            <w:r>
              <w:rPr>
                <w:rFonts w:hint="eastAsia" w:ascii="宋体" w:hAnsi="宋体" w:cs="宋体"/>
                <w:kern w:val="0"/>
                <w:sz w:val="20"/>
                <w:szCs w:val="20"/>
              </w:rPr>
              <w:t>（4）支持为长方体6个面分别涂色，并且可通过任意旋转观察涂色与未涂色的表面</w:t>
            </w:r>
            <w:r>
              <w:rPr>
                <w:rFonts w:hint="eastAsia" w:ascii="宋体" w:hAnsi="宋体" w:cs="宋体"/>
                <w:kern w:val="0"/>
                <w:sz w:val="20"/>
                <w:szCs w:val="20"/>
              </w:rPr>
              <w:br w:type="textWrapping"/>
            </w:r>
            <w:r>
              <w:rPr>
                <w:rFonts w:hint="eastAsia" w:ascii="宋体" w:hAnsi="宋体" w:cs="宋体"/>
                <w:kern w:val="0"/>
                <w:sz w:val="20"/>
                <w:szCs w:val="20"/>
              </w:rPr>
              <w:t>15.数学画板功能：</w:t>
            </w:r>
            <w:r>
              <w:rPr>
                <w:rFonts w:hint="eastAsia" w:ascii="宋体" w:hAnsi="宋体" w:cs="宋体"/>
                <w:kern w:val="0"/>
                <w:sz w:val="20"/>
                <w:szCs w:val="20"/>
              </w:rPr>
              <w:br w:type="textWrapping"/>
            </w:r>
            <w:r>
              <w:rPr>
                <w:rFonts w:hint="eastAsia" w:ascii="宋体" w:hAnsi="宋体" w:cs="宋体"/>
                <w:kern w:val="0"/>
                <w:sz w:val="20"/>
                <w:szCs w:val="20"/>
              </w:rPr>
              <w:t>（1）支持在白板中插入在线画板，授课时可以一键打开,方便老师配合课件内容进行讲解。</w:t>
            </w:r>
            <w:r>
              <w:rPr>
                <w:rFonts w:hint="eastAsia" w:ascii="宋体" w:hAnsi="宋体" w:cs="宋体"/>
                <w:kern w:val="0"/>
                <w:sz w:val="20"/>
                <w:szCs w:val="20"/>
              </w:rPr>
              <w:br w:type="textWrapping"/>
            </w:r>
            <w:r>
              <w:rPr>
                <w:rFonts w:hint="eastAsia" w:ascii="宋体" w:hAnsi="宋体" w:cs="宋体"/>
                <w:kern w:val="0"/>
                <w:sz w:val="20"/>
                <w:szCs w:val="20"/>
              </w:rPr>
              <w:t>（2）提供超过500个数学画板资源，覆盖小学、初中、高中学段数学学科主要知识点，并按照知识点分类，便于老师查找。</w:t>
            </w:r>
            <w:r>
              <w:rPr>
                <w:rFonts w:hint="eastAsia" w:ascii="宋体" w:hAnsi="宋体" w:cs="宋体"/>
                <w:kern w:val="0"/>
                <w:sz w:val="20"/>
                <w:szCs w:val="20"/>
              </w:rPr>
              <w:br w:type="textWrapping"/>
            </w:r>
            <w:r>
              <w:rPr>
                <w:rFonts w:hint="eastAsia" w:ascii="宋体" w:hAnsi="宋体" w:cs="宋体"/>
                <w:kern w:val="0"/>
                <w:sz w:val="20"/>
                <w:szCs w:val="20"/>
              </w:rPr>
              <w:t>（3）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宋体" w:hAnsi="宋体" w:cs="宋体"/>
                <w:kern w:val="0"/>
                <w:sz w:val="20"/>
                <w:szCs w:val="20"/>
              </w:rPr>
              <w:br w:type="textWrapping"/>
            </w:r>
            <w:r>
              <w:rPr>
                <w:rFonts w:hint="eastAsia" w:ascii="宋体" w:hAnsi="宋体" w:cs="宋体"/>
                <w:kern w:val="0"/>
                <w:sz w:val="20"/>
                <w:szCs w:val="20"/>
              </w:rPr>
              <w:t>（4）支持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宋体" w:hAnsi="宋体" w:cs="宋体"/>
                <w:kern w:val="0"/>
                <w:sz w:val="20"/>
                <w:szCs w:val="20"/>
              </w:rPr>
              <w:br w:type="textWrapping"/>
            </w:r>
            <w:r>
              <w:rPr>
                <w:rFonts w:hint="eastAsia" w:ascii="宋体" w:hAnsi="宋体" w:cs="宋体"/>
                <w:kern w:val="0"/>
                <w:sz w:val="20"/>
                <w:szCs w:val="20"/>
              </w:rPr>
              <w:t>16、多学科题库：</w:t>
            </w:r>
            <w:r>
              <w:rPr>
                <w:rFonts w:hint="eastAsia" w:ascii="宋体" w:hAnsi="宋体" w:cs="宋体"/>
                <w:kern w:val="0"/>
                <w:sz w:val="20"/>
                <w:szCs w:val="20"/>
              </w:rPr>
              <w:br w:type="textWrapping"/>
            </w:r>
            <w:r>
              <w:rPr>
                <w:rFonts w:hint="eastAsia" w:ascii="宋体" w:hAnsi="宋体" w:cs="宋体"/>
                <w:kern w:val="0"/>
                <w:sz w:val="20"/>
                <w:szCs w:val="20"/>
              </w:rPr>
              <w:t>（1）提供不少于30万道试题给老师使用。</w:t>
            </w:r>
            <w:r>
              <w:rPr>
                <w:rFonts w:hint="eastAsia" w:ascii="宋体" w:hAnsi="宋体" w:cs="宋体"/>
                <w:kern w:val="0"/>
                <w:sz w:val="20"/>
                <w:szCs w:val="20"/>
              </w:rPr>
              <w:br w:type="textWrapping"/>
            </w:r>
            <w:r>
              <w:rPr>
                <w:rFonts w:hint="eastAsia" w:ascii="宋体" w:hAnsi="宋体" w:cs="宋体"/>
                <w:kern w:val="0"/>
                <w:sz w:val="20"/>
                <w:szCs w:val="20"/>
              </w:rPr>
              <w:t>（2）涵盖小学、初中、高中，其中中学部分包含语文、数学、英语、物理、化学、生物、政治、历史、地理等多个学科。</w:t>
            </w:r>
            <w:r>
              <w:rPr>
                <w:rFonts w:hint="eastAsia" w:ascii="宋体" w:hAnsi="宋体" w:cs="宋体"/>
                <w:kern w:val="0"/>
                <w:sz w:val="20"/>
                <w:szCs w:val="20"/>
              </w:rPr>
              <w:br w:type="textWrapping"/>
            </w:r>
            <w:r>
              <w:rPr>
                <w:rFonts w:hint="eastAsia" w:ascii="宋体" w:hAnsi="宋体" w:cs="宋体"/>
                <w:kern w:val="0"/>
                <w:sz w:val="20"/>
                <w:szCs w:val="20"/>
              </w:rPr>
              <w:t>（3）题库总知识点不少于9000个，除选择、填空、判断等基本题型外，还包含诗歌阅读、完形填空、阅读理解、辨析题、材料题、实验题、作图题等。</w:t>
            </w:r>
            <w:r>
              <w:rPr>
                <w:rFonts w:hint="eastAsia" w:ascii="宋体" w:hAnsi="宋体" w:cs="宋体"/>
                <w:kern w:val="0"/>
                <w:sz w:val="20"/>
                <w:szCs w:val="20"/>
              </w:rPr>
              <w:br w:type="textWrapping"/>
            </w:r>
            <w:r>
              <w:rPr>
                <w:rFonts w:hint="eastAsia" w:ascii="宋体" w:hAnsi="宋体" w:cs="宋体"/>
                <w:kern w:val="0"/>
                <w:sz w:val="20"/>
                <w:szCs w:val="20"/>
              </w:rPr>
              <w:t>（4）可批量选择多题并以交互式试题卡的形式插入到白板中。试题卡包含题干、答案和解析，并可一键实时展开、收起答案和解析。</w:t>
            </w:r>
            <w:r>
              <w:rPr>
                <w:rFonts w:hint="eastAsia" w:ascii="宋体" w:hAnsi="宋体" w:cs="宋体"/>
                <w:kern w:val="0"/>
                <w:sz w:val="20"/>
                <w:szCs w:val="20"/>
              </w:rPr>
              <w:br w:type="textWrapping"/>
            </w:r>
            <w:r>
              <w:rPr>
                <w:rFonts w:hint="eastAsia" w:ascii="宋体" w:hAnsi="宋体" w:cs="宋体"/>
                <w:kern w:val="0"/>
                <w:sz w:val="20"/>
                <w:szCs w:val="20"/>
              </w:rPr>
              <w:t>17、课堂小测：提供不少于40000道初中数学试题。</w:t>
            </w:r>
            <w:r>
              <w:rPr>
                <w:rFonts w:hint="eastAsia" w:ascii="宋体" w:hAnsi="宋体" w:cs="宋体"/>
                <w:kern w:val="0"/>
                <w:sz w:val="20"/>
                <w:szCs w:val="20"/>
              </w:rPr>
              <w:br w:type="textWrapping"/>
            </w:r>
            <w:r>
              <w:rPr>
                <w:rFonts w:hint="eastAsia" w:ascii="宋体" w:hAnsi="宋体" w:cs="宋体"/>
                <w:kern w:val="0"/>
                <w:sz w:val="20"/>
                <w:szCs w:val="20"/>
              </w:rPr>
              <w:t>（1）老师可根据所使用教材版本自由选择人教新版、苏科新版、北师大版、北京课改新版等不同版本试题。</w:t>
            </w:r>
            <w:r>
              <w:rPr>
                <w:rFonts w:hint="eastAsia" w:ascii="宋体" w:hAnsi="宋体" w:cs="宋体"/>
                <w:kern w:val="0"/>
                <w:sz w:val="20"/>
                <w:szCs w:val="20"/>
              </w:rPr>
              <w:br w:type="textWrapping"/>
            </w:r>
            <w:r>
              <w:rPr>
                <w:rFonts w:hint="eastAsia" w:ascii="宋体" w:hAnsi="宋体" w:cs="宋体"/>
                <w:kern w:val="0"/>
                <w:sz w:val="20"/>
                <w:szCs w:val="20"/>
              </w:rPr>
              <w:t>（2）试题按照教学进度分类，精确到每一章每一节，方便老师查找。</w:t>
            </w:r>
            <w:r>
              <w:rPr>
                <w:rFonts w:hint="eastAsia" w:ascii="宋体" w:hAnsi="宋体" w:cs="宋体"/>
                <w:kern w:val="0"/>
                <w:sz w:val="20"/>
                <w:szCs w:val="20"/>
              </w:rPr>
              <w:br w:type="textWrapping"/>
            </w:r>
            <w:r>
              <w:rPr>
                <w:rFonts w:hint="eastAsia" w:ascii="宋体" w:hAnsi="宋体" w:cs="宋体"/>
                <w:kern w:val="0"/>
                <w:sz w:val="20"/>
                <w:szCs w:val="20"/>
              </w:rPr>
              <w:t>（3）试题按照使用场景分类，分为课堂小测、课时练习、课后基础、课后提高等，方便老师在不同场景下选择。</w:t>
            </w:r>
            <w:r>
              <w:rPr>
                <w:rFonts w:hint="eastAsia" w:ascii="宋体" w:hAnsi="宋体" w:cs="宋体"/>
                <w:kern w:val="0"/>
                <w:sz w:val="20"/>
                <w:szCs w:val="20"/>
              </w:rPr>
              <w:br w:type="textWrapping"/>
            </w:r>
            <w:r>
              <w:rPr>
                <w:rFonts w:hint="eastAsia" w:ascii="宋体" w:hAnsi="宋体" w:cs="宋体"/>
                <w:kern w:val="0"/>
                <w:sz w:val="20"/>
                <w:szCs w:val="20"/>
              </w:rPr>
              <w:t>（4）题目已根据老师使用需要，组成套题，老师可一键批量选择；同时也支持老师自由组题，形成个性化套题。</w:t>
            </w:r>
            <w:r>
              <w:rPr>
                <w:rFonts w:hint="eastAsia" w:ascii="宋体" w:hAnsi="宋体" w:cs="宋体"/>
                <w:kern w:val="0"/>
                <w:sz w:val="20"/>
                <w:szCs w:val="20"/>
              </w:rPr>
              <w:br w:type="textWrapping"/>
            </w:r>
            <w:r>
              <w:rPr>
                <w:rFonts w:hint="eastAsia" w:ascii="宋体" w:hAnsi="宋体" w:cs="宋体"/>
                <w:kern w:val="0"/>
                <w:sz w:val="20"/>
                <w:szCs w:val="20"/>
              </w:rPr>
              <w:t>18、表格工具：</w:t>
            </w:r>
            <w:r>
              <w:rPr>
                <w:rFonts w:hint="eastAsia" w:ascii="宋体" w:hAnsi="宋体" w:cs="宋体"/>
                <w:kern w:val="0"/>
                <w:sz w:val="20"/>
                <w:szCs w:val="20"/>
              </w:rPr>
              <w:br w:type="textWrapping"/>
            </w:r>
            <w:r>
              <w:rPr>
                <w:rFonts w:hint="eastAsia" w:ascii="宋体" w:hAnsi="宋体" w:cs="宋体"/>
                <w:kern w:val="0"/>
                <w:sz w:val="20"/>
                <w:szCs w:val="20"/>
              </w:rPr>
              <w:t>（1）支持老师插入表格，并提供5种以上表格样式供老师选择。</w:t>
            </w:r>
            <w:r>
              <w:rPr>
                <w:rFonts w:hint="eastAsia" w:ascii="宋体" w:hAnsi="宋体" w:cs="宋体"/>
                <w:kern w:val="0"/>
                <w:sz w:val="20"/>
                <w:szCs w:val="20"/>
              </w:rPr>
              <w:br w:type="textWrapping"/>
            </w:r>
            <w:r>
              <w:rPr>
                <w:rFonts w:hint="eastAsia" w:ascii="宋体" w:hAnsi="宋体" w:cs="宋体"/>
                <w:kern w:val="0"/>
                <w:sz w:val="20"/>
                <w:szCs w:val="20"/>
              </w:rPr>
              <w:t>（2）支持表格自适应，可一键将表格的行、列调整到最合适的大小。</w:t>
            </w:r>
            <w:r>
              <w:rPr>
                <w:rFonts w:hint="eastAsia" w:ascii="宋体" w:hAnsi="宋体" w:cs="宋体"/>
                <w:kern w:val="0"/>
                <w:sz w:val="20"/>
                <w:szCs w:val="20"/>
              </w:rPr>
              <w:br w:type="textWrapping"/>
            </w:r>
            <w:r>
              <w:rPr>
                <w:rFonts w:hint="eastAsia" w:ascii="宋体" w:hAnsi="宋体" w:cs="宋体"/>
                <w:kern w:val="0"/>
                <w:sz w:val="20"/>
                <w:szCs w:val="20"/>
              </w:rPr>
              <w:t>（3）支持表格遮罩功能，可对表格中任意一格添加遮罩，在授课模式下通过点击可消除遮罩，方便老师设置互动活动。</w:t>
            </w:r>
            <w:r>
              <w:rPr>
                <w:rFonts w:hint="eastAsia" w:ascii="宋体" w:hAnsi="宋体" w:cs="宋体"/>
                <w:kern w:val="0"/>
                <w:sz w:val="20"/>
                <w:szCs w:val="20"/>
              </w:rPr>
              <w:br w:type="textWrapping"/>
            </w:r>
            <w:r>
              <w:rPr>
                <w:rFonts w:hint="eastAsia" w:ascii="宋体" w:hAnsi="宋体" w:cs="宋体"/>
                <w:kern w:val="0"/>
                <w:sz w:val="20"/>
                <w:szCs w:val="20"/>
              </w:rPr>
              <w:t>（4）在授课模式下，支持表格克隆功能，可克隆出多个相同表格，方便老师请多位同学进行答题互动。</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七、学生行为评价软件</w:t>
            </w:r>
            <w:r>
              <w:rPr>
                <w:rFonts w:hint="eastAsia" w:ascii="宋体" w:hAnsi="宋体" w:cs="宋体"/>
                <w:kern w:val="0"/>
                <w:sz w:val="20"/>
                <w:szCs w:val="20"/>
              </w:rPr>
              <w:br w:type="textWrapping"/>
            </w:r>
            <w:r>
              <w:rPr>
                <w:rFonts w:hint="eastAsia" w:ascii="宋体" w:hAnsi="宋体" w:cs="宋体"/>
                <w:kern w:val="0"/>
                <w:sz w:val="20"/>
                <w:szCs w:val="20"/>
              </w:rPr>
              <w:t>1、学生行为评价系统，集成三大功能模块：基础信息管理、课堂表现评价、家校互联互通，功能及操作均统一在同一软件平台同一账号体系实现。</w:t>
            </w:r>
            <w:r>
              <w:rPr>
                <w:rFonts w:hint="eastAsia" w:ascii="宋体" w:hAnsi="宋体" w:cs="宋体"/>
                <w:kern w:val="0"/>
                <w:sz w:val="20"/>
                <w:szCs w:val="20"/>
              </w:rPr>
              <w:br w:type="textWrapping"/>
            </w:r>
            <w:r>
              <w:rPr>
                <w:rFonts w:hint="eastAsia" w:ascii="宋体" w:hAnsi="宋体" w:cs="宋体"/>
                <w:kern w:val="0"/>
                <w:sz w:val="20"/>
                <w:szCs w:val="20"/>
              </w:rPr>
              <w:t>2、支持 PC客户端、PC 网页端、安卓手持终端端、苹果手持终端端登陆使用，且各个端的数据是互通的，方便用户随时随地对学生进行管理与评价。</w:t>
            </w:r>
            <w:r>
              <w:rPr>
                <w:rFonts w:hint="eastAsia" w:ascii="宋体" w:hAnsi="宋体" w:cs="宋体"/>
                <w:kern w:val="0"/>
                <w:sz w:val="20"/>
                <w:szCs w:val="20"/>
              </w:rPr>
              <w:br w:type="textWrapping"/>
            </w:r>
            <w:r>
              <w:rPr>
                <w:rFonts w:hint="eastAsia" w:ascii="宋体" w:hAnsi="宋体" w:cs="宋体"/>
                <w:kern w:val="0"/>
                <w:sz w:val="20"/>
                <w:szCs w:val="20"/>
              </w:rPr>
              <w:t>3、支持多个用户管理同一个班级，从而满足一个班级有班主任和多个任课用户的实际情况。</w:t>
            </w:r>
            <w:r>
              <w:rPr>
                <w:rFonts w:hint="eastAsia" w:ascii="宋体" w:hAnsi="宋体" w:cs="宋体"/>
                <w:kern w:val="0"/>
                <w:sz w:val="20"/>
                <w:szCs w:val="20"/>
              </w:rPr>
              <w:br w:type="textWrapping"/>
            </w:r>
            <w:r>
              <w:rPr>
                <w:rFonts w:hint="eastAsia" w:ascii="宋体" w:hAnsi="宋体" w:cs="宋体"/>
                <w:kern w:val="0"/>
                <w:sz w:val="20"/>
                <w:szCs w:val="20"/>
              </w:rPr>
              <w:t>4、支持邀请家长入班，使家长可查看到自己的孩子在学校的各种表现。</w:t>
            </w:r>
            <w:r>
              <w:rPr>
                <w:rFonts w:hint="eastAsia" w:ascii="宋体" w:hAnsi="宋体" w:cs="宋体"/>
                <w:kern w:val="0"/>
                <w:sz w:val="20"/>
                <w:szCs w:val="20"/>
              </w:rPr>
              <w:br w:type="textWrapping"/>
            </w:r>
            <w:r>
              <w:rPr>
                <w:rFonts w:hint="eastAsia" w:ascii="宋体" w:hAnsi="宋体" w:cs="宋体"/>
                <w:kern w:val="0"/>
                <w:sz w:val="20"/>
                <w:szCs w:val="20"/>
              </w:rPr>
              <w:t>5、用户可通过移动端、PC端及网页端对学生、小组及班级进行行为评价，通过卡通游戏化的方式对学生进行表扬或提醒。</w:t>
            </w:r>
            <w:r>
              <w:rPr>
                <w:rFonts w:hint="eastAsia" w:ascii="宋体" w:hAnsi="宋体" w:cs="宋体"/>
                <w:kern w:val="0"/>
                <w:sz w:val="20"/>
                <w:szCs w:val="20"/>
              </w:rPr>
              <w:br w:type="textWrapping"/>
            </w:r>
            <w:r>
              <w:rPr>
                <w:rFonts w:hint="eastAsia" w:ascii="宋体" w:hAnsi="宋体" w:cs="宋体"/>
                <w:kern w:val="0"/>
                <w:sz w:val="20"/>
                <w:szCs w:val="20"/>
              </w:rPr>
              <w:t>6、支持查看课堂表现评价统计报表，按饼状图形式展现学生课堂表现情况，支持查看班级或学生个人的评价情况，并可具体查看到每一条评价的原因、对象、分值，便于用户做统计分析。</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八、大小屏互动软件</w:t>
            </w:r>
            <w:r>
              <w:rPr>
                <w:rFonts w:hint="eastAsia" w:ascii="宋体" w:hAnsi="宋体" w:cs="宋体"/>
                <w:kern w:val="0"/>
                <w:sz w:val="20"/>
                <w:szCs w:val="20"/>
              </w:rPr>
              <w:br w:type="textWrapping"/>
            </w:r>
            <w:r>
              <w:rPr>
                <w:rFonts w:hint="eastAsia" w:ascii="宋体" w:hAnsi="宋体" w:cs="宋体"/>
                <w:kern w:val="0"/>
                <w:sz w:val="20"/>
                <w:szCs w:val="20"/>
              </w:rPr>
              <w:t>1、如手机、PAD等移动终端，可通过本软件与交互智能平板实现无线连接，可对连接的设备进行密码的权限管理，支持二维码扫码自连接服务器功能。</w:t>
            </w:r>
            <w:r>
              <w:rPr>
                <w:rFonts w:hint="eastAsia" w:ascii="宋体" w:hAnsi="宋体" w:cs="宋体"/>
                <w:kern w:val="0"/>
                <w:sz w:val="20"/>
                <w:szCs w:val="20"/>
              </w:rPr>
              <w:br w:type="textWrapping"/>
            </w:r>
            <w:r>
              <w:rPr>
                <w:rFonts w:hint="eastAsia" w:ascii="宋体" w:hAnsi="宋体" w:cs="宋体"/>
                <w:kern w:val="0"/>
                <w:sz w:val="20"/>
                <w:szCs w:val="20"/>
              </w:rPr>
              <w:t>2、支持多图对比展示功能，可将多位学生的作业、试卷或实验结果进行拍摄，并上传至智能平板的互动教学软件里进行对比展示，支持点评功能，可给每位同学的作品以不同的奖章。</w:t>
            </w:r>
            <w:r>
              <w:rPr>
                <w:rFonts w:hint="eastAsia" w:ascii="宋体" w:hAnsi="宋体" w:cs="宋体"/>
                <w:kern w:val="0"/>
                <w:sz w:val="20"/>
                <w:szCs w:val="20"/>
              </w:rPr>
              <w:br w:type="textWrapping"/>
            </w:r>
            <w:r>
              <w:rPr>
                <w:rFonts w:hint="eastAsia" w:ascii="宋体" w:hAnsi="宋体" w:cs="宋体"/>
                <w:kern w:val="0"/>
                <w:sz w:val="20"/>
                <w:szCs w:val="20"/>
              </w:rP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r>
              <w:rPr>
                <w:rFonts w:hint="eastAsia" w:ascii="宋体" w:hAnsi="宋体" w:cs="宋体"/>
                <w:kern w:val="0"/>
                <w:sz w:val="20"/>
                <w:szCs w:val="20"/>
              </w:rPr>
              <w:br w:type="textWrapping"/>
            </w:r>
            <w:r>
              <w:rPr>
                <w:rFonts w:hint="eastAsia" w:ascii="宋体" w:hAnsi="宋体" w:cs="宋体"/>
                <w:kern w:val="0"/>
                <w:sz w:val="20"/>
                <w:szCs w:val="20"/>
              </w:rP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九、其它要求：</w:t>
            </w:r>
            <w:r>
              <w:rPr>
                <w:rFonts w:hint="eastAsia" w:ascii="宋体" w:hAnsi="宋体" w:cs="宋体"/>
                <w:kern w:val="0"/>
                <w:sz w:val="20"/>
                <w:szCs w:val="20"/>
              </w:rPr>
              <w:br w:type="textWrapping"/>
            </w:r>
            <w:r>
              <w:rPr>
                <w:rFonts w:hint="eastAsia" w:ascii="宋体" w:hAnsi="宋体" w:cs="宋体"/>
                <w:kern w:val="0"/>
                <w:sz w:val="20"/>
                <w:szCs w:val="20"/>
              </w:rPr>
              <w:t>1、全国24小时免费400/800等电话保修、二维码扫描保修、区域化驻地技术工程师专线保修。</w:t>
            </w:r>
            <w:r>
              <w:rPr>
                <w:rFonts w:hint="eastAsia" w:ascii="宋体" w:hAnsi="宋体" w:cs="宋体"/>
                <w:kern w:val="0"/>
                <w:sz w:val="20"/>
                <w:szCs w:val="20"/>
              </w:rPr>
              <w:br w:type="textWrapping"/>
            </w:r>
            <w:r>
              <w:rPr>
                <w:rFonts w:hint="eastAsia" w:ascii="宋体" w:hAnsi="宋体" w:cs="宋体"/>
                <w:kern w:val="0"/>
                <w:sz w:val="20"/>
                <w:szCs w:val="20"/>
              </w:rPr>
              <w:t>2、开机LOGO定制，开机时显示“隆安县教育局2024年配备”。</w:t>
            </w:r>
          </w:p>
        </w:tc>
        <w:tc>
          <w:tcPr>
            <w:tcW w:w="462" w:type="dxa"/>
            <w:shd w:val="clear" w:color="auto" w:fill="auto"/>
            <w:noWrap/>
            <w:vAlign w:val="center"/>
          </w:tcPr>
          <w:p w14:paraId="206F9A6B">
            <w:pPr>
              <w:widowControl/>
              <w:jc w:val="center"/>
              <w:rPr>
                <w:rFonts w:ascii="宋体" w:hAnsi="宋体" w:cs="宋体"/>
                <w:kern w:val="0"/>
                <w:sz w:val="20"/>
                <w:szCs w:val="20"/>
              </w:rPr>
            </w:pPr>
            <w:r>
              <w:rPr>
                <w:rFonts w:hint="eastAsia" w:ascii="宋体" w:hAnsi="宋体" w:cs="宋体"/>
                <w:kern w:val="0"/>
                <w:sz w:val="20"/>
                <w:szCs w:val="20"/>
              </w:rPr>
              <w:t>台</w:t>
            </w:r>
          </w:p>
        </w:tc>
        <w:tc>
          <w:tcPr>
            <w:tcW w:w="605" w:type="dxa"/>
            <w:shd w:val="clear" w:color="auto" w:fill="auto"/>
            <w:noWrap/>
            <w:vAlign w:val="center"/>
          </w:tcPr>
          <w:p w14:paraId="7483C0ED">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7D8D3DED">
            <w:pPr>
              <w:widowControl/>
              <w:jc w:val="center"/>
              <w:rPr>
                <w:rFonts w:ascii="宋体" w:hAnsi="宋体" w:cs="宋体"/>
                <w:kern w:val="0"/>
                <w:sz w:val="20"/>
                <w:szCs w:val="20"/>
              </w:rPr>
            </w:pPr>
            <w:r>
              <w:rPr>
                <w:rFonts w:hint="eastAsia" w:ascii="宋体" w:hAnsi="宋体" w:cs="宋体"/>
                <w:kern w:val="0"/>
                <w:sz w:val="20"/>
                <w:szCs w:val="20"/>
              </w:rPr>
              <w:t xml:space="preserve">24000.00 </w:t>
            </w:r>
          </w:p>
        </w:tc>
        <w:tc>
          <w:tcPr>
            <w:tcW w:w="1489" w:type="dxa"/>
            <w:shd w:val="clear" w:color="auto" w:fill="auto"/>
            <w:noWrap/>
            <w:vAlign w:val="center"/>
          </w:tcPr>
          <w:p w14:paraId="2E8DBACA">
            <w:pPr>
              <w:widowControl/>
              <w:jc w:val="center"/>
              <w:rPr>
                <w:rFonts w:ascii="宋体" w:hAnsi="宋体" w:cs="宋体"/>
                <w:kern w:val="0"/>
                <w:sz w:val="20"/>
                <w:szCs w:val="20"/>
              </w:rPr>
            </w:pPr>
            <w:r>
              <w:rPr>
                <w:rFonts w:hint="eastAsia" w:ascii="宋体" w:hAnsi="宋体" w:cs="宋体"/>
                <w:kern w:val="0"/>
                <w:sz w:val="20"/>
                <w:szCs w:val="20"/>
              </w:rPr>
              <w:t xml:space="preserve">24000.00 </w:t>
            </w:r>
          </w:p>
        </w:tc>
      </w:tr>
      <w:tr w14:paraId="6829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2FBCB85">
            <w:pPr>
              <w:widowControl/>
              <w:jc w:val="center"/>
              <w:textAlignment w:val="center"/>
              <w:rPr>
                <w:rFonts w:ascii="宋体" w:hAnsi="宋体" w:cs="宋体"/>
                <w:color w:val="000000"/>
                <w:sz w:val="22"/>
                <w:szCs w:val="22"/>
              </w:rPr>
            </w:pPr>
            <w:r>
              <w:rPr>
                <w:rFonts w:hint="eastAsia" w:ascii="宋体" w:hAnsi="宋体" w:cs="宋体"/>
                <w:color w:val="000000"/>
                <w:sz w:val="22"/>
                <w:szCs w:val="22"/>
              </w:rPr>
              <w:t>9</w:t>
            </w:r>
          </w:p>
        </w:tc>
        <w:tc>
          <w:tcPr>
            <w:tcW w:w="1072" w:type="dxa"/>
            <w:shd w:val="clear" w:color="auto" w:fill="auto"/>
            <w:vAlign w:val="center"/>
          </w:tcPr>
          <w:p w14:paraId="20BB947F">
            <w:pPr>
              <w:widowControl/>
              <w:jc w:val="center"/>
              <w:rPr>
                <w:rFonts w:ascii="宋体" w:hAnsi="宋体" w:cs="宋体"/>
                <w:kern w:val="0"/>
                <w:sz w:val="20"/>
                <w:szCs w:val="20"/>
              </w:rPr>
            </w:pPr>
            <w:r>
              <w:rPr>
                <w:rFonts w:hint="eastAsia" w:ascii="宋体" w:hAnsi="宋体" w:cs="宋体"/>
                <w:kern w:val="0"/>
                <w:sz w:val="20"/>
                <w:szCs w:val="20"/>
              </w:rPr>
              <w:t>视频展台</w:t>
            </w:r>
          </w:p>
        </w:tc>
        <w:tc>
          <w:tcPr>
            <w:tcW w:w="4897" w:type="dxa"/>
            <w:shd w:val="clear" w:color="auto" w:fill="auto"/>
            <w:vAlign w:val="center"/>
          </w:tcPr>
          <w:p w14:paraId="573C842F">
            <w:pPr>
              <w:widowControl/>
              <w:jc w:val="left"/>
              <w:rPr>
                <w:rFonts w:ascii="宋体" w:hAnsi="宋体" w:cs="宋体"/>
                <w:kern w:val="0"/>
                <w:sz w:val="20"/>
                <w:szCs w:val="20"/>
              </w:rPr>
            </w:pPr>
            <w:r>
              <w:rPr>
                <w:rFonts w:hint="eastAsia" w:ascii="宋体" w:hAnsi="宋体" w:cs="宋体"/>
                <w:kern w:val="0"/>
                <w:sz w:val="20"/>
                <w:szCs w:val="20"/>
              </w:rPr>
              <w:t>一、展台硬件</w:t>
            </w:r>
            <w:r>
              <w:rPr>
                <w:rFonts w:hint="eastAsia" w:ascii="宋体" w:hAnsi="宋体" w:cs="宋体"/>
                <w:kern w:val="0"/>
                <w:sz w:val="20"/>
                <w:szCs w:val="20"/>
              </w:rPr>
              <w:br w:type="textWrapping"/>
            </w:r>
            <w:r>
              <w:rPr>
                <w:rFonts w:hint="eastAsia" w:ascii="宋体" w:hAnsi="宋体" w:cs="宋体"/>
                <w:kern w:val="0"/>
                <w:sz w:val="20"/>
                <w:szCs w:val="20"/>
              </w:rPr>
              <w:t>1、壁挂式安装，防盗防破坏。</w:t>
            </w:r>
            <w:r>
              <w:rPr>
                <w:rFonts w:hint="eastAsia" w:ascii="宋体" w:hAnsi="宋体" w:cs="宋体"/>
                <w:kern w:val="0"/>
                <w:sz w:val="20"/>
                <w:szCs w:val="20"/>
              </w:rPr>
              <w:br w:type="textWrapping"/>
            </w:r>
            <w:r>
              <w:rPr>
                <w:rFonts w:hint="eastAsia" w:ascii="宋体" w:hAnsi="宋体" w:cs="宋体"/>
                <w:kern w:val="0"/>
                <w:sz w:val="20"/>
                <w:szCs w:val="20"/>
              </w:rPr>
              <w:t>2、无锐角无利边设计，有效防止师生碰伤、划伤。</w:t>
            </w:r>
            <w:r>
              <w:rPr>
                <w:rFonts w:hint="eastAsia" w:ascii="宋体" w:hAnsi="宋体" w:cs="宋体"/>
                <w:kern w:val="0"/>
                <w:sz w:val="20"/>
                <w:szCs w:val="20"/>
              </w:rPr>
              <w:br w:type="textWrapping"/>
            </w:r>
            <w:r>
              <w:rPr>
                <w:rFonts w:hint="eastAsia" w:ascii="宋体" w:hAnsi="宋体" w:cs="宋体"/>
                <w:kern w:val="0"/>
                <w:sz w:val="20"/>
                <w:szCs w:val="20"/>
              </w:rPr>
              <w:t>3、采用三折叠开合式托板，展开后托板尺寸≥A4面积，收起时小巧不占空间，高效利用挂墙面积。</w:t>
            </w:r>
            <w:r>
              <w:rPr>
                <w:rFonts w:hint="eastAsia" w:ascii="宋体" w:hAnsi="宋体" w:cs="宋体"/>
                <w:kern w:val="0"/>
                <w:sz w:val="20"/>
                <w:szCs w:val="20"/>
              </w:rPr>
              <w:br w:type="textWrapping"/>
            </w:r>
            <w:r>
              <w:rPr>
                <w:rFonts w:hint="eastAsia" w:ascii="宋体" w:hAnsi="宋体" w:cs="宋体"/>
                <w:kern w:val="0"/>
                <w:sz w:val="20"/>
                <w:szCs w:val="20"/>
              </w:rPr>
              <w:t>4、采用USB高速接口，单根USB线实现供电、高清数据传输需求。</w:t>
            </w:r>
            <w:r>
              <w:rPr>
                <w:rFonts w:hint="eastAsia" w:ascii="宋体" w:hAnsi="宋体" w:cs="宋体"/>
                <w:kern w:val="0"/>
                <w:sz w:val="20"/>
                <w:szCs w:val="20"/>
              </w:rPr>
              <w:br w:type="textWrapping"/>
            </w:r>
            <w:r>
              <w:rPr>
                <w:rFonts w:hint="eastAsia" w:ascii="宋体" w:hAnsi="宋体" w:cs="宋体"/>
                <w:kern w:val="0"/>
                <w:sz w:val="20"/>
                <w:szCs w:val="20"/>
              </w:rPr>
              <w:t>▲5、采用≥1200W像素自动对焦摄像头，可拍摄A4画幅。</w:t>
            </w:r>
            <w:r>
              <w:rPr>
                <w:rFonts w:hint="eastAsia" w:ascii="宋体" w:hAnsi="宋体" w:cs="宋体"/>
                <w:kern w:val="0"/>
                <w:sz w:val="20"/>
                <w:szCs w:val="20"/>
              </w:rPr>
              <w:br w:type="textWrapping"/>
            </w:r>
            <w:r>
              <w:rPr>
                <w:rFonts w:hint="eastAsia" w:ascii="宋体" w:hAnsi="宋体" w:cs="宋体"/>
                <w:kern w:val="0"/>
                <w:sz w:val="20"/>
                <w:szCs w:val="20"/>
              </w:rPr>
              <w:t>6、支持通过双击屏幕画面任意位置，即时改变对焦位置，可对立体物体的局部进行精确对焦。</w:t>
            </w:r>
            <w:r>
              <w:rPr>
                <w:rFonts w:hint="eastAsia" w:ascii="宋体" w:hAnsi="宋体" w:cs="宋体"/>
                <w:kern w:val="0"/>
                <w:sz w:val="20"/>
                <w:szCs w:val="20"/>
              </w:rPr>
              <w:br w:type="textWrapping"/>
            </w:r>
            <w:r>
              <w:rPr>
                <w:rFonts w:hint="eastAsia" w:ascii="宋体" w:hAnsi="宋体" w:cs="宋体"/>
                <w:kern w:val="0"/>
                <w:sz w:val="20"/>
                <w:szCs w:val="20"/>
              </w:rPr>
              <w:t>▲7、展台按键采用电容式触摸按键，可实现一键启动展台画面、画面放大、画面缩小、画面旋转、拍照截图等功能，同时也支持在展台软件上进行同样的操作。</w:t>
            </w:r>
            <w:r>
              <w:rPr>
                <w:rFonts w:hint="eastAsia" w:ascii="宋体" w:hAnsi="宋体" w:cs="宋体"/>
                <w:kern w:val="0"/>
                <w:sz w:val="20"/>
                <w:szCs w:val="20"/>
              </w:rPr>
              <w:br w:type="textWrapping"/>
            </w:r>
            <w:r>
              <w:rPr>
                <w:rFonts w:hint="eastAsia" w:ascii="宋体" w:hAnsi="宋体" w:cs="宋体"/>
                <w:kern w:val="0"/>
                <w:sz w:val="20"/>
                <w:szCs w:val="20"/>
              </w:rPr>
              <w:t>二、展台软件</w:t>
            </w:r>
            <w:r>
              <w:rPr>
                <w:rFonts w:hint="eastAsia" w:ascii="宋体" w:hAnsi="宋体" w:cs="宋体"/>
                <w:kern w:val="0"/>
                <w:sz w:val="20"/>
                <w:szCs w:val="20"/>
              </w:rPr>
              <w:br w:type="textWrapping"/>
            </w:r>
            <w:r>
              <w:rPr>
                <w:rFonts w:hint="eastAsia" w:ascii="宋体" w:hAnsi="宋体" w:cs="宋体"/>
                <w:kern w:val="0"/>
                <w:sz w:val="20"/>
                <w:szCs w:val="20"/>
              </w:rPr>
              <w:t>▲1、支持对展台实时画面进行放大、缩小、旋转、自适应、冻结画面等操作。</w:t>
            </w:r>
            <w:r>
              <w:rPr>
                <w:rFonts w:hint="eastAsia" w:ascii="宋体" w:hAnsi="宋体" w:cs="宋体"/>
                <w:kern w:val="0"/>
                <w:sz w:val="20"/>
                <w:szCs w:val="20"/>
              </w:rPr>
              <w:br w:type="textWrapping"/>
            </w:r>
            <w:r>
              <w:rPr>
                <w:rFonts w:hint="eastAsia" w:ascii="宋体" w:hAnsi="宋体" w:cs="宋体"/>
                <w:kern w:val="0"/>
                <w:sz w:val="20"/>
                <w:szCs w:val="20"/>
              </w:rPr>
              <w:t>2、支持展台画面实时批注，预设多种笔划粗细及颜色供选择，且支持对展台画面联同批注内容进行同步缩放、移动。</w:t>
            </w:r>
            <w:r>
              <w:rPr>
                <w:rFonts w:hint="eastAsia" w:ascii="宋体" w:hAnsi="宋体" w:cs="宋体"/>
                <w:kern w:val="0"/>
                <w:sz w:val="20"/>
                <w:szCs w:val="20"/>
              </w:rPr>
              <w:br w:type="textWrapping"/>
            </w:r>
            <w:r>
              <w:rPr>
                <w:rFonts w:hint="eastAsia" w:ascii="宋体" w:hAnsi="宋体" w:cs="宋体"/>
                <w:kern w:val="0"/>
                <w:sz w:val="20"/>
                <w:szCs w:val="20"/>
              </w:rPr>
              <w:t>3、支持展台画面拍照截图并进行多图预览，可对任一图片进行全屏显示。</w:t>
            </w:r>
            <w:r>
              <w:rPr>
                <w:rFonts w:hint="eastAsia" w:ascii="宋体" w:hAnsi="宋体" w:cs="宋体"/>
                <w:kern w:val="0"/>
                <w:sz w:val="20"/>
                <w:szCs w:val="20"/>
              </w:rPr>
              <w:br w:type="textWrapping"/>
            </w:r>
            <w:r>
              <w:rPr>
                <w:rFonts w:hint="eastAsia" w:ascii="宋体" w:hAnsi="宋体" w:cs="宋体"/>
                <w:kern w:val="0"/>
                <w:sz w:val="20"/>
                <w:szCs w:val="20"/>
              </w:rPr>
              <w:t>4、老师可在一体机或电脑上选择延时拍照功能，支持5秒或10秒延时模式，预留充足时间以便调整拍摄内容。</w:t>
            </w:r>
            <w:r>
              <w:rPr>
                <w:rFonts w:hint="eastAsia" w:ascii="宋体" w:hAnsi="宋体" w:cs="宋体"/>
                <w:kern w:val="0"/>
                <w:sz w:val="20"/>
                <w:szCs w:val="20"/>
              </w:rPr>
              <w:br w:type="textWrapping"/>
            </w:r>
            <w:r>
              <w:rPr>
                <w:rFonts w:hint="eastAsia" w:ascii="宋体" w:hAnsi="宋体" w:cs="宋体"/>
                <w:kern w:val="0"/>
                <w:sz w:val="20"/>
                <w:szCs w:val="20"/>
              </w:rPr>
              <w:t>5、可选择图像、文本或动态等多种情景模式，适应不同展示内容。</w:t>
            </w:r>
            <w:r>
              <w:rPr>
                <w:rFonts w:hint="eastAsia" w:ascii="宋体" w:hAnsi="宋体" w:cs="宋体"/>
                <w:kern w:val="0"/>
                <w:sz w:val="20"/>
                <w:szCs w:val="20"/>
              </w:rPr>
              <w:br w:type="textWrapping"/>
            </w:r>
            <w:r>
              <w:rPr>
                <w:rFonts w:hint="eastAsia" w:ascii="宋体" w:hAnsi="宋体" w:cs="宋体"/>
                <w:kern w:val="0"/>
                <w:sz w:val="20"/>
                <w:szCs w:val="20"/>
              </w:rPr>
              <w:t>6、支持故障自动检测，在软件无法出现展台拍摄画面时，自动出现检测链接，帮助用户检测“无画面”的原因，并给出引导性解决方案。可判断硬件连接、显卡驱动、摄像头占用、软件版本等问题</w:t>
            </w:r>
            <w:r>
              <w:rPr>
                <w:rFonts w:hint="eastAsia" w:ascii="宋体" w:hAnsi="宋体" w:cs="宋体"/>
                <w:kern w:val="0"/>
                <w:sz w:val="20"/>
                <w:szCs w:val="20"/>
              </w:rPr>
              <w:br w:type="textWrapping"/>
            </w:r>
            <w:r>
              <w:rPr>
                <w:rFonts w:hint="eastAsia" w:ascii="宋体" w:hAnsi="宋体" w:cs="宋体"/>
                <w:kern w:val="0"/>
                <w:sz w:val="20"/>
                <w:szCs w:val="20"/>
              </w:rPr>
              <w:t>7、支持二维码扫码功能：打开扫一扫功能后，将书本上的二维码放入扫描框内即可自动扫描，并进入系统浏览器获取二维码的链接内容，帮助老师快速获取电子教学资源。</w:t>
            </w:r>
          </w:p>
        </w:tc>
        <w:tc>
          <w:tcPr>
            <w:tcW w:w="462" w:type="dxa"/>
            <w:shd w:val="clear" w:color="auto" w:fill="auto"/>
            <w:noWrap/>
            <w:vAlign w:val="center"/>
          </w:tcPr>
          <w:p w14:paraId="47A7D3D1">
            <w:pPr>
              <w:widowControl/>
              <w:jc w:val="center"/>
              <w:rPr>
                <w:rFonts w:ascii="宋体" w:hAnsi="宋体" w:cs="宋体"/>
                <w:kern w:val="0"/>
                <w:sz w:val="20"/>
                <w:szCs w:val="20"/>
              </w:rPr>
            </w:pPr>
            <w:r>
              <w:rPr>
                <w:rFonts w:hint="eastAsia" w:ascii="宋体" w:hAnsi="宋体" w:cs="宋体"/>
                <w:kern w:val="0"/>
                <w:sz w:val="20"/>
                <w:szCs w:val="20"/>
              </w:rPr>
              <w:t>台</w:t>
            </w:r>
          </w:p>
        </w:tc>
        <w:tc>
          <w:tcPr>
            <w:tcW w:w="605" w:type="dxa"/>
            <w:shd w:val="clear" w:color="auto" w:fill="auto"/>
            <w:noWrap/>
            <w:vAlign w:val="center"/>
          </w:tcPr>
          <w:p w14:paraId="0C75E37A">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21A47E0A">
            <w:pPr>
              <w:widowControl/>
              <w:jc w:val="center"/>
              <w:rPr>
                <w:rFonts w:ascii="宋体" w:hAnsi="宋体" w:cs="宋体"/>
                <w:kern w:val="0"/>
                <w:sz w:val="20"/>
                <w:szCs w:val="20"/>
              </w:rPr>
            </w:pPr>
            <w:r>
              <w:rPr>
                <w:rFonts w:hint="eastAsia" w:ascii="宋体" w:hAnsi="宋体" w:cs="宋体"/>
                <w:kern w:val="0"/>
                <w:sz w:val="20"/>
                <w:szCs w:val="20"/>
              </w:rPr>
              <w:t xml:space="preserve">900.00 </w:t>
            </w:r>
          </w:p>
        </w:tc>
        <w:tc>
          <w:tcPr>
            <w:tcW w:w="1489" w:type="dxa"/>
            <w:shd w:val="clear" w:color="auto" w:fill="auto"/>
            <w:noWrap/>
            <w:vAlign w:val="center"/>
          </w:tcPr>
          <w:p w14:paraId="3E83FA62">
            <w:pPr>
              <w:widowControl/>
              <w:jc w:val="center"/>
              <w:rPr>
                <w:rFonts w:ascii="宋体" w:hAnsi="宋体" w:cs="宋体"/>
                <w:kern w:val="0"/>
                <w:sz w:val="20"/>
                <w:szCs w:val="20"/>
              </w:rPr>
            </w:pPr>
            <w:r>
              <w:rPr>
                <w:rFonts w:hint="eastAsia" w:ascii="宋体" w:hAnsi="宋体" w:cs="宋体"/>
                <w:kern w:val="0"/>
                <w:sz w:val="20"/>
                <w:szCs w:val="20"/>
              </w:rPr>
              <w:t xml:space="preserve">900.00 </w:t>
            </w:r>
          </w:p>
        </w:tc>
      </w:tr>
      <w:tr w14:paraId="3744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4EDD801">
            <w:pPr>
              <w:widowControl/>
              <w:jc w:val="center"/>
              <w:textAlignment w:val="center"/>
              <w:rPr>
                <w:rFonts w:ascii="宋体" w:hAnsi="宋体" w:cs="宋体"/>
                <w:color w:val="000000"/>
                <w:sz w:val="22"/>
                <w:szCs w:val="22"/>
              </w:rPr>
            </w:pPr>
            <w:r>
              <w:rPr>
                <w:rFonts w:hint="eastAsia" w:ascii="宋体" w:hAnsi="宋体" w:cs="宋体"/>
                <w:color w:val="000000"/>
                <w:sz w:val="22"/>
                <w:szCs w:val="22"/>
              </w:rPr>
              <w:t>10</w:t>
            </w:r>
          </w:p>
        </w:tc>
        <w:tc>
          <w:tcPr>
            <w:tcW w:w="1072" w:type="dxa"/>
            <w:shd w:val="clear" w:color="auto" w:fill="auto"/>
            <w:vAlign w:val="center"/>
          </w:tcPr>
          <w:p w14:paraId="03844C99">
            <w:pPr>
              <w:widowControl/>
              <w:jc w:val="center"/>
              <w:rPr>
                <w:rFonts w:ascii="宋体" w:hAnsi="宋体" w:cs="宋体"/>
                <w:kern w:val="0"/>
                <w:sz w:val="20"/>
                <w:szCs w:val="20"/>
              </w:rPr>
            </w:pPr>
            <w:r>
              <w:rPr>
                <w:rFonts w:hint="eastAsia" w:ascii="宋体" w:hAnsi="宋体" w:cs="宋体"/>
                <w:kern w:val="0"/>
                <w:sz w:val="20"/>
                <w:szCs w:val="20"/>
              </w:rPr>
              <w:t>推拉黑板</w:t>
            </w:r>
          </w:p>
        </w:tc>
        <w:tc>
          <w:tcPr>
            <w:tcW w:w="4897" w:type="dxa"/>
            <w:shd w:val="clear" w:color="auto" w:fill="auto"/>
            <w:vAlign w:val="center"/>
          </w:tcPr>
          <w:p w14:paraId="057B3FD6">
            <w:pPr>
              <w:widowControl/>
              <w:jc w:val="left"/>
              <w:rPr>
                <w:rFonts w:ascii="宋体" w:hAnsi="宋体" w:cs="宋体"/>
                <w:kern w:val="0"/>
                <w:sz w:val="20"/>
                <w:szCs w:val="20"/>
              </w:rPr>
            </w:pPr>
            <w:r>
              <w:rPr>
                <w:rFonts w:hint="eastAsia" w:ascii="宋体" w:hAnsi="宋体" w:cs="宋体"/>
                <w:kern w:val="0"/>
                <w:sz w:val="20"/>
                <w:szCs w:val="20"/>
              </w:rPr>
              <w:t>1、结构：推拉板由大框及四块同等大小的书写板组装而成，书写板分内外双层结构，内层为两块固定书写板与液晶一体机正面平齐，外层为两块滑动书写板，滑动板配装刻有黑板品牌LOGO标识的挂锁，开闭自如确保液晶一体机的安全管理。（中标人提供图样，经使用人同意后方可实施）</w:t>
            </w:r>
            <w:r>
              <w:rPr>
                <w:rFonts w:hint="eastAsia" w:ascii="宋体" w:hAnsi="宋体" w:cs="宋体"/>
                <w:kern w:val="0"/>
                <w:sz w:val="20"/>
                <w:szCs w:val="20"/>
              </w:rPr>
              <w:br w:type="textWrapping"/>
            </w:r>
            <w:r>
              <w:rPr>
                <w:rFonts w:hint="eastAsia" w:ascii="宋体" w:hAnsi="宋体" w:cs="宋体"/>
                <w:kern w:val="0"/>
                <w:sz w:val="20"/>
                <w:szCs w:val="20"/>
              </w:rPr>
              <w:t>2、基本尺寸：≥4300mm×1300mm，可根据所配电子产品适当调整，确保与电子产品的有效配套。</w:t>
            </w:r>
            <w:r>
              <w:rPr>
                <w:rFonts w:hint="eastAsia" w:ascii="宋体" w:hAnsi="宋体" w:cs="宋体"/>
                <w:kern w:val="0"/>
                <w:sz w:val="20"/>
                <w:szCs w:val="20"/>
              </w:rPr>
              <w:br w:type="textWrapping"/>
            </w:r>
            <w:r>
              <w:rPr>
                <w:rFonts w:hint="eastAsia" w:ascii="宋体" w:hAnsi="宋体" w:cs="宋体"/>
                <w:kern w:val="0"/>
                <w:sz w:val="20"/>
                <w:szCs w:val="20"/>
              </w:rPr>
              <w:t>3、书写板面：采用280℃高温烤漆板面，具体面板颜色根据使用人要求定、亚光，厚度≥0.32mm，漆膜硬度6H，粗糙度Ra1.6-3.2um，光泽度≤6﹪，没有明显眩光，板面表面附有一层透明保护膜，符合GB/T 28231-2011《书写板安全卫生要求》（中标人提供图样，经使用人同意后方可实施）。</w:t>
            </w:r>
            <w:r>
              <w:rPr>
                <w:rFonts w:hint="eastAsia" w:ascii="宋体" w:hAnsi="宋体" w:cs="宋体"/>
                <w:kern w:val="0"/>
                <w:sz w:val="20"/>
                <w:szCs w:val="20"/>
              </w:rPr>
              <w:br w:type="textWrapping"/>
            </w:r>
            <w:r>
              <w:rPr>
                <w:rFonts w:hint="eastAsia" w:ascii="宋体" w:hAnsi="宋体" w:cs="宋体"/>
                <w:kern w:val="0"/>
                <w:sz w:val="20"/>
                <w:szCs w:val="20"/>
              </w:rPr>
              <w:t>4、内芯材料：高强度、吸音、聚苯乙烯泡沫板，采用国际适用工艺，书写无吱咔声，改善书写手感。</w:t>
            </w:r>
            <w:r>
              <w:rPr>
                <w:rFonts w:hint="eastAsia" w:ascii="宋体" w:hAnsi="宋体" w:cs="宋体"/>
                <w:kern w:val="0"/>
                <w:sz w:val="20"/>
                <w:szCs w:val="20"/>
              </w:rPr>
              <w:br w:type="textWrapping"/>
            </w:r>
            <w:r>
              <w:rPr>
                <w:rFonts w:hint="eastAsia" w:ascii="宋体" w:hAnsi="宋体" w:cs="宋体"/>
                <w:kern w:val="0"/>
                <w:sz w:val="20"/>
                <w:szCs w:val="20"/>
              </w:rPr>
              <w:t>5、背板：采用优质防锈热镀锌钢板，厚度≥0.25mm，流水线一次成型，间隔80mm压有20mm凹槽加强筋,确保均布承压不低于635N，凹槽造型美观、增加强度，更加耐用。</w:t>
            </w:r>
            <w:r>
              <w:rPr>
                <w:rFonts w:hint="eastAsia" w:ascii="宋体" w:hAnsi="宋体" w:cs="宋体"/>
                <w:kern w:val="0"/>
                <w:sz w:val="20"/>
                <w:szCs w:val="20"/>
              </w:rPr>
              <w:br w:type="textWrapping"/>
            </w:r>
            <w:r>
              <w:rPr>
                <w:rFonts w:hint="eastAsia" w:ascii="宋体" w:hAnsi="宋体" w:cs="宋体"/>
                <w:kern w:val="0"/>
                <w:sz w:val="20"/>
                <w:szCs w:val="20"/>
              </w:rPr>
              <w:t>6、板面与衬板粘贴：采用环保型双组份聚氨酯胶水1:1配置，使用自动化覆板流水线作业，喷胶、压固、切割下料一次成型，确保粘接牢固板面平整。</w:t>
            </w:r>
            <w:r>
              <w:rPr>
                <w:rFonts w:hint="eastAsia" w:ascii="宋体" w:hAnsi="宋体" w:cs="宋体"/>
                <w:kern w:val="0"/>
                <w:sz w:val="20"/>
                <w:szCs w:val="20"/>
              </w:rPr>
              <w:br w:type="textWrapping"/>
            </w:r>
            <w:r>
              <w:rPr>
                <w:rFonts w:hint="eastAsia" w:ascii="宋体" w:hAnsi="宋体" w:cs="宋体"/>
                <w:kern w:val="0"/>
                <w:sz w:val="20"/>
                <w:szCs w:val="20"/>
              </w:rPr>
              <w:t>7、边框：采用工业用高强度铝合金型材，电泳香槟色，模具挤压一次成型，上框规格57mm×100mm，左右框规格29mm×100mm，横（立）框采用双层加强结构，厚度≥15mm。轨道上置隐藏式平滑轮滑道，结构性解决滑轮受粉尘影响的情况，配有宽度≥30mm的粉尘槽，粉尘槽与滑动系统分离，与边框一次模具成形，防止粉尘垂直落地。</w:t>
            </w:r>
            <w:r>
              <w:rPr>
                <w:rFonts w:hint="eastAsia" w:ascii="宋体" w:hAnsi="宋体" w:cs="宋体"/>
                <w:kern w:val="0"/>
                <w:sz w:val="20"/>
                <w:szCs w:val="20"/>
              </w:rPr>
              <w:br w:type="textWrapping"/>
            </w:r>
            <w:r>
              <w:rPr>
                <w:rFonts w:hint="eastAsia" w:ascii="宋体" w:hAnsi="宋体" w:cs="宋体"/>
                <w:kern w:val="0"/>
                <w:sz w:val="20"/>
                <w:szCs w:val="20"/>
              </w:rPr>
              <w:t>8、包角材料：采用抗老化高强度ABS工程塑料注塑成型。规格：100mm×29mm×29mm◆，采用双壁成腔流线型设计，≥R25mm的圆角，正面带黑板品牌LOGO标识，无尖角毛刺，符合JY0001-2003《教学仪器设备产品一般质量要求》。</w:t>
            </w:r>
            <w:r>
              <w:rPr>
                <w:rFonts w:hint="eastAsia" w:ascii="宋体" w:hAnsi="宋体" w:cs="宋体"/>
                <w:kern w:val="0"/>
                <w:sz w:val="20"/>
                <w:szCs w:val="20"/>
              </w:rPr>
              <w:br w:type="textWrapping"/>
            </w:r>
            <w:r>
              <w:rPr>
                <w:rFonts w:hint="eastAsia" w:ascii="宋体" w:hAnsi="宋体" w:cs="宋体"/>
                <w:kern w:val="0"/>
                <w:sz w:val="20"/>
                <w:szCs w:val="20"/>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r>
              <w:rPr>
                <w:rFonts w:hint="eastAsia" w:ascii="宋体" w:hAnsi="宋体" w:cs="宋体"/>
                <w:kern w:val="0"/>
                <w:sz w:val="20"/>
                <w:szCs w:val="20"/>
              </w:rPr>
              <w:br w:type="textWrapping"/>
            </w:r>
            <w:r>
              <w:rPr>
                <w:rFonts w:hint="eastAsia" w:ascii="宋体" w:hAnsi="宋体" w:cs="宋体"/>
                <w:kern w:val="0"/>
                <w:sz w:val="20"/>
                <w:szCs w:val="20"/>
              </w:rPr>
              <w:t>10、除尘装置：外下框两侧各开一个直径25mm的圆孔，配置100*80mm的抽拉式粉尘盒，粉尘盒可拆卸清洁。</w:t>
            </w:r>
            <w:r>
              <w:rPr>
                <w:rFonts w:hint="eastAsia" w:ascii="宋体" w:hAnsi="宋体" w:cs="宋体"/>
                <w:kern w:val="0"/>
                <w:sz w:val="20"/>
                <w:szCs w:val="20"/>
              </w:rPr>
              <w:br w:type="textWrapping"/>
            </w:r>
            <w:r>
              <w:rPr>
                <w:rFonts w:hint="eastAsia" w:ascii="宋体" w:hAnsi="宋体" w:cs="宋体"/>
                <w:kern w:val="0"/>
                <w:sz w:val="20"/>
                <w:szCs w:val="20"/>
              </w:rPr>
              <w:t>11、限位档：黑板边框内部两侧安装滑动板限位档，防止活动黑板开启时撞击立框。</w:t>
            </w:r>
            <w:r>
              <w:rPr>
                <w:rFonts w:hint="eastAsia" w:ascii="宋体" w:hAnsi="宋体" w:cs="宋体"/>
                <w:kern w:val="0"/>
                <w:sz w:val="20"/>
                <w:szCs w:val="20"/>
              </w:rPr>
              <w:br w:type="textWrapping"/>
            </w:r>
            <w:r>
              <w:rPr>
                <w:rFonts w:hint="eastAsia" w:ascii="宋体" w:hAnsi="宋体" w:cs="宋体"/>
                <w:kern w:val="0"/>
                <w:sz w:val="20"/>
                <w:szCs w:val="20"/>
              </w:rPr>
              <w:t>12、易维护性：一体机上下配同色同质书写板，上下可根据一体机尺寸进行微调，两侧用H型边框与固定板配合，可自由拆装。使一体机不用拆整个黑板即可直接拆装维护，减少麻烦，延长使用寿命。</w:t>
            </w:r>
            <w:r>
              <w:rPr>
                <w:rFonts w:hint="eastAsia" w:ascii="宋体" w:hAnsi="宋体" w:cs="宋体"/>
                <w:kern w:val="0"/>
                <w:sz w:val="20"/>
                <w:szCs w:val="20"/>
              </w:rPr>
              <w:br w:type="textWrapping"/>
            </w:r>
            <w:r>
              <w:rPr>
                <w:rFonts w:hint="eastAsia" w:ascii="宋体" w:hAnsi="宋体" w:cs="宋体"/>
                <w:kern w:val="0"/>
                <w:sz w:val="20"/>
                <w:szCs w:val="20"/>
              </w:rPr>
              <w:t>13、安全性：一把锁实现对滑动黑板的锁定，钥匙通用，方便实用。</w:t>
            </w:r>
            <w:r>
              <w:rPr>
                <w:rFonts w:hint="eastAsia" w:ascii="宋体" w:hAnsi="宋体" w:cs="宋体"/>
                <w:kern w:val="0"/>
                <w:sz w:val="20"/>
                <w:szCs w:val="20"/>
              </w:rPr>
              <w:br w:type="textWrapping"/>
            </w:r>
            <w:r>
              <w:rPr>
                <w:rFonts w:hint="eastAsia" w:ascii="宋体" w:hAnsi="宋体" w:cs="宋体"/>
                <w:kern w:val="0"/>
                <w:sz w:val="20"/>
                <w:szCs w:val="20"/>
              </w:rPr>
              <w:t>14、根据所选黑板，提供书写耗材一套：</w:t>
            </w:r>
            <w:r>
              <w:rPr>
                <w:rFonts w:hint="eastAsia" w:ascii="宋体" w:hAnsi="宋体" w:cs="宋体"/>
                <w:kern w:val="0"/>
                <w:sz w:val="20"/>
                <w:szCs w:val="20"/>
              </w:rPr>
              <w:br w:type="textWrapping"/>
            </w:r>
            <w:r>
              <w:rPr>
                <w:rFonts w:hint="eastAsia" w:ascii="宋体" w:hAnsi="宋体" w:cs="宋体"/>
                <w:kern w:val="0"/>
                <w:sz w:val="20"/>
                <w:szCs w:val="20"/>
              </w:rPr>
              <w:t>（1）不同颜色的水溶性粉笔各一盒，盒装≥20支/盒；专用笔套≥2支；清洗装置≥1套，专用板擦≥1个。</w:t>
            </w:r>
            <w:r>
              <w:rPr>
                <w:rFonts w:hint="eastAsia" w:ascii="宋体" w:hAnsi="宋体" w:cs="宋体"/>
                <w:kern w:val="0"/>
                <w:sz w:val="20"/>
                <w:szCs w:val="20"/>
              </w:rPr>
              <w:br w:type="textWrapping"/>
            </w:r>
            <w:r>
              <w:rPr>
                <w:rFonts w:hint="eastAsia" w:ascii="宋体" w:hAnsi="宋体" w:cs="宋体"/>
                <w:kern w:val="0"/>
                <w:sz w:val="20"/>
                <w:szCs w:val="20"/>
              </w:rPr>
              <w:t>或者</w:t>
            </w:r>
            <w:r>
              <w:rPr>
                <w:rFonts w:hint="eastAsia" w:ascii="宋体" w:hAnsi="宋体" w:cs="宋体"/>
                <w:kern w:val="0"/>
                <w:sz w:val="20"/>
                <w:szCs w:val="20"/>
              </w:rPr>
              <w:br w:type="textWrapping"/>
            </w:r>
            <w:r>
              <w:rPr>
                <w:rFonts w:hint="eastAsia" w:ascii="宋体" w:hAnsi="宋体" w:cs="宋体"/>
                <w:kern w:val="0"/>
                <w:sz w:val="20"/>
                <w:szCs w:val="20"/>
              </w:rPr>
              <w:t>（2）新型成膜墨水笔≥3支（红色蓝色黑色各1支）；环保墨水≥3瓶（红色蓝色黑色各1瓶），墨水容量每瓶100ml；板擦≥1个；黑板专用清洁毛巾 ≥1条。</w:t>
            </w:r>
          </w:p>
        </w:tc>
        <w:tc>
          <w:tcPr>
            <w:tcW w:w="462" w:type="dxa"/>
            <w:shd w:val="clear" w:color="auto" w:fill="auto"/>
            <w:noWrap/>
            <w:vAlign w:val="center"/>
          </w:tcPr>
          <w:p w14:paraId="644C9556">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6909DE9B">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3AADBC65">
            <w:pPr>
              <w:widowControl/>
              <w:jc w:val="center"/>
              <w:rPr>
                <w:rFonts w:ascii="宋体" w:hAnsi="宋体" w:cs="宋体"/>
                <w:kern w:val="0"/>
                <w:sz w:val="20"/>
                <w:szCs w:val="20"/>
              </w:rPr>
            </w:pPr>
            <w:r>
              <w:rPr>
                <w:rFonts w:hint="eastAsia" w:ascii="宋体" w:hAnsi="宋体" w:cs="宋体"/>
                <w:kern w:val="0"/>
                <w:sz w:val="20"/>
                <w:szCs w:val="20"/>
              </w:rPr>
              <w:t xml:space="preserve">1300.00 </w:t>
            </w:r>
          </w:p>
        </w:tc>
        <w:tc>
          <w:tcPr>
            <w:tcW w:w="1489" w:type="dxa"/>
            <w:shd w:val="clear" w:color="auto" w:fill="auto"/>
            <w:noWrap/>
            <w:vAlign w:val="center"/>
          </w:tcPr>
          <w:p w14:paraId="36215199">
            <w:pPr>
              <w:widowControl/>
              <w:jc w:val="center"/>
              <w:rPr>
                <w:rFonts w:ascii="宋体" w:hAnsi="宋体" w:cs="宋体"/>
                <w:kern w:val="0"/>
                <w:sz w:val="20"/>
                <w:szCs w:val="20"/>
              </w:rPr>
            </w:pPr>
            <w:r>
              <w:rPr>
                <w:rFonts w:hint="eastAsia" w:ascii="宋体" w:hAnsi="宋体" w:cs="宋体"/>
                <w:kern w:val="0"/>
                <w:sz w:val="20"/>
                <w:szCs w:val="20"/>
              </w:rPr>
              <w:t xml:space="preserve">1300.00 </w:t>
            </w:r>
          </w:p>
        </w:tc>
      </w:tr>
      <w:tr w14:paraId="0FBD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D42F46D">
            <w:pPr>
              <w:widowControl/>
              <w:jc w:val="center"/>
              <w:textAlignment w:val="center"/>
              <w:rPr>
                <w:rFonts w:ascii="宋体" w:hAnsi="宋体" w:cs="宋体"/>
                <w:color w:val="000000"/>
                <w:sz w:val="22"/>
                <w:szCs w:val="22"/>
              </w:rPr>
            </w:pPr>
            <w:r>
              <w:rPr>
                <w:rFonts w:hint="eastAsia" w:ascii="宋体" w:hAnsi="宋体" w:cs="宋体"/>
                <w:color w:val="000000"/>
                <w:sz w:val="22"/>
                <w:szCs w:val="22"/>
              </w:rPr>
              <w:t>11</w:t>
            </w:r>
          </w:p>
        </w:tc>
        <w:tc>
          <w:tcPr>
            <w:tcW w:w="1072" w:type="dxa"/>
            <w:shd w:val="clear" w:color="auto" w:fill="auto"/>
            <w:vAlign w:val="center"/>
          </w:tcPr>
          <w:p w14:paraId="1CA7CECB">
            <w:pPr>
              <w:widowControl/>
              <w:jc w:val="center"/>
              <w:rPr>
                <w:rFonts w:ascii="宋体" w:hAnsi="宋体" w:cs="宋体"/>
                <w:kern w:val="0"/>
                <w:sz w:val="20"/>
                <w:szCs w:val="20"/>
              </w:rPr>
            </w:pPr>
            <w:r>
              <w:rPr>
                <w:rFonts w:hint="eastAsia" w:ascii="宋体" w:hAnsi="宋体" w:cs="宋体"/>
                <w:kern w:val="0"/>
                <w:sz w:val="20"/>
                <w:szCs w:val="20"/>
              </w:rPr>
              <w:t>音响话筒</w:t>
            </w:r>
          </w:p>
        </w:tc>
        <w:tc>
          <w:tcPr>
            <w:tcW w:w="4897" w:type="dxa"/>
            <w:shd w:val="clear" w:color="auto" w:fill="auto"/>
            <w:vAlign w:val="center"/>
          </w:tcPr>
          <w:p w14:paraId="6CB50960">
            <w:pPr>
              <w:widowControl/>
              <w:jc w:val="left"/>
              <w:rPr>
                <w:rFonts w:ascii="宋体" w:hAnsi="宋体" w:cs="宋体"/>
                <w:kern w:val="0"/>
                <w:sz w:val="20"/>
                <w:szCs w:val="20"/>
              </w:rPr>
            </w:pPr>
            <w:r>
              <w:rPr>
                <w:rFonts w:hint="eastAsia" w:ascii="宋体" w:hAnsi="宋体" w:cs="宋体"/>
                <w:kern w:val="0"/>
                <w:sz w:val="20"/>
                <w:szCs w:val="20"/>
              </w:rPr>
              <w:t>一、音箱</w:t>
            </w:r>
            <w:r>
              <w:rPr>
                <w:rFonts w:hint="eastAsia" w:ascii="宋体" w:hAnsi="宋体" w:cs="宋体"/>
                <w:kern w:val="0"/>
                <w:sz w:val="20"/>
                <w:szCs w:val="20"/>
              </w:rPr>
              <w:br w:type="textWrapping"/>
            </w:r>
            <w:r>
              <w:rPr>
                <w:rFonts w:hint="eastAsia" w:ascii="宋体" w:hAnsi="宋体" w:cs="宋体"/>
                <w:kern w:val="0"/>
                <w:sz w:val="20"/>
                <w:szCs w:val="20"/>
              </w:rPr>
              <w:t>▲1、采用功放与有源音箱一体化设计，内置麦克风无线接收模块。</w:t>
            </w:r>
            <w:r>
              <w:rPr>
                <w:rFonts w:hint="eastAsia" w:ascii="宋体" w:hAnsi="宋体" w:cs="宋体"/>
                <w:kern w:val="0"/>
                <w:sz w:val="20"/>
                <w:szCs w:val="20"/>
              </w:rPr>
              <w:br w:type="textWrapping"/>
            </w:r>
            <w:r>
              <w:rPr>
                <w:rFonts w:hint="eastAsia" w:ascii="宋体" w:hAnsi="宋体" w:cs="宋体"/>
                <w:kern w:val="0"/>
                <w:sz w:val="20"/>
                <w:szCs w:val="20"/>
              </w:rPr>
              <w:t>2、双音箱有线连接，机箱采用塑胶材质，保护设备免受环境影响。</w:t>
            </w:r>
            <w:r>
              <w:rPr>
                <w:rFonts w:hint="eastAsia" w:ascii="宋体" w:hAnsi="宋体" w:cs="宋体"/>
                <w:kern w:val="0"/>
                <w:sz w:val="20"/>
                <w:szCs w:val="20"/>
              </w:rPr>
              <w:br w:type="textWrapping"/>
            </w:r>
            <w:r>
              <w:rPr>
                <w:rFonts w:hint="eastAsia" w:ascii="宋体" w:hAnsi="宋体" w:cs="宋体"/>
                <w:kern w:val="0"/>
                <w:sz w:val="20"/>
                <w:szCs w:val="20"/>
              </w:rPr>
              <w:t>3、输出额定功率: 2*15W，喇叭单元尺寸≥5寸。</w:t>
            </w:r>
            <w:r>
              <w:rPr>
                <w:rFonts w:hint="eastAsia" w:ascii="宋体" w:hAnsi="宋体" w:cs="宋体"/>
                <w:kern w:val="0"/>
                <w:sz w:val="20"/>
                <w:szCs w:val="20"/>
              </w:rPr>
              <w:br w:type="textWrapping"/>
            </w:r>
            <w:r>
              <w:rPr>
                <w:rFonts w:hint="eastAsia" w:ascii="宋体" w:hAnsi="宋体" w:cs="宋体"/>
                <w:kern w:val="0"/>
                <w:sz w:val="20"/>
                <w:szCs w:val="20"/>
              </w:rPr>
              <w:t>4、端口：220V电源接口*1、Line in*1、USB*1。</w:t>
            </w:r>
            <w:r>
              <w:rPr>
                <w:rFonts w:hint="eastAsia" w:ascii="宋体" w:hAnsi="宋体" w:cs="宋体"/>
                <w:kern w:val="0"/>
                <w:sz w:val="20"/>
                <w:szCs w:val="20"/>
              </w:rPr>
              <w:br w:type="textWrapping"/>
            </w:r>
            <w:r>
              <w:rPr>
                <w:rFonts w:hint="eastAsia" w:ascii="宋体" w:hAnsi="宋体" w:cs="宋体"/>
                <w:kern w:val="0"/>
                <w:sz w:val="20"/>
                <w:szCs w:val="20"/>
              </w:rPr>
              <w:t>5、麦克风和功放音箱之间采用数字U段传输技术，有效避免环境中2.4G信号干扰，例如蓝牙及WIFI设备。</w:t>
            </w:r>
            <w:r>
              <w:rPr>
                <w:rFonts w:hint="eastAsia" w:ascii="宋体" w:hAnsi="宋体" w:cs="宋体"/>
                <w:kern w:val="0"/>
                <w:sz w:val="20"/>
                <w:szCs w:val="20"/>
              </w:rPr>
              <w:br w:type="textWrapping"/>
            </w:r>
            <w:r>
              <w:rPr>
                <w:rFonts w:hint="eastAsia" w:ascii="宋体" w:hAnsi="宋体" w:cs="宋体"/>
                <w:kern w:val="0"/>
                <w:sz w:val="20"/>
                <w:szCs w:val="20"/>
              </w:rPr>
              <w:t>6、配置独立音频数字信号处理芯片，支持啸叫抑制功能。</w:t>
            </w:r>
            <w:r>
              <w:rPr>
                <w:rFonts w:hint="eastAsia" w:ascii="宋体" w:hAnsi="宋体" w:cs="宋体"/>
                <w:kern w:val="0"/>
                <w:sz w:val="20"/>
                <w:szCs w:val="20"/>
              </w:rPr>
              <w:br w:type="textWrapping"/>
            </w:r>
            <w:r>
              <w:rPr>
                <w:rFonts w:hint="eastAsia" w:ascii="宋体" w:hAnsi="宋体" w:cs="宋体"/>
                <w:kern w:val="0"/>
                <w:sz w:val="20"/>
                <w:szCs w:val="20"/>
              </w:rPr>
              <w:t>7、支持教师扩声和输入音源叠加输出，可对接录播系统实现教师扩声音频的纯净采集，避免环境杂音干扰采集效果。</w:t>
            </w:r>
            <w:r>
              <w:rPr>
                <w:rFonts w:hint="eastAsia" w:ascii="宋体" w:hAnsi="宋体" w:cs="宋体"/>
                <w:kern w:val="0"/>
                <w:sz w:val="20"/>
                <w:szCs w:val="20"/>
              </w:rPr>
              <w:br w:type="textWrapping"/>
            </w:r>
            <w:r>
              <w:rPr>
                <w:rFonts w:hint="eastAsia" w:ascii="宋体" w:hAnsi="宋体" w:cs="宋体"/>
                <w:kern w:val="0"/>
                <w:sz w:val="20"/>
                <w:szCs w:val="20"/>
              </w:rPr>
              <w:t>二、无线麦克风</w:t>
            </w:r>
            <w:r>
              <w:rPr>
                <w:rFonts w:hint="eastAsia" w:ascii="宋体" w:hAnsi="宋体" w:cs="宋体"/>
                <w:kern w:val="0"/>
                <w:sz w:val="20"/>
                <w:szCs w:val="20"/>
              </w:rPr>
              <w:br w:type="textWrapping"/>
            </w:r>
            <w:r>
              <w:rPr>
                <w:rFonts w:hint="eastAsia" w:ascii="宋体" w:hAnsi="宋体" w:cs="宋体"/>
                <w:kern w:val="0"/>
                <w:sz w:val="20"/>
                <w:szCs w:val="20"/>
              </w:rPr>
              <w:t>▲1、无线麦克风集音频发射处理器、天线、电池、拾音麦克风于一体，配合一体化有源音箱，无需任何外接辅助设备即可实现本地扩声功能。</w:t>
            </w:r>
            <w:r>
              <w:rPr>
                <w:rFonts w:hint="eastAsia" w:ascii="宋体" w:hAnsi="宋体" w:cs="宋体"/>
                <w:kern w:val="0"/>
                <w:sz w:val="20"/>
                <w:szCs w:val="20"/>
              </w:rPr>
              <w:br w:type="textWrapping"/>
            </w:r>
            <w:r>
              <w:rPr>
                <w:rFonts w:hint="eastAsia" w:ascii="宋体" w:hAnsi="宋体" w:cs="宋体"/>
                <w:kern w:val="0"/>
                <w:sz w:val="20"/>
                <w:szCs w:val="20"/>
              </w:rPr>
              <w:t>2、采用U段传输，有效避免环境中2.4G信号干扰，例如蓝牙及WIFI设备。</w:t>
            </w:r>
            <w:r>
              <w:rPr>
                <w:rFonts w:hint="eastAsia" w:ascii="宋体" w:hAnsi="宋体" w:cs="宋体"/>
                <w:kern w:val="0"/>
                <w:sz w:val="20"/>
                <w:szCs w:val="20"/>
              </w:rPr>
              <w:br w:type="textWrapping"/>
            </w:r>
            <w:r>
              <w:rPr>
                <w:rFonts w:hint="eastAsia" w:ascii="宋体" w:hAnsi="宋体" w:cs="宋体"/>
                <w:kern w:val="0"/>
                <w:sz w:val="20"/>
                <w:szCs w:val="20"/>
              </w:rPr>
              <w:t>3、采用红外对码方式连接，避免连接到其他教室音箱。可在2s内快速完成与教学扩声音箱对码，无需繁琐操作。</w:t>
            </w:r>
            <w:r>
              <w:rPr>
                <w:rFonts w:hint="eastAsia" w:ascii="宋体" w:hAnsi="宋体" w:cs="宋体"/>
                <w:kern w:val="0"/>
                <w:sz w:val="20"/>
                <w:szCs w:val="20"/>
              </w:rPr>
              <w:br w:type="textWrapping"/>
            </w:r>
            <w:r>
              <w:rPr>
                <w:rFonts w:hint="eastAsia" w:ascii="宋体" w:hAnsi="宋体" w:cs="宋体"/>
                <w:kern w:val="0"/>
                <w:sz w:val="20"/>
                <w:szCs w:val="20"/>
              </w:rPr>
              <w:t>4、配合USB麦克风接收器连接一体机，具备翻页键功能，可远程操控一体机设备进行课件软件翻页功能。</w:t>
            </w:r>
            <w:r>
              <w:rPr>
                <w:rFonts w:hint="eastAsia" w:ascii="宋体" w:hAnsi="宋体" w:cs="宋体"/>
                <w:kern w:val="0"/>
                <w:sz w:val="20"/>
                <w:szCs w:val="20"/>
              </w:rPr>
              <w:br w:type="textWrapping"/>
            </w:r>
            <w:r>
              <w:rPr>
                <w:rFonts w:hint="eastAsia" w:ascii="宋体" w:hAnsi="宋体" w:cs="宋体"/>
                <w:kern w:val="0"/>
                <w:sz w:val="20"/>
                <w:szCs w:val="20"/>
              </w:rPr>
              <w:t>5、配合USB接收器连接一体机，可通过一体机对老师的声音进行录制。</w:t>
            </w:r>
            <w:r>
              <w:rPr>
                <w:rFonts w:hint="eastAsia" w:ascii="宋体" w:hAnsi="宋体" w:cs="宋体"/>
                <w:kern w:val="0"/>
                <w:sz w:val="20"/>
                <w:szCs w:val="20"/>
              </w:rPr>
              <w:br w:type="textWrapping"/>
            </w:r>
            <w:r>
              <w:rPr>
                <w:rFonts w:hint="eastAsia" w:ascii="宋体" w:hAnsi="宋体" w:cs="宋体"/>
                <w:kern w:val="0"/>
                <w:sz w:val="20"/>
                <w:szCs w:val="20"/>
              </w:rPr>
              <w:t>6、采用触点磁吸式充电方式，充电10分钟，可扩音80分钟。</w:t>
            </w:r>
            <w:r>
              <w:rPr>
                <w:rFonts w:hint="eastAsia" w:ascii="宋体" w:hAnsi="宋体" w:cs="宋体"/>
                <w:kern w:val="0"/>
                <w:sz w:val="20"/>
                <w:szCs w:val="20"/>
              </w:rPr>
              <w:br w:type="textWrapping"/>
            </w:r>
            <w:r>
              <w:rPr>
                <w:rFonts w:hint="eastAsia" w:ascii="宋体" w:hAnsi="宋体" w:cs="宋体"/>
                <w:kern w:val="0"/>
                <w:sz w:val="20"/>
                <w:szCs w:val="20"/>
              </w:rPr>
              <w:t>7、具备磁吸式触点接口，与充电接口复用，保证整机的整洁、平整性，无易损的插入式接口。</w:t>
            </w:r>
            <w:r>
              <w:rPr>
                <w:rFonts w:hint="eastAsia" w:ascii="宋体" w:hAnsi="宋体" w:cs="宋体"/>
                <w:kern w:val="0"/>
                <w:sz w:val="20"/>
                <w:szCs w:val="20"/>
              </w:rPr>
              <w:br w:type="textWrapping"/>
            </w:r>
            <w:r>
              <w:rPr>
                <w:rFonts w:hint="eastAsia" w:ascii="宋体" w:hAnsi="宋体" w:cs="宋体"/>
                <w:kern w:val="0"/>
                <w:sz w:val="20"/>
                <w:szCs w:val="20"/>
              </w:rPr>
              <w:t>8、无遮挡情况下，有效工作距离≥10米，保证全教室覆盖。</w:t>
            </w:r>
          </w:p>
        </w:tc>
        <w:tc>
          <w:tcPr>
            <w:tcW w:w="462" w:type="dxa"/>
            <w:shd w:val="clear" w:color="auto" w:fill="auto"/>
            <w:noWrap/>
            <w:vAlign w:val="center"/>
          </w:tcPr>
          <w:p w14:paraId="78359A96">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3B78704B">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1678B435">
            <w:pPr>
              <w:widowControl/>
              <w:jc w:val="center"/>
              <w:rPr>
                <w:rFonts w:ascii="宋体" w:hAnsi="宋体" w:cs="宋体"/>
                <w:kern w:val="0"/>
                <w:sz w:val="20"/>
                <w:szCs w:val="20"/>
              </w:rPr>
            </w:pPr>
            <w:r>
              <w:rPr>
                <w:rFonts w:hint="eastAsia" w:ascii="宋体" w:hAnsi="宋体" w:cs="宋体"/>
                <w:kern w:val="0"/>
                <w:sz w:val="20"/>
                <w:szCs w:val="20"/>
              </w:rPr>
              <w:t xml:space="preserve">1300.00 </w:t>
            </w:r>
          </w:p>
        </w:tc>
        <w:tc>
          <w:tcPr>
            <w:tcW w:w="1489" w:type="dxa"/>
            <w:shd w:val="clear" w:color="auto" w:fill="auto"/>
            <w:noWrap/>
            <w:vAlign w:val="center"/>
          </w:tcPr>
          <w:p w14:paraId="2FA60941">
            <w:pPr>
              <w:widowControl/>
              <w:jc w:val="center"/>
              <w:rPr>
                <w:rFonts w:ascii="宋体" w:hAnsi="宋体" w:cs="宋体"/>
                <w:kern w:val="0"/>
                <w:sz w:val="20"/>
                <w:szCs w:val="20"/>
              </w:rPr>
            </w:pPr>
            <w:r>
              <w:rPr>
                <w:rFonts w:hint="eastAsia" w:ascii="宋体" w:hAnsi="宋体" w:cs="宋体"/>
                <w:kern w:val="0"/>
                <w:sz w:val="20"/>
                <w:szCs w:val="20"/>
              </w:rPr>
              <w:t xml:space="preserve">1300.00 </w:t>
            </w:r>
          </w:p>
        </w:tc>
      </w:tr>
      <w:tr w14:paraId="3915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155BF0">
            <w:pPr>
              <w:widowControl/>
              <w:jc w:val="center"/>
              <w:textAlignment w:val="center"/>
              <w:rPr>
                <w:rFonts w:ascii="宋体" w:hAnsi="宋体" w:cs="宋体"/>
                <w:color w:val="000000"/>
                <w:sz w:val="22"/>
                <w:szCs w:val="22"/>
              </w:rPr>
            </w:pPr>
            <w:r>
              <w:rPr>
                <w:rFonts w:hint="eastAsia" w:ascii="宋体" w:hAnsi="宋体" w:cs="宋体"/>
                <w:color w:val="000000"/>
                <w:sz w:val="22"/>
                <w:szCs w:val="22"/>
              </w:rPr>
              <w:t>12</w:t>
            </w:r>
          </w:p>
        </w:tc>
        <w:tc>
          <w:tcPr>
            <w:tcW w:w="1072" w:type="dxa"/>
            <w:shd w:val="clear" w:color="auto" w:fill="auto"/>
            <w:vAlign w:val="center"/>
          </w:tcPr>
          <w:p w14:paraId="0874B0AD">
            <w:pPr>
              <w:widowControl/>
              <w:jc w:val="center"/>
              <w:rPr>
                <w:rFonts w:ascii="宋体" w:hAnsi="宋体" w:cs="宋体"/>
                <w:kern w:val="0"/>
                <w:sz w:val="20"/>
                <w:szCs w:val="20"/>
              </w:rPr>
            </w:pPr>
            <w:r>
              <w:rPr>
                <w:rFonts w:hint="eastAsia" w:ascii="宋体" w:hAnsi="宋体" w:cs="宋体"/>
                <w:kern w:val="0"/>
                <w:sz w:val="20"/>
                <w:szCs w:val="20"/>
              </w:rPr>
              <w:t>教辅设备</w:t>
            </w:r>
          </w:p>
        </w:tc>
        <w:tc>
          <w:tcPr>
            <w:tcW w:w="4897" w:type="dxa"/>
            <w:shd w:val="clear" w:color="auto" w:fill="auto"/>
            <w:vAlign w:val="center"/>
          </w:tcPr>
          <w:p w14:paraId="7FAA8FF3">
            <w:pPr>
              <w:widowControl/>
              <w:jc w:val="left"/>
              <w:rPr>
                <w:rFonts w:ascii="宋体" w:hAnsi="宋体" w:cs="宋体"/>
                <w:kern w:val="0"/>
                <w:sz w:val="20"/>
                <w:szCs w:val="20"/>
              </w:rPr>
            </w:pPr>
            <w:r>
              <w:rPr>
                <w:rFonts w:hint="eastAsia" w:ascii="宋体" w:hAnsi="宋体" w:cs="宋体"/>
                <w:kern w:val="0"/>
                <w:sz w:val="20"/>
                <w:szCs w:val="20"/>
              </w:rPr>
              <w:t>1、电子教鞭×2支：</w:t>
            </w:r>
            <w:r>
              <w:rPr>
                <w:rFonts w:hint="eastAsia" w:ascii="宋体" w:hAnsi="宋体" w:cs="宋体"/>
                <w:kern w:val="0"/>
                <w:sz w:val="20"/>
                <w:szCs w:val="20"/>
              </w:rPr>
              <w:br w:type="textWrapping"/>
            </w:r>
            <w:r>
              <w:rPr>
                <w:rFonts w:hint="eastAsia" w:ascii="宋体" w:hAnsi="宋体" w:cs="宋体"/>
                <w:kern w:val="0"/>
                <w:sz w:val="20"/>
                <w:szCs w:val="20"/>
              </w:rPr>
              <w:t>▲（1）采用笔型设计，具有三个遥控按键（上下翻页和功能键），既可用于触摸书写，也可用于远程操控。</w:t>
            </w:r>
            <w:r>
              <w:rPr>
                <w:rFonts w:hint="eastAsia" w:ascii="宋体" w:hAnsi="宋体" w:cs="宋体"/>
                <w:kern w:val="0"/>
                <w:sz w:val="20"/>
                <w:szCs w:val="20"/>
              </w:rPr>
              <w:br w:type="textWrapping"/>
            </w:r>
            <w:r>
              <w:rPr>
                <w:rFonts w:hint="eastAsia" w:ascii="宋体" w:hAnsi="宋体" w:cs="宋体"/>
                <w:kern w:val="0"/>
                <w:sz w:val="20"/>
                <w:szCs w:val="20"/>
              </w:rPr>
              <w:t>（2）采用2.4G无线连接技术，无线接收距离最大可达15米。</w:t>
            </w:r>
            <w:r>
              <w:rPr>
                <w:rFonts w:hint="eastAsia" w:ascii="宋体" w:hAnsi="宋体" w:cs="宋体"/>
                <w:kern w:val="0"/>
                <w:sz w:val="20"/>
                <w:szCs w:val="20"/>
              </w:rPr>
              <w:br w:type="textWrapping"/>
            </w:r>
            <w:r>
              <w:rPr>
                <w:rFonts w:hint="eastAsia" w:ascii="宋体" w:hAnsi="宋体" w:cs="宋体"/>
                <w:kern w:val="0"/>
                <w:sz w:val="20"/>
                <w:szCs w:val="20"/>
              </w:rPr>
              <w:t>（3）无线接收器采用微型nano设计，并能收纳在笔上。</w:t>
            </w:r>
            <w:r>
              <w:rPr>
                <w:rFonts w:hint="eastAsia" w:ascii="宋体" w:hAnsi="宋体" w:cs="宋体"/>
                <w:kern w:val="0"/>
                <w:sz w:val="20"/>
                <w:szCs w:val="20"/>
              </w:rPr>
              <w:br w:type="textWrapping"/>
            </w:r>
            <w:r>
              <w:rPr>
                <w:rFonts w:hint="eastAsia" w:ascii="宋体" w:hAnsi="宋体" w:cs="宋体"/>
                <w:kern w:val="0"/>
                <w:sz w:val="20"/>
                <w:szCs w:val="20"/>
              </w:rPr>
              <w:t>（4）使用单节7号电池驱动，并带自动休眠节电设计。</w:t>
            </w:r>
            <w:r>
              <w:rPr>
                <w:rFonts w:hint="eastAsia" w:ascii="宋体" w:hAnsi="宋体" w:cs="宋体"/>
                <w:kern w:val="0"/>
                <w:sz w:val="20"/>
                <w:szCs w:val="20"/>
              </w:rPr>
              <w:br w:type="textWrapping"/>
            </w:r>
            <w:r>
              <w:rPr>
                <w:rFonts w:hint="eastAsia" w:ascii="宋体" w:hAnsi="宋体" w:cs="宋体"/>
                <w:kern w:val="0"/>
                <w:sz w:val="20"/>
                <w:szCs w:val="20"/>
              </w:rPr>
              <w:t>▲（5）单接收器设计，android、windows双系统同时响应。只需安装一个接收器，双系统都能响应智能笔的操作指令。</w:t>
            </w:r>
            <w:r>
              <w:rPr>
                <w:rFonts w:hint="eastAsia" w:ascii="宋体" w:hAnsi="宋体" w:cs="宋体"/>
                <w:kern w:val="0"/>
                <w:sz w:val="20"/>
                <w:szCs w:val="20"/>
              </w:rPr>
              <w:br w:type="textWrapping"/>
            </w:r>
            <w:r>
              <w:rPr>
                <w:rFonts w:hint="eastAsia" w:ascii="宋体" w:hAnsi="宋体" w:cs="宋体"/>
                <w:kern w:val="0"/>
                <w:sz w:val="20"/>
                <w:szCs w:val="20"/>
              </w:rPr>
              <w:t>（6）支持白板课件、PPT、PDF等多种格式的课件进行远程无线翻页。</w:t>
            </w:r>
            <w:r>
              <w:rPr>
                <w:rFonts w:hint="eastAsia" w:ascii="宋体" w:hAnsi="宋体" w:cs="宋体"/>
                <w:kern w:val="0"/>
                <w:sz w:val="20"/>
                <w:szCs w:val="20"/>
              </w:rPr>
              <w:br w:type="textWrapping"/>
            </w:r>
            <w:r>
              <w:rPr>
                <w:rFonts w:hint="eastAsia" w:ascii="宋体" w:hAnsi="宋体" w:cs="宋体"/>
                <w:kern w:val="0"/>
                <w:sz w:val="20"/>
                <w:szCs w:val="20"/>
              </w:rPr>
              <w:t>▲（7）功能按键可通过长按/短按实现两种快捷功能，方便教师操作。</w:t>
            </w:r>
            <w:r>
              <w:rPr>
                <w:rFonts w:hint="eastAsia" w:ascii="宋体" w:hAnsi="宋体" w:cs="宋体"/>
                <w:kern w:val="0"/>
                <w:sz w:val="20"/>
                <w:szCs w:val="20"/>
              </w:rPr>
              <w:br w:type="textWrapping"/>
            </w:r>
            <w:r>
              <w:rPr>
                <w:rFonts w:hint="eastAsia" w:ascii="宋体" w:hAnsi="宋体" w:cs="宋体"/>
                <w:kern w:val="0"/>
                <w:sz w:val="20"/>
                <w:szCs w:val="20"/>
              </w:rPr>
              <w:t>▲（8）支持自定义按键功能，可选功能包括：一键启动任意通道批注、一键启动/退出PPT播放、一键启动PPT批注、一键启动任意通道冻结与放大屏幕内容。</w:t>
            </w:r>
            <w:r>
              <w:rPr>
                <w:rFonts w:hint="eastAsia" w:ascii="宋体" w:hAnsi="宋体" w:cs="宋体"/>
                <w:kern w:val="0"/>
                <w:sz w:val="20"/>
                <w:szCs w:val="20"/>
              </w:rPr>
              <w:br w:type="textWrapping"/>
            </w:r>
            <w:r>
              <w:rPr>
                <w:rFonts w:hint="eastAsia" w:ascii="宋体" w:hAnsi="宋体" w:cs="宋体"/>
                <w:kern w:val="0"/>
                <w:sz w:val="20"/>
                <w:szCs w:val="20"/>
              </w:rPr>
              <w:t>▲2、小蜜蜂便携式扩音器×5个；</w:t>
            </w:r>
            <w:r>
              <w:rPr>
                <w:rFonts w:hint="eastAsia" w:ascii="宋体" w:hAnsi="宋体" w:cs="宋体"/>
                <w:kern w:val="0"/>
                <w:sz w:val="20"/>
                <w:szCs w:val="20"/>
              </w:rPr>
              <w:br w:type="textWrapping"/>
            </w:r>
            <w:r>
              <w:rPr>
                <w:rFonts w:hint="eastAsia" w:ascii="宋体" w:hAnsi="宋体" w:cs="宋体"/>
                <w:kern w:val="0"/>
                <w:sz w:val="20"/>
                <w:szCs w:val="20"/>
              </w:rPr>
              <w:t>3、双音圈喇叭（66mm/2欧姆）+双通道功放；</w:t>
            </w:r>
            <w:r>
              <w:rPr>
                <w:rFonts w:hint="eastAsia" w:ascii="宋体" w:hAnsi="宋体" w:cs="宋体"/>
                <w:kern w:val="0"/>
                <w:sz w:val="20"/>
                <w:szCs w:val="20"/>
              </w:rPr>
              <w:br w:type="textWrapping"/>
            </w:r>
            <w:r>
              <w:rPr>
                <w:rFonts w:hint="eastAsia" w:ascii="宋体" w:hAnsi="宋体" w:cs="宋体"/>
                <w:kern w:val="0"/>
                <w:sz w:val="20"/>
                <w:szCs w:val="20"/>
              </w:rPr>
              <w:t>▲4、3.7V/1500mAH锂离子电池，micro USB A充电口；</w:t>
            </w:r>
            <w:r>
              <w:rPr>
                <w:rFonts w:hint="eastAsia" w:ascii="宋体" w:hAnsi="宋体" w:cs="宋体"/>
                <w:kern w:val="0"/>
                <w:sz w:val="20"/>
                <w:szCs w:val="20"/>
              </w:rPr>
              <w:br w:type="textWrapping"/>
            </w:r>
            <w:r>
              <w:rPr>
                <w:rFonts w:hint="eastAsia" w:ascii="宋体" w:hAnsi="宋体" w:cs="宋体"/>
                <w:kern w:val="0"/>
                <w:sz w:val="20"/>
                <w:szCs w:val="20"/>
              </w:rPr>
              <w:t>5、AUX音频输入，MIC有线麦输入接口；</w:t>
            </w:r>
            <w:r>
              <w:rPr>
                <w:rFonts w:hint="eastAsia" w:ascii="宋体" w:hAnsi="宋体" w:cs="宋体"/>
                <w:kern w:val="0"/>
                <w:sz w:val="20"/>
                <w:szCs w:val="20"/>
              </w:rPr>
              <w:br w:type="textWrapping"/>
            </w:r>
            <w:r>
              <w:rPr>
                <w:rFonts w:hint="eastAsia" w:ascii="宋体" w:hAnsi="宋体" w:cs="宋体"/>
                <w:kern w:val="0"/>
                <w:sz w:val="20"/>
                <w:szCs w:val="20"/>
              </w:rPr>
              <w:t>6、有线麦克风头戴式，3.5MM插头线长约1米；</w:t>
            </w:r>
            <w:r>
              <w:rPr>
                <w:rFonts w:hint="eastAsia" w:ascii="宋体" w:hAnsi="宋体" w:cs="宋体"/>
                <w:kern w:val="0"/>
                <w:sz w:val="20"/>
                <w:szCs w:val="20"/>
              </w:rPr>
              <w:br w:type="textWrapping"/>
            </w:r>
            <w:r>
              <w:rPr>
                <w:rFonts w:hint="eastAsia" w:ascii="宋体" w:hAnsi="宋体" w:cs="宋体"/>
                <w:kern w:val="0"/>
                <w:sz w:val="20"/>
                <w:szCs w:val="20"/>
              </w:rPr>
              <w:t>7、信噪比≥50dB。</w:t>
            </w:r>
          </w:p>
        </w:tc>
        <w:tc>
          <w:tcPr>
            <w:tcW w:w="462" w:type="dxa"/>
            <w:shd w:val="clear" w:color="auto" w:fill="auto"/>
            <w:noWrap/>
            <w:vAlign w:val="center"/>
          </w:tcPr>
          <w:p w14:paraId="4D614977">
            <w:pPr>
              <w:widowControl/>
              <w:jc w:val="center"/>
              <w:rPr>
                <w:rFonts w:ascii="宋体" w:hAnsi="宋体" w:cs="宋体"/>
                <w:kern w:val="0"/>
                <w:sz w:val="20"/>
                <w:szCs w:val="20"/>
              </w:rPr>
            </w:pPr>
            <w:r>
              <w:rPr>
                <w:rFonts w:hint="eastAsia" w:ascii="宋体" w:hAnsi="宋体" w:cs="宋体"/>
                <w:kern w:val="0"/>
                <w:sz w:val="20"/>
                <w:szCs w:val="20"/>
              </w:rPr>
              <w:t>批</w:t>
            </w:r>
          </w:p>
        </w:tc>
        <w:tc>
          <w:tcPr>
            <w:tcW w:w="605" w:type="dxa"/>
            <w:shd w:val="clear" w:color="auto" w:fill="auto"/>
            <w:noWrap/>
            <w:vAlign w:val="center"/>
          </w:tcPr>
          <w:p w14:paraId="284C3006">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0DDB2F33">
            <w:pPr>
              <w:widowControl/>
              <w:jc w:val="center"/>
              <w:rPr>
                <w:rFonts w:ascii="宋体" w:hAnsi="宋体" w:cs="宋体"/>
                <w:kern w:val="0"/>
                <w:sz w:val="20"/>
                <w:szCs w:val="20"/>
              </w:rPr>
            </w:pPr>
            <w:r>
              <w:rPr>
                <w:rFonts w:hint="eastAsia" w:ascii="宋体" w:hAnsi="宋体" w:cs="宋体"/>
                <w:kern w:val="0"/>
                <w:sz w:val="20"/>
                <w:szCs w:val="20"/>
              </w:rPr>
              <w:t xml:space="preserve">300.00 </w:t>
            </w:r>
          </w:p>
        </w:tc>
        <w:tc>
          <w:tcPr>
            <w:tcW w:w="1489" w:type="dxa"/>
            <w:shd w:val="clear" w:color="auto" w:fill="auto"/>
            <w:noWrap/>
            <w:vAlign w:val="center"/>
          </w:tcPr>
          <w:p w14:paraId="2CAE62EA">
            <w:pPr>
              <w:widowControl/>
              <w:jc w:val="center"/>
              <w:rPr>
                <w:rFonts w:ascii="宋体" w:hAnsi="宋体" w:cs="宋体"/>
                <w:kern w:val="0"/>
                <w:sz w:val="20"/>
                <w:szCs w:val="20"/>
              </w:rPr>
            </w:pPr>
            <w:r>
              <w:rPr>
                <w:rFonts w:hint="eastAsia" w:ascii="宋体" w:hAnsi="宋体" w:cs="宋体"/>
                <w:kern w:val="0"/>
                <w:sz w:val="20"/>
                <w:szCs w:val="20"/>
              </w:rPr>
              <w:t xml:space="preserve">300.00 </w:t>
            </w:r>
          </w:p>
        </w:tc>
      </w:tr>
      <w:tr w14:paraId="077A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4D0A179">
            <w:pPr>
              <w:widowControl/>
              <w:jc w:val="center"/>
              <w:textAlignment w:val="center"/>
              <w:rPr>
                <w:rFonts w:ascii="宋体" w:hAnsi="宋体" w:cs="宋体"/>
                <w:color w:val="000000"/>
                <w:sz w:val="22"/>
                <w:szCs w:val="22"/>
              </w:rPr>
            </w:pPr>
            <w:r>
              <w:rPr>
                <w:rFonts w:hint="eastAsia" w:ascii="宋体" w:hAnsi="宋体" w:cs="宋体"/>
                <w:color w:val="000000"/>
                <w:sz w:val="22"/>
                <w:szCs w:val="22"/>
              </w:rPr>
              <w:t>13</w:t>
            </w:r>
          </w:p>
        </w:tc>
        <w:tc>
          <w:tcPr>
            <w:tcW w:w="1072" w:type="dxa"/>
            <w:shd w:val="clear" w:color="auto" w:fill="auto"/>
            <w:vAlign w:val="center"/>
          </w:tcPr>
          <w:p w14:paraId="52CF44B8">
            <w:pPr>
              <w:widowControl/>
              <w:jc w:val="center"/>
              <w:rPr>
                <w:rFonts w:ascii="宋体" w:hAnsi="宋体" w:cs="宋体"/>
                <w:kern w:val="0"/>
                <w:sz w:val="20"/>
                <w:szCs w:val="20"/>
              </w:rPr>
            </w:pPr>
            <w:r>
              <w:rPr>
                <w:rFonts w:hint="eastAsia" w:ascii="宋体" w:hAnsi="宋体" w:cs="宋体"/>
                <w:kern w:val="0"/>
                <w:sz w:val="20"/>
                <w:szCs w:val="20"/>
              </w:rPr>
              <w:t>户外拓展训练器材</w:t>
            </w:r>
          </w:p>
        </w:tc>
        <w:tc>
          <w:tcPr>
            <w:tcW w:w="4897" w:type="dxa"/>
            <w:shd w:val="clear" w:color="auto" w:fill="auto"/>
            <w:vAlign w:val="center"/>
          </w:tcPr>
          <w:p w14:paraId="748C35A9">
            <w:pPr>
              <w:widowControl/>
              <w:jc w:val="left"/>
              <w:rPr>
                <w:rFonts w:ascii="宋体" w:hAnsi="宋体" w:cs="宋体"/>
                <w:kern w:val="0"/>
                <w:sz w:val="20"/>
                <w:szCs w:val="20"/>
              </w:rPr>
            </w:pPr>
            <w:r>
              <w:rPr>
                <w:rFonts w:hint="eastAsia" w:ascii="宋体" w:hAnsi="宋体" w:cs="宋体"/>
                <w:kern w:val="0"/>
                <w:sz w:val="20"/>
                <w:szCs w:val="20"/>
              </w:rPr>
              <w:t>户外拓展训练箱1个，尺寸：870*420*180mm；拉杆箱带轮，方便携带。适用于户外团体活动使用，产品包括活动道具、说明书、包装袋等。</w:t>
            </w:r>
            <w:r>
              <w:rPr>
                <w:rFonts w:hint="eastAsia" w:ascii="宋体" w:hAnsi="宋体" w:cs="宋体"/>
                <w:kern w:val="0"/>
                <w:sz w:val="20"/>
                <w:szCs w:val="20"/>
              </w:rPr>
              <w:br w:type="textWrapping"/>
            </w:r>
            <w:r>
              <w:rPr>
                <w:rFonts w:hint="eastAsia" w:ascii="宋体" w:hAnsi="宋体" w:cs="宋体"/>
                <w:kern w:val="0"/>
                <w:sz w:val="20"/>
                <w:szCs w:val="20"/>
              </w:rPr>
              <w:t>游戏包括：管理七巧板、急速60秒、穿越雷阵、击鼓颠球、摸石过河、盲人方阵、神笔马良、不倒森林、珠行万里、两人三足等。</w:t>
            </w:r>
            <w:r>
              <w:rPr>
                <w:rFonts w:hint="eastAsia" w:ascii="宋体" w:hAnsi="宋体" w:cs="宋体"/>
                <w:kern w:val="0"/>
                <w:sz w:val="20"/>
                <w:szCs w:val="20"/>
              </w:rPr>
              <w:br w:type="textWrapping"/>
            </w:r>
            <w:r>
              <w:rPr>
                <w:rFonts w:hint="eastAsia" w:ascii="宋体" w:hAnsi="宋体" w:cs="宋体"/>
                <w:kern w:val="0"/>
                <w:sz w:val="20"/>
                <w:szCs w:val="20"/>
              </w:rPr>
              <w:t xml:space="preserve">1、管理七巧板：开发智力和想象力，可拼成多种图案。                                                                                                 </w:t>
            </w:r>
            <w:r>
              <w:rPr>
                <w:rFonts w:hint="eastAsia" w:ascii="宋体" w:hAnsi="宋体" w:cs="宋体"/>
                <w:kern w:val="0"/>
                <w:sz w:val="20"/>
                <w:szCs w:val="20"/>
              </w:rPr>
              <w:br w:type="textWrapping"/>
            </w:r>
            <w:r>
              <w:rPr>
                <w:rFonts w:hint="eastAsia" w:ascii="宋体" w:hAnsi="宋体" w:cs="宋体"/>
                <w:kern w:val="0"/>
                <w:sz w:val="20"/>
                <w:szCs w:val="20"/>
              </w:rPr>
              <w:t xml:space="preserve">2、急速60秒：在一个圈内放置了30张未知的数字信息卡片，要求在60秒的时间内把1－30的数字信息卡片按照依次全部的要求交给培训师。 培训目标：a/体验高速度的配合，体验团队成功的喜悦；b、团队内合理分工、有效计划、强执行力。                                                                                                           </w:t>
            </w:r>
            <w:r>
              <w:rPr>
                <w:rFonts w:hint="eastAsia" w:ascii="宋体" w:hAnsi="宋体" w:cs="宋体"/>
                <w:kern w:val="0"/>
                <w:sz w:val="20"/>
                <w:szCs w:val="20"/>
              </w:rPr>
              <w:br w:type="textWrapping"/>
            </w:r>
            <w:r>
              <w:rPr>
                <w:rFonts w:hint="eastAsia" w:ascii="宋体" w:hAnsi="宋体" w:cs="宋体"/>
                <w:kern w:val="0"/>
                <w:sz w:val="20"/>
                <w:szCs w:val="20"/>
              </w:rPr>
              <w:t xml:space="preserve">3、穿越雷阵：有利于团体之前的沟通，以及增强逻辑思维能力。                                                                                                     </w:t>
            </w:r>
            <w:r>
              <w:rPr>
                <w:rFonts w:hint="eastAsia" w:ascii="宋体" w:hAnsi="宋体" w:cs="宋体"/>
                <w:kern w:val="0"/>
                <w:sz w:val="20"/>
                <w:szCs w:val="20"/>
              </w:rPr>
              <w:br w:type="textWrapping"/>
            </w:r>
            <w:r>
              <w:rPr>
                <w:rFonts w:hint="eastAsia" w:ascii="宋体" w:hAnsi="宋体" w:cs="宋体"/>
                <w:kern w:val="0"/>
                <w:sz w:val="20"/>
                <w:szCs w:val="20"/>
              </w:rPr>
              <w:t xml:space="preserve">4、击鼓颠球：充分激发团体的运动激情，挖掘潜力。                                                                                                                  </w:t>
            </w:r>
            <w:r>
              <w:rPr>
                <w:rFonts w:hint="eastAsia" w:ascii="宋体" w:hAnsi="宋体" w:cs="宋体"/>
                <w:kern w:val="0"/>
                <w:sz w:val="20"/>
                <w:szCs w:val="20"/>
              </w:rPr>
              <w:br w:type="textWrapping"/>
            </w:r>
            <w:r>
              <w:rPr>
                <w:rFonts w:hint="eastAsia" w:ascii="宋体" w:hAnsi="宋体" w:cs="宋体"/>
                <w:kern w:val="0"/>
                <w:sz w:val="20"/>
                <w:szCs w:val="20"/>
              </w:rPr>
              <w:t xml:space="preserve">5、摸石过河： a、向前放置砖头的距离不能大于手臂长度，一般和手臂长度相等即可，这样容易放和拿； b、三块砖头要放着在一条直线上，或者接近一条直线； c、每次向前跨不同的脚，不要在砖头上换脚，身体的朝向必须是一左一右，这样速度快。                                                                                              </w:t>
            </w:r>
            <w:r>
              <w:rPr>
                <w:rFonts w:hint="eastAsia" w:ascii="宋体" w:hAnsi="宋体" w:cs="宋体"/>
                <w:kern w:val="0"/>
                <w:sz w:val="20"/>
                <w:szCs w:val="20"/>
              </w:rPr>
              <w:br w:type="textWrapping"/>
            </w:r>
            <w:r>
              <w:rPr>
                <w:rFonts w:hint="eastAsia" w:ascii="宋体" w:hAnsi="宋体" w:cs="宋体"/>
                <w:kern w:val="0"/>
                <w:sz w:val="20"/>
                <w:szCs w:val="20"/>
              </w:rPr>
              <w:t xml:space="preserve">6、盲人方阵：增强团队合作精神。                                                                                                                            </w:t>
            </w:r>
            <w:r>
              <w:rPr>
                <w:rFonts w:hint="eastAsia" w:ascii="宋体" w:hAnsi="宋体" w:cs="宋体"/>
                <w:kern w:val="0"/>
                <w:sz w:val="20"/>
                <w:szCs w:val="20"/>
              </w:rPr>
              <w:br w:type="textWrapping"/>
            </w:r>
            <w:r>
              <w:rPr>
                <w:rFonts w:hint="eastAsia" w:ascii="宋体" w:hAnsi="宋体" w:cs="宋体"/>
                <w:kern w:val="0"/>
                <w:sz w:val="20"/>
                <w:szCs w:val="20"/>
              </w:rPr>
              <w:t xml:space="preserve">7、神笔马良：考验团体合作能力以及卸料能力。                                                                                                                       </w:t>
            </w:r>
            <w:r>
              <w:rPr>
                <w:rFonts w:hint="eastAsia" w:ascii="宋体" w:hAnsi="宋体" w:cs="宋体"/>
                <w:kern w:val="0"/>
                <w:sz w:val="20"/>
                <w:szCs w:val="20"/>
              </w:rPr>
              <w:br w:type="textWrapping"/>
            </w:r>
            <w:r>
              <w:rPr>
                <w:rFonts w:hint="eastAsia" w:ascii="宋体" w:hAnsi="宋体" w:cs="宋体"/>
                <w:kern w:val="0"/>
                <w:sz w:val="20"/>
                <w:szCs w:val="20"/>
              </w:rPr>
              <w:t xml:space="preserve">8、不倒森林：需团队协作一起完成任务，考验团体能力与协作。                                                                                                           </w:t>
            </w:r>
            <w:r>
              <w:rPr>
                <w:rFonts w:hint="eastAsia" w:ascii="宋体" w:hAnsi="宋体" w:cs="宋体"/>
                <w:kern w:val="0"/>
                <w:sz w:val="20"/>
                <w:szCs w:val="20"/>
              </w:rPr>
              <w:br w:type="textWrapping"/>
            </w:r>
            <w:r>
              <w:rPr>
                <w:rFonts w:hint="eastAsia" w:ascii="宋体" w:hAnsi="宋体" w:cs="宋体"/>
                <w:kern w:val="0"/>
                <w:sz w:val="20"/>
                <w:szCs w:val="20"/>
              </w:rPr>
              <w:t xml:space="preserve">9、珠行万里：考验团体协作能力与平衡能力。                                                                                                                     </w:t>
            </w:r>
            <w:r>
              <w:rPr>
                <w:rFonts w:hint="eastAsia" w:ascii="宋体" w:hAnsi="宋体" w:cs="宋体"/>
                <w:kern w:val="0"/>
                <w:sz w:val="20"/>
                <w:szCs w:val="20"/>
              </w:rPr>
              <w:br w:type="textWrapping"/>
            </w:r>
            <w:r>
              <w:rPr>
                <w:rFonts w:hint="eastAsia" w:ascii="宋体" w:hAnsi="宋体" w:cs="宋体"/>
                <w:kern w:val="0"/>
                <w:sz w:val="20"/>
                <w:szCs w:val="20"/>
              </w:rPr>
              <w:t>10、两人三足：考验团体合作能力。</w:t>
            </w:r>
          </w:p>
        </w:tc>
        <w:tc>
          <w:tcPr>
            <w:tcW w:w="462" w:type="dxa"/>
            <w:shd w:val="clear" w:color="auto" w:fill="auto"/>
            <w:noWrap/>
            <w:vAlign w:val="center"/>
          </w:tcPr>
          <w:p w14:paraId="41F38709">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36903AD0">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562D0F88">
            <w:pPr>
              <w:widowControl/>
              <w:jc w:val="center"/>
              <w:rPr>
                <w:rFonts w:ascii="宋体" w:hAnsi="宋体" w:cs="宋体"/>
                <w:kern w:val="0"/>
                <w:sz w:val="20"/>
                <w:szCs w:val="20"/>
              </w:rPr>
            </w:pPr>
            <w:r>
              <w:rPr>
                <w:rFonts w:hint="eastAsia" w:ascii="宋体" w:hAnsi="宋体" w:cs="宋体"/>
                <w:kern w:val="0"/>
                <w:sz w:val="20"/>
                <w:szCs w:val="20"/>
              </w:rPr>
              <w:t xml:space="preserve">9800.00 </w:t>
            </w:r>
          </w:p>
        </w:tc>
        <w:tc>
          <w:tcPr>
            <w:tcW w:w="1489" w:type="dxa"/>
            <w:shd w:val="clear" w:color="auto" w:fill="auto"/>
            <w:noWrap/>
            <w:vAlign w:val="center"/>
          </w:tcPr>
          <w:p w14:paraId="19B9C9AC">
            <w:pPr>
              <w:widowControl/>
              <w:jc w:val="center"/>
              <w:rPr>
                <w:rFonts w:ascii="宋体" w:hAnsi="宋体" w:cs="宋体"/>
                <w:kern w:val="0"/>
                <w:sz w:val="20"/>
                <w:szCs w:val="20"/>
              </w:rPr>
            </w:pPr>
            <w:r>
              <w:rPr>
                <w:rFonts w:hint="eastAsia" w:ascii="宋体" w:hAnsi="宋体" w:cs="宋体"/>
                <w:kern w:val="0"/>
                <w:sz w:val="20"/>
                <w:szCs w:val="20"/>
              </w:rPr>
              <w:t xml:space="preserve">9800.00 </w:t>
            </w:r>
          </w:p>
        </w:tc>
      </w:tr>
      <w:tr w14:paraId="1213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EF4353">
            <w:pPr>
              <w:widowControl/>
              <w:jc w:val="center"/>
              <w:textAlignment w:val="center"/>
              <w:rPr>
                <w:rFonts w:ascii="宋体" w:hAnsi="宋体" w:cs="宋体"/>
                <w:color w:val="000000"/>
                <w:sz w:val="22"/>
                <w:szCs w:val="22"/>
              </w:rPr>
            </w:pPr>
            <w:r>
              <w:rPr>
                <w:rFonts w:hint="eastAsia" w:ascii="宋体" w:hAnsi="宋体" w:cs="宋体"/>
                <w:color w:val="000000"/>
                <w:sz w:val="22"/>
                <w:szCs w:val="22"/>
              </w:rPr>
              <w:t>14</w:t>
            </w:r>
          </w:p>
        </w:tc>
        <w:tc>
          <w:tcPr>
            <w:tcW w:w="1072" w:type="dxa"/>
            <w:shd w:val="clear" w:color="auto" w:fill="auto"/>
            <w:vAlign w:val="center"/>
          </w:tcPr>
          <w:p w14:paraId="2FF6850B">
            <w:pPr>
              <w:widowControl/>
              <w:jc w:val="center"/>
              <w:rPr>
                <w:rFonts w:ascii="宋体" w:hAnsi="宋体" w:cs="宋体"/>
                <w:kern w:val="0"/>
                <w:sz w:val="20"/>
                <w:szCs w:val="20"/>
              </w:rPr>
            </w:pPr>
            <w:r>
              <w:rPr>
                <w:rFonts w:hint="eastAsia" w:ascii="宋体" w:hAnsi="宋体" w:cs="宋体"/>
                <w:kern w:val="0"/>
                <w:sz w:val="20"/>
                <w:szCs w:val="20"/>
              </w:rPr>
              <w:t>团体辅导箱</w:t>
            </w:r>
          </w:p>
        </w:tc>
        <w:tc>
          <w:tcPr>
            <w:tcW w:w="4897" w:type="dxa"/>
            <w:shd w:val="clear" w:color="auto" w:fill="auto"/>
            <w:vAlign w:val="center"/>
          </w:tcPr>
          <w:p w14:paraId="1F5AD230">
            <w:pPr>
              <w:widowControl/>
              <w:jc w:val="left"/>
              <w:rPr>
                <w:rFonts w:ascii="宋体" w:hAnsi="宋体" w:cs="宋体"/>
                <w:kern w:val="0"/>
                <w:sz w:val="20"/>
                <w:szCs w:val="20"/>
              </w:rPr>
            </w:pPr>
            <w:r>
              <w:rPr>
                <w:rFonts w:hint="eastAsia" w:ascii="宋体" w:hAnsi="宋体" w:cs="宋体"/>
                <w:kern w:val="0"/>
                <w:sz w:val="20"/>
                <w:szCs w:val="20"/>
              </w:rPr>
              <w:t>1、适用范围：公司、社区、企事业单位、学校、监狱、部队等所有进行团体活动的部门。</w:t>
            </w:r>
          </w:p>
          <w:p w14:paraId="7A3E4816">
            <w:pPr>
              <w:widowControl/>
              <w:jc w:val="left"/>
              <w:rPr>
                <w:rFonts w:ascii="宋体" w:hAnsi="宋体" w:cs="宋体"/>
                <w:kern w:val="0"/>
                <w:sz w:val="20"/>
                <w:szCs w:val="20"/>
              </w:rPr>
            </w:pPr>
            <w:r>
              <w:rPr>
                <w:rFonts w:hint="eastAsia" w:ascii="宋体" w:hAnsi="宋体" w:cs="宋体"/>
                <w:kern w:val="0"/>
                <w:sz w:val="20"/>
                <w:szCs w:val="20"/>
              </w:rPr>
              <w:t>2、活动主题：自我探索，亲情联接，人际互动，团体熔炼，学会学习，潜能开发，领导管理，开拓创新，价值选择，社会责任。每个主题至少包含8项内容。</w:t>
            </w:r>
          </w:p>
          <w:p w14:paraId="42606D3A">
            <w:pPr>
              <w:widowControl/>
              <w:jc w:val="left"/>
              <w:rPr>
                <w:rFonts w:ascii="宋体" w:hAnsi="宋体" w:cs="宋体"/>
                <w:kern w:val="0"/>
                <w:sz w:val="20"/>
                <w:szCs w:val="20"/>
              </w:rPr>
            </w:pPr>
            <w:r>
              <w:rPr>
                <w:rFonts w:hint="eastAsia" w:ascii="宋体" w:hAnsi="宋体" w:cs="宋体"/>
                <w:kern w:val="0"/>
                <w:sz w:val="20"/>
                <w:szCs w:val="20"/>
              </w:rPr>
              <w:t>3、团体辅导箱4个，尺寸：长40~60cm*宽 30~50cm*高 15~25cm；适合多人同时使用。</w:t>
            </w:r>
          </w:p>
        </w:tc>
        <w:tc>
          <w:tcPr>
            <w:tcW w:w="462" w:type="dxa"/>
            <w:shd w:val="clear" w:color="auto" w:fill="auto"/>
            <w:noWrap/>
            <w:vAlign w:val="center"/>
          </w:tcPr>
          <w:p w14:paraId="084B2004">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4517FA0B">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43E04180">
            <w:pPr>
              <w:widowControl/>
              <w:jc w:val="center"/>
              <w:rPr>
                <w:rFonts w:ascii="宋体" w:hAnsi="宋体" w:cs="宋体"/>
                <w:kern w:val="0"/>
                <w:sz w:val="20"/>
                <w:szCs w:val="20"/>
              </w:rPr>
            </w:pPr>
            <w:r>
              <w:rPr>
                <w:rFonts w:hint="eastAsia" w:ascii="宋体" w:hAnsi="宋体" w:cs="宋体"/>
                <w:kern w:val="0"/>
                <w:sz w:val="20"/>
                <w:szCs w:val="20"/>
              </w:rPr>
              <w:t xml:space="preserve">7600.00 </w:t>
            </w:r>
          </w:p>
        </w:tc>
        <w:tc>
          <w:tcPr>
            <w:tcW w:w="1489" w:type="dxa"/>
            <w:shd w:val="clear" w:color="auto" w:fill="auto"/>
            <w:noWrap/>
            <w:vAlign w:val="center"/>
          </w:tcPr>
          <w:p w14:paraId="0D3DAC9C">
            <w:pPr>
              <w:widowControl/>
              <w:jc w:val="center"/>
              <w:rPr>
                <w:rFonts w:ascii="宋体" w:hAnsi="宋体" w:cs="宋体"/>
                <w:kern w:val="0"/>
                <w:sz w:val="20"/>
                <w:szCs w:val="20"/>
              </w:rPr>
            </w:pPr>
            <w:r>
              <w:rPr>
                <w:rFonts w:hint="eastAsia" w:ascii="宋体" w:hAnsi="宋体" w:cs="宋体"/>
                <w:kern w:val="0"/>
                <w:sz w:val="20"/>
                <w:szCs w:val="20"/>
              </w:rPr>
              <w:t xml:space="preserve">7600.00 </w:t>
            </w:r>
          </w:p>
        </w:tc>
      </w:tr>
      <w:tr w14:paraId="50A9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5E3B894">
            <w:pPr>
              <w:widowControl/>
              <w:jc w:val="center"/>
              <w:textAlignment w:val="center"/>
              <w:rPr>
                <w:rFonts w:ascii="宋体" w:hAnsi="宋体" w:cs="宋体"/>
                <w:color w:val="000000"/>
                <w:sz w:val="22"/>
                <w:szCs w:val="22"/>
              </w:rPr>
            </w:pPr>
            <w:r>
              <w:rPr>
                <w:rFonts w:hint="eastAsia" w:ascii="宋体" w:hAnsi="宋体" w:cs="宋体"/>
                <w:color w:val="000000"/>
                <w:sz w:val="22"/>
                <w:szCs w:val="22"/>
              </w:rPr>
              <w:t>15</w:t>
            </w:r>
          </w:p>
        </w:tc>
        <w:tc>
          <w:tcPr>
            <w:tcW w:w="1072" w:type="dxa"/>
            <w:shd w:val="clear" w:color="auto" w:fill="auto"/>
            <w:vAlign w:val="center"/>
          </w:tcPr>
          <w:p w14:paraId="5C2CD1F7">
            <w:pPr>
              <w:widowControl/>
              <w:jc w:val="center"/>
              <w:rPr>
                <w:rFonts w:ascii="宋体" w:hAnsi="宋体" w:cs="宋体"/>
                <w:kern w:val="0"/>
                <w:sz w:val="20"/>
                <w:szCs w:val="20"/>
              </w:rPr>
            </w:pPr>
            <w:r>
              <w:rPr>
                <w:rFonts w:hint="eastAsia" w:ascii="宋体" w:hAnsi="宋体" w:cs="宋体"/>
                <w:kern w:val="0"/>
                <w:sz w:val="20"/>
                <w:szCs w:val="20"/>
              </w:rPr>
              <w:t>系统集成</w:t>
            </w:r>
          </w:p>
        </w:tc>
        <w:tc>
          <w:tcPr>
            <w:tcW w:w="4897" w:type="dxa"/>
            <w:shd w:val="clear" w:color="auto" w:fill="auto"/>
            <w:vAlign w:val="center"/>
          </w:tcPr>
          <w:p w14:paraId="3E7FE685">
            <w:pPr>
              <w:widowControl/>
              <w:jc w:val="left"/>
              <w:rPr>
                <w:rFonts w:ascii="宋体" w:hAnsi="宋体" w:cs="宋体"/>
                <w:kern w:val="0"/>
                <w:sz w:val="20"/>
                <w:szCs w:val="20"/>
              </w:rPr>
            </w:pPr>
            <w:r>
              <w:rPr>
                <w:rFonts w:hint="eastAsia" w:ascii="宋体" w:hAnsi="宋体" w:cs="宋体"/>
                <w:kern w:val="0"/>
                <w:sz w:val="20"/>
                <w:szCs w:val="20"/>
              </w:rPr>
              <w:t>1、安装材料：国产优质HDMI线缆、国产优质铜线电源线（不低于2.5mm）、国产优质音频线、接头、国产优质插座、国产优质六类非屏蔽网线、PVC不燃线槽（管）等线材及相关的周边配件、材料全部包干并安装（包括仪器上架贴签等）、调试、培训直至设备正常使用；</w:t>
            </w:r>
            <w:r>
              <w:rPr>
                <w:rFonts w:hint="eastAsia" w:ascii="宋体" w:hAnsi="宋体" w:cs="宋体"/>
                <w:kern w:val="0"/>
                <w:sz w:val="20"/>
                <w:szCs w:val="20"/>
              </w:rPr>
              <w:br w:type="textWrapping"/>
            </w:r>
            <w:r>
              <w:rPr>
                <w:rFonts w:hint="eastAsia" w:ascii="宋体" w:hAnsi="宋体" w:cs="宋体"/>
                <w:kern w:val="0"/>
                <w:sz w:val="20"/>
                <w:szCs w:val="20"/>
              </w:rPr>
              <w:t>2、安装工艺：安装前要把安装方案的思路、优点、可能存在的问题事先与学校沟通好，形成书面协议，由学校盖章确认后再实施。</w:t>
            </w:r>
            <w:r>
              <w:rPr>
                <w:rFonts w:hint="eastAsia" w:ascii="宋体" w:hAnsi="宋体" w:cs="宋体"/>
                <w:kern w:val="0"/>
                <w:sz w:val="20"/>
                <w:szCs w:val="20"/>
              </w:rPr>
              <w:br w:type="textWrapping"/>
            </w:r>
            <w:r>
              <w:rPr>
                <w:rFonts w:hint="eastAsia" w:ascii="宋体" w:hAnsi="宋体" w:cs="宋体"/>
                <w:kern w:val="0"/>
                <w:sz w:val="20"/>
                <w:szCs w:val="20"/>
              </w:rPr>
              <w:t>3、中标人负责根据学校需要进行专用教室的整体布置、设备货物搬运、安装等，采购人不再附加任何费用。</w:t>
            </w:r>
          </w:p>
        </w:tc>
        <w:tc>
          <w:tcPr>
            <w:tcW w:w="462" w:type="dxa"/>
            <w:shd w:val="clear" w:color="auto" w:fill="auto"/>
            <w:noWrap/>
            <w:vAlign w:val="center"/>
          </w:tcPr>
          <w:p w14:paraId="4BBB4479">
            <w:pPr>
              <w:widowControl/>
              <w:jc w:val="center"/>
              <w:rPr>
                <w:rFonts w:ascii="宋体" w:hAnsi="宋体" w:cs="宋体"/>
                <w:kern w:val="0"/>
                <w:sz w:val="20"/>
                <w:szCs w:val="20"/>
              </w:rPr>
            </w:pPr>
            <w:r>
              <w:rPr>
                <w:rFonts w:hint="eastAsia" w:ascii="宋体" w:hAnsi="宋体" w:cs="宋体"/>
                <w:kern w:val="0"/>
                <w:sz w:val="20"/>
                <w:szCs w:val="20"/>
              </w:rPr>
              <w:t>项</w:t>
            </w:r>
          </w:p>
        </w:tc>
        <w:tc>
          <w:tcPr>
            <w:tcW w:w="605" w:type="dxa"/>
            <w:shd w:val="clear" w:color="auto" w:fill="auto"/>
            <w:noWrap/>
            <w:vAlign w:val="center"/>
          </w:tcPr>
          <w:p w14:paraId="6A3EACB9">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01751C16">
            <w:pPr>
              <w:widowControl/>
              <w:jc w:val="center"/>
              <w:rPr>
                <w:rFonts w:ascii="宋体" w:hAnsi="宋体" w:cs="宋体"/>
                <w:kern w:val="0"/>
                <w:sz w:val="20"/>
                <w:szCs w:val="20"/>
              </w:rPr>
            </w:pPr>
            <w:r>
              <w:rPr>
                <w:rFonts w:hint="eastAsia" w:ascii="宋体" w:hAnsi="宋体" w:cs="宋体"/>
                <w:kern w:val="0"/>
                <w:sz w:val="20"/>
                <w:szCs w:val="20"/>
              </w:rPr>
              <w:t xml:space="preserve">2100.00 </w:t>
            </w:r>
          </w:p>
        </w:tc>
        <w:tc>
          <w:tcPr>
            <w:tcW w:w="1489" w:type="dxa"/>
            <w:shd w:val="clear" w:color="auto" w:fill="auto"/>
            <w:noWrap/>
            <w:vAlign w:val="center"/>
          </w:tcPr>
          <w:p w14:paraId="04C33A88">
            <w:pPr>
              <w:widowControl/>
              <w:jc w:val="center"/>
              <w:rPr>
                <w:rFonts w:ascii="宋体" w:hAnsi="宋体" w:cs="宋体"/>
                <w:kern w:val="0"/>
                <w:sz w:val="20"/>
                <w:szCs w:val="20"/>
              </w:rPr>
            </w:pPr>
            <w:r>
              <w:rPr>
                <w:rFonts w:hint="eastAsia" w:ascii="宋体" w:hAnsi="宋体" w:cs="宋体"/>
                <w:kern w:val="0"/>
                <w:sz w:val="20"/>
                <w:szCs w:val="20"/>
              </w:rPr>
              <w:t xml:space="preserve">2100.00 </w:t>
            </w:r>
          </w:p>
        </w:tc>
      </w:tr>
      <w:tr w14:paraId="747E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226" w:type="dxa"/>
            <w:gridSpan w:val="7"/>
            <w:shd w:val="clear" w:color="auto" w:fill="auto"/>
            <w:noWrap/>
            <w:vAlign w:val="center"/>
          </w:tcPr>
          <w:p w14:paraId="05FA759E">
            <w:pPr>
              <w:widowControl/>
              <w:jc w:val="left"/>
              <w:textAlignment w:val="center"/>
              <w:rPr>
                <w:rFonts w:ascii="宋体" w:hAnsi="宋体" w:cs="宋体"/>
                <w:color w:val="000000"/>
                <w:sz w:val="22"/>
                <w:szCs w:val="22"/>
              </w:rPr>
            </w:pPr>
            <w:r>
              <w:rPr>
                <w:rFonts w:hint="eastAsia" w:ascii="宋体" w:hAnsi="宋体" w:cs="宋体"/>
                <w:b/>
                <w:bCs/>
                <w:kern w:val="0"/>
                <w:sz w:val="22"/>
              </w:rPr>
              <w:t>十一、音乐学科器材补充</w:t>
            </w:r>
          </w:p>
        </w:tc>
      </w:tr>
      <w:tr w14:paraId="406D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1C62A65">
            <w:pPr>
              <w:widowControl/>
              <w:jc w:val="left"/>
              <w:rPr>
                <w:rFonts w:ascii="宋体" w:hAnsi="宋体" w:cs="宋体"/>
                <w:kern w:val="0"/>
                <w:sz w:val="22"/>
              </w:rPr>
            </w:pPr>
            <w:r>
              <w:rPr>
                <w:rFonts w:hint="eastAsia" w:ascii="宋体" w:hAnsi="宋体" w:cs="宋体"/>
                <w:kern w:val="0"/>
                <w:sz w:val="22"/>
              </w:rPr>
              <w:t>1</w:t>
            </w:r>
          </w:p>
        </w:tc>
        <w:tc>
          <w:tcPr>
            <w:tcW w:w="1072" w:type="dxa"/>
            <w:shd w:val="clear" w:color="auto" w:fill="auto"/>
            <w:vAlign w:val="center"/>
          </w:tcPr>
          <w:p w14:paraId="6A552EA5">
            <w:pPr>
              <w:widowControl/>
              <w:jc w:val="left"/>
              <w:rPr>
                <w:rFonts w:ascii="宋体" w:hAnsi="宋体" w:cs="宋体"/>
                <w:kern w:val="0"/>
                <w:sz w:val="22"/>
              </w:rPr>
            </w:pPr>
            <w:r>
              <w:rPr>
                <w:rFonts w:hint="eastAsia" w:ascii="宋体" w:hAnsi="宋体" w:cs="宋体"/>
                <w:kern w:val="0"/>
                <w:sz w:val="22"/>
              </w:rPr>
              <w:t>立式钢琴</w:t>
            </w:r>
          </w:p>
        </w:tc>
        <w:tc>
          <w:tcPr>
            <w:tcW w:w="4897" w:type="dxa"/>
            <w:shd w:val="clear" w:color="auto" w:fill="auto"/>
            <w:vAlign w:val="center"/>
          </w:tcPr>
          <w:p w14:paraId="60EB547E">
            <w:pPr>
              <w:widowControl/>
              <w:jc w:val="left"/>
              <w:rPr>
                <w:rFonts w:ascii="宋体" w:hAnsi="宋体" w:cs="宋体"/>
                <w:kern w:val="0"/>
                <w:sz w:val="22"/>
              </w:rPr>
            </w:pPr>
            <w:r>
              <w:rPr>
                <w:rFonts w:hint="eastAsia" w:ascii="宋体" w:hAnsi="宋体" w:cs="宋体"/>
                <w:kern w:val="0"/>
                <w:sz w:val="22"/>
              </w:rPr>
              <w:t>▲1.气候适应要求：使用地气候适应性处理，用琴要求是南方产地。</w:t>
            </w:r>
            <w:r>
              <w:rPr>
                <w:rFonts w:hint="eastAsia" w:ascii="宋体" w:hAnsi="宋体" w:cs="宋体"/>
                <w:kern w:val="0"/>
                <w:sz w:val="22"/>
              </w:rPr>
              <w:br w:type="textWrapping"/>
            </w:r>
            <w:r>
              <w:rPr>
                <w:rFonts w:hint="eastAsia" w:ascii="宋体" w:hAnsi="宋体" w:cs="宋体"/>
                <w:kern w:val="0"/>
                <w:sz w:val="22"/>
              </w:rPr>
              <w:t>2.要求：立式钢琴，88 键，长*宽*高度：≥152 cm*61cm *131cm。</w:t>
            </w:r>
            <w:r>
              <w:rPr>
                <w:rFonts w:hint="eastAsia" w:ascii="宋体" w:hAnsi="宋体" w:cs="宋体"/>
                <w:kern w:val="0"/>
                <w:sz w:val="22"/>
              </w:rPr>
              <w:br w:type="textWrapping"/>
            </w:r>
            <w:r>
              <w:rPr>
                <w:rFonts w:hint="eastAsia" w:ascii="宋体" w:hAnsi="宋体" w:cs="宋体"/>
                <w:kern w:val="0"/>
                <w:sz w:val="22"/>
              </w:rPr>
              <w:t>3.外观：黑色亮光，镜面涂装，上门板采用喷涂技术，</w:t>
            </w:r>
            <w:r>
              <w:rPr>
                <w:rFonts w:hint="eastAsia" w:ascii="宋体" w:hAnsi="宋体" w:cs="宋体"/>
                <w:kern w:val="0"/>
                <w:sz w:val="22"/>
              </w:rPr>
              <w:br w:type="textWrapping"/>
            </w:r>
            <w:r>
              <w:rPr>
                <w:rFonts w:hint="eastAsia" w:ascii="宋体" w:hAnsi="宋体" w:cs="宋体"/>
                <w:kern w:val="0"/>
                <w:sz w:val="22"/>
              </w:rPr>
              <w:t>4.键盘：云杉实木制作、键体木材部分不能涂油漆，键皮与木材部分无痕粘接。</w:t>
            </w:r>
            <w:r>
              <w:rPr>
                <w:rFonts w:hint="eastAsia" w:ascii="宋体" w:hAnsi="宋体" w:cs="宋体"/>
                <w:kern w:val="0"/>
                <w:sz w:val="22"/>
              </w:rPr>
              <w:br w:type="textWrapping"/>
            </w:r>
            <w:r>
              <w:rPr>
                <w:rFonts w:hint="eastAsia" w:ascii="宋体" w:hAnsi="宋体" w:cs="宋体"/>
                <w:kern w:val="0"/>
                <w:sz w:val="22"/>
              </w:rPr>
              <w:t xml:space="preserve">5.键皮材质：白键面采用丙烯树脂，黑键面采用酚醛。    </w:t>
            </w:r>
            <w:r>
              <w:rPr>
                <w:rFonts w:hint="eastAsia" w:ascii="宋体" w:hAnsi="宋体" w:cs="宋体"/>
                <w:kern w:val="0"/>
                <w:sz w:val="22"/>
              </w:rPr>
              <w:br w:type="textWrapping"/>
            </w:r>
            <w:r>
              <w:rPr>
                <w:rFonts w:hint="eastAsia" w:ascii="宋体" w:hAnsi="宋体" w:cs="宋体"/>
                <w:kern w:val="0"/>
                <w:sz w:val="22"/>
              </w:rPr>
              <w:t>▲6.上门板：带透音孔装置</w:t>
            </w:r>
            <w:r>
              <w:rPr>
                <w:rFonts w:hint="eastAsia" w:ascii="宋体" w:hAnsi="宋体" w:cs="宋体"/>
                <w:kern w:val="0"/>
                <w:sz w:val="22"/>
              </w:rPr>
              <w:br w:type="textWrapping"/>
            </w:r>
            <w:r>
              <w:rPr>
                <w:rFonts w:hint="eastAsia" w:ascii="宋体" w:hAnsi="宋体" w:cs="宋体"/>
                <w:kern w:val="0"/>
                <w:sz w:val="22"/>
              </w:rPr>
              <w:t>▲7.铸铁板：采用原装真空铸膜技术铸铁板，口字型全框架设计。</w:t>
            </w:r>
            <w:r>
              <w:rPr>
                <w:rFonts w:hint="eastAsia" w:ascii="宋体" w:hAnsi="宋体" w:cs="宋体"/>
                <w:kern w:val="0"/>
                <w:sz w:val="22"/>
              </w:rPr>
              <w:br w:type="textWrapping"/>
            </w:r>
            <w:r>
              <w:rPr>
                <w:rFonts w:hint="eastAsia" w:ascii="宋体" w:hAnsi="宋体" w:cs="宋体"/>
                <w:kern w:val="0"/>
                <w:sz w:val="22"/>
              </w:rPr>
              <w:t>▲8.击弦机系统：高精度无偏差专用击锤， 铝合金材质总档，运动部件材质以实木为主，琴码采用硬木材质，增强传音。</w:t>
            </w:r>
            <w:r>
              <w:rPr>
                <w:rFonts w:hint="eastAsia" w:ascii="宋体" w:hAnsi="宋体" w:cs="宋体"/>
                <w:kern w:val="0"/>
                <w:sz w:val="22"/>
              </w:rPr>
              <w:br w:type="textWrapping"/>
            </w:r>
            <w:r>
              <w:rPr>
                <w:rFonts w:hint="eastAsia" w:ascii="宋体" w:hAnsi="宋体" w:cs="宋体"/>
                <w:kern w:val="0"/>
                <w:sz w:val="22"/>
              </w:rPr>
              <w:t>9.弦轴板：使用多层坚硬色木交错拼接而成，使用防潮密封胶粘合。</w:t>
            </w:r>
            <w:r>
              <w:rPr>
                <w:rFonts w:hint="eastAsia" w:ascii="宋体" w:hAnsi="宋体" w:cs="宋体"/>
                <w:kern w:val="0"/>
                <w:sz w:val="22"/>
              </w:rPr>
              <w:br w:type="textWrapping"/>
            </w:r>
            <w:r>
              <w:rPr>
                <w:rFonts w:hint="eastAsia" w:ascii="宋体" w:hAnsi="宋体" w:cs="宋体"/>
                <w:kern w:val="0"/>
                <w:sz w:val="22"/>
              </w:rPr>
              <w:t>▲ 10.音板：云杉实木音板，原装进口加工生产；</w:t>
            </w:r>
            <w:r>
              <w:rPr>
                <w:rFonts w:hint="eastAsia" w:ascii="宋体" w:hAnsi="宋体" w:cs="宋体"/>
                <w:kern w:val="0"/>
                <w:sz w:val="22"/>
              </w:rPr>
              <w:br w:type="textWrapping"/>
            </w:r>
            <w:r>
              <w:rPr>
                <w:rFonts w:hint="eastAsia" w:ascii="宋体" w:hAnsi="宋体" w:cs="宋体"/>
                <w:kern w:val="0"/>
                <w:sz w:val="22"/>
              </w:rPr>
              <w:t>11.码桥及琴弦：码桥纯实木制作，不含合板材料，以粘接方式固定在音板上，正面不可</w:t>
            </w:r>
            <w:r>
              <w:rPr>
                <w:rFonts w:hint="eastAsia" w:ascii="宋体" w:hAnsi="宋体" w:cs="宋体"/>
                <w:kern w:val="0"/>
                <w:sz w:val="22"/>
              </w:rPr>
              <w:br w:type="textWrapping"/>
            </w:r>
            <w:r>
              <w:rPr>
                <w:rFonts w:hint="eastAsia" w:ascii="宋体" w:hAnsi="宋体" w:cs="宋体"/>
                <w:kern w:val="0"/>
                <w:sz w:val="22"/>
              </w:rPr>
              <w:t xml:space="preserve">用螺丝固定，琴弦表面无镀铬涂层。 </w:t>
            </w:r>
            <w:r>
              <w:rPr>
                <w:rFonts w:hint="eastAsia" w:ascii="宋体" w:hAnsi="宋体" w:cs="宋体"/>
                <w:kern w:val="0"/>
                <w:sz w:val="22"/>
              </w:rPr>
              <w:br w:type="textWrapping"/>
            </w:r>
            <w:r>
              <w:rPr>
                <w:rFonts w:hint="eastAsia" w:ascii="宋体" w:hAnsi="宋体" w:cs="宋体"/>
                <w:kern w:val="0"/>
                <w:sz w:val="22"/>
              </w:rPr>
              <w:t xml:space="preserve">▲12.弦槌：采用高级羊毛毡冷压工艺制作；弦槌木芯采用硬枫木；88个弦槌带有售后识别序号的编码，在某个弦槌上标注有所属钢琴品牌LOG标识。 </w:t>
            </w:r>
            <w:r>
              <w:rPr>
                <w:rFonts w:hint="eastAsia" w:ascii="宋体" w:hAnsi="宋体" w:cs="宋体"/>
                <w:kern w:val="0"/>
                <w:sz w:val="22"/>
              </w:rPr>
              <w:br w:type="textWrapping"/>
            </w:r>
            <w:r>
              <w:rPr>
                <w:rFonts w:hint="eastAsia" w:ascii="宋体" w:hAnsi="宋体" w:cs="宋体"/>
                <w:kern w:val="0"/>
                <w:sz w:val="22"/>
              </w:rPr>
              <w:t>13.踏板材料：采用防锈实心金属材料制作；金属踏板连杆方式机械传动。</w:t>
            </w:r>
            <w:r>
              <w:rPr>
                <w:rFonts w:hint="eastAsia" w:ascii="宋体" w:hAnsi="宋体" w:cs="宋体"/>
                <w:kern w:val="0"/>
                <w:sz w:val="22"/>
              </w:rPr>
              <w:br w:type="textWrapping"/>
            </w:r>
            <w:r>
              <w:rPr>
                <w:rFonts w:hint="eastAsia" w:ascii="宋体" w:hAnsi="宋体" w:cs="宋体"/>
                <w:kern w:val="0"/>
                <w:sz w:val="22"/>
              </w:rPr>
              <w:t>14.键盘盖：液压缓降键盘盖，防止损伤手，起到保护钢琴的作用；</w:t>
            </w:r>
            <w:r>
              <w:rPr>
                <w:rFonts w:hint="eastAsia" w:ascii="宋体" w:hAnsi="宋体" w:cs="宋体"/>
                <w:kern w:val="0"/>
                <w:sz w:val="22"/>
              </w:rPr>
              <w:br w:type="textWrapping"/>
            </w:r>
            <w:r>
              <w:rPr>
                <w:rFonts w:hint="eastAsia" w:ascii="宋体" w:hAnsi="宋体" w:cs="宋体"/>
                <w:kern w:val="0"/>
                <w:sz w:val="22"/>
              </w:rPr>
              <w:t>▲15.制造方式：整琴及重要零部件（如铸铁板、击弦机等）由品牌原厂研发并生产；</w:t>
            </w:r>
            <w:r>
              <w:rPr>
                <w:rFonts w:hint="eastAsia" w:ascii="宋体" w:hAnsi="宋体" w:cs="宋体"/>
                <w:kern w:val="0"/>
                <w:sz w:val="22"/>
              </w:rPr>
              <w:br w:type="textWrapping"/>
            </w:r>
            <w:r>
              <w:rPr>
                <w:rFonts w:hint="eastAsia" w:ascii="宋体" w:hAnsi="宋体" w:cs="宋体"/>
                <w:kern w:val="0"/>
                <w:sz w:val="22"/>
              </w:rPr>
              <w:t>▲16.环保有害物质限量：要求无铅环保，甲醛含量≤ 0.03mg/m³、甲苯、二甲苯含量≤0.004mg/m³，总挥发有机化合物≤0.07 mg/m³.</w:t>
            </w:r>
            <w:r>
              <w:rPr>
                <w:rFonts w:hint="eastAsia" w:ascii="宋体" w:hAnsi="宋体" w:cs="宋体"/>
                <w:kern w:val="0"/>
                <w:sz w:val="22"/>
              </w:rPr>
              <w:br w:type="textWrapping"/>
            </w:r>
            <w:r>
              <w:rPr>
                <w:rFonts w:hint="eastAsia" w:ascii="宋体" w:hAnsi="宋体" w:cs="宋体"/>
                <w:kern w:val="0"/>
                <w:sz w:val="22"/>
              </w:rPr>
              <w:t>▲17.售后要求：质保 3 年，免费调律 1 次。为确保优质的售后服务，根据本项目实际情况需要配套 1 名所投品牌钢琴原厂培训认证的钢琴技师为此项目做维修售后保证，响应文件中须提供钢琴技师资格证证书复印件，加盖供应商公章，否则竞标无效。</w:t>
            </w:r>
            <w:r>
              <w:rPr>
                <w:rFonts w:hint="eastAsia" w:ascii="宋体" w:hAnsi="宋体" w:cs="宋体"/>
                <w:kern w:val="0"/>
                <w:sz w:val="22"/>
              </w:rPr>
              <w:br w:type="textWrapping"/>
            </w:r>
            <w:r>
              <w:rPr>
                <w:rFonts w:hint="eastAsia" w:ascii="宋体" w:hAnsi="宋体" w:cs="宋体"/>
                <w:kern w:val="0"/>
                <w:sz w:val="22"/>
              </w:rPr>
              <w:t>▲18.响应文件中必须提供产品的相关彩页（含技术参数），或能证明技术参数的相关文件，并加盖供应商公章。将作为评审时的重要依据。</w:t>
            </w:r>
            <w:r>
              <w:rPr>
                <w:rFonts w:hint="eastAsia" w:ascii="宋体" w:hAnsi="宋体" w:cs="宋体"/>
                <w:kern w:val="0"/>
                <w:sz w:val="22"/>
              </w:rPr>
              <w:br w:type="textWrapping"/>
            </w:r>
            <w:r>
              <w:rPr>
                <w:rFonts w:hint="eastAsia" w:ascii="宋体" w:hAnsi="宋体" w:cs="宋体"/>
                <w:kern w:val="0"/>
                <w:sz w:val="22"/>
              </w:rPr>
              <w:t>▲19.为保证供应商所竞标产品为售后与保障，供货时，成交供应商必须提供成交产品原制造商针对本项目的供货明证书原件以及厂家售后服务承诺书原件（加盖原厂家公章）。</w:t>
            </w:r>
          </w:p>
        </w:tc>
        <w:tc>
          <w:tcPr>
            <w:tcW w:w="462" w:type="dxa"/>
            <w:shd w:val="clear" w:color="auto" w:fill="auto"/>
            <w:noWrap/>
            <w:vAlign w:val="center"/>
          </w:tcPr>
          <w:p w14:paraId="3F155CD6">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31974945">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13E2B981">
            <w:pPr>
              <w:widowControl/>
              <w:jc w:val="left"/>
              <w:rPr>
                <w:rFonts w:ascii="宋体" w:hAnsi="宋体" w:cs="宋体"/>
                <w:kern w:val="0"/>
                <w:sz w:val="22"/>
              </w:rPr>
            </w:pPr>
            <w:r>
              <w:rPr>
                <w:rFonts w:hint="eastAsia" w:ascii="宋体" w:hAnsi="宋体" w:cs="宋体"/>
                <w:kern w:val="0"/>
                <w:sz w:val="22"/>
              </w:rPr>
              <w:t>45000</w:t>
            </w:r>
          </w:p>
        </w:tc>
        <w:tc>
          <w:tcPr>
            <w:tcW w:w="1489" w:type="dxa"/>
            <w:shd w:val="clear" w:color="auto" w:fill="auto"/>
            <w:noWrap/>
            <w:vAlign w:val="center"/>
          </w:tcPr>
          <w:p w14:paraId="7BF350BE">
            <w:pPr>
              <w:widowControl/>
              <w:jc w:val="left"/>
              <w:rPr>
                <w:rFonts w:ascii="宋体" w:hAnsi="宋体" w:cs="宋体"/>
                <w:kern w:val="0"/>
                <w:sz w:val="22"/>
              </w:rPr>
            </w:pPr>
            <w:r>
              <w:rPr>
                <w:rFonts w:hint="eastAsia" w:ascii="宋体" w:hAnsi="宋体" w:cs="宋体"/>
                <w:kern w:val="0"/>
                <w:sz w:val="22"/>
              </w:rPr>
              <w:t>45000</w:t>
            </w:r>
          </w:p>
        </w:tc>
      </w:tr>
      <w:tr w14:paraId="35BB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43F12F0">
            <w:pPr>
              <w:widowControl/>
              <w:jc w:val="left"/>
              <w:rPr>
                <w:rFonts w:ascii="宋体" w:hAnsi="宋体" w:cs="宋体"/>
                <w:kern w:val="0"/>
                <w:sz w:val="22"/>
              </w:rPr>
            </w:pPr>
            <w:r>
              <w:rPr>
                <w:rFonts w:hint="eastAsia" w:ascii="宋体" w:hAnsi="宋体" w:cs="宋体"/>
                <w:kern w:val="0"/>
                <w:sz w:val="22"/>
              </w:rPr>
              <w:t>2</w:t>
            </w:r>
          </w:p>
        </w:tc>
        <w:tc>
          <w:tcPr>
            <w:tcW w:w="1072" w:type="dxa"/>
            <w:shd w:val="clear" w:color="auto" w:fill="auto"/>
            <w:vAlign w:val="center"/>
          </w:tcPr>
          <w:p w14:paraId="42C66AB0">
            <w:pPr>
              <w:widowControl/>
              <w:jc w:val="left"/>
              <w:rPr>
                <w:rFonts w:ascii="宋体" w:hAnsi="宋体" w:cs="宋体"/>
                <w:kern w:val="0"/>
                <w:sz w:val="22"/>
              </w:rPr>
            </w:pPr>
            <w:r>
              <w:rPr>
                <w:rFonts w:hint="eastAsia" w:ascii="宋体" w:hAnsi="宋体" w:cs="宋体"/>
                <w:kern w:val="0"/>
                <w:sz w:val="22"/>
              </w:rPr>
              <w:t>电钢琴</w:t>
            </w:r>
          </w:p>
        </w:tc>
        <w:tc>
          <w:tcPr>
            <w:tcW w:w="4897" w:type="dxa"/>
            <w:shd w:val="clear" w:color="auto" w:fill="auto"/>
            <w:vAlign w:val="center"/>
          </w:tcPr>
          <w:p w14:paraId="50F7B22F">
            <w:pPr>
              <w:widowControl/>
              <w:jc w:val="left"/>
              <w:rPr>
                <w:rFonts w:ascii="宋体" w:hAnsi="宋体" w:cs="宋体"/>
                <w:kern w:val="0"/>
                <w:sz w:val="22"/>
              </w:rPr>
            </w:pPr>
            <w:r>
              <w:rPr>
                <w:rFonts w:hint="eastAsia" w:ascii="宋体" w:hAnsi="宋体" w:cs="宋体"/>
                <w:kern w:val="0"/>
                <w:sz w:val="22"/>
              </w:rPr>
              <w:t>1.键盘 88键 （A-1 – C7）；白键表面仿象牙颜色，磨砂黑键。</w:t>
            </w:r>
            <w:r>
              <w:rPr>
                <w:rFonts w:hint="eastAsia" w:ascii="宋体" w:hAnsi="宋体" w:cs="宋体"/>
                <w:kern w:val="0"/>
                <w:sz w:val="22"/>
              </w:rPr>
              <w:br w:type="textWrapping"/>
            </w:r>
            <w:r>
              <w:rPr>
                <w:rFonts w:hint="eastAsia" w:ascii="宋体" w:hAnsi="宋体" w:cs="宋体"/>
                <w:kern w:val="0"/>
                <w:sz w:val="22"/>
              </w:rPr>
              <w:t>2.力度：灵敏度≥4种（强力/中等/柔和/固定），通过A6、A#6、B6、C7设置力度，控制键盘轻重。</w:t>
            </w:r>
            <w:r>
              <w:rPr>
                <w:rFonts w:hint="eastAsia" w:ascii="宋体" w:hAnsi="宋体" w:cs="宋体"/>
                <w:kern w:val="0"/>
                <w:sz w:val="22"/>
              </w:rPr>
              <w:br w:type="textWrapping"/>
            </w:r>
            <w:r>
              <w:rPr>
                <w:rFonts w:hint="eastAsia" w:ascii="宋体" w:hAnsi="宋体" w:cs="宋体"/>
                <w:kern w:val="0"/>
                <w:sz w:val="22"/>
              </w:rPr>
              <w:t xml:space="preserve">▲3.音源:要求为不低于纯正的大三角钢琴声音引擎采样，音色≥24种内置音色，复音数≥192种；伴奏≥20种 </w:t>
            </w:r>
            <w:r>
              <w:rPr>
                <w:rFonts w:hint="eastAsia" w:ascii="宋体" w:hAnsi="宋体" w:cs="宋体"/>
                <w:kern w:val="0"/>
                <w:sz w:val="22"/>
              </w:rPr>
              <w:br w:type="textWrapping"/>
            </w:r>
            <w:r>
              <w:rPr>
                <w:rFonts w:hint="eastAsia" w:ascii="宋体" w:hAnsi="宋体" w:cs="宋体"/>
                <w:kern w:val="0"/>
                <w:sz w:val="22"/>
              </w:rPr>
              <w:t>▲4.功能：必须具备电子钢琴控制器功能（智能设备应用程序—数码钢琴控制器能通过iPhone/iPad/iPod touch上运行的专门开发的电子钢琴控制器应用程序，能远程控制电子钢琴。此应用程序能在屏幕上显示各种参数，直观的可视化方式进行设置和教学）。</w:t>
            </w:r>
            <w:r>
              <w:rPr>
                <w:rFonts w:hint="eastAsia" w:ascii="宋体" w:hAnsi="宋体" w:cs="宋体"/>
                <w:kern w:val="0"/>
                <w:sz w:val="22"/>
              </w:rPr>
              <w:br w:type="textWrapping"/>
            </w:r>
            <w:r>
              <w:rPr>
                <w:rFonts w:hint="eastAsia" w:ascii="宋体" w:hAnsi="宋体" w:cs="宋体"/>
                <w:kern w:val="0"/>
                <w:sz w:val="22"/>
              </w:rPr>
              <w:t>5.效果/功能：≥4种混响类型，具有制音踏板共鸣、声音增强功能。</w:t>
            </w:r>
            <w:r>
              <w:rPr>
                <w:rFonts w:hint="eastAsia" w:ascii="宋体" w:hAnsi="宋体" w:cs="宋体"/>
                <w:kern w:val="0"/>
                <w:sz w:val="22"/>
              </w:rPr>
              <w:br w:type="textWrapping"/>
            </w:r>
            <w:r>
              <w:rPr>
                <w:rFonts w:hint="eastAsia" w:ascii="宋体" w:hAnsi="宋体" w:cs="宋体"/>
                <w:kern w:val="0"/>
                <w:sz w:val="22"/>
              </w:rPr>
              <w:t>6.其他功能;不少于双音色、分割、双人演奏、Intelligent Acoustic Control（IAC，智能声学控制）功能；自动关机功能。</w:t>
            </w:r>
            <w:r>
              <w:rPr>
                <w:rFonts w:hint="eastAsia" w:ascii="宋体" w:hAnsi="宋体" w:cs="宋体"/>
                <w:kern w:val="0"/>
                <w:sz w:val="22"/>
              </w:rPr>
              <w:br w:type="textWrapping"/>
            </w:r>
            <w:r>
              <w:rPr>
                <w:rFonts w:hint="eastAsia" w:ascii="宋体" w:hAnsi="宋体" w:cs="宋体"/>
                <w:kern w:val="0"/>
                <w:sz w:val="22"/>
              </w:rPr>
              <w:t>7.内置乐曲：≥71首（21首音色示范乐曲 + 50首预设世界钢琴名曲（有详细的曲目）。</w:t>
            </w:r>
            <w:r>
              <w:rPr>
                <w:rFonts w:hint="eastAsia" w:ascii="宋体" w:hAnsi="宋体" w:cs="宋体"/>
                <w:kern w:val="0"/>
                <w:sz w:val="22"/>
              </w:rPr>
              <w:br w:type="textWrapping"/>
            </w:r>
            <w:r>
              <w:rPr>
                <w:rFonts w:hint="eastAsia" w:ascii="宋体" w:hAnsi="宋体" w:cs="宋体"/>
                <w:kern w:val="0"/>
                <w:sz w:val="22"/>
              </w:rPr>
              <w:t>8.乐曲录音：1个用户乐曲2个音轨。</w:t>
            </w:r>
            <w:r>
              <w:rPr>
                <w:rFonts w:hint="eastAsia" w:ascii="宋体" w:hAnsi="宋体" w:cs="宋体"/>
                <w:kern w:val="0"/>
                <w:sz w:val="22"/>
              </w:rPr>
              <w:br w:type="textWrapping"/>
            </w:r>
            <w:r>
              <w:rPr>
                <w:rFonts w:hint="eastAsia" w:ascii="宋体" w:hAnsi="宋体" w:cs="宋体"/>
                <w:kern w:val="0"/>
                <w:sz w:val="22"/>
              </w:rPr>
              <w:t>▲9.音频蓝牙功能：有。</w:t>
            </w:r>
            <w:r>
              <w:rPr>
                <w:rFonts w:hint="eastAsia" w:ascii="宋体" w:hAnsi="宋体" w:cs="宋体"/>
                <w:kern w:val="0"/>
                <w:sz w:val="22"/>
              </w:rPr>
              <w:br w:type="textWrapping"/>
            </w:r>
            <w:r>
              <w:rPr>
                <w:rFonts w:hint="eastAsia" w:ascii="宋体" w:hAnsi="宋体" w:cs="宋体"/>
                <w:kern w:val="0"/>
                <w:sz w:val="22"/>
              </w:rPr>
              <w:t>▲10.节拍器功能：</w:t>
            </w:r>
            <w:r>
              <w:rPr>
                <w:rFonts w:hint="eastAsia" w:ascii="宋体" w:hAnsi="宋体" w:cs="宋体"/>
                <w:kern w:val="0"/>
                <w:sz w:val="22"/>
              </w:rPr>
              <w:br w:type="textWrapping"/>
            </w:r>
            <w:r>
              <w:rPr>
                <w:rFonts w:hint="eastAsia" w:ascii="宋体" w:hAnsi="宋体" w:cs="宋体"/>
                <w:kern w:val="0"/>
                <w:sz w:val="22"/>
              </w:rPr>
              <w:t>（1）≥10种节奏。</w:t>
            </w:r>
            <w:r>
              <w:rPr>
                <w:rFonts w:hint="eastAsia" w:ascii="宋体" w:hAnsi="宋体" w:cs="宋体"/>
                <w:kern w:val="0"/>
                <w:sz w:val="22"/>
              </w:rPr>
              <w:br w:type="textWrapping"/>
            </w:r>
            <w:r>
              <w:rPr>
                <w:rFonts w:hint="eastAsia" w:ascii="宋体" w:hAnsi="宋体" w:cs="宋体"/>
                <w:kern w:val="0"/>
                <w:sz w:val="22"/>
              </w:rPr>
              <w:t>（2）速度调节≥5–280。</w:t>
            </w:r>
            <w:r>
              <w:rPr>
                <w:rFonts w:hint="eastAsia" w:ascii="宋体" w:hAnsi="宋体" w:cs="宋体"/>
                <w:kern w:val="0"/>
                <w:sz w:val="22"/>
              </w:rPr>
              <w:br w:type="textWrapping"/>
            </w:r>
            <w:r>
              <w:rPr>
                <w:rFonts w:hint="eastAsia" w:ascii="宋体" w:hAnsi="宋体" w:cs="宋体"/>
                <w:kern w:val="0"/>
                <w:sz w:val="22"/>
              </w:rPr>
              <w:t>11.连接接口≥以下接口： DC IN (12V)、PHONES *2</w:t>
            </w:r>
            <w:r>
              <w:rPr>
                <w:rFonts w:hint="eastAsia" w:ascii="宋体" w:hAnsi="宋体" w:cs="宋体"/>
                <w:kern w:val="0"/>
                <w:sz w:val="22"/>
              </w:rPr>
              <w:br w:type="textWrapping"/>
            </w:r>
            <w:r>
              <w:rPr>
                <w:rFonts w:hint="eastAsia" w:ascii="宋体" w:hAnsi="宋体" w:cs="宋体"/>
                <w:kern w:val="0"/>
                <w:sz w:val="22"/>
              </w:rPr>
              <w:t>12.不少于三个踏板；原装木架。</w:t>
            </w:r>
            <w:r>
              <w:rPr>
                <w:rFonts w:hint="eastAsia" w:ascii="宋体" w:hAnsi="宋体" w:cs="宋体"/>
                <w:kern w:val="0"/>
                <w:sz w:val="22"/>
              </w:rPr>
              <w:br w:type="textWrapping"/>
            </w:r>
            <w:r>
              <w:rPr>
                <w:rFonts w:hint="eastAsia" w:ascii="宋体" w:hAnsi="宋体" w:cs="宋体"/>
                <w:kern w:val="0"/>
                <w:sz w:val="22"/>
              </w:rPr>
              <w:t>▲13.投标人于投标文件中必须提供所投产品产品彩页(含技术参数)或说明书(加盖投标人公章)</w:t>
            </w:r>
          </w:p>
        </w:tc>
        <w:tc>
          <w:tcPr>
            <w:tcW w:w="462" w:type="dxa"/>
            <w:shd w:val="clear" w:color="auto" w:fill="auto"/>
            <w:noWrap/>
            <w:vAlign w:val="center"/>
          </w:tcPr>
          <w:p w14:paraId="497BA385">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273CF51E">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68944488">
            <w:pPr>
              <w:widowControl/>
              <w:jc w:val="left"/>
              <w:rPr>
                <w:rFonts w:ascii="宋体" w:hAnsi="宋体" w:cs="宋体"/>
                <w:kern w:val="0"/>
                <w:sz w:val="22"/>
              </w:rPr>
            </w:pPr>
            <w:r>
              <w:rPr>
                <w:rFonts w:hint="eastAsia" w:ascii="宋体" w:hAnsi="宋体" w:cs="宋体"/>
                <w:kern w:val="0"/>
                <w:sz w:val="22"/>
              </w:rPr>
              <w:t>5000</w:t>
            </w:r>
          </w:p>
        </w:tc>
        <w:tc>
          <w:tcPr>
            <w:tcW w:w="1489" w:type="dxa"/>
            <w:shd w:val="clear" w:color="auto" w:fill="auto"/>
            <w:noWrap/>
            <w:vAlign w:val="center"/>
          </w:tcPr>
          <w:p w14:paraId="1B15FDEF">
            <w:pPr>
              <w:widowControl/>
              <w:jc w:val="left"/>
              <w:rPr>
                <w:rFonts w:ascii="宋体" w:hAnsi="宋体" w:cs="宋体"/>
                <w:kern w:val="0"/>
                <w:sz w:val="22"/>
              </w:rPr>
            </w:pPr>
            <w:r>
              <w:rPr>
                <w:rFonts w:hint="eastAsia" w:ascii="宋体" w:hAnsi="宋体" w:cs="宋体"/>
                <w:kern w:val="0"/>
                <w:sz w:val="22"/>
              </w:rPr>
              <w:t>5000</w:t>
            </w:r>
          </w:p>
        </w:tc>
      </w:tr>
      <w:tr w14:paraId="2BDE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0226" w:type="dxa"/>
            <w:gridSpan w:val="7"/>
            <w:shd w:val="clear" w:color="auto" w:fill="auto"/>
            <w:noWrap/>
            <w:vAlign w:val="center"/>
          </w:tcPr>
          <w:p w14:paraId="7498FAE8">
            <w:pPr>
              <w:widowControl/>
              <w:jc w:val="left"/>
              <w:textAlignment w:val="center"/>
              <w:rPr>
                <w:rFonts w:ascii="宋体" w:hAnsi="宋体" w:cs="宋体"/>
                <w:color w:val="000000"/>
                <w:sz w:val="22"/>
                <w:szCs w:val="22"/>
              </w:rPr>
            </w:pPr>
            <w:r>
              <w:rPr>
                <w:rFonts w:hint="eastAsia" w:ascii="宋体" w:hAnsi="宋体" w:cs="宋体"/>
                <w:b/>
                <w:bCs/>
                <w:kern w:val="0"/>
                <w:sz w:val="22"/>
              </w:rPr>
              <w:t>十二、厨房餐厅设备</w:t>
            </w:r>
          </w:p>
        </w:tc>
      </w:tr>
      <w:tr w14:paraId="38EB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03DE75">
            <w:pPr>
              <w:widowControl/>
              <w:jc w:val="center"/>
              <w:rPr>
                <w:rFonts w:ascii="宋体" w:hAnsi="宋体" w:cs="宋体"/>
                <w:kern w:val="0"/>
                <w:sz w:val="22"/>
              </w:rPr>
            </w:pPr>
            <w:r>
              <w:rPr>
                <w:rFonts w:hint="eastAsia" w:ascii="宋体" w:hAnsi="宋体" w:cs="宋体"/>
                <w:kern w:val="0"/>
                <w:sz w:val="22"/>
              </w:rPr>
              <w:t>1</w:t>
            </w:r>
          </w:p>
        </w:tc>
        <w:tc>
          <w:tcPr>
            <w:tcW w:w="1072" w:type="dxa"/>
            <w:shd w:val="clear" w:color="auto" w:fill="auto"/>
            <w:vAlign w:val="center"/>
          </w:tcPr>
          <w:p w14:paraId="1679EFFE">
            <w:pPr>
              <w:widowControl/>
              <w:jc w:val="center"/>
              <w:rPr>
                <w:rFonts w:ascii="宋体" w:hAnsi="宋体" w:cs="宋体"/>
                <w:kern w:val="0"/>
                <w:sz w:val="22"/>
              </w:rPr>
            </w:pPr>
            <w:r>
              <w:rPr>
                <w:rFonts w:hint="eastAsia" w:ascii="宋体" w:hAnsi="宋体" w:cs="宋体"/>
                <w:kern w:val="0"/>
                <w:sz w:val="22"/>
              </w:rPr>
              <w:t>切片刀</w:t>
            </w:r>
          </w:p>
        </w:tc>
        <w:tc>
          <w:tcPr>
            <w:tcW w:w="4897" w:type="dxa"/>
            <w:shd w:val="clear" w:color="auto" w:fill="auto"/>
            <w:vAlign w:val="bottom"/>
          </w:tcPr>
          <w:p w14:paraId="5EF8B3AC">
            <w:pPr>
              <w:widowControl/>
              <w:jc w:val="left"/>
              <w:rPr>
                <w:rFonts w:ascii="宋体" w:hAnsi="宋体" w:cs="宋体"/>
                <w:kern w:val="0"/>
                <w:sz w:val="20"/>
                <w:szCs w:val="20"/>
              </w:rPr>
            </w:pPr>
            <w:r>
              <w:rPr>
                <w:rFonts w:hint="eastAsia" w:ascii="宋体" w:hAnsi="宋体" w:cs="宋体"/>
                <w:kern w:val="0"/>
                <w:sz w:val="20"/>
                <w:szCs w:val="20"/>
              </w:rPr>
              <w:t>1.功能：切菜，切片。</w:t>
            </w:r>
            <w:r>
              <w:rPr>
                <w:rFonts w:hint="eastAsia" w:ascii="宋体" w:hAnsi="宋体" w:cs="宋体"/>
                <w:kern w:val="0"/>
                <w:sz w:val="20"/>
                <w:szCs w:val="20"/>
              </w:rPr>
              <w:br w:type="textWrapping"/>
            </w:r>
            <w:r>
              <w:rPr>
                <w:rFonts w:hint="eastAsia" w:ascii="宋体" w:hAnsi="宋体" w:cs="宋体"/>
                <w:kern w:val="0"/>
                <w:sz w:val="20"/>
                <w:szCs w:val="20"/>
              </w:rPr>
              <w:t>2.工艺：抛光，防腐蚀，手柄加固，手柄防滑，防锈。</w:t>
            </w:r>
            <w:r>
              <w:rPr>
                <w:rFonts w:hint="eastAsia" w:ascii="宋体" w:hAnsi="宋体" w:cs="宋体"/>
                <w:kern w:val="0"/>
                <w:sz w:val="20"/>
                <w:szCs w:val="20"/>
              </w:rPr>
              <w:br w:type="textWrapping"/>
            </w:r>
            <w:r>
              <w:rPr>
                <w:rFonts w:hint="eastAsia" w:ascii="宋体" w:hAnsi="宋体" w:cs="宋体"/>
                <w:kern w:val="0"/>
                <w:sz w:val="20"/>
                <w:szCs w:val="20"/>
              </w:rPr>
              <w:t>3.刀刃长度：</w:t>
            </w:r>
            <w:r>
              <w:rPr>
                <w:rFonts w:hint="eastAsia" w:ascii="仿宋_GB2312" w:hAnsi="宋体" w:eastAsia="仿宋_GB2312" w:cs="宋体"/>
                <w:kern w:val="0"/>
                <w:sz w:val="20"/>
                <w:szCs w:val="20"/>
              </w:rPr>
              <w:t>≥</w:t>
            </w:r>
            <w:r>
              <w:rPr>
                <w:rFonts w:hint="eastAsia" w:ascii="宋体" w:hAnsi="宋体" w:cs="宋体"/>
                <w:kern w:val="0"/>
                <w:sz w:val="20"/>
                <w:szCs w:val="20"/>
              </w:rPr>
              <w:t>220mm。</w:t>
            </w:r>
            <w:r>
              <w:rPr>
                <w:rFonts w:hint="eastAsia" w:ascii="宋体" w:hAnsi="宋体" w:cs="宋体"/>
                <w:kern w:val="0"/>
                <w:sz w:val="20"/>
                <w:szCs w:val="20"/>
              </w:rPr>
              <w:br w:type="textWrapping"/>
            </w:r>
            <w:r>
              <w:rPr>
                <w:rFonts w:hint="eastAsia" w:ascii="宋体" w:hAnsi="宋体" w:cs="宋体"/>
                <w:kern w:val="0"/>
                <w:sz w:val="20"/>
                <w:szCs w:val="20"/>
              </w:rPr>
              <w:t>4.刀身材质：400系列不锈钢。</w:t>
            </w:r>
            <w:r>
              <w:rPr>
                <w:rFonts w:hint="eastAsia" w:ascii="宋体" w:hAnsi="宋体" w:cs="宋体"/>
                <w:kern w:val="0"/>
                <w:sz w:val="20"/>
                <w:szCs w:val="20"/>
              </w:rPr>
              <w:br w:type="textWrapping"/>
            </w:r>
            <w:r>
              <w:rPr>
                <w:rFonts w:hint="eastAsia" w:ascii="宋体" w:hAnsi="宋体" w:cs="宋体"/>
                <w:kern w:val="0"/>
                <w:sz w:val="20"/>
                <w:szCs w:val="20"/>
              </w:rPr>
              <w:t>5.手柄材质：不锈钢。</w:t>
            </w:r>
            <w:r>
              <w:rPr>
                <w:rFonts w:hint="eastAsia" w:ascii="宋体" w:hAnsi="宋体" w:cs="宋体"/>
                <w:kern w:val="0"/>
                <w:sz w:val="20"/>
                <w:szCs w:val="20"/>
              </w:rPr>
              <w:br w:type="textWrapping"/>
            </w:r>
            <w:r>
              <w:rPr>
                <w:rFonts w:hint="eastAsia" w:ascii="宋体" w:hAnsi="宋体" w:cs="宋体"/>
                <w:kern w:val="0"/>
                <w:sz w:val="20"/>
                <w:szCs w:val="20"/>
              </w:rPr>
              <w:t>6.刀尖角度：≥60</w:t>
            </w:r>
          </w:p>
        </w:tc>
        <w:tc>
          <w:tcPr>
            <w:tcW w:w="462" w:type="dxa"/>
            <w:shd w:val="clear" w:color="auto" w:fill="auto"/>
            <w:noWrap/>
            <w:vAlign w:val="center"/>
          </w:tcPr>
          <w:p w14:paraId="0611A382">
            <w:pPr>
              <w:widowControl/>
              <w:jc w:val="left"/>
              <w:rPr>
                <w:rFonts w:ascii="宋体" w:hAnsi="宋体" w:cs="宋体"/>
                <w:kern w:val="0"/>
                <w:sz w:val="22"/>
              </w:rPr>
            </w:pPr>
            <w:r>
              <w:rPr>
                <w:rFonts w:hint="eastAsia" w:ascii="宋体" w:hAnsi="宋体" w:cs="宋体"/>
                <w:kern w:val="0"/>
                <w:sz w:val="22"/>
              </w:rPr>
              <w:t>把</w:t>
            </w:r>
          </w:p>
        </w:tc>
        <w:tc>
          <w:tcPr>
            <w:tcW w:w="605" w:type="dxa"/>
            <w:shd w:val="clear" w:color="auto" w:fill="auto"/>
            <w:noWrap/>
            <w:vAlign w:val="center"/>
          </w:tcPr>
          <w:p w14:paraId="6DBA536B">
            <w:pPr>
              <w:widowControl/>
              <w:jc w:val="center"/>
              <w:rPr>
                <w:rFonts w:ascii="宋体" w:hAnsi="宋体" w:cs="宋体"/>
                <w:kern w:val="0"/>
                <w:sz w:val="22"/>
              </w:rPr>
            </w:pPr>
            <w:r>
              <w:rPr>
                <w:rFonts w:hint="eastAsia" w:ascii="宋体" w:hAnsi="宋体" w:cs="宋体"/>
                <w:kern w:val="0"/>
                <w:sz w:val="22"/>
              </w:rPr>
              <w:t>20</w:t>
            </w:r>
          </w:p>
        </w:tc>
        <w:tc>
          <w:tcPr>
            <w:tcW w:w="1048" w:type="dxa"/>
            <w:shd w:val="clear" w:color="auto" w:fill="auto"/>
            <w:noWrap/>
            <w:vAlign w:val="center"/>
          </w:tcPr>
          <w:p w14:paraId="201F1B9F">
            <w:pPr>
              <w:widowControl/>
              <w:jc w:val="center"/>
              <w:rPr>
                <w:rFonts w:ascii="宋体" w:hAnsi="宋体" w:cs="宋体"/>
                <w:kern w:val="0"/>
                <w:sz w:val="22"/>
              </w:rPr>
            </w:pPr>
            <w:r>
              <w:rPr>
                <w:rFonts w:hint="eastAsia" w:ascii="宋体" w:hAnsi="宋体" w:cs="宋体"/>
                <w:kern w:val="0"/>
                <w:sz w:val="22"/>
              </w:rPr>
              <w:t>80</w:t>
            </w:r>
          </w:p>
        </w:tc>
        <w:tc>
          <w:tcPr>
            <w:tcW w:w="1489" w:type="dxa"/>
            <w:shd w:val="clear" w:color="auto" w:fill="auto"/>
            <w:noWrap/>
            <w:vAlign w:val="center"/>
          </w:tcPr>
          <w:p w14:paraId="64735E07">
            <w:pPr>
              <w:widowControl/>
              <w:jc w:val="center"/>
              <w:rPr>
                <w:rFonts w:ascii="宋体" w:hAnsi="宋体" w:cs="宋体"/>
                <w:kern w:val="0"/>
                <w:sz w:val="22"/>
              </w:rPr>
            </w:pPr>
            <w:r>
              <w:rPr>
                <w:rFonts w:hint="eastAsia" w:ascii="宋体" w:hAnsi="宋体" w:cs="宋体"/>
                <w:kern w:val="0"/>
                <w:sz w:val="22"/>
              </w:rPr>
              <w:t>1600</w:t>
            </w:r>
          </w:p>
        </w:tc>
      </w:tr>
      <w:tr w14:paraId="3E4D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02C5066">
            <w:pPr>
              <w:widowControl/>
              <w:jc w:val="center"/>
              <w:rPr>
                <w:rFonts w:ascii="宋体" w:hAnsi="宋体" w:cs="宋体"/>
                <w:kern w:val="0"/>
                <w:sz w:val="22"/>
              </w:rPr>
            </w:pPr>
            <w:r>
              <w:rPr>
                <w:rFonts w:hint="eastAsia" w:ascii="宋体" w:hAnsi="宋体" w:cs="宋体"/>
                <w:kern w:val="0"/>
                <w:sz w:val="22"/>
              </w:rPr>
              <w:t>2</w:t>
            </w:r>
          </w:p>
        </w:tc>
        <w:tc>
          <w:tcPr>
            <w:tcW w:w="1072" w:type="dxa"/>
            <w:shd w:val="clear" w:color="auto" w:fill="auto"/>
            <w:vAlign w:val="center"/>
          </w:tcPr>
          <w:p w14:paraId="2F1527E1">
            <w:pPr>
              <w:widowControl/>
              <w:jc w:val="center"/>
              <w:rPr>
                <w:rFonts w:ascii="宋体" w:hAnsi="宋体" w:cs="宋体"/>
                <w:kern w:val="0"/>
                <w:sz w:val="22"/>
              </w:rPr>
            </w:pPr>
            <w:r>
              <w:rPr>
                <w:rFonts w:hint="eastAsia" w:ascii="宋体" w:hAnsi="宋体" w:cs="宋体"/>
                <w:kern w:val="0"/>
                <w:sz w:val="22"/>
              </w:rPr>
              <w:t>砍骨刀</w:t>
            </w:r>
          </w:p>
        </w:tc>
        <w:tc>
          <w:tcPr>
            <w:tcW w:w="4897" w:type="dxa"/>
            <w:shd w:val="clear" w:color="auto" w:fill="auto"/>
            <w:vAlign w:val="bottom"/>
          </w:tcPr>
          <w:p w14:paraId="59A7BFDF">
            <w:pPr>
              <w:widowControl/>
              <w:jc w:val="left"/>
              <w:rPr>
                <w:rFonts w:ascii="宋体" w:hAnsi="宋体" w:cs="宋体"/>
                <w:kern w:val="0"/>
                <w:sz w:val="20"/>
                <w:szCs w:val="20"/>
              </w:rPr>
            </w:pPr>
            <w:r>
              <w:rPr>
                <w:rFonts w:hint="eastAsia" w:ascii="宋体" w:hAnsi="宋体" w:cs="宋体"/>
                <w:kern w:val="0"/>
                <w:sz w:val="20"/>
                <w:szCs w:val="20"/>
              </w:rPr>
              <w:t>1.刀身材质：400系列不锈钢</w:t>
            </w:r>
            <w:r>
              <w:rPr>
                <w:rFonts w:hint="eastAsia" w:ascii="宋体" w:hAnsi="宋体" w:cs="宋体"/>
                <w:kern w:val="0"/>
                <w:sz w:val="20"/>
                <w:szCs w:val="20"/>
              </w:rPr>
              <w:br w:type="textWrapping"/>
            </w:r>
            <w:r>
              <w:rPr>
                <w:rFonts w:hint="eastAsia" w:ascii="宋体" w:hAnsi="宋体" w:cs="宋体"/>
                <w:kern w:val="0"/>
                <w:sz w:val="20"/>
                <w:szCs w:val="20"/>
              </w:rPr>
              <w:t>2.工艺：加厚，锻打，手柄防滑</w:t>
            </w:r>
            <w:r>
              <w:rPr>
                <w:rFonts w:hint="eastAsia" w:ascii="宋体" w:hAnsi="宋体" w:cs="宋体"/>
                <w:kern w:val="0"/>
                <w:sz w:val="20"/>
                <w:szCs w:val="20"/>
              </w:rPr>
              <w:br w:type="textWrapping"/>
            </w:r>
            <w:r>
              <w:rPr>
                <w:rFonts w:hint="eastAsia" w:ascii="宋体" w:hAnsi="宋体" w:cs="宋体"/>
                <w:kern w:val="0"/>
                <w:sz w:val="20"/>
                <w:szCs w:val="20"/>
              </w:rPr>
              <w:t>3.刀刃长度：≥220mm</w:t>
            </w:r>
            <w:r>
              <w:rPr>
                <w:rFonts w:hint="eastAsia" w:ascii="宋体" w:hAnsi="宋体" w:cs="宋体"/>
                <w:kern w:val="0"/>
                <w:sz w:val="20"/>
                <w:szCs w:val="20"/>
              </w:rPr>
              <w:br w:type="textWrapping"/>
            </w:r>
            <w:r>
              <w:rPr>
                <w:rFonts w:hint="eastAsia" w:ascii="宋体" w:hAnsi="宋体" w:cs="宋体"/>
                <w:kern w:val="0"/>
                <w:sz w:val="20"/>
                <w:szCs w:val="20"/>
              </w:rPr>
              <w:t>4.手柄材质：不锈钢</w:t>
            </w:r>
            <w:r>
              <w:rPr>
                <w:rFonts w:hint="eastAsia" w:ascii="宋体" w:hAnsi="宋体" w:cs="宋体"/>
                <w:kern w:val="0"/>
                <w:sz w:val="20"/>
                <w:szCs w:val="20"/>
              </w:rPr>
              <w:br w:type="textWrapping"/>
            </w:r>
            <w:r>
              <w:rPr>
                <w:rFonts w:hint="eastAsia" w:ascii="宋体" w:hAnsi="宋体" w:cs="宋体"/>
                <w:kern w:val="0"/>
                <w:sz w:val="20"/>
                <w:szCs w:val="20"/>
              </w:rPr>
              <w:t>5.功能：砍骨</w:t>
            </w:r>
            <w:r>
              <w:rPr>
                <w:rFonts w:hint="eastAsia" w:ascii="宋体" w:hAnsi="宋体" w:cs="宋体"/>
                <w:kern w:val="0"/>
                <w:sz w:val="20"/>
                <w:szCs w:val="20"/>
              </w:rPr>
              <w:br w:type="textWrapping"/>
            </w:r>
            <w:r>
              <w:rPr>
                <w:rFonts w:hint="eastAsia" w:ascii="宋体" w:hAnsi="宋体" w:cs="宋体"/>
                <w:kern w:val="0"/>
                <w:sz w:val="20"/>
                <w:szCs w:val="20"/>
              </w:rPr>
              <w:t>6.刀尖角度：≥60°</w:t>
            </w:r>
          </w:p>
        </w:tc>
        <w:tc>
          <w:tcPr>
            <w:tcW w:w="462" w:type="dxa"/>
            <w:shd w:val="clear" w:color="auto" w:fill="auto"/>
            <w:noWrap/>
            <w:vAlign w:val="center"/>
          </w:tcPr>
          <w:p w14:paraId="1378C5C0">
            <w:pPr>
              <w:widowControl/>
              <w:jc w:val="left"/>
              <w:rPr>
                <w:rFonts w:ascii="宋体" w:hAnsi="宋体" w:cs="宋体"/>
                <w:kern w:val="0"/>
                <w:sz w:val="22"/>
              </w:rPr>
            </w:pPr>
            <w:r>
              <w:rPr>
                <w:rFonts w:hint="eastAsia" w:ascii="宋体" w:hAnsi="宋体" w:cs="宋体"/>
                <w:kern w:val="0"/>
                <w:sz w:val="22"/>
              </w:rPr>
              <w:t>把</w:t>
            </w:r>
          </w:p>
        </w:tc>
        <w:tc>
          <w:tcPr>
            <w:tcW w:w="605" w:type="dxa"/>
            <w:shd w:val="clear" w:color="auto" w:fill="auto"/>
            <w:noWrap/>
            <w:vAlign w:val="center"/>
          </w:tcPr>
          <w:p w14:paraId="1B471445">
            <w:pPr>
              <w:widowControl/>
              <w:jc w:val="center"/>
              <w:rPr>
                <w:rFonts w:ascii="宋体" w:hAnsi="宋体" w:cs="宋体"/>
                <w:kern w:val="0"/>
                <w:sz w:val="22"/>
              </w:rPr>
            </w:pPr>
            <w:r>
              <w:rPr>
                <w:rFonts w:hint="eastAsia" w:ascii="宋体" w:hAnsi="宋体" w:cs="宋体"/>
                <w:kern w:val="0"/>
                <w:sz w:val="22"/>
              </w:rPr>
              <w:t>20</w:t>
            </w:r>
          </w:p>
        </w:tc>
        <w:tc>
          <w:tcPr>
            <w:tcW w:w="1048" w:type="dxa"/>
            <w:shd w:val="clear" w:color="auto" w:fill="auto"/>
            <w:noWrap/>
            <w:vAlign w:val="center"/>
          </w:tcPr>
          <w:p w14:paraId="10E1536A">
            <w:pPr>
              <w:widowControl/>
              <w:jc w:val="center"/>
              <w:rPr>
                <w:rFonts w:ascii="宋体" w:hAnsi="宋体" w:cs="宋体"/>
                <w:kern w:val="0"/>
                <w:sz w:val="22"/>
              </w:rPr>
            </w:pPr>
            <w:r>
              <w:rPr>
                <w:rFonts w:hint="eastAsia" w:ascii="宋体" w:hAnsi="宋体" w:cs="宋体"/>
                <w:kern w:val="0"/>
                <w:sz w:val="22"/>
              </w:rPr>
              <w:t>100</w:t>
            </w:r>
          </w:p>
        </w:tc>
        <w:tc>
          <w:tcPr>
            <w:tcW w:w="1489" w:type="dxa"/>
            <w:shd w:val="clear" w:color="auto" w:fill="auto"/>
            <w:noWrap/>
            <w:vAlign w:val="center"/>
          </w:tcPr>
          <w:p w14:paraId="2F49D3C3">
            <w:pPr>
              <w:widowControl/>
              <w:jc w:val="center"/>
              <w:rPr>
                <w:rFonts w:ascii="宋体" w:hAnsi="宋体" w:cs="宋体"/>
                <w:kern w:val="0"/>
                <w:sz w:val="22"/>
              </w:rPr>
            </w:pPr>
            <w:r>
              <w:rPr>
                <w:rFonts w:hint="eastAsia" w:ascii="宋体" w:hAnsi="宋体" w:cs="宋体"/>
                <w:kern w:val="0"/>
                <w:sz w:val="22"/>
              </w:rPr>
              <w:t>2000</w:t>
            </w:r>
          </w:p>
        </w:tc>
      </w:tr>
      <w:tr w14:paraId="589D0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6E1B97F">
            <w:pPr>
              <w:widowControl/>
              <w:jc w:val="center"/>
              <w:rPr>
                <w:rFonts w:ascii="宋体" w:hAnsi="宋体" w:cs="宋体"/>
                <w:kern w:val="0"/>
                <w:sz w:val="22"/>
              </w:rPr>
            </w:pPr>
            <w:r>
              <w:rPr>
                <w:rFonts w:hint="eastAsia" w:ascii="宋体" w:hAnsi="宋体" w:cs="宋体"/>
                <w:kern w:val="0"/>
                <w:sz w:val="22"/>
              </w:rPr>
              <w:t>3</w:t>
            </w:r>
          </w:p>
        </w:tc>
        <w:tc>
          <w:tcPr>
            <w:tcW w:w="1072" w:type="dxa"/>
            <w:shd w:val="clear" w:color="auto" w:fill="auto"/>
            <w:vAlign w:val="center"/>
          </w:tcPr>
          <w:p w14:paraId="5C960A29">
            <w:pPr>
              <w:widowControl/>
              <w:jc w:val="center"/>
              <w:rPr>
                <w:rFonts w:ascii="宋体" w:hAnsi="宋体" w:cs="宋体"/>
                <w:kern w:val="0"/>
                <w:sz w:val="22"/>
              </w:rPr>
            </w:pPr>
            <w:r>
              <w:rPr>
                <w:rFonts w:hint="eastAsia" w:ascii="宋体" w:hAnsi="宋体" w:cs="宋体"/>
                <w:kern w:val="0"/>
                <w:sz w:val="22"/>
              </w:rPr>
              <w:t>红色砧板</w:t>
            </w:r>
          </w:p>
        </w:tc>
        <w:tc>
          <w:tcPr>
            <w:tcW w:w="4897" w:type="dxa"/>
            <w:shd w:val="clear" w:color="auto" w:fill="auto"/>
            <w:vAlign w:val="center"/>
          </w:tcPr>
          <w:p w14:paraId="0310BC9C">
            <w:pPr>
              <w:widowControl/>
              <w:jc w:val="left"/>
              <w:rPr>
                <w:rFonts w:ascii="宋体" w:hAnsi="宋体" w:cs="宋体"/>
                <w:kern w:val="0"/>
                <w:sz w:val="20"/>
                <w:szCs w:val="20"/>
              </w:rPr>
            </w:pPr>
            <w:r>
              <w:rPr>
                <w:rFonts w:hint="eastAsia" w:ascii="宋体" w:hAnsi="宋体" w:cs="宋体"/>
                <w:kern w:val="0"/>
                <w:sz w:val="20"/>
                <w:szCs w:val="20"/>
              </w:rPr>
              <w:t>塑料，不小于42公分直径*10公分厚。</w:t>
            </w:r>
          </w:p>
        </w:tc>
        <w:tc>
          <w:tcPr>
            <w:tcW w:w="462" w:type="dxa"/>
            <w:shd w:val="clear" w:color="auto" w:fill="auto"/>
            <w:noWrap/>
            <w:vAlign w:val="center"/>
          </w:tcPr>
          <w:p w14:paraId="34206DDC">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5B236BD0">
            <w:pPr>
              <w:widowControl/>
              <w:jc w:val="center"/>
              <w:rPr>
                <w:rFonts w:ascii="宋体" w:hAnsi="宋体" w:cs="宋体"/>
                <w:kern w:val="0"/>
                <w:sz w:val="22"/>
              </w:rPr>
            </w:pPr>
            <w:r>
              <w:rPr>
                <w:rFonts w:hint="eastAsia" w:ascii="宋体" w:hAnsi="宋体" w:cs="宋体"/>
                <w:kern w:val="0"/>
                <w:sz w:val="22"/>
              </w:rPr>
              <w:t>12</w:t>
            </w:r>
          </w:p>
        </w:tc>
        <w:tc>
          <w:tcPr>
            <w:tcW w:w="1048" w:type="dxa"/>
            <w:shd w:val="clear" w:color="auto" w:fill="auto"/>
            <w:noWrap/>
            <w:vAlign w:val="center"/>
          </w:tcPr>
          <w:p w14:paraId="78EBE1B3">
            <w:pPr>
              <w:widowControl/>
              <w:jc w:val="center"/>
              <w:rPr>
                <w:rFonts w:ascii="宋体" w:hAnsi="宋体" w:cs="宋体"/>
                <w:kern w:val="0"/>
                <w:sz w:val="22"/>
              </w:rPr>
            </w:pPr>
            <w:r>
              <w:rPr>
                <w:rFonts w:hint="eastAsia" w:ascii="宋体" w:hAnsi="宋体" w:cs="宋体"/>
                <w:kern w:val="0"/>
                <w:sz w:val="22"/>
              </w:rPr>
              <w:t>250</w:t>
            </w:r>
          </w:p>
        </w:tc>
        <w:tc>
          <w:tcPr>
            <w:tcW w:w="1489" w:type="dxa"/>
            <w:shd w:val="clear" w:color="auto" w:fill="auto"/>
            <w:noWrap/>
            <w:vAlign w:val="center"/>
          </w:tcPr>
          <w:p w14:paraId="0C3E99C0">
            <w:pPr>
              <w:widowControl/>
              <w:jc w:val="center"/>
              <w:rPr>
                <w:rFonts w:ascii="宋体" w:hAnsi="宋体" w:cs="宋体"/>
                <w:kern w:val="0"/>
                <w:sz w:val="22"/>
              </w:rPr>
            </w:pPr>
            <w:r>
              <w:rPr>
                <w:rFonts w:hint="eastAsia" w:ascii="宋体" w:hAnsi="宋体" w:cs="宋体"/>
                <w:kern w:val="0"/>
                <w:sz w:val="22"/>
              </w:rPr>
              <w:t>3000</w:t>
            </w:r>
          </w:p>
        </w:tc>
      </w:tr>
      <w:tr w14:paraId="4ADB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B68A20E">
            <w:pPr>
              <w:widowControl/>
              <w:jc w:val="center"/>
              <w:rPr>
                <w:rFonts w:ascii="宋体" w:hAnsi="宋体" w:cs="宋体"/>
                <w:kern w:val="0"/>
                <w:sz w:val="22"/>
              </w:rPr>
            </w:pPr>
            <w:r>
              <w:rPr>
                <w:rFonts w:hint="eastAsia" w:ascii="宋体" w:hAnsi="宋体" w:cs="宋体"/>
                <w:kern w:val="0"/>
                <w:sz w:val="22"/>
              </w:rPr>
              <w:t>4</w:t>
            </w:r>
          </w:p>
        </w:tc>
        <w:tc>
          <w:tcPr>
            <w:tcW w:w="1072" w:type="dxa"/>
            <w:shd w:val="clear" w:color="auto" w:fill="auto"/>
            <w:vAlign w:val="center"/>
          </w:tcPr>
          <w:p w14:paraId="181DC24A">
            <w:pPr>
              <w:widowControl/>
              <w:jc w:val="center"/>
              <w:rPr>
                <w:rFonts w:ascii="宋体" w:hAnsi="宋体" w:cs="宋体"/>
                <w:kern w:val="0"/>
                <w:sz w:val="22"/>
              </w:rPr>
            </w:pPr>
            <w:r>
              <w:rPr>
                <w:rFonts w:hint="eastAsia" w:ascii="宋体" w:hAnsi="宋体" w:cs="宋体"/>
                <w:kern w:val="0"/>
                <w:sz w:val="22"/>
              </w:rPr>
              <w:t>绿色砧板</w:t>
            </w:r>
          </w:p>
        </w:tc>
        <w:tc>
          <w:tcPr>
            <w:tcW w:w="4897" w:type="dxa"/>
            <w:shd w:val="clear" w:color="auto" w:fill="auto"/>
            <w:vAlign w:val="center"/>
          </w:tcPr>
          <w:p w14:paraId="48B34422">
            <w:pPr>
              <w:widowControl/>
              <w:jc w:val="left"/>
              <w:rPr>
                <w:rFonts w:ascii="宋体" w:hAnsi="宋体" w:cs="宋体"/>
                <w:kern w:val="0"/>
                <w:sz w:val="20"/>
                <w:szCs w:val="20"/>
              </w:rPr>
            </w:pPr>
            <w:r>
              <w:rPr>
                <w:rFonts w:hint="eastAsia" w:ascii="宋体" w:hAnsi="宋体" w:cs="宋体"/>
                <w:kern w:val="0"/>
                <w:sz w:val="20"/>
                <w:szCs w:val="20"/>
              </w:rPr>
              <w:t>塑料，不小于42公分直径*10公分厚。</w:t>
            </w:r>
          </w:p>
        </w:tc>
        <w:tc>
          <w:tcPr>
            <w:tcW w:w="462" w:type="dxa"/>
            <w:shd w:val="clear" w:color="auto" w:fill="auto"/>
            <w:noWrap/>
            <w:vAlign w:val="center"/>
          </w:tcPr>
          <w:p w14:paraId="2049AF7C">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45DDE770">
            <w:pPr>
              <w:widowControl/>
              <w:jc w:val="center"/>
              <w:rPr>
                <w:rFonts w:ascii="宋体" w:hAnsi="宋体" w:cs="宋体"/>
                <w:kern w:val="0"/>
                <w:sz w:val="22"/>
              </w:rPr>
            </w:pPr>
            <w:r>
              <w:rPr>
                <w:rFonts w:hint="eastAsia" w:ascii="宋体" w:hAnsi="宋体" w:cs="宋体"/>
                <w:kern w:val="0"/>
                <w:sz w:val="22"/>
              </w:rPr>
              <w:t>12</w:t>
            </w:r>
          </w:p>
        </w:tc>
        <w:tc>
          <w:tcPr>
            <w:tcW w:w="1048" w:type="dxa"/>
            <w:shd w:val="clear" w:color="auto" w:fill="auto"/>
            <w:noWrap/>
            <w:vAlign w:val="center"/>
          </w:tcPr>
          <w:p w14:paraId="6D0480C9">
            <w:pPr>
              <w:widowControl/>
              <w:jc w:val="center"/>
              <w:rPr>
                <w:rFonts w:ascii="宋体" w:hAnsi="宋体" w:cs="宋体"/>
                <w:kern w:val="0"/>
                <w:sz w:val="22"/>
              </w:rPr>
            </w:pPr>
            <w:r>
              <w:rPr>
                <w:rFonts w:hint="eastAsia" w:ascii="宋体" w:hAnsi="宋体" w:cs="宋体"/>
                <w:kern w:val="0"/>
                <w:sz w:val="22"/>
              </w:rPr>
              <w:t>250</w:t>
            </w:r>
          </w:p>
        </w:tc>
        <w:tc>
          <w:tcPr>
            <w:tcW w:w="1489" w:type="dxa"/>
            <w:shd w:val="clear" w:color="auto" w:fill="auto"/>
            <w:noWrap/>
            <w:vAlign w:val="center"/>
          </w:tcPr>
          <w:p w14:paraId="60CD9BB3">
            <w:pPr>
              <w:widowControl/>
              <w:jc w:val="center"/>
              <w:rPr>
                <w:rFonts w:ascii="宋体" w:hAnsi="宋体" w:cs="宋体"/>
                <w:kern w:val="0"/>
                <w:sz w:val="22"/>
              </w:rPr>
            </w:pPr>
            <w:r>
              <w:rPr>
                <w:rFonts w:hint="eastAsia" w:ascii="宋体" w:hAnsi="宋体" w:cs="宋体"/>
                <w:kern w:val="0"/>
                <w:sz w:val="22"/>
              </w:rPr>
              <w:t>3000</w:t>
            </w:r>
          </w:p>
        </w:tc>
      </w:tr>
      <w:tr w14:paraId="66E7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6D34C4">
            <w:pPr>
              <w:widowControl/>
              <w:jc w:val="center"/>
              <w:rPr>
                <w:rFonts w:ascii="宋体" w:hAnsi="宋体" w:cs="宋体"/>
                <w:kern w:val="0"/>
                <w:sz w:val="22"/>
              </w:rPr>
            </w:pPr>
            <w:r>
              <w:rPr>
                <w:rFonts w:hint="eastAsia" w:ascii="宋体" w:hAnsi="宋体" w:cs="宋体"/>
                <w:kern w:val="0"/>
                <w:sz w:val="22"/>
              </w:rPr>
              <w:t>5</w:t>
            </w:r>
          </w:p>
        </w:tc>
        <w:tc>
          <w:tcPr>
            <w:tcW w:w="1072" w:type="dxa"/>
            <w:shd w:val="clear" w:color="auto" w:fill="auto"/>
            <w:vAlign w:val="center"/>
          </w:tcPr>
          <w:p w14:paraId="2B8E262F">
            <w:pPr>
              <w:widowControl/>
              <w:jc w:val="center"/>
              <w:rPr>
                <w:rFonts w:ascii="宋体" w:hAnsi="宋体" w:cs="宋体"/>
                <w:kern w:val="0"/>
                <w:sz w:val="22"/>
              </w:rPr>
            </w:pPr>
            <w:r>
              <w:rPr>
                <w:rFonts w:hint="eastAsia" w:ascii="宋体" w:hAnsi="宋体" w:cs="宋体"/>
                <w:kern w:val="0"/>
                <w:sz w:val="22"/>
              </w:rPr>
              <w:t>绞肉机</w:t>
            </w:r>
          </w:p>
        </w:tc>
        <w:tc>
          <w:tcPr>
            <w:tcW w:w="4897" w:type="dxa"/>
            <w:shd w:val="clear" w:color="auto" w:fill="auto"/>
            <w:vAlign w:val="center"/>
          </w:tcPr>
          <w:p w14:paraId="075BB0E5">
            <w:pPr>
              <w:widowControl/>
              <w:jc w:val="left"/>
              <w:rPr>
                <w:rFonts w:ascii="宋体" w:hAnsi="宋体" w:cs="宋体"/>
                <w:kern w:val="0"/>
                <w:sz w:val="22"/>
              </w:rPr>
            </w:pPr>
            <w:r>
              <w:rPr>
                <w:rFonts w:hint="eastAsia" w:ascii="宋体" w:hAnsi="宋体" w:cs="宋体"/>
                <w:kern w:val="0"/>
                <w:sz w:val="22"/>
              </w:rPr>
              <w:t>1、额定电压:220V；</w:t>
            </w:r>
            <w:r>
              <w:rPr>
                <w:rFonts w:hint="eastAsia" w:ascii="宋体" w:hAnsi="宋体" w:cs="宋体"/>
                <w:kern w:val="0"/>
                <w:sz w:val="22"/>
              </w:rPr>
              <w:br w:type="textWrapping"/>
            </w:r>
            <w:r>
              <w:rPr>
                <w:rFonts w:hint="eastAsia" w:ascii="宋体" w:hAnsi="宋体" w:cs="宋体"/>
                <w:kern w:val="0"/>
                <w:sz w:val="22"/>
              </w:rPr>
              <w:t>2、额定功率:1.1KW；</w:t>
            </w:r>
            <w:r>
              <w:rPr>
                <w:rFonts w:hint="eastAsia" w:ascii="宋体" w:hAnsi="宋体" w:cs="宋体"/>
                <w:kern w:val="0"/>
                <w:sz w:val="22"/>
              </w:rPr>
              <w:br w:type="textWrapping"/>
            </w:r>
            <w:r>
              <w:rPr>
                <w:rFonts w:hint="eastAsia" w:ascii="宋体" w:hAnsi="宋体" w:cs="宋体"/>
                <w:kern w:val="0"/>
                <w:sz w:val="22"/>
              </w:rPr>
              <w:t>3、绞肉工作能力：320KG/H;</w:t>
            </w:r>
            <w:r>
              <w:rPr>
                <w:rFonts w:hint="eastAsia" w:ascii="宋体" w:hAnsi="宋体" w:cs="宋体"/>
                <w:kern w:val="0"/>
                <w:sz w:val="22"/>
              </w:rPr>
              <w:br w:type="textWrapping"/>
            </w:r>
            <w:r>
              <w:rPr>
                <w:rFonts w:hint="eastAsia" w:ascii="宋体" w:hAnsi="宋体" w:cs="宋体"/>
                <w:kern w:val="0"/>
                <w:sz w:val="22"/>
              </w:rPr>
              <w:t>4、刀片：1.0*Φ105*Φ28.2mm；</w:t>
            </w:r>
            <w:r>
              <w:rPr>
                <w:rFonts w:hint="eastAsia" w:ascii="宋体" w:hAnsi="宋体" w:cs="宋体"/>
                <w:kern w:val="0"/>
                <w:sz w:val="22"/>
              </w:rPr>
              <w:br w:type="textWrapping"/>
            </w:r>
            <w:r>
              <w:rPr>
                <w:rFonts w:hint="eastAsia" w:ascii="宋体" w:hAnsi="宋体" w:cs="宋体"/>
                <w:kern w:val="0"/>
                <w:sz w:val="22"/>
              </w:rPr>
              <w:t>5、采用全不锈钢制造，延长机器的使用寿命；</w:t>
            </w:r>
            <w:r>
              <w:rPr>
                <w:rFonts w:hint="eastAsia" w:ascii="宋体" w:hAnsi="宋体" w:cs="宋体"/>
                <w:kern w:val="0"/>
                <w:sz w:val="22"/>
              </w:rPr>
              <w:br w:type="textWrapping"/>
            </w:r>
            <w:r>
              <w:rPr>
                <w:rFonts w:hint="eastAsia" w:ascii="宋体" w:hAnsi="宋体" w:cs="宋体"/>
                <w:kern w:val="0"/>
                <w:sz w:val="22"/>
              </w:rPr>
              <w:t>6、具结构紧凑、外形美观、效率高、易清洁保养特点。</w:t>
            </w:r>
          </w:p>
        </w:tc>
        <w:tc>
          <w:tcPr>
            <w:tcW w:w="462" w:type="dxa"/>
            <w:shd w:val="clear" w:color="auto" w:fill="auto"/>
            <w:noWrap/>
            <w:vAlign w:val="center"/>
          </w:tcPr>
          <w:p w14:paraId="639DF02B">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3D139D8E">
            <w:pPr>
              <w:widowControl/>
              <w:jc w:val="center"/>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349014B2">
            <w:pPr>
              <w:widowControl/>
              <w:jc w:val="center"/>
              <w:rPr>
                <w:rFonts w:ascii="宋体" w:hAnsi="宋体" w:cs="宋体"/>
                <w:kern w:val="0"/>
                <w:sz w:val="22"/>
              </w:rPr>
            </w:pPr>
            <w:r>
              <w:rPr>
                <w:rFonts w:hint="eastAsia" w:ascii="宋体" w:hAnsi="宋体" w:cs="宋体"/>
                <w:kern w:val="0"/>
                <w:sz w:val="22"/>
              </w:rPr>
              <w:t>3800</w:t>
            </w:r>
          </w:p>
        </w:tc>
        <w:tc>
          <w:tcPr>
            <w:tcW w:w="1489" w:type="dxa"/>
            <w:shd w:val="clear" w:color="auto" w:fill="auto"/>
            <w:noWrap/>
            <w:vAlign w:val="center"/>
          </w:tcPr>
          <w:p w14:paraId="1676CEC7">
            <w:pPr>
              <w:widowControl/>
              <w:jc w:val="center"/>
              <w:rPr>
                <w:rFonts w:ascii="宋体" w:hAnsi="宋体" w:cs="宋体"/>
                <w:kern w:val="0"/>
                <w:sz w:val="22"/>
              </w:rPr>
            </w:pPr>
            <w:r>
              <w:rPr>
                <w:rFonts w:hint="eastAsia" w:ascii="宋体" w:hAnsi="宋体" w:cs="宋体"/>
                <w:kern w:val="0"/>
                <w:sz w:val="22"/>
              </w:rPr>
              <w:t>3800</w:t>
            </w:r>
          </w:p>
        </w:tc>
      </w:tr>
      <w:tr w14:paraId="7797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5875CED">
            <w:pPr>
              <w:widowControl/>
              <w:jc w:val="center"/>
              <w:rPr>
                <w:rFonts w:ascii="宋体" w:hAnsi="宋体" w:cs="宋体"/>
                <w:kern w:val="0"/>
                <w:sz w:val="22"/>
              </w:rPr>
            </w:pPr>
            <w:r>
              <w:rPr>
                <w:rFonts w:hint="eastAsia" w:ascii="宋体" w:hAnsi="宋体" w:cs="宋体"/>
                <w:kern w:val="0"/>
                <w:sz w:val="22"/>
              </w:rPr>
              <w:t>6</w:t>
            </w:r>
          </w:p>
        </w:tc>
        <w:tc>
          <w:tcPr>
            <w:tcW w:w="1072" w:type="dxa"/>
            <w:shd w:val="clear" w:color="auto" w:fill="auto"/>
            <w:vAlign w:val="center"/>
          </w:tcPr>
          <w:p w14:paraId="4504D3AD">
            <w:pPr>
              <w:widowControl/>
              <w:jc w:val="center"/>
              <w:rPr>
                <w:rFonts w:ascii="宋体" w:hAnsi="宋体" w:cs="宋体"/>
                <w:kern w:val="0"/>
                <w:sz w:val="22"/>
              </w:rPr>
            </w:pPr>
            <w:r>
              <w:rPr>
                <w:rFonts w:hint="eastAsia" w:ascii="宋体" w:hAnsi="宋体" w:cs="宋体"/>
                <w:kern w:val="0"/>
                <w:sz w:val="22"/>
              </w:rPr>
              <w:t>蒸饭柜</w:t>
            </w:r>
          </w:p>
        </w:tc>
        <w:tc>
          <w:tcPr>
            <w:tcW w:w="4897" w:type="dxa"/>
            <w:shd w:val="clear" w:color="auto" w:fill="auto"/>
            <w:vAlign w:val="center"/>
          </w:tcPr>
          <w:p w14:paraId="65397D0C">
            <w:pPr>
              <w:widowControl/>
              <w:jc w:val="left"/>
              <w:rPr>
                <w:rFonts w:ascii="宋体" w:hAnsi="宋体" w:cs="宋体"/>
                <w:kern w:val="0"/>
                <w:sz w:val="22"/>
              </w:rPr>
            </w:pPr>
            <w:r>
              <w:rPr>
                <w:rFonts w:hint="eastAsia" w:ascii="宋体" w:hAnsi="宋体" w:cs="宋体"/>
                <w:kern w:val="0"/>
                <w:sz w:val="22"/>
              </w:rPr>
              <w:t>1.可生产产品类型：米饭，馒头</w:t>
            </w:r>
            <w:r>
              <w:rPr>
                <w:rFonts w:hint="eastAsia" w:ascii="宋体" w:hAnsi="宋体" w:cs="宋体"/>
                <w:kern w:val="0"/>
                <w:sz w:val="22"/>
              </w:rPr>
              <w:br w:type="textWrapping"/>
            </w:r>
            <w:r>
              <w:rPr>
                <w:rFonts w:hint="eastAsia" w:ascii="宋体" w:hAnsi="宋体" w:cs="宋体"/>
                <w:kern w:val="0"/>
                <w:sz w:val="22"/>
              </w:rPr>
              <w:t>2.功率：24kw</w:t>
            </w:r>
            <w:r>
              <w:rPr>
                <w:rFonts w:hint="eastAsia" w:ascii="宋体" w:hAnsi="宋体" w:cs="宋体"/>
                <w:kern w:val="0"/>
                <w:sz w:val="22"/>
              </w:rPr>
              <w:br w:type="textWrapping"/>
            </w:r>
            <w:r>
              <w:rPr>
                <w:rFonts w:hint="eastAsia" w:ascii="宋体" w:hAnsi="宋体" w:cs="宋体"/>
                <w:kern w:val="0"/>
                <w:sz w:val="22"/>
              </w:rPr>
              <w:t>3.生产速度：36~48</w:t>
            </w:r>
            <w:r>
              <w:rPr>
                <w:rFonts w:hint="eastAsia" w:ascii="宋体" w:hAnsi="宋体" w:cs="宋体"/>
                <w:kern w:val="0"/>
                <w:sz w:val="22"/>
              </w:rPr>
              <w:br w:type="textWrapping"/>
            </w:r>
            <w:r>
              <w:rPr>
                <w:rFonts w:hint="eastAsia" w:ascii="宋体" w:hAnsi="宋体" w:cs="宋体"/>
                <w:kern w:val="0"/>
                <w:sz w:val="22"/>
              </w:rPr>
              <w:t>4.外形尺寸：1390*620*1540</w:t>
            </w:r>
            <w:r>
              <w:rPr>
                <w:rFonts w:hint="eastAsia" w:ascii="宋体" w:hAnsi="宋体" w:cs="宋体"/>
                <w:kern w:val="0"/>
                <w:sz w:val="22"/>
              </w:rPr>
              <w:br w:type="textWrapping"/>
            </w:r>
            <w:r>
              <w:rPr>
                <w:rFonts w:hint="eastAsia" w:ascii="宋体" w:hAnsi="宋体" w:cs="宋体"/>
                <w:kern w:val="0"/>
                <w:sz w:val="22"/>
              </w:rPr>
              <w:t>5.多盘：规格24盘（带盘）</w:t>
            </w:r>
          </w:p>
        </w:tc>
        <w:tc>
          <w:tcPr>
            <w:tcW w:w="462" w:type="dxa"/>
            <w:shd w:val="clear" w:color="auto" w:fill="auto"/>
            <w:noWrap/>
            <w:vAlign w:val="center"/>
          </w:tcPr>
          <w:p w14:paraId="697F1018">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4A9967A6">
            <w:pPr>
              <w:widowControl/>
              <w:jc w:val="center"/>
              <w:rPr>
                <w:rFonts w:ascii="宋体" w:hAnsi="宋体" w:cs="宋体"/>
                <w:kern w:val="0"/>
                <w:sz w:val="22"/>
              </w:rPr>
            </w:pPr>
            <w:r>
              <w:rPr>
                <w:rFonts w:hint="eastAsia" w:ascii="宋体" w:hAnsi="宋体" w:cs="宋体"/>
                <w:kern w:val="0"/>
                <w:sz w:val="22"/>
              </w:rPr>
              <w:t>4</w:t>
            </w:r>
          </w:p>
        </w:tc>
        <w:tc>
          <w:tcPr>
            <w:tcW w:w="1048" w:type="dxa"/>
            <w:shd w:val="clear" w:color="auto" w:fill="auto"/>
            <w:noWrap/>
            <w:vAlign w:val="center"/>
          </w:tcPr>
          <w:p w14:paraId="7A2A199A">
            <w:pPr>
              <w:widowControl/>
              <w:jc w:val="center"/>
              <w:rPr>
                <w:rFonts w:ascii="宋体" w:hAnsi="宋体" w:cs="宋体"/>
                <w:kern w:val="0"/>
                <w:sz w:val="22"/>
              </w:rPr>
            </w:pPr>
            <w:r>
              <w:rPr>
                <w:rFonts w:hint="eastAsia" w:ascii="宋体" w:hAnsi="宋体" w:cs="宋体"/>
                <w:kern w:val="0"/>
                <w:sz w:val="22"/>
              </w:rPr>
              <w:t>3500</w:t>
            </w:r>
          </w:p>
        </w:tc>
        <w:tc>
          <w:tcPr>
            <w:tcW w:w="1489" w:type="dxa"/>
            <w:shd w:val="clear" w:color="auto" w:fill="auto"/>
            <w:noWrap/>
            <w:vAlign w:val="center"/>
          </w:tcPr>
          <w:p w14:paraId="3C252208">
            <w:pPr>
              <w:widowControl/>
              <w:jc w:val="center"/>
              <w:rPr>
                <w:rFonts w:ascii="宋体" w:hAnsi="宋体" w:cs="宋体"/>
                <w:kern w:val="0"/>
                <w:sz w:val="22"/>
              </w:rPr>
            </w:pPr>
            <w:r>
              <w:rPr>
                <w:rFonts w:hint="eastAsia" w:ascii="宋体" w:hAnsi="宋体" w:cs="宋体"/>
                <w:kern w:val="0"/>
                <w:sz w:val="22"/>
              </w:rPr>
              <w:t>14000</w:t>
            </w:r>
          </w:p>
        </w:tc>
      </w:tr>
      <w:tr w14:paraId="103C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39B9E1A">
            <w:pPr>
              <w:widowControl/>
              <w:jc w:val="center"/>
              <w:rPr>
                <w:rFonts w:ascii="宋体" w:hAnsi="宋体" w:cs="宋体"/>
                <w:kern w:val="0"/>
                <w:sz w:val="22"/>
              </w:rPr>
            </w:pPr>
            <w:r>
              <w:rPr>
                <w:rFonts w:hint="eastAsia" w:ascii="宋体" w:hAnsi="宋体" w:cs="宋体"/>
                <w:kern w:val="0"/>
                <w:sz w:val="22"/>
              </w:rPr>
              <w:t>7</w:t>
            </w:r>
          </w:p>
        </w:tc>
        <w:tc>
          <w:tcPr>
            <w:tcW w:w="1072" w:type="dxa"/>
            <w:shd w:val="clear" w:color="auto" w:fill="auto"/>
            <w:vAlign w:val="center"/>
          </w:tcPr>
          <w:p w14:paraId="040CF63C">
            <w:pPr>
              <w:widowControl/>
              <w:jc w:val="center"/>
              <w:rPr>
                <w:rFonts w:ascii="宋体" w:hAnsi="宋体" w:cs="宋体"/>
                <w:kern w:val="0"/>
                <w:sz w:val="22"/>
              </w:rPr>
            </w:pPr>
            <w:r>
              <w:rPr>
                <w:rFonts w:hint="eastAsia" w:ascii="宋体" w:hAnsi="宋体" w:cs="宋体"/>
                <w:kern w:val="0"/>
                <w:sz w:val="22"/>
              </w:rPr>
              <w:t>不锈钢盆</w:t>
            </w:r>
          </w:p>
        </w:tc>
        <w:tc>
          <w:tcPr>
            <w:tcW w:w="4897" w:type="dxa"/>
            <w:shd w:val="clear" w:color="auto" w:fill="auto"/>
            <w:vAlign w:val="center"/>
          </w:tcPr>
          <w:p w14:paraId="004F046A">
            <w:pPr>
              <w:widowControl/>
              <w:jc w:val="left"/>
              <w:rPr>
                <w:rFonts w:ascii="宋体" w:hAnsi="宋体" w:cs="宋体"/>
                <w:kern w:val="0"/>
                <w:sz w:val="22"/>
              </w:rPr>
            </w:pPr>
            <w:r>
              <w:rPr>
                <w:rFonts w:hint="eastAsia" w:ascii="宋体" w:hAnsi="宋体" w:cs="宋体"/>
                <w:kern w:val="0"/>
                <w:sz w:val="22"/>
              </w:rPr>
              <w:t>直径80公分</w:t>
            </w:r>
          </w:p>
        </w:tc>
        <w:tc>
          <w:tcPr>
            <w:tcW w:w="462" w:type="dxa"/>
            <w:shd w:val="clear" w:color="auto" w:fill="auto"/>
            <w:noWrap/>
            <w:vAlign w:val="center"/>
          </w:tcPr>
          <w:p w14:paraId="7268F4DA">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3F863EB1">
            <w:pPr>
              <w:widowControl/>
              <w:jc w:val="center"/>
              <w:rPr>
                <w:rFonts w:ascii="宋体" w:hAnsi="宋体" w:cs="宋体"/>
                <w:kern w:val="0"/>
                <w:sz w:val="22"/>
              </w:rPr>
            </w:pPr>
            <w:r>
              <w:rPr>
                <w:rFonts w:hint="eastAsia" w:ascii="宋体" w:hAnsi="宋体" w:cs="宋体"/>
                <w:kern w:val="0"/>
                <w:sz w:val="22"/>
              </w:rPr>
              <w:t>30</w:t>
            </w:r>
          </w:p>
        </w:tc>
        <w:tc>
          <w:tcPr>
            <w:tcW w:w="1048" w:type="dxa"/>
            <w:shd w:val="clear" w:color="auto" w:fill="auto"/>
            <w:noWrap/>
            <w:vAlign w:val="center"/>
          </w:tcPr>
          <w:p w14:paraId="1C1FD8F4">
            <w:pPr>
              <w:widowControl/>
              <w:jc w:val="center"/>
              <w:rPr>
                <w:rFonts w:ascii="宋体" w:hAnsi="宋体" w:cs="宋体"/>
                <w:kern w:val="0"/>
                <w:sz w:val="22"/>
              </w:rPr>
            </w:pPr>
            <w:r>
              <w:rPr>
                <w:rFonts w:hint="eastAsia" w:ascii="宋体" w:hAnsi="宋体" w:cs="宋体"/>
                <w:kern w:val="0"/>
                <w:sz w:val="22"/>
              </w:rPr>
              <w:t>80</w:t>
            </w:r>
          </w:p>
        </w:tc>
        <w:tc>
          <w:tcPr>
            <w:tcW w:w="1489" w:type="dxa"/>
            <w:shd w:val="clear" w:color="auto" w:fill="auto"/>
            <w:noWrap/>
            <w:vAlign w:val="center"/>
          </w:tcPr>
          <w:p w14:paraId="0CD2DB84">
            <w:pPr>
              <w:widowControl/>
              <w:jc w:val="center"/>
              <w:rPr>
                <w:rFonts w:ascii="宋体" w:hAnsi="宋体" w:cs="宋体"/>
                <w:kern w:val="0"/>
                <w:sz w:val="22"/>
              </w:rPr>
            </w:pPr>
            <w:r>
              <w:rPr>
                <w:rFonts w:hint="eastAsia" w:ascii="宋体" w:hAnsi="宋体" w:cs="宋体"/>
                <w:kern w:val="0"/>
                <w:sz w:val="22"/>
              </w:rPr>
              <w:t>2400</w:t>
            </w:r>
          </w:p>
        </w:tc>
      </w:tr>
      <w:tr w14:paraId="1B3F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9CDB69D">
            <w:pPr>
              <w:widowControl/>
              <w:jc w:val="center"/>
              <w:rPr>
                <w:rFonts w:ascii="宋体" w:hAnsi="宋体" w:cs="宋体"/>
                <w:kern w:val="0"/>
                <w:sz w:val="22"/>
              </w:rPr>
            </w:pPr>
            <w:r>
              <w:rPr>
                <w:rFonts w:hint="eastAsia" w:ascii="宋体" w:hAnsi="宋体" w:cs="宋体"/>
                <w:kern w:val="0"/>
                <w:sz w:val="22"/>
              </w:rPr>
              <w:t>8</w:t>
            </w:r>
          </w:p>
        </w:tc>
        <w:tc>
          <w:tcPr>
            <w:tcW w:w="1072" w:type="dxa"/>
            <w:shd w:val="clear" w:color="auto" w:fill="auto"/>
            <w:vAlign w:val="center"/>
          </w:tcPr>
          <w:p w14:paraId="13E39D26">
            <w:pPr>
              <w:widowControl/>
              <w:jc w:val="center"/>
              <w:rPr>
                <w:rFonts w:ascii="宋体" w:hAnsi="宋体" w:cs="宋体"/>
                <w:kern w:val="0"/>
                <w:sz w:val="22"/>
              </w:rPr>
            </w:pPr>
            <w:r>
              <w:rPr>
                <w:rFonts w:hint="eastAsia" w:ascii="宋体" w:hAnsi="宋体" w:cs="宋体"/>
                <w:kern w:val="0"/>
                <w:sz w:val="22"/>
              </w:rPr>
              <w:t>不锈钢盆</w:t>
            </w:r>
          </w:p>
        </w:tc>
        <w:tc>
          <w:tcPr>
            <w:tcW w:w="4897" w:type="dxa"/>
            <w:shd w:val="clear" w:color="auto" w:fill="auto"/>
            <w:vAlign w:val="center"/>
          </w:tcPr>
          <w:p w14:paraId="1E1074CD">
            <w:pPr>
              <w:widowControl/>
              <w:jc w:val="left"/>
              <w:rPr>
                <w:rFonts w:ascii="宋体" w:hAnsi="宋体" w:cs="宋体"/>
                <w:kern w:val="0"/>
                <w:sz w:val="22"/>
              </w:rPr>
            </w:pPr>
            <w:r>
              <w:rPr>
                <w:rFonts w:hint="eastAsia" w:ascii="宋体" w:hAnsi="宋体" w:cs="宋体"/>
                <w:kern w:val="0"/>
                <w:sz w:val="22"/>
              </w:rPr>
              <w:t>直径60公分</w:t>
            </w:r>
          </w:p>
        </w:tc>
        <w:tc>
          <w:tcPr>
            <w:tcW w:w="462" w:type="dxa"/>
            <w:shd w:val="clear" w:color="auto" w:fill="auto"/>
            <w:noWrap/>
            <w:vAlign w:val="center"/>
          </w:tcPr>
          <w:p w14:paraId="785DA693">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3BCC47E5">
            <w:pPr>
              <w:widowControl/>
              <w:jc w:val="center"/>
              <w:rPr>
                <w:rFonts w:ascii="宋体" w:hAnsi="宋体" w:cs="宋体"/>
                <w:kern w:val="0"/>
                <w:sz w:val="22"/>
              </w:rPr>
            </w:pPr>
            <w:r>
              <w:rPr>
                <w:rFonts w:hint="eastAsia" w:ascii="宋体" w:hAnsi="宋体" w:cs="宋体"/>
                <w:kern w:val="0"/>
                <w:sz w:val="22"/>
              </w:rPr>
              <w:t>30</w:t>
            </w:r>
          </w:p>
        </w:tc>
        <w:tc>
          <w:tcPr>
            <w:tcW w:w="1048" w:type="dxa"/>
            <w:shd w:val="clear" w:color="auto" w:fill="auto"/>
            <w:noWrap/>
            <w:vAlign w:val="center"/>
          </w:tcPr>
          <w:p w14:paraId="26EEE4A6">
            <w:pPr>
              <w:widowControl/>
              <w:jc w:val="center"/>
              <w:rPr>
                <w:rFonts w:ascii="宋体" w:hAnsi="宋体" w:cs="宋体"/>
                <w:kern w:val="0"/>
                <w:sz w:val="22"/>
              </w:rPr>
            </w:pPr>
            <w:r>
              <w:rPr>
                <w:rFonts w:hint="eastAsia" w:ascii="宋体" w:hAnsi="宋体" w:cs="宋体"/>
                <w:kern w:val="0"/>
                <w:sz w:val="22"/>
              </w:rPr>
              <w:t>60</w:t>
            </w:r>
          </w:p>
        </w:tc>
        <w:tc>
          <w:tcPr>
            <w:tcW w:w="1489" w:type="dxa"/>
            <w:shd w:val="clear" w:color="auto" w:fill="auto"/>
            <w:noWrap/>
            <w:vAlign w:val="center"/>
          </w:tcPr>
          <w:p w14:paraId="35C68095">
            <w:pPr>
              <w:widowControl/>
              <w:jc w:val="center"/>
              <w:rPr>
                <w:rFonts w:ascii="宋体" w:hAnsi="宋体" w:cs="宋体"/>
                <w:kern w:val="0"/>
                <w:sz w:val="22"/>
              </w:rPr>
            </w:pPr>
            <w:r>
              <w:rPr>
                <w:rFonts w:hint="eastAsia" w:ascii="宋体" w:hAnsi="宋体" w:cs="宋体"/>
                <w:kern w:val="0"/>
                <w:sz w:val="22"/>
              </w:rPr>
              <w:t>1800</w:t>
            </w:r>
          </w:p>
        </w:tc>
      </w:tr>
      <w:tr w14:paraId="36CD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47D9AB6">
            <w:pPr>
              <w:widowControl/>
              <w:jc w:val="center"/>
              <w:rPr>
                <w:rFonts w:ascii="宋体" w:hAnsi="宋体" w:cs="宋体"/>
                <w:kern w:val="0"/>
                <w:sz w:val="22"/>
              </w:rPr>
            </w:pPr>
            <w:r>
              <w:rPr>
                <w:rFonts w:hint="eastAsia" w:ascii="宋体" w:hAnsi="宋体" w:cs="宋体"/>
                <w:kern w:val="0"/>
                <w:sz w:val="22"/>
              </w:rPr>
              <w:t>9</w:t>
            </w:r>
          </w:p>
        </w:tc>
        <w:tc>
          <w:tcPr>
            <w:tcW w:w="1072" w:type="dxa"/>
            <w:shd w:val="clear" w:color="auto" w:fill="auto"/>
            <w:vAlign w:val="center"/>
          </w:tcPr>
          <w:p w14:paraId="11A535A0">
            <w:pPr>
              <w:widowControl/>
              <w:jc w:val="center"/>
              <w:rPr>
                <w:rFonts w:ascii="宋体" w:hAnsi="宋体" w:cs="宋体"/>
                <w:kern w:val="0"/>
                <w:sz w:val="22"/>
              </w:rPr>
            </w:pPr>
            <w:r>
              <w:rPr>
                <w:rFonts w:hint="eastAsia" w:ascii="宋体" w:hAnsi="宋体" w:cs="宋体"/>
                <w:kern w:val="0"/>
                <w:sz w:val="22"/>
              </w:rPr>
              <w:t>白色食品级加厚塑料盆</w:t>
            </w:r>
          </w:p>
        </w:tc>
        <w:tc>
          <w:tcPr>
            <w:tcW w:w="4897" w:type="dxa"/>
            <w:shd w:val="clear" w:color="auto" w:fill="auto"/>
            <w:vAlign w:val="center"/>
          </w:tcPr>
          <w:p w14:paraId="0A06F832">
            <w:pPr>
              <w:widowControl/>
              <w:jc w:val="left"/>
              <w:rPr>
                <w:rFonts w:ascii="宋体" w:hAnsi="宋体" w:cs="宋体"/>
                <w:kern w:val="0"/>
                <w:sz w:val="22"/>
              </w:rPr>
            </w:pPr>
            <w:r>
              <w:rPr>
                <w:rFonts w:hint="eastAsia" w:ascii="宋体" w:hAnsi="宋体" w:cs="宋体"/>
                <w:kern w:val="0"/>
                <w:sz w:val="22"/>
              </w:rPr>
              <w:t>长54*宽38*高20（cm)</w:t>
            </w:r>
          </w:p>
        </w:tc>
        <w:tc>
          <w:tcPr>
            <w:tcW w:w="462" w:type="dxa"/>
            <w:shd w:val="clear" w:color="auto" w:fill="auto"/>
            <w:noWrap/>
            <w:vAlign w:val="center"/>
          </w:tcPr>
          <w:p w14:paraId="486C4B10">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7D8887CA">
            <w:pPr>
              <w:widowControl/>
              <w:jc w:val="center"/>
              <w:rPr>
                <w:rFonts w:ascii="宋体" w:hAnsi="宋体" w:cs="宋体"/>
                <w:kern w:val="0"/>
                <w:sz w:val="22"/>
              </w:rPr>
            </w:pPr>
            <w:r>
              <w:rPr>
                <w:rFonts w:hint="eastAsia" w:ascii="宋体" w:hAnsi="宋体" w:cs="宋体"/>
                <w:kern w:val="0"/>
                <w:sz w:val="22"/>
              </w:rPr>
              <w:t>50</w:t>
            </w:r>
          </w:p>
        </w:tc>
        <w:tc>
          <w:tcPr>
            <w:tcW w:w="1048" w:type="dxa"/>
            <w:shd w:val="clear" w:color="auto" w:fill="auto"/>
            <w:noWrap/>
            <w:vAlign w:val="center"/>
          </w:tcPr>
          <w:p w14:paraId="79CE4E8F">
            <w:pPr>
              <w:widowControl/>
              <w:jc w:val="center"/>
              <w:rPr>
                <w:rFonts w:ascii="宋体" w:hAnsi="宋体" w:cs="宋体"/>
                <w:kern w:val="0"/>
                <w:sz w:val="22"/>
              </w:rPr>
            </w:pPr>
            <w:r>
              <w:rPr>
                <w:rFonts w:hint="eastAsia" w:ascii="宋体" w:hAnsi="宋体" w:cs="宋体"/>
                <w:kern w:val="0"/>
                <w:sz w:val="22"/>
              </w:rPr>
              <w:t>50</w:t>
            </w:r>
          </w:p>
        </w:tc>
        <w:tc>
          <w:tcPr>
            <w:tcW w:w="1489" w:type="dxa"/>
            <w:shd w:val="clear" w:color="auto" w:fill="auto"/>
            <w:noWrap/>
            <w:vAlign w:val="center"/>
          </w:tcPr>
          <w:p w14:paraId="7AA8BFA7">
            <w:pPr>
              <w:widowControl/>
              <w:jc w:val="center"/>
              <w:rPr>
                <w:rFonts w:ascii="宋体" w:hAnsi="宋体" w:cs="宋体"/>
                <w:kern w:val="0"/>
                <w:sz w:val="22"/>
              </w:rPr>
            </w:pPr>
            <w:r>
              <w:rPr>
                <w:rFonts w:hint="eastAsia" w:ascii="宋体" w:hAnsi="宋体" w:cs="宋体"/>
                <w:kern w:val="0"/>
                <w:sz w:val="22"/>
              </w:rPr>
              <w:t>2500</w:t>
            </w:r>
          </w:p>
        </w:tc>
      </w:tr>
      <w:tr w14:paraId="72F3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0C26901">
            <w:pPr>
              <w:widowControl/>
              <w:jc w:val="center"/>
              <w:rPr>
                <w:rFonts w:ascii="宋体" w:hAnsi="宋体" w:cs="宋体"/>
                <w:kern w:val="0"/>
                <w:sz w:val="22"/>
              </w:rPr>
            </w:pPr>
            <w:r>
              <w:rPr>
                <w:rFonts w:hint="eastAsia" w:ascii="宋体" w:hAnsi="宋体" w:cs="宋体"/>
                <w:kern w:val="0"/>
                <w:sz w:val="22"/>
              </w:rPr>
              <w:t>10</w:t>
            </w:r>
          </w:p>
        </w:tc>
        <w:tc>
          <w:tcPr>
            <w:tcW w:w="1072" w:type="dxa"/>
            <w:shd w:val="clear" w:color="auto" w:fill="auto"/>
            <w:vAlign w:val="center"/>
          </w:tcPr>
          <w:p w14:paraId="3D4305F5">
            <w:pPr>
              <w:widowControl/>
              <w:jc w:val="center"/>
              <w:rPr>
                <w:rFonts w:ascii="宋体" w:hAnsi="宋体" w:cs="宋体"/>
                <w:kern w:val="0"/>
                <w:sz w:val="22"/>
              </w:rPr>
            </w:pPr>
            <w:r>
              <w:rPr>
                <w:rFonts w:hint="eastAsia" w:ascii="宋体" w:hAnsi="宋体" w:cs="宋体"/>
                <w:kern w:val="0"/>
                <w:sz w:val="22"/>
              </w:rPr>
              <w:t>单头电磁炒锅</w:t>
            </w:r>
          </w:p>
        </w:tc>
        <w:tc>
          <w:tcPr>
            <w:tcW w:w="4897" w:type="dxa"/>
            <w:shd w:val="clear" w:color="auto" w:fill="auto"/>
            <w:vAlign w:val="center"/>
          </w:tcPr>
          <w:p w14:paraId="4F48637E">
            <w:pPr>
              <w:widowControl/>
              <w:jc w:val="left"/>
              <w:rPr>
                <w:rFonts w:ascii="宋体" w:hAnsi="宋体" w:cs="宋体"/>
                <w:kern w:val="0"/>
                <w:sz w:val="22"/>
              </w:rPr>
            </w:pPr>
            <w:r>
              <w:rPr>
                <w:rFonts w:hint="eastAsia" w:ascii="宋体" w:hAnsi="宋体" w:cs="宋体"/>
                <w:kern w:val="0"/>
                <w:sz w:val="22"/>
              </w:rPr>
              <w:t xml:space="preserve">单头800大炒炉，规格：1000*1100*1200㎜    φ800              </w:t>
            </w:r>
            <w:r>
              <w:rPr>
                <w:rFonts w:hint="eastAsia" w:ascii="宋体" w:hAnsi="宋体" w:cs="宋体"/>
                <w:kern w:val="0"/>
                <w:sz w:val="22"/>
              </w:rPr>
              <w:br w:type="textWrapping"/>
            </w:r>
            <w:r>
              <w:rPr>
                <w:rFonts w:hint="eastAsia" w:ascii="宋体" w:hAnsi="宋体" w:cs="宋体"/>
                <w:kern w:val="0"/>
                <w:sz w:val="22"/>
              </w:rPr>
              <w:t>1、功率/电压：25kw /380v，采用3mm厚Φ800mm专用锅，炉面使用1.25mm厚#201材质油膜不锈钢板材，焊接处采用满焊工艺，炉面一体拉伸成型；</w:t>
            </w:r>
            <w:r>
              <w:rPr>
                <w:rFonts w:hint="eastAsia" w:ascii="宋体" w:hAnsi="宋体" w:cs="宋体"/>
                <w:kern w:val="0"/>
                <w:sz w:val="22"/>
              </w:rPr>
              <w:br w:type="textWrapping"/>
            </w:r>
            <w:r>
              <w:rPr>
                <w:rFonts w:hint="eastAsia" w:ascii="宋体" w:hAnsi="宋体" w:cs="宋体"/>
                <w:kern w:val="0"/>
                <w:sz w:val="22"/>
              </w:rPr>
              <w:t>▲2、使用磁感18档位周旋火力调节开关，档位对应精确功率调节；</w:t>
            </w:r>
            <w:r>
              <w:rPr>
                <w:rFonts w:hint="eastAsia" w:ascii="宋体" w:hAnsi="宋体" w:cs="宋体"/>
                <w:kern w:val="0"/>
                <w:sz w:val="22"/>
              </w:rPr>
              <w:br w:type="textWrapping"/>
            </w:r>
            <w:r>
              <w:rPr>
                <w:rFonts w:hint="eastAsia" w:ascii="宋体" w:hAnsi="宋体" w:cs="宋体"/>
                <w:kern w:val="0"/>
                <w:sz w:val="22"/>
              </w:rPr>
              <w:t>3、全密封模块化机芯，分层负压散热设计，杜绝漏电、散热好，有效防虫、防水、防油污侵蚀，机芯更耐用；</w:t>
            </w:r>
            <w:r>
              <w:rPr>
                <w:rFonts w:hint="eastAsia" w:ascii="宋体" w:hAnsi="宋体" w:cs="宋体"/>
                <w:kern w:val="0"/>
                <w:sz w:val="22"/>
              </w:rPr>
              <w:br w:type="textWrapping"/>
            </w:r>
            <w:r>
              <w:rPr>
                <w:rFonts w:hint="eastAsia" w:ascii="宋体" w:hAnsi="宋体" w:cs="宋体"/>
                <w:kern w:val="0"/>
                <w:sz w:val="22"/>
              </w:rPr>
              <w:t>▲4、配置耐高温、防漏电高压电源，运行平稳；</w:t>
            </w:r>
            <w:r>
              <w:rPr>
                <w:rFonts w:hint="eastAsia" w:ascii="宋体" w:hAnsi="宋体" w:cs="宋体"/>
                <w:kern w:val="0"/>
                <w:sz w:val="22"/>
              </w:rPr>
              <w:br w:type="textWrapping"/>
            </w:r>
            <w:r>
              <w:rPr>
                <w:rFonts w:hint="eastAsia" w:ascii="宋体" w:hAnsi="宋体" w:cs="宋体"/>
                <w:kern w:val="0"/>
                <w:sz w:val="22"/>
              </w:rPr>
              <w:t>5、背面使用变频防水风机，节能、清洗炉灶安全；</w:t>
            </w:r>
            <w:r>
              <w:rPr>
                <w:rFonts w:hint="eastAsia" w:ascii="宋体" w:hAnsi="宋体" w:cs="宋体"/>
                <w:kern w:val="0"/>
                <w:sz w:val="22"/>
              </w:rPr>
              <w:br w:type="textWrapping"/>
            </w:r>
            <w:r>
              <w:rPr>
                <w:rFonts w:hint="eastAsia" w:ascii="宋体" w:hAnsi="宋体" w:cs="宋体"/>
                <w:kern w:val="0"/>
                <w:sz w:val="22"/>
              </w:rPr>
              <w:t>▲6、配置耐高压、耐腐蚀、耐高温线盘，聚能设计，均匀加热，节能明显；</w:t>
            </w:r>
            <w:r>
              <w:rPr>
                <w:rFonts w:hint="eastAsia" w:ascii="宋体" w:hAnsi="宋体" w:cs="宋体"/>
                <w:kern w:val="0"/>
                <w:sz w:val="22"/>
              </w:rPr>
              <w:br w:type="textWrapping"/>
            </w:r>
            <w:r>
              <w:rPr>
                <w:rFonts w:hint="eastAsia" w:ascii="宋体" w:hAnsi="宋体" w:cs="宋体"/>
                <w:kern w:val="0"/>
                <w:sz w:val="22"/>
              </w:rPr>
              <w:t>7、采用 200*130mm 大屏设计，功能信息清楚明了；</w:t>
            </w:r>
            <w:r>
              <w:rPr>
                <w:rFonts w:hint="eastAsia" w:ascii="宋体" w:hAnsi="宋体" w:cs="宋体"/>
                <w:kern w:val="0"/>
                <w:sz w:val="22"/>
              </w:rPr>
              <w:br w:type="textWrapping"/>
            </w:r>
            <w:r>
              <w:rPr>
                <w:rFonts w:hint="eastAsia" w:ascii="宋体" w:hAnsi="宋体" w:cs="宋体"/>
                <w:kern w:val="0"/>
                <w:sz w:val="22"/>
              </w:rPr>
              <w:t>▲8、屏显锅具加热弧度同步功能、屏显锅具温度同步功能、屏显瞬间火力大小模拟同步功能、屏显电量累计功能，全屏显示，厨师轻松掌握火力大小、用电。</w:t>
            </w:r>
          </w:p>
        </w:tc>
        <w:tc>
          <w:tcPr>
            <w:tcW w:w="462" w:type="dxa"/>
            <w:shd w:val="clear" w:color="auto" w:fill="auto"/>
            <w:noWrap/>
            <w:vAlign w:val="center"/>
          </w:tcPr>
          <w:p w14:paraId="271DB5C3">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39D2BD47">
            <w:pPr>
              <w:widowControl/>
              <w:jc w:val="center"/>
              <w:rPr>
                <w:rFonts w:ascii="宋体" w:hAnsi="宋体" w:cs="宋体"/>
                <w:kern w:val="0"/>
                <w:sz w:val="22"/>
              </w:rPr>
            </w:pPr>
            <w:r>
              <w:rPr>
                <w:rFonts w:hint="eastAsia" w:ascii="宋体" w:hAnsi="宋体" w:cs="宋体"/>
                <w:kern w:val="0"/>
                <w:sz w:val="22"/>
              </w:rPr>
              <w:t>5</w:t>
            </w:r>
          </w:p>
        </w:tc>
        <w:tc>
          <w:tcPr>
            <w:tcW w:w="1048" w:type="dxa"/>
            <w:shd w:val="clear" w:color="auto" w:fill="auto"/>
            <w:noWrap/>
            <w:vAlign w:val="center"/>
          </w:tcPr>
          <w:p w14:paraId="64B4128D">
            <w:pPr>
              <w:widowControl/>
              <w:jc w:val="center"/>
              <w:rPr>
                <w:rFonts w:ascii="宋体" w:hAnsi="宋体" w:cs="宋体"/>
                <w:kern w:val="0"/>
                <w:sz w:val="22"/>
              </w:rPr>
            </w:pPr>
            <w:r>
              <w:rPr>
                <w:rFonts w:hint="eastAsia" w:ascii="宋体" w:hAnsi="宋体" w:cs="宋体"/>
                <w:kern w:val="0"/>
                <w:sz w:val="22"/>
              </w:rPr>
              <w:t>7800</w:t>
            </w:r>
          </w:p>
        </w:tc>
        <w:tc>
          <w:tcPr>
            <w:tcW w:w="1489" w:type="dxa"/>
            <w:shd w:val="clear" w:color="auto" w:fill="auto"/>
            <w:noWrap/>
            <w:vAlign w:val="center"/>
          </w:tcPr>
          <w:p w14:paraId="6B38892E">
            <w:pPr>
              <w:widowControl/>
              <w:jc w:val="center"/>
              <w:rPr>
                <w:rFonts w:ascii="宋体" w:hAnsi="宋体" w:cs="宋体"/>
                <w:kern w:val="0"/>
                <w:sz w:val="22"/>
              </w:rPr>
            </w:pPr>
            <w:r>
              <w:rPr>
                <w:rFonts w:hint="eastAsia" w:ascii="宋体" w:hAnsi="宋体" w:cs="宋体"/>
                <w:kern w:val="0"/>
                <w:sz w:val="22"/>
              </w:rPr>
              <w:t>39000</w:t>
            </w:r>
          </w:p>
        </w:tc>
      </w:tr>
      <w:tr w14:paraId="2918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7829680">
            <w:pPr>
              <w:widowControl/>
              <w:jc w:val="center"/>
              <w:rPr>
                <w:rFonts w:ascii="宋体" w:hAnsi="宋体" w:cs="宋体"/>
                <w:kern w:val="0"/>
                <w:sz w:val="22"/>
              </w:rPr>
            </w:pPr>
            <w:r>
              <w:rPr>
                <w:rFonts w:hint="eastAsia" w:ascii="宋体" w:hAnsi="宋体" w:cs="宋体"/>
                <w:kern w:val="0"/>
                <w:sz w:val="22"/>
              </w:rPr>
              <w:t>11</w:t>
            </w:r>
          </w:p>
        </w:tc>
        <w:tc>
          <w:tcPr>
            <w:tcW w:w="1072" w:type="dxa"/>
            <w:shd w:val="clear" w:color="auto" w:fill="auto"/>
            <w:vAlign w:val="center"/>
          </w:tcPr>
          <w:p w14:paraId="37D47003">
            <w:pPr>
              <w:widowControl/>
              <w:jc w:val="center"/>
              <w:rPr>
                <w:rFonts w:ascii="宋体" w:hAnsi="宋体" w:cs="宋体"/>
                <w:kern w:val="0"/>
                <w:sz w:val="22"/>
              </w:rPr>
            </w:pPr>
            <w:r>
              <w:rPr>
                <w:rFonts w:hint="eastAsia" w:ascii="宋体" w:hAnsi="宋体" w:cs="宋体"/>
                <w:kern w:val="0"/>
                <w:sz w:val="22"/>
              </w:rPr>
              <w:t>工作台</w:t>
            </w:r>
          </w:p>
        </w:tc>
        <w:tc>
          <w:tcPr>
            <w:tcW w:w="4897" w:type="dxa"/>
            <w:shd w:val="clear" w:color="auto" w:fill="auto"/>
            <w:vAlign w:val="center"/>
          </w:tcPr>
          <w:p w14:paraId="6BD9EFD0">
            <w:pPr>
              <w:widowControl/>
              <w:jc w:val="left"/>
              <w:rPr>
                <w:rFonts w:ascii="宋体" w:hAnsi="宋体" w:cs="宋体"/>
                <w:kern w:val="0"/>
                <w:sz w:val="22"/>
              </w:rPr>
            </w:pPr>
            <w:r>
              <w:rPr>
                <w:rFonts w:hint="eastAsia" w:ascii="宋体" w:hAnsi="宋体" w:cs="宋体"/>
                <w:kern w:val="0"/>
                <w:sz w:val="22"/>
              </w:rPr>
              <w:t>规格：1800x800x800mm</w:t>
            </w:r>
            <w:r>
              <w:rPr>
                <w:rFonts w:hint="eastAsia" w:ascii="宋体" w:hAnsi="宋体" w:cs="宋体"/>
                <w:kern w:val="0"/>
                <w:sz w:val="22"/>
              </w:rPr>
              <w:br w:type="textWrapping"/>
            </w:r>
            <w:r>
              <w:rPr>
                <w:rFonts w:hint="eastAsia" w:ascii="宋体" w:hAnsi="宋体" w:cs="宋体"/>
                <w:kern w:val="0"/>
                <w:sz w:val="22"/>
              </w:rPr>
              <w:t>1、台面板采用厚1.2mm优质SUS304#不锈钢磨砂贴塑板；</w:t>
            </w:r>
            <w:r>
              <w:rPr>
                <w:rFonts w:hint="eastAsia" w:ascii="宋体" w:hAnsi="宋体" w:cs="宋体"/>
                <w:kern w:val="0"/>
                <w:sz w:val="22"/>
              </w:rPr>
              <w:br w:type="textWrapping"/>
            </w:r>
            <w:r>
              <w:rPr>
                <w:rFonts w:hint="eastAsia" w:ascii="宋体" w:hAnsi="宋体" w:cs="宋体"/>
                <w:kern w:val="0"/>
                <w:sz w:val="22"/>
              </w:rPr>
              <w:t>2、层板用厚1.2mm优质SUS304#不锈钢磨砂贴塑板。</w:t>
            </w:r>
            <w:r>
              <w:rPr>
                <w:rFonts w:hint="eastAsia" w:ascii="宋体" w:hAnsi="宋体" w:cs="宋体"/>
                <w:kern w:val="0"/>
                <w:sz w:val="22"/>
              </w:rPr>
              <w:br w:type="textWrapping"/>
            </w:r>
            <w:r>
              <w:rPr>
                <w:rFonts w:hint="eastAsia" w:ascii="宋体" w:hAnsi="宋体" w:cs="宋体"/>
                <w:kern w:val="0"/>
                <w:sz w:val="22"/>
              </w:rPr>
              <w:t xml:space="preserve">3、可调子弹脚用Φ38x1.0mm不锈钢子弹脚；  </w:t>
            </w:r>
          </w:p>
        </w:tc>
        <w:tc>
          <w:tcPr>
            <w:tcW w:w="462" w:type="dxa"/>
            <w:shd w:val="clear" w:color="auto" w:fill="auto"/>
            <w:noWrap/>
            <w:vAlign w:val="center"/>
          </w:tcPr>
          <w:p w14:paraId="22D1FEC4">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6D2776F3">
            <w:pPr>
              <w:widowControl/>
              <w:jc w:val="center"/>
              <w:rPr>
                <w:rFonts w:ascii="宋体" w:hAnsi="宋体" w:cs="宋体"/>
                <w:kern w:val="0"/>
                <w:sz w:val="22"/>
              </w:rPr>
            </w:pPr>
            <w:r>
              <w:rPr>
                <w:rFonts w:hint="eastAsia" w:ascii="宋体" w:hAnsi="宋体" w:cs="宋体"/>
                <w:kern w:val="0"/>
                <w:sz w:val="22"/>
              </w:rPr>
              <w:t>6</w:t>
            </w:r>
          </w:p>
        </w:tc>
        <w:tc>
          <w:tcPr>
            <w:tcW w:w="1048" w:type="dxa"/>
            <w:shd w:val="clear" w:color="auto" w:fill="auto"/>
            <w:noWrap/>
            <w:vAlign w:val="center"/>
          </w:tcPr>
          <w:p w14:paraId="1E0B28A3">
            <w:pPr>
              <w:widowControl/>
              <w:jc w:val="center"/>
              <w:rPr>
                <w:rFonts w:ascii="宋体" w:hAnsi="宋体" w:cs="宋体"/>
                <w:kern w:val="0"/>
                <w:sz w:val="22"/>
              </w:rPr>
            </w:pPr>
            <w:r>
              <w:rPr>
                <w:rFonts w:hint="eastAsia" w:ascii="宋体" w:hAnsi="宋体" w:cs="宋体"/>
                <w:kern w:val="0"/>
                <w:sz w:val="22"/>
              </w:rPr>
              <w:t>1360</w:t>
            </w:r>
          </w:p>
        </w:tc>
        <w:tc>
          <w:tcPr>
            <w:tcW w:w="1489" w:type="dxa"/>
            <w:shd w:val="clear" w:color="auto" w:fill="auto"/>
            <w:noWrap/>
            <w:vAlign w:val="center"/>
          </w:tcPr>
          <w:p w14:paraId="2D22BF78">
            <w:pPr>
              <w:widowControl/>
              <w:jc w:val="center"/>
              <w:rPr>
                <w:rFonts w:ascii="宋体" w:hAnsi="宋体" w:cs="宋体"/>
                <w:kern w:val="0"/>
                <w:sz w:val="22"/>
              </w:rPr>
            </w:pPr>
            <w:r>
              <w:rPr>
                <w:rFonts w:hint="eastAsia" w:ascii="宋体" w:hAnsi="宋体" w:cs="宋体"/>
                <w:kern w:val="0"/>
                <w:sz w:val="22"/>
              </w:rPr>
              <w:t>8160</w:t>
            </w:r>
          </w:p>
        </w:tc>
      </w:tr>
      <w:tr w14:paraId="0E91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1426B9C">
            <w:pPr>
              <w:widowControl/>
              <w:jc w:val="center"/>
              <w:rPr>
                <w:rFonts w:ascii="宋体" w:hAnsi="宋体" w:cs="宋体"/>
                <w:kern w:val="0"/>
                <w:sz w:val="22"/>
              </w:rPr>
            </w:pPr>
            <w:r>
              <w:rPr>
                <w:rFonts w:hint="eastAsia" w:ascii="宋体" w:hAnsi="宋体" w:cs="宋体"/>
                <w:kern w:val="0"/>
                <w:sz w:val="22"/>
              </w:rPr>
              <w:t>12</w:t>
            </w:r>
          </w:p>
        </w:tc>
        <w:tc>
          <w:tcPr>
            <w:tcW w:w="1072" w:type="dxa"/>
            <w:shd w:val="clear" w:color="auto" w:fill="auto"/>
            <w:vAlign w:val="center"/>
          </w:tcPr>
          <w:p w14:paraId="0C270CB4">
            <w:pPr>
              <w:widowControl/>
              <w:jc w:val="center"/>
              <w:rPr>
                <w:rFonts w:ascii="宋体" w:hAnsi="宋体" w:cs="宋体"/>
                <w:kern w:val="0"/>
                <w:sz w:val="22"/>
              </w:rPr>
            </w:pPr>
            <w:r>
              <w:rPr>
                <w:rFonts w:hint="eastAsia" w:ascii="宋体" w:hAnsi="宋体" w:cs="宋体"/>
                <w:kern w:val="0"/>
                <w:sz w:val="22"/>
              </w:rPr>
              <w:t>6门冰箱</w:t>
            </w:r>
          </w:p>
        </w:tc>
        <w:tc>
          <w:tcPr>
            <w:tcW w:w="4897" w:type="dxa"/>
            <w:shd w:val="clear" w:color="auto" w:fill="auto"/>
            <w:vAlign w:val="center"/>
          </w:tcPr>
          <w:p w14:paraId="511EFE60">
            <w:pPr>
              <w:widowControl/>
              <w:jc w:val="left"/>
              <w:rPr>
                <w:rFonts w:ascii="宋体" w:hAnsi="宋体" w:cs="宋体"/>
                <w:kern w:val="0"/>
                <w:sz w:val="22"/>
              </w:rPr>
            </w:pPr>
            <w:r>
              <w:rPr>
                <w:rFonts w:hint="eastAsia" w:ascii="宋体" w:hAnsi="宋体" w:cs="宋体"/>
                <w:kern w:val="0"/>
                <w:sz w:val="22"/>
              </w:rPr>
              <w:t>规格：六门</w:t>
            </w:r>
            <w:r>
              <w:rPr>
                <w:rFonts w:hint="eastAsia" w:ascii="宋体" w:hAnsi="宋体" w:cs="宋体"/>
                <w:kern w:val="0"/>
                <w:sz w:val="22"/>
              </w:rPr>
              <w:br w:type="textWrapping"/>
            </w:r>
            <w:r>
              <w:rPr>
                <w:rFonts w:hint="eastAsia" w:ascii="宋体" w:hAnsi="宋体" w:cs="宋体"/>
                <w:kern w:val="0"/>
                <w:sz w:val="22"/>
              </w:rPr>
              <w:t xml:space="preserve">1、工程款全不锈钢板；                                                      </w:t>
            </w:r>
            <w:r>
              <w:rPr>
                <w:rFonts w:hint="eastAsia" w:ascii="宋体" w:hAnsi="宋体" w:cs="宋体"/>
                <w:kern w:val="0"/>
                <w:sz w:val="22"/>
              </w:rPr>
              <w:br w:type="textWrapping"/>
            </w:r>
            <w:r>
              <w:rPr>
                <w:rFonts w:hint="eastAsia" w:ascii="宋体" w:hAnsi="宋体" w:cs="宋体"/>
                <w:kern w:val="0"/>
                <w:sz w:val="22"/>
              </w:rPr>
              <w:t xml:space="preserve">2、高品质压缩机、全铜管、双机双温；                               </w:t>
            </w:r>
            <w:r>
              <w:rPr>
                <w:rFonts w:hint="eastAsia" w:ascii="宋体" w:hAnsi="宋体" w:cs="宋体"/>
                <w:kern w:val="0"/>
                <w:sz w:val="22"/>
              </w:rPr>
              <w:br w:type="textWrapping"/>
            </w:r>
            <w:r>
              <w:rPr>
                <w:rFonts w:hint="eastAsia" w:ascii="宋体" w:hAnsi="宋体" w:cs="宋体"/>
                <w:kern w:val="0"/>
                <w:sz w:val="22"/>
              </w:rPr>
              <w:t xml:space="preserve">3、温度要求冷冻：-15~-5℃  冷藏：-5~10；                                   </w:t>
            </w:r>
            <w:r>
              <w:rPr>
                <w:rFonts w:hint="eastAsia" w:ascii="宋体" w:hAnsi="宋体" w:cs="宋体"/>
                <w:kern w:val="0"/>
                <w:sz w:val="22"/>
              </w:rPr>
              <w:br w:type="textWrapping"/>
            </w:r>
            <w:r>
              <w:rPr>
                <w:rFonts w:hint="eastAsia" w:ascii="宋体" w:hAnsi="宋体" w:cs="宋体"/>
                <w:kern w:val="0"/>
                <w:sz w:val="22"/>
              </w:rPr>
              <w:t xml:space="preserve">4、容积：790L；                                                        </w:t>
            </w:r>
            <w:r>
              <w:rPr>
                <w:rFonts w:hint="eastAsia" w:ascii="宋体" w:hAnsi="宋体" w:cs="宋体"/>
                <w:kern w:val="0"/>
                <w:sz w:val="22"/>
              </w:rPr>
              <w:br w:type="textWrapping"/>
            </w:r>
            <w:r>
              <w:rPr>
                <w:rFonts w:hint="eastAsia" w:ascii="宋体" w:hAnsi="宋体" w:cs="宋体"/>
                <w:kern w:val="0"/>
                <w:sz w:val="22"/>
              </w:rPr>
              <w:t xml:space="preserve">5、电压/功率：220V/320W；                                          </w:t>
            </w:r>
            <w:r>
              <w:rPr>
                <w:rFonts w:hint="eastAsia" w:ascii="宋体" w:hAnsi="宋体" w:cs="宋体"/>
                <w:kern w:val="0"/>
                <w:sz w:val="22"/>
              </w:rPr>
              <w:br w:type="textWrapping"/>
            </w:r>
            <w:r>
              <w:rPr>
                <w:rFonts w:hint="eastAsia" w:ascii="宋体" w:hAnsi="宋体" w:cs="宋体"/>
                <w:kern w:val="0"/>
                <w:sz w:val="22"/>
              </w:rPr>
              <w:t>6、符合HACCP国际卫生标准设计，有效保证食品安全；</w:t>
            </w:r>
            <w:r>
              <w:rPr>
                <w:rFonts w:hint="eastAsia" w:ascii="宋体" w:hAnsi="宋体" w:cs="宋体"/>
                <w:kern w:val="0"/>
                <w:sz w:val="22"/>
              </w:rPr>
              <w:br w:type="textWrapping"/>
            </w:r>
            <w:r>
              <w:rPr>
                <w:rFonts w:hint="eastAsia" w:ascii="宋体" w:hAnsi="宋体" w:cs="宋体"/>
                <w:kern w:val="0"/>
                <w:sz w:val="22"/>
              </w:rPr>
              <w:t xml:space="preserve">7、整体式顶置制冷系统，辅以独特的风道设计，制冷迅速均匀且方便维修；                                                                                           8、采用无CFC的环保雪种（R134a)；                                     </w:t>
            </w:r>
            <w:r>
              <w:rPr>
                <w:rFonts w:hint="eastAsia" w:ascii="宋体" w:hAnsi="宋体" w:cs="宋体"/>
                <w:kern w:val="0"/>
                <w:sz w:val="22"/>
              </w:rPr>
              <w:br w:type="textWrapping"/>
            </w:r>
            <w:r>
              <w:rPr>
                <w:rFonts w:hint="eastAsia" w:ascii="宋体" w:hAnsi="宋体" w:cs="宋体"/>
                <w:kern w:val="0"/>
                <w:sz w:val="22"/>
              </w:rPr>
              <w:t>9、外箱、门、内箱材料、：SUS304不锈钢；</w:t>
            </w:r>
            <w:r>
              <w:rPr>
                <w:rFonts w:hint="eastAsia" w:ascii="宋体" w:hAnsi="宋体" w:cs="宋体"/>
                <w:kern w:val="0"/>
                <w:sz w:val="22"/>
              </w:rPr>
              <w:br w:type="textWrapping"/>
            </w:r>
            <w:r>
              <w:rPr>
                <w:rFonts w:hint="eastAsia" w:ascii="宋体" w:hAnsi="宋体" w:cs="宋体"/>
                <w:kern w:val="0"/>
                <w:sz w:val="22"/>
              </w:rPr>
              <w:t>10、整体高密度发泡，超厚保温层，柜体厚度60MM，更加节能。</w:t>
            </w:r>
          </w:p>
        </w:tc>
        <w:tc>
          <w:tcPr>
            <w:tcW w:w="462" w:type="dxa"/>
            <w:shd w:val="clear" w:color="auto" w:fill="auto"/>
            <w:noWrap/>
            <w:vAlign w:val="center"/>
          </w:tcPr>
          <w:p w14:paraId="2D11906D">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15DE807D">
            <w:pPr>
              <w:widowControl/>
              <w:jc w:val="center"/>
              <w:rPr>
                <w:rFonts w:ascii="宋体" w:hAnsi="宋体" w:cs="宋体"/>
                <w:kern w:val="0"/>
                <w:sz w:val="22"/>
              </w:rPr>
            </w:pPr>
            <w:r>
              <w:rPr>
                <w:rFonts w:hint="eastAsia" w:ascii="宋体" w:hAnsi="宋体" w:cs="宋体"/>
                <w:kern w:val="0"/>
                <w:sz w:val="22"/>
              </w:rPr>
              <w:t>4</w:t>
            </w:r>
          </w:p>
        </w:tc>
        <w:tc>
          <w:tcPr>
            <w:tcW w:w="1048" w:type="dxa"/>
            <w:shd w:val="clear" w:color="auto" w:fill="auto"/>
            <w:noWrap/>
            <w:vAlign w:val="center"/>
          </w:tcPr>
          <w:p w14:paraId="13F3FB8D">
            <w:pPr>
              <w:widowControl/>
              <w:jc w:val="center"/>
              <w:rPr>
                <w:rFonts w:ascii="宋体" w:hAnsi="宋体" w:cs="宋体"/>
                <w:kern w:val="0"/>
                <w:sz w:val="22"/>
              </w:rPr>
            </w:pPr>
            <w:r>
              <w:rPr>
                <w:rFonts w:hint="eastAsia" w:ascii="宋体" w:hAnsi="宋体" w:cs="宋体"/>
                <w:kern w:val="0"/>
                <w:sz w:val="22"/>
              </w:rPr>
              <w:t>5850</w:t>
            </w:r>
          </w:p>
        </w:tc>
        <w:tc>
          <w:tcPr>
            <w:tcW w:w="1489" w:type="dxa"/>
            <w:shd w:val="clear" w:color="auto" w:fill="auto"/>
            <w:noWrap/>
            <w:vAlign w:val="center"/>
          </w:tcPr>
          <w:p w14:paraId="12061649">
            <w:pPr>
              <w:widowControl/>
              <w:jc w:val="center"/>
              <w:rPr>
                <w:rFonts w:ascii="宋体" w:hAnsi="宋体" w:cs="宋体"/>
                <w:kern w:val="0"/>
                <w:sz w:val="22"/>
              </w:rPr>
            </w:pPr>
            <w:r>
              <w:rPr>
                <w:rFonts w:hint="eastAsia" w:ascii="宋体" w:hAnsi="宋体" w:cs="宋体"/>
                <w:kern w:val="0"/>
                <w:sz w:val="22"/>
              </w:rPr>
              <w:t>23400</w:t>
            </w:r>
          </w:p>
        </w:tc>
      </w:tr>
      <w:tr w14:paraId="34F1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30C304E">
            <w:pPr>
              <w:widowControl/>
              <w:jc w:val="center"/>
              <w:rPr>
                <w:rFonts w:ascii="宋体" w:hAnsi="宋体" w:cs="宋体"/>
                <w:kern w:val="0"/>
                <w:sz w:val="22"/>
              </w:rPr>
            </w:pPr>
            <w:r>
              <w:rPr>
                <w:rFonts w:hint="eastAsia" w:ascii="宋体" w:hAnsi="宋体" w:cs="宋体"/>
                <w:kern w:val="0"/>
                <w:sz w:val="22"/>
              </w:rPr>
              <w:t>13</w:t>
            </w:r>
          </w:p>
        </w:tc>
        <w:tc>
          <w:tcPr>
            <w:tcW w:w="1072" w:type="dxa"/>
            <w:shd w:val="clear" w:color="auto" w:fill="auto"/>
            <w:vAlign w:val="center"/>
          </w:tcPr>
          <w:p w14:paraId="05A5D863">
            <w:pPr>
              <w:widowControl/>
              <w:jc w:val="center"/>
              <w:rPr>
                <w:rFonts w:ascii="宋体" w:hAnsi="宋体" w:cs="宋体"/>
                <w:kern w:val="0"/>
                <w:sz w:val="22"/>
              </w:rPr>
            </w:pPr>
            <w:r>
              <w:rPr>
                <w:rFonts w:hint="eastAsia" w:ascii="宋体" w:hAnsi="宋体" w:cs="宋体"/>
                <w:kern w:val="0"/>
                <w:sz w:val="22"/>
              </w:rPr>
              <w:t>二层推车</w:t>
            </w:r>
          </w:p>
        </w:tc>
        <w:tc>
          <w:tcPr>
            <w:tcW w:w="4897" w:type="dxa"/>
            <w:shd w:val="clear" w:color="auto" w:fill="auto"/>
            <w:vAlign w:val="center"/>
          </w:tcPr>
          <w:p w14:paraId="466AFC59">
            <w:pPr>
              <w:widowControl/>
              <w:jc w:val="left"/>
              <w:rPr>
                <w:rFonts w:ascii="宋体" w:hAnsi="宋体" w:cs="宋体"/>
                <w:kern w:val="0"/>
                <w:sz w:val="22"/>
              </w:rPr>
            </w:pPr>
            <w:r>
              <w:rPr>
                <w:rFonts w:hint="eastAsia" w:ascii="宋体" w:hAnsi="宋体" w:cs="宋体"/>
                <w:kern w:val="0"/>
                <w:sz w:val="22"/>
              </w:rPr>
              <w:t xml:space="preserve">1、定制：长95*宽60*高100(cm)；                                                            </w:t>
            </w:r>
            <w:r>
              <w:rPr>
                <w:rFonts w:hint="eastAsia" w:ascii="宋体" w:hAnsi="宋体" w:cs="宋体"/>
                <w:kern w:val="0"/>
                <w:sz w:val="22"/>
              </w:rPr>
              <w:br w:type="textWrapping"/>
            </w:r>
            <w:r>
              <w:rPr>
                <w:rFonts w:hint="eastAsia" w:ascii="宋体" w:hAnsi="宋体" w:cs="宋体"/>
                <w:kern w:val="0"/>
                <w:sz w:val="22"/>
              </w:rPr>
              <w:t xml:space="preserve">2、板材采用1.2mm优质SUS304#不锈钢磨砂贴塑板;                           </w:t>
            </w:r>
            <w:r>
              <w:rPr>
                <w:rFonts w:hint="eastAsia" w:ascii="宋体" w:hAnsi="宋体" w:cs="宋体"/>
                <w:kern w:val="0"/>
                <w:sz w:val="22"/>
              </w:rPr>
              <w:br w:type="textWrapping"/>
            </w:r>
            <w:r>
              <w:rPr>
                <w:rFonts w:hint="eastAsia" w:ascii="宋体" w:hAnsi="宋体" w:cs="宋体"/>
                <w:kern w:val="0"/>
                <w:sz w:val="22"/>
              </w:rPr>
              <w:t xml:space="preserve">3、配四个超强承重静音万向轮带刹车，可承重300KG；                           </w:t>
            </w:r>
          </w:p>
        </w:tc>
        <w:tc>
          <w:tcPr>
            <w:tcW w:w="462" w:type="dxa"/>
            <w:shd w:val="clear" w:color="auto" w:fill="auto"/>
            <w:noWrap/>
            <w:vAlign w:val="center"/>
          </w:tcPr>
          <w:p w14:paraId="115FBD83">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20F61752">
            <w:pPr>
              <w:widowControl/>
              <w:jc w:val="center"/>
              <w:rPr>
                <w:rFonts w:ascii="宋体" w:hAnsi="宋体" w:cs="宋体"/>
                <w:kern w:val="0"/>
                <w:sz w:val="22"/>
              </w:rPr>
            </w:pPr>
            <w:r>
              <w:rPr>
                <w:rFonts w:hint="eastAsia" w:ascii="宋体" w:hAnsi="宋体" w:cs="宋体"/>
                <w:kern w:val="0"/>
                <w:sz w:val="22"/>
              </w:rPr>
              <w:t>8</w:t>
            </w:r>
          </w:p>
        </w:tc>
        <w:tc>
          <w:tcPr>
            <w:tcW w:w="1048" w:type="dxa"/>
            <w:shd w:val="clear" w:color="auto" w:fill="auto"/>
            <w:noWrap/>
            <w:vAlign w:val="center"/>
          </w:tcPr>
          <w:p w14:paraId="1BE95844">
            <w:pPr>
              <w:widowControl/>
              <w:jc w:val="center"/>
              <w:rPr>
                <w:rFonts w:ascii="宋体" w:hAnsi="宋体" w:cs="宋体"/>
                <w:kern w:val="0"/>
                <w:sz w:val="22"/>
              </w:rPr>
            </w:pPr>
            <w:r>
              <w:rPr>
                <w:rFonts w:hint="eastAsia" w:ascii="宋体" w:hAnsi="宋体" w:cs="宋体"/>
                <w:kern w:val="0"/>
                <w:sz w:val="22"/>
              </w:rPr>
              <w:t>1380</w:t>
            </w:r>
          </w:p>
        </w:tc>
        <w:tc>
          <w:tcPr>
            <w:tcW w:w="1489" w:type="dxa"/>
            <w:shd w:val="clear" w:color="auto" w:fill="auto"/>
            <w:noWrap/>
            <w:vAlign w:val="center"/>
          </w:tcPr>
          <w:p w14:paraId="61EBFA60">
            <w:pPr>
              <w:widowControl/>
              <w:jc w:val="center"/>
              <w:rPr>
                <w:rFonts w:ascii="宋体" w:hAnsi="宋体" w:cs="宋体"/>
                <w:kern w:val="0"/>
                <w:sz w:val="22"/>
              </w:rPr>
            </w:pPr>
            <w:r>
              <w:rPr>
                <w:rFonts w:hint="eastAsia" w:ascii="宋体" w:hAnsi="宋体" w:cs="宋体"/>
                <w:kern w:val="0"/>
                <w:sz w:val="22"/>
              </w:rPr>
              <w:t>11040</w:t>
            </w:r>
          </w:p>
        </w:tc>
      </w:tr>
      <w:tr w14:paraId="5281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EBD14EE">
            <w:pPr>
              <w:widowControl/>
              <w:jc w:val="center"/>
              <w:rPr>
                <w:rFonts w:ascii="宋体" w:hAnsi="宋体" w:cs="宋体"/>
                <w:kern w:val="0"/>
                <w:sz w:val="22"/>
              </w:rPr>
            </w:pPr>
            <w:r>
              <w:rPr>
                <w:rFonts w:hint="eastAsia" w:ascii="宋体" w:hAnsi="宋体" w:cs="宋体"/>
                <w:kern w:val="0"/>
                <w:sz w:val="22"/>
              </w:rPr>
              <w:t>14</w:t>
            </w:r>
          </w:p>
        </w:tc>
        <w:tc>
          <w:tcPr>
            <w:tcW w:w="1072" w:type="dxa"/>
            <w:shd w:val="clear" w:color="auto" w:fill="auto"/>
            <w:vAlign w:val="center"/>
          </w:tcPr>
          <w:p w14:paraId="56D8BA36">
            <w:pPr>
              <w:widowControl/>
              <w:jc w:val="center"/>
              <w:rPr>
                <w:rFonts w:ascii="宋体" w:hAnsi="宋体" w:cs="宋体"/>
                <w:kern w:val="0"/>
                <w:sz w:val="22"/>
              </w:rPr>
            </w:pPr>
            <w:r>
              <w:rPr>
                <w:rFonts w:hint="eastAsia" w:ascii="宋体" w:hAnsi="宋体" w:cs="宋体"/>
                <w:kern w:val="0"/>
                <w:sz w:val="22"/>
              </w:rPr>
              <w:t>切禽机</w:t>
            </w:r>
          </w:p>
        </w:tc>
        <w:tc>
          <w:tcPr>
            <w:tcW w:w="4897" w:type="dxa"/>
            <w:shd w:val="clear" w:color="auto" w:fill="auto"/>
            <w:vAlign w:val="center"/>
          </w:tcPr>
          <w:p w14:paraId="536C9BF5">
            <w:pPr>
              <w:widowControl/>
              <w:jc w:val="left"/>
              <w:rPr>
                <w:rFonts w:ascii="宋体" w:hAnsi="宋体" w:cs="宋体"/>
                <w:kern w:val="0"/>
                <w:sz w:val="22"/>
              </w:rPr>
            </w:pPr>
            <w:r>
              <w:rPr>
                <w:rFonts w:hint="eastAsia" w:ascii="宋体" w:hAnsi="宋体" w:cs="宋体"/>
                <w:kern w:val="0"/>
                <w:sz w:val="22"/>
              </w:rPr>
              <w:t>1.不锈钢材质;</w:t>
            </w:r>
            <w:r>
              <w:rPr>
                <w:rFonts w:hint="eastAsia" w:ascii="宋体" w:hAnsi="宋体" w:cs="宋体"/>
                <w:kern w:val="0"/>
                <w:sz w:val="22"/>
              </w:rPr>
              <w:br w:type="textWrapping"/>
            </w:r>
            <w:r>
              <w:rPr>
                <w:rFonts w:hint="eastAsia" w:ascii="宋体" w:hAnsi="宋体" w:cs="宋体"/>
                <w:kern w:val="0"/>
                <w:sz w:val="22"/>
              </w:rPr>
              <w:t>2.可将鸡鸭鱼 类排骨切块。</w:t>
            </w:r>
            <w:r>
              <w:rPr>
                <w:rFonts w:hint="eastAsia" w:ascii="宋体" w:hAnsi="宋体" w:cs="宋体"/>
                <w:kern w:val="0"/>
                <w:sz w:val="22"/>
              </w:rPr>
              <w:br w:type="textWrapping"/>
            </w:r>
            <w:r>
              <w:rPr>
                <w:rFonts w:hint="eastAsia" w:ascii="宋体" w:hAnsi="宋体" w:cs="宋体"/>
                <w:kern w:val="0"/>
                <w:sz w:val="22"/>
              </w:rPr>
              <w:t>3.切块宽度有30mm、40mm两种规格任选一种</w:t>
            </w:r>
          </w:p>
        </w:tc>
        <w:tc>
          <w:tcPr>
            <w:tcW w:w="462" w:type="dxa"/>
            <w:shd w:val="clear" w:color="auto" w:fill="auto"/>
            <w:noWrap/>
            <w:vAlign w:val="center"/>
          </w:tcPr>
          <w:p w14:paraId="08A7E6E4">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2C5166FC">
            <w:pPr>
              <w:widowControl/>
              <w:jc w:val="center"/>
              <w:rPr>
                <w:rFonts w:ascii="宋体" w:hAnsi="宋体" w:cs="宋体"/>
                <w:kern w:val="0"/>
                <w:sz w:val="22"/>
              </w:rPr>
            </w:pPr>
            <w:r>
              <w:rPr>
                <w:rFonts w:hint="eastAsia" w:ascii="宋体" w:hAnsi="宋体" w:cs="宋体"/>
                <w:kern w:val="0"/>
                <w:sz w:val="22"/>
              </w:rPr>
              <w:t>2</w:t>
            </w:r>
          </w:p>
        </w:tc>
        <w:tc>
          <w:tcPr>
            <w:tcW w:w="1048" w:type="dxa"/>
            <w:shd w:val="clear" w:color="auto" w:fill="auto"/>
            <w:noWrap/>
            <w:vAlign w:val="center"/>
          </w:tcPr>
          <w:p w14:paraId="49E8A731">
            <w:pPr>
              <w:widowControl/>
              <w:jc w:val="center"/>
              <w:rPr>
                <w:rFonts w:ascii="宋体" w:hAnsi="宋体" w:cs="宋体"/>
                <w:kern w:val="0"/>
                <w:sz w:val="22"/>
              </w:rPr>
            </w:pPr>
            <w:r>
              <w:rPr>
                <w:rFonts w:hint="eastAsia" w:ascii="宋体" w:hAnsi="宋体" w:cs="宋体"/>
                <w:kern w:val="0"/>
                <w:sz w:val="22"/>
              </w:rPr>
              <w:t>13400</w:t>
            </w:r>
          </w:p>
        </w:tc>
        <w:tc>
          <w:tcPr>
            <w:tcW w:w="1489" w:type="dxa"/>
            <w:shd w:val="clear" w:color="auto" w:fill="auto"/>
            <w:noWrap/>
            <w:vAlign w:val="center"/>
          </w:tcPr>
          <w:p w14:paraId="7D62CDE0">
            <w:pPr>
              <w:widowControl/>
              <w:jc w:val="center"/>
              <w:rPr>
                <w:rFonts w:ascii="宋体" w:hAnsi="宋体" w:cs="宋体"/>
                <w:kern w:val="0"/>
                <w:sz w:val="22"/>
              </w:rPr>
            </w:pPr>
            <w:r>
              <w:rPr>
                <w:rFonts w:hint="eastAsia" w:ascii="宋体" w:hAnsi="宋体" w:cs="宋体"/>
                <w:kern w:val="0"/>
                <w:sz w:val="22"/>
              </w:rPr>
              <w:t>26800</w:t>
            </w:r>
          </w:p>
        </w:tc>
      </w:tr>
      <w:tr w14:paraId="35A3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B856141">
            <w:pPr>
              <w:widowControl/>
              <w:jc w:val="center"/>
              <w:rPr>
                <w:rFonts w:ascii="宋体" w:hAnsi="宋体" w:cs="宋体"/>
                <w:kern w:val="0"/>
                <w:sz w:val="22"/>
              </w:rPr>
            </w:pPr>
            <w:r>
              <w:rPr>
                <w:rFonts w:hint="eastAsia" w:ascii="宋体" w:hAnsi="宋体" w:cs="宋体"/>
                <w:kern w:val="0"/>
                <w:sz w:val="22"/>
              </w:rPr>
              <w:t>15</w:t>
            </w:r>
          </w:p>
        </w:tc>
        <w:tc>
          <w:tcPr>
            <w:tcW w:w="1072" w:type="dxa"/>
            <w:shd w:val="clear" w:color="auto" w:fill="auto"/>
            <w:vAlign w:val="center"/>
          </w:tcPr>
          <w:p w14:paraId="06F0D2BC">
            <w:pPr>
              <w:widowControl/>
              <w:jc w:val="center"/>
              <w:rPr>
                <w:rFonts w:ascii="宋体" w:hAnsi="宋体" w:cs="宋体"/>
                <w:kern w:val="0"/>
                <w:sz w:val="22"/>
              </w:rPr>
            </w:pPr>
            <w:r>
              <w:rPr>
                <w:rFonts w:hint="eastAsia" w:ascii="宋体" w:hAnsi="宋体" w:cs="宋体"/>
                <w:kern w:val="0"/>
                <w:sz w:val="22"/>
              </w:rPr>
              <w:t>电烤鸭炉</w:t>
            </w:r>
          </w:p>
        </w:tc>
        <w:tc>
          <w:tcPr>
            <w:tcW w:w="4897" w:type="dxa"/>
            <w:shd w:val="clear" w:color="auto" w:fill="auto"/>
            <w:vAlign w:val="center"/>
          </w:tcPr>
          <w:p w14:paraId="5FD11AC9">
            <w:pPr>
              <w:widowControl/>
              <w:jc w:val="left"/>
              <w:rPr>
                <w:rFonts w:ascii="宋体" w:hAnsi="宋体" w:cs="宋体"/>
                <w:kern w:val="0"/>
                <w:sz w:val="22"/>
              </w:rPr>
            </w:pPr>
            <w:r>
              <w:rPr>
                <w:rFonts w:hint="eastAsia" w:ascii="宋体" w:hAnsi="宋体" w:cs="宋体"/>
                <w:kern w:val="0"/>
                <w:sz w:val="22"/>
              </w:rPr>
              <w:t>1.尺寸：直径900mm；</w:t>
            </w:r>
            <w:r>
              <w:rPr>
                <w:rFonts w:hint="eastAsia" w:ascii="宋体" w:hAnsi="宋体" w:cs="宋体"/>
                <w:kern w:val="0"/>
                <w:sz w:val="22"/>
              </w:rPr>
              <w:br w:type="textWrapping"/>
            </w:r>
            <w:r>
              <w:rPr>
                <w:rFonts w:hint="eastAsia" w:ascii="宋体" w:hAnsi="宋体" w:cs="宋体"/>
                <w:kern w:val="0"/>
                <w:sz w:val="22"/>
              </w:rPr>
              <w:t>2.炉身采用SUS304#1.5mm厚不锈钢拉丝板，双层结构；</w:t>
            </w:r>
            <w:r>
              <w:rPr>
                <w:rFonts w:hint="eastAsia" w:ascii="宋体" w:hAnsi="宋体" w:cs="宋体"/>
                <w:kern w:val="0"/>
                <w:sz w:val="22"/>
              </w:rPr>
              <w:br w:type="textWrapping"/>
            </w:r>
            <w:r>
              <w:rPr>
                <w:rFonts w:hint="eastAsia" w:ascii="宋体" w:hAnsi="宋体" w:cs="宋体"/>
                <w:kern w:val="0"/>
                <w:sz w:val="22"/>
              </w:rPr>
              <w:t>3.不锈钢高抛光型、</w:t>
            </w:r>
          </w:p>
        </w:tc>
        <w:tc>
          <w:tcPr>
            <w:tcW w:w="462" w:type="dxa"/>
            <w:shd w:val="clear" w:color="auto" w:fill="auto"/>
            <w:noWrap/>
            <w:vAlign w:val="center"/>
          </w:tcPr>
          <w:p w14:paraId="73FD7C77">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5E9CCD33">
            <w:pPr>
              <w:widowControl/>
              <w:jc w:val="center"/>
              <w:rPr>
                <w:rFonts w:ascii="宋体" w:hAnsi="宋体" w:cs="宋体"/>
                <w:kern w:val="0"/>
                <w:sz w:val="22"/>
              </w:rPr>
            </w:pPr>
            <w:r>
              <w:rPr>
                <w:rFonts w:hint="eastAsia" w:ascii="宋体" w:hAnsi="宋体" w:cs="宋体"/>
                <w:kern w:val="0"/>
                <w:sz w:val="22"/>
              </w:rPr>
              <w:t>2</w:t>
            </w:r>
          </w:p>
        </w:tc>
        <w:tc>
          <w:tcPr>
            <w:tcW w:w="1048" w:type="dxa"/>
            <w:shd w:val="clear" w:color="auto" w:fill="auto"/>
            <w:noWrap/>
            <w:vAlign w:val="center"/>
          </w:tcPr>
          <w:p w14:paraId="407913FD">
            <w:pPr>
              <w:widowControl/>
              <w:jc w:val="center"/>
              <w:rPr>
                <w:rFonts w:ascii="宋体" w:hAnsi="宋体" w:cs="宋体"/>
                <w:kern w:val="0"/>
                <w:sz w:val="22"/>
              </w:rPr>
            </w:pPr>
            <w:r>
              <w:rPr>
                <w:rFonts w:hint="eastAsia" w:ascii="宋体" w:hAnsi="宋体" w:cs="宋体"/>
                <w:kern w:val="0"/>
                <w:sz w:val="22"/>
              </w:rPr>
              <w:t>5900</w:t>
            </w:r>
          </w:p>
        </w:tc>
        <w:tc>
          <w:tcPr>
            <w:tcW w:w="1489" w:type="dxa"/>
            <w:shd w:val="clear" w:color="auto" w:fill="auto"/>
            <w:noWrap/>
            <w:vAlign w:val="center"/>
          </w:tcPr>
          <w:p w14:paraId="0000B16C">
            <w:pPr>
              <w:widowControl/>
              <w:jc w:val="center"/>
              <w:rPr>
                <w:rFonts w:ascii="宋体" w:hAnsi="宋体" w:cs="宋体"/>
                <w:kern w:val="0"/>
                <w:sz w:val="22"/>
              </w:rPr>
            </w:pPr>
            <w:r>
              <w:rPr>
                <w:rFonts w:hint="eastAsia" w:ascii="宋体" w:hAnsi="宋体" w:cs="宋体"/>
                <w:kern w:val="0"/>
                <w:sz w:val="22"/>
              </w:rPr>
              <w:t>11800</w:t>
            </w:r>
          </w:p>
        </w:tc>
      </w:tr>
      <w:tr w14:paraId="2BB4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252DE5">
            <w:pPr>
              <w:widowControl/>
              <w:jc w:val="center"/>
              <w:rPr>
                <w:rFonts w:ascii="宋体" w:hAnsi="宋体" w:cs="宋体"/>
                <w:kern w:val="0"/>
                <w:sz w:val="22"/>
              </w:rPr>
            </w:pPr>
            <w:r>
              <w:rPr>
                <w:rFonts w:hint="eastAsia" w:ascii="宋体" w:hAnsi="宋体" w:cs="宋体"/>
                <w:kern w:val="0"/>
                <w:sz w:val="22"/>
              </w:rPr>
              <w:t>16</w:t>
            </w:r>
          </w:p>
        </w:tc>
        <w:tc>
          <w:tcPr>
            <w:tcW w:w="1072" w:type="dxa"/>
            <w:shd w:val="clear" w:color="auto" w:fill="auto"/>
            <w:vAlign w:val="center"/>
          </w:tcPr>
          <w:p w14:paraId="3D5E812F">
            <w:pPr>
              <w:widowControl/>
              <w:jc w:val="center"/>
              <w:rPr>
                <w:rFonts w:ascii="宋体" w:hAnsi="宋体" w:cs="宋体"/>
                <w:kern w:val="0"/>
                <w:sz w:val="22"/>
              </w:rPr>
            </w:pPr>
            <w:r>
              <w:rPr>
                <w:rFonts w:hint="eastAsia" w:ascii="宋体" w:hAnsi="宋体" w:cs="宋体"/>
                <w:kern w:val="0"/>
                <w:sz w:val="22"/>
              </w:rPr>
              <w:t>饼盘车</w:t>
            </w:r>
          </w:p>
        </w:tc>
        <w:tc>
          <w:tcPr>
            <w:tcW w:w="4897" w:type="dxa"/>
            <w:shd w:val="clear" w:color="auto" w:fill="auto"/>
            <w:vAlign w:val="center"/>
          </w:tcPr>
          <w:p w14:paraId="6D8EBD7D">
            <w:pPr>
              <w:widowControl/>
              <w:jc w:val="left"/>
              <w:rPr>
                <w:rFonts w:ascii="宋体" w:hAnsi="宋体" w:cs="宋体"/>
                <w:kern w:val="0"/>
                <w:sz w:val="22"/>
              </w:rPr>
            </w:pPr>
            <w:r>
              <w:rPr>
                <w:rFonts w:hint="eastAsia" w:ascii="宋体" w:hAnsi="宋体" w:cs="宋体"/>
                <w:kern w:val="0"/>
                <w:sz w:val="22"/>
              </w:rPr>
              <w:t xml:space="preserve">规格：长600*宽400*高1800㎜                           </w:t>
            </w:r>
            <w:r>
              <w:rPr>
                <w:rFonts w:hint="eastAsia" w:ascii="宋体" w:hAnsi="宋体" w:cs="宋体"/>
                <w:kern w:val="0"/>
                <w:sz w:val="22"/>
              </w:rPr>
              <w:br w:type="textWrapping"/>
            </w:r>
            <w:r>
              <w:rPr>
                <w:rFonts w:hint="eastAsia" w:ascii="宋体" w:hAnsi="宋体" w:cs="宋体"/>
                <w:kern w:val="0"/>
                <w:sz w:val="22"/>
              </w:rPr>
              <w:t xml:space="preserve">1.采用1.2mm厚优质304#雪花不锈钢板折弯；   </w:t>
            </w:r>
            <w:r>
              <w:rPr>
                <w:rFonts w:hint="eastAsia" w:ascii="宋体" w:hAnsi="宋体" w:cs="宋体"/>
                <w:kern w:val="0"/>
                <w:sz w:val="22"/>
              </w:rPr>
              <w:br w:type="textWrapping"/>
            </w:r>
            <w:r>
              <w:rPr>
                <w:rFonts w:hint="eastAsia" w:ascii="宋体" w:hAnsi="宋体" w:cs="宋体"/>
                <w:kern w:val="0"/>
                <w:sz w:val="22"/>
              </w:rPr>
              <w:t xml:space="preserve">2.配万向轮带刹车；                                                  </w:t>
            </w:r>
            <w:r>
              <w:rPr>
                <w:rFonts w:hint="eastAsia" w:ascii="宋体" w:hAnsi="宋体" w:cs="宋体"/>
                <w:kern w:val="0"/>
                <w:sz w:val="22"/>
              </w:rPr>
              <w:br w:type="textWrapping"/>
            </w:r>
            <w:r>
              <w:rPr>
                <w:rFonts w:hint="eastAsia" w:ascii="宋体" w:hAnsi="宋体" w:cs="宋体"/>
                <w:kern w:val="0"/>
                <w:sz w:val="22"/>
              </w:rPr>
              <w:t>3.优质不锈钢38x25mm方通。</w:t>
            </w:r>
          </w:p>
        </w:tc>
        <w:tc>
          <w:tcPr>
            <w:tcW w:w="462" w:type="dxa"/>
            <w:shd w:val="clear" w:color="auto" w:fill="auto"/>
            <w:noWrap/>
            <w:vAlign w:val="center"/>
          </w:tcPr>
          <w:p w14:paraId="18086750">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15702821">
            <w:pPr>
              <w:widowControl/>
              <w:jc w:val="center"/>
              <w:rPr>
                <w:rFonts w:ascii="宋体" w:hAnsi="宋体" w:cs="宋体"/>
                <w:kern w:val="0"/>
                <w:sz w:val="22"/>
              </w:rPr>
            </w:pPr>
            <w:r>
              <w:rPr>
                <w:rFonts w:hint="eastAsia" w:ascii="宋体" w:hAnsi="宋体" w:cs="宋体"/>
                <w:kern w:val="0"/>
                <w:sz w:val="22"/>
              </w:rPr>
              <w:t>6</w:t>
            </w:r>
          </w:p>
        </w:tc>
        <w:tc>
          <w:tcPr>
            <w:tcW w:w="1048" w:type="dxa"/>
            <w:shd w:val="clear" w:color="auto" w:fill="auto"/>
            <w:noWrap/>
            <w:vAlign w:val="center"/>
          </w:tcPr>
          <w:p w14:paraId="0AC03915">
            <w:pPr>
              <w:widowControl/>
              <w:jc w:val="center"/>
              <w:rPr>
                <w:rFonts w:ascii="宋体" w:hAnsi="宋体" w:cs="宋体"/>
                <w:kern w:val="0"/>
                <w:sz w:val="22"/>
              </w:rPr>
            </w:pPr>
            <w:r>
              <w:rPr>
                <w:rFonts w:hint="eastAsia" w:ascii="宋体" w:hAnsi="宋体" w:cs="宋体"/>
                <w:kern w:val="0"/>
                <w:sz w:val="22"/>
              </w:rPr>
              <w:t>1820</w:t>
            </w:r>
          </w:p>
        </w:tc>
        <w:tc>
          <w:tcPr>
            <w:tcW w:w="1489" w:type="dxa"/>
            <w:shd w:val="clear" w:color="auto" w:fill="auto"/>
            <w:noWrap/>
            <w:vAlign w:val="center"/>
          </w:tcPr>
          <w:p w14:paraId="0B5A8BDC">
            <w:pPr>
              <w:widowControl/>
              <w:jc w:val="center"/>
              <w:rPr>
                <w:rFonts w:ascii="宋体" w:hAnsi="宋体" w:cs="宋体"/>
                <w:kern w:val="0"/>
                <w:sz w:val="22"/>
              </w:rPr>
            </w:pPr>
            <w:r>
              <w:rPr>
                <w:rFonts w:hint="eastAsia" w:ascii="宋体" w:hAnsi="宋体" w:cs="宋体"/>
                <w:kern w:val="0"/>
                <w:sz w:val="22"/>
              </w:rPr>
              <w:t>10920</w:t>
            </w:r>
          </w:p>
        </w:tc>
      </w:tr>
      <w:tr w14:paraId="7C5C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BBCA65B">
            <w:pPr>
              <w:widowControl/>
              <w:jc w:val="center"/>
              <w:rPr>
                <w:rFonts w:ascii="宋体" w:hAnsi="宋体" w:cs="宋体"/>
                <w:kern w:val="0"/>
                <w:sz w:val="22"/>
              </w:rPr>
            </w:pPr>
            <w:r>
              <w:rPr>
                <w:rFonts w:hint="eastAsia" w:ascii="宋体" w:hAnsi="宋体" w:cs="宋体"/>
                <w:kern w:val="0"/>
                <w:sz w:val="22"/>
              </w:rPr>
              <w:t>17</w:t>
            </w:r>
          </w:p>
        </w:tc>
        <w:tc>
          <w:tcPr>
            <w:tcW w:w="1072" w:type="dxa"/>
            <w:shd w:val="clear" w:color="auto" w:fill="auto"/>
            <w:vAlign w:val="center"/>
          </w:tcPr>
          <w:p w14:paraId="4F46B40B">
            <w:pPr>
              <w:widowControl/>
              <w:jc w:val="center"/>
              <w:rPr>
                <w:rFonts w:ascii="宋体" w:hAnsi="宋体" w:cs="宋体"/>
                <w:kern w:val="0"/>
                <w:sz w:val="22"/>
              </w:rPr>
            </w:pPr>
            <w:r>
              <w:rPr>
                <w:rFonts w:hint="eastAsia" w:ascii="宋体" w:hAnsi="宋体" w:cs="宋体"/>
                <w:kern w:val="0"/>
                <w:sz w:val="22"/>
              </w:rPr>
              <w:t>绞肉机</w:t>
            </w:r>
          </w:p>
        </w:tc>
        <w:tc>
          <w:tcPr>
            <w:tcW w:w="4897" w:type="dxa"/>
            <w:shd w:val="clear" w:color="auto" w:fill="auto"/>
            <w:vAlign w:val="center"/>
          </w:tcPr>
          <w:p w14:paraId="6675F2AB">
            <w:pPr>
              <w:widowControl/>
              <w:jc w:val="left"/>
              <w:rPr>
                <w:rFonts w:ascii="宋体" w:hAnsi="宋体" w:cs="宋体"/>
                <w:kern w:val="0"/>
                <w:sz w:val="22"/>
              </w:rPr>
            </w:pPr>
            <w:r>
              <w:rPr>
                <w:rFonts w:hint="eastAsia" w:ascii="宋体" w:hAnsi="宋体" w:cs="宋体"/>
                <w:kern w:val="0"/>
                <w:sz w:val="22"/>
              </w:rPr>
              <w:t>1、额定电压:220V；</w:t>
            </w:r>
            <w:r>
              <w:rPr>
                <w:rFonts w:hint="eastAsia" w:ascii="宋体" w:hAnsi="宋体" w:cs="宋体"/>
                <w:kern w:val="0"/>
                <w:sz w:val="22"/>
              </w:rPr>
              <w:br w:type="textWrapping"/>
            </w:r>
            <w:r>
              <w:rPr>
                <w:rFonts w:hint="eastAsia" w:ascii="宋体" w:hAnsi="宋体" w:cs="宋体"/>
                <w:kern w:val="0"/>
                <w:sz w:val="22"/>
              </w:rPr>
              <w:t>2、额定功率:1.1KW；</w:t>
            </w:r>
            <w:r>
              <w:rPr>
                <w:rFonts w:hint="eastAsia" w:ascii="宋体" w:hAnsi="宋体" w:cs="宋体"/>
                <w:kern w:val="0"/>
                <w:sz w:val="22"/>
              </w:rPr>
              <w:br w:type="textWrapping"/>
            </w:r>
            <w:r>
              <w:rPr>
                <w:rFonts w:hint="eastAsia" w:ascii="宋体" w:hAnsi="宋体" w:cs="宋体"/>
                <w:kern w:val="0"/>
                <w:sz w:val="22"/>
              </w:rPr>
              <w:t>3、绞肉工作能力：320KG/H;</w:t>
            </w:r>
            <w:r>
              <w:rPr>
                <w:rFonts w:hint="eastAsia" w:ascii="宋体" w:hAnsi="宋体" w:cs="宋体"/>
                <w:kern w:val="0"/>
                <w:sz w:val="22"/>
              </w:rPr>
              <w:br w:type="textWrapping"/>
            </w:r>
            <w:r>
              <w:rPr>
                <w:rFonts w:hint="eastAsia" w:ascii="宋体" w:hAnsi="宋体" w:cs="宋体"/>
                <w:kern w:val="0"/>
                <w:sz w:val="22"/>
              </w:rPr>
              <w:t>4、刀片：1.0*Φ105*Φ28.2mm；</w:t>
            </w:r>
            <w:r>
              <w:rPr>
                <w:rFonts w:hint="eastAsia" w:ascii="宋体" w:hAnsi="宋体" w:cs="宋体"/>
                <w:kern w:val="0"/>
                <w:sz w:val="22"/>
              </w:rPr>
              <w:br w:type="textWrapping"/>
            </w:r>
            <w:r>
              <w:rPr>
                <w:rFonts w:hint="eastAsia" w:ascii="宋体" w:hAnsi="宋体" w:cs="宋体"/>
                <w:kern w:val="0"/>
                <w:sz w:val="22"/>
              </w:rPr>
              <w:t>5、采用全不锈钢制造，延长机器的使用寿命；</w:t>
            </w:r>
            <w:r>
              <w:rPr>
                <w:rFonts w:hint="eastAsia" w:ascii="宋体" w:hAnsi="宋体" w:cs="宋体"/>
                <w:kern w:val="0"/>
                <w:sz w:val="22"/>
              </w:rPr>
              <w:br w:type="textWrapping"/>
            </w:r>
            <w:r>
              <w:rPr>
                <w:rFonts w:hint="eastAsia" w:ascii="宋体" w:hAnsi="宋体" w:cs="宋体"/>
                <w:kern w:val="0"/>
                <w:sz w:val="22"/>
              </w:rPr>
              <w:t>6、具结构紧凑、外形美观、效率高、易清洁保养特点。</w:t>
            </w:r>
          </w:p>
        </w:tc>
        <w:tc>
          <w:tcPr>
            <w:tcW w:w="462" w:type="dxa"/>
            <w:shd w:val="clear" w:color="auto" w:fill="auto"/>
            <w:noWrap/>
            <w:vAlign w:val="center"/>
          </w:tcPr>
          <w:p w14:paraId="55EB80CE">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46B95440">
            <w:pPr>
              <w:widowControl/>
              <w:jc w:val="center"/>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4EE1E6ED">
            <w:pPr>
              <w:widowControl/>
              <w:jc w:val="center"/>
              <w:rPr>
                <w:rFonts w:ascii="宋体" w:hAnsi="宋体" w:cs="宋体"/>
                <w:kern w:val="0"/>
                <w:sz w:val="22"/>
              </w:rPr>
            </w:pPr>
            <w:r>
              <w:rPr>
                <w:rFonts w:hint="eastAsia" w:ascii="宋体" w:hAnsi="宋体" w:cs="宋体"/>
                <w:kern w:val="0"/>
                <w:sz w:val="22"/>
              </w:rPr>
              <w:t>3800</w:t>
            </w:r>
          </w:p>
        </w:tc>
        <w:tc>
          <w:tcPr>
            <w:tcW w:w="1489" w:type="dxa"/>
            <w:shd w:val="clear" w:color="auto" w:fill="auto"/>
            <w:noWrap/>
            <w:vAlign w:val="center"/>
          </w:tcPr>
          <w:p w14:paraId="4B64FD78">
            <w:pPr>
              <w:widowControl/>
              <w:jc w:val="center"/>
              <w:rPr>
                <w:rFonts w:ascii="宋体" w:hAnsi="宋体" w:cs="宋体"/>
                <w:kern w:val="0"/>
                <w:sz w:val="22"/>
              </w:rPr>
            </w:pPr>
            <w:r>
              <w:rPr>
                <w:rFonts w:hint="eastAsia" w:ascii="宋体" w:hAnsi="宋体" w:cs="宋体"/>
                <w:kern w:val="0"/>
                <w:sz w:val="22"/>
              </w:rPr>
              <w:t>3800</w:t>
            </w:r>
          </w:p>
        </w:tc>
      </w:tr>
      <w:tr w14:paraId="33C9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AEC6BB">
            <w:pPr>
              <w:widowControl/>
              <w:jc w:val="center"/>
              <w:rPr>
                <w:rFonts w:ascii="宋体" w:hAnsi="宋体" w:cs="宋体"/>
                <w:kern w:val="0"/>
                <w:sz w:val="22"/>
              </w:rPr>
            </w:pPr>
            <w:r>
              <w:rPr>
                <w:rFonts w:hint="eastAsia" w:ascii="宋体" w:hAnsi="宋体" w:cs="宋体"/>
                <w:kern w:val="0"/>
                <w:sz w:val="22"/>
              </w:rPr>
              <w:t>18</w:t>
            </w:r>
          </w:p>
        </w:tc>
        <w:tc>
          <w:tcPr>
            <w:tcW w:w="1072" w:type="dxa"/>
            <w:shd w:val="clear" w:color="auto" w:fill="auto"/>
            <w:vAlign w:val="center"/>
          </w:tcPr>
          <w:p w14:paraId="620AA6CF">
            <w:pPr>
              <w:widowControl/>
              <w:jc w:val="center"/>
              <w:rPr>
                <w:rFonts w:ascii="宋体" w:hAnsi="宋体" w:cs="宋体"/>
                <w:kern w:val="0"/>
                <w:sz w:val="22"/>
              </w:rPr>
            </w:pPr>
            <w:r>
              <w:rPr>
                <w:rFonts w:hint="eastAsia" w:ascii="宋体" w:hAnsi="宋体" w:cs="宋体"/>
                <w:kern w:val="0"/>
                <w:sz w:val="22"/>
              </w:rPr>
              <w:t>汤粉机</w:t>
            </w:r>
          </w:p>
        </w:tc>
        <w:tc>
          <w:tcPr>
            <w:tcW w:w="4897" w:type="dxa"/>
            <w:shd w:val="clear" w:color="auto" w:fill="auto"/>
            <w:vAlign w:val="center"/>
          </w:tcPr>
          <w:p w14:paraId="4DAE39DA">
            <w:pPr>
              <w:widowControl/>
              <w:jc w:val="left"/>
              <w:rPr>
                <w:rFonts w:ascii="宋体" w:hAnsi="宋体" w:cs="宋体"/>
                <w:kern w:val="0"/>
                <w:sz w:val="22"/>
              </w:rPr>
            </w:pPr>
            <w:r>
              <w:rPr>
                <w:rFonts w:hint="eastAsia" w:ascii="宋体" w:hAnsi="宋体" w:cs="宋体"/>
                <w:kern w:val="0"/>
                <w:sz w:val="22"/>
              </w:rPr>
              <w:t xml:space="preserve">规格：六头              </w:t>
            </w:r>
            <w:r>
              <w:rPr>
                <w:rFonts w:hint="eastAsia" w:ascii="宋体" w:hAnsi="宋体" w:cs="宋体"/>
                <w:kern w:val="0"/>
                <w:sz w:val="22"/>
              </w:rPr>
              <w:br w:type="textWrapping"/>
            </w:r>
            <w:r>
              <w:rPr>
                <w:rFonts w:hint="eastAsia" w:ascii="宋体" w:hAnsi="宋体" w:cs="宋体"/>
                <w:kern w:val="0"/>
                <w:sz w:val="22"/>
              </w:rPr>
              <w:t xml:space="preserve">1，使用1.0mm油膜不锈钢板材，炉面一体拉伸成型；                                2、全密封烤漆模块化机芯，分层负压散热设计，杜绝漏电、散热好、机芯更耐用； </w:t>
            </w:r>
            <w:r>
              <w:rPr>
                <w:rFonts w:hint="eastAsia" w:ascii="宋体" w:hAnsi="宋体" w:cs="宋体"/>
                <w:kern w:val="0"/>
                <w:sz w:val="22"/>
              </w:rPr>
              <w:br w:type="textWrapping"/>
            </w:r>
            <w:r>
              <w:rPr>
                <w:rFonts w:hint="eastAsia" w:ascii="宋体" w:hAnsi="宋体" w:cs="宋体"/>
                <w:kern w:val="0"/>
                <w:sz w:val="22"/>
              </w:rPr>
              <w:t xml:space="preserve">                      </w:t>
            </w:r>
          </w:p>
        </w:tc>
        <w:tc>
          <w:tcPr>
            <w:tcW w:w="462" w:type="dxa"/>
            <w:shd w:val="clear" w:color="auto" w:fill="auto"/>
            <w:noWrap/>
            <w:vAlign w:val="center"/>
          </w:tcPr>
          <w:p w14:paraId="2FEE3431">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60550707">
            <w:pPr>
              <w:widowControl/>
              <w:jc w:val="center"/>
              <w:rPr>
                <w:rFonts w:ascii="宋体" w:hAnsi="宋体" w:cs="宋体"/>
                <w:kern w:val="0"/>
                <w:sz w:val="22"/>
              </w:rPr>
            </w:pPr>
            <w:r>
              <w:rPr>
                <w:rFonts w:hint="eastAsia" w:ascii="宋体" w:hAnsi="宋体" w:cs="宋体"/>
                <w:kern w:val="0"/>
                <w:sz w:val="22"/>
              </w:rPr>
              <w:t>3</w:t>
            </w:r>
          </w:p>
        </w:tc>
        <w:tc>
          <w:tcPr>
            <w:tcW w:w="1048" w:type="dxa"/>
            <w:shd w:val="clear" w:color="auto" w:fill="auto"/>
            <w:noWrap/>
            <w:vAlign w:val="center"/>
          </w:tcPr>
          <w:p w14:paraId="38FB7F78">
            <w:pPr>
              <w:widowControl/>
              <w:jc w:val="center"/>
              <w:rPr>
                <w:rFonts w:ascii="宋体" w:hAnsi="宋体" w:cs="宋体"/>
                <w:kern w:val="0"/>
                <w:sz w:val="22"/>
              </w:rPr>
            </w:pPr>
            <w:r>
              <w:rPr>
                <w:rFonts w:hint="eastAsia" w:ascii="宋体" w:hAnsi="宋体" w:cs="宋体"/>
                <w:kern w:val="0"/>
                <w:sz w:val="22"/>
              </w:rPr>
              <w:t>2200</w:t>
            </w:r>
          </w:p>
        </w:tc>
        <w:tc>
          <w:tcPr>
            <w:tcW w:w="1489" w:type="dxa"/>
            <w:shd w:val="clear" w:color="auto" w:fill="auto"/>
            <w:noWrap/>
            <w:vAlign w:val="center"/>
          </w:tcPr>
          <w:p w14:paraId="2355F5F6">
            <w:pPr>
              <w:widowControl/>
              <w:jc w:val="center"/>
              <w:rPr>
                <w:rFonts w:ascii="宋体" w:hAnsi="宋体" w:cs="宋体"/>
                <w:kern w:val="0"/>
                <w:sz w:val="22"/>
              </w:rPr>
            </w:pPr>
            <w:r>
              <w:rPr>
                <w:rFonts w:hint="eastAsia" w:ascii="宋体" w:hAnsi="宋体" w:cs="宋体"/>
                <w:kern w:val="0"/>
                <w:sz w:val="22"/>
              </w:rPr>
              <w:t>6600</w:t>
            </w:r>
          </w:p>
        </w:tc>
      </w:tr>
      <w:tr w14:paraId="124A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B7BE8A2">
            <w:pPr>
              <w:widowControl/>
              <w:jc w:val="center"/>
              <w:rPr>
                <w:rFonts w:ascii="宋体" w:hAnsi="宋体" w:cs="宋体"/>
                <w:kern w:val="0"/>
                <w:sz w:val="22"/>
              </w:rPr>
            </w:pPr>
            <w:r>
              <w:rPr>
                <w:rFonts w:hint="eastAsia" w:ascii="宋体" w:hAnsi="宋体" w:cs="宋体"/>
                <w:kern w:val="0"/>
                <w:sz w:val="22"/>
              </w:rPr>
              <w:t>19</w:t>
            </w:r>
          </w:p>
        </w:tc>
        <w:tc>
          <w:tcPr>
            <w:tcW w:w="1072" w:type="dxa"/>
            <w:shd w:val="clear" w:color="auto" w:fill="auto"/>
            <w:vAlign w:val="center"/>
          </w:tcPr>
          <w:p w14:paraId="3B987714">
            <w:pPr>
              <w:widowControl/>
              <w:jc w:val="center"/>
              <w:rPr>
                <w:rFonts w:ascii="宋体" w:hAnsi="宋体" w:cs="宋体"/>
                <w:kern w:val="0"/>
                <w:sz w:val="22"/>
              </w:rPr>
            </w:pPr>
            <w:r>
              <w:rPr>
                <w:rFonts w:hint="eastAsia" w:ascii="宋体" w:hAnsi="宋体" w:cs="宋体"/>
                <w:kern w:val="0"/>
                <w:sz w:val="22"/>
              </w:rPr>
              <w:t>商用电饼铛</w:t>
            </w:r>
          </w:p>
        </w:tc>
        <w:tc>
          <w:tcPr>
            <w:tcW w:w="4897" w:type="dxa"/>
            <w:shd w:val="clear" w:color="auto" w:fill="auto"/>
            <w:vAlign w:val="center"/>
          </w:tcPr>
          <w:p w14:paraId="631D0724">
            <w:pPr>
              <w:widowControl/>
              <w:jc w:val="left"/>
              <w:rPr>
                <w:rFonts w:ascii="宋体" w:hAnsi="宋体" w:cs="宋体"/>
                <w:kern w:val="0"/>
                <w:sz w:val="22"/>
              </w:rPr>
            </w:pPr>
            <w:r>
              <w:rPr>
                <w:rFonts w:hint="eastAsia" w:ascii="宋体" w:hAnsi="宋体" w:cs="宋体"/>
                <w:kern w:val="0"/>
                <w:sz w:val="22"/>
              </w:rPr>
              <w:t>1、功率：5KW/380V；</w:t>
            </w:r>
            <w:r>
              <w:rPr>
                <w:rFonts w:hint="eastAsia" w:ascii="宋体" w:hAnsi="宋体" w:cs="宋体"/>
                <w:kern w:val="0"/>
                <w:sz w:val="22"/>
              </w:rPr>
              <w:br w:type="textWrapping"/>
            </w:r>
            <w:r>
              <w:rPr>
                <w:rFonts w:hint="eastAsia" w:ascii="宋体" w:hAnsi="宋体" w:cs="宋体"/>
                <w:kern w:val="0"/>
                <w:sz w:val="22"/>
              </w:rPr>
              <w:t>2、全不锈钢机身、不锈钢辊轴、安全节能。</w:t>
            </w:r>
          </w:p>
        </w:tc>
        <w:tc>
          <w:tcPr>
            <w:tcW w:w="462" w:type="dxa"/>
            <w:shd w:val="clear" w:color="auto" w:fill="auto"/>
            <w:noWrap/>
            <w:vAlign w:val="center"/>
          </w:tcPr>
          <w:p w14:paraId="6BA7D7DA">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2110B5FE">
            <w:pPr>
              <w:widowControl/>
              <w:jc w:val="center"/>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1922850D">
            <w:pPr>
              <w:widowControl/>
              <w:jc w:val="center"/>
              <w:rPr>
                <w:rFonts w:ascii="宋体" w:hAnsi="宋体" w:cs="宋体"/>
                <w:kern w:val="0"/>
                <w:sz w:val="22"/>
              </w:rPr>
            </w:pPr>
            <w:r>
              <w:rPr>
                <w:rFonts w:hint="eastAsia" w:ascii="宋体" w:hAnsi="宋体" w:cs="宋体"/>
                <w:kern w:val="0"/>
                <w:sz w:val="22"/>
              </w:rPr>
              <w:t>3600</w:t>
            </w:r>
          </w:p>
        </w:tc>
        <w:tc>
          <w:tcPr>
            <w:tcW w:w="1489" w:type="dxa"/>
            <w:shd w:val="clear" w:color="auto" w:fill="auto"/>
            <w:noWrap/>
            <w:vAlign w:val="center"/>
          </w:tcPr>
          <w:p w14:paraId="5C570AE7">
            <w:pPr>
              <w:widowControl/>
              <w:jc w:val="center"/>
              <w:rPr>
                <w:rFonts w:ascii="宋体" w:hAnsi="宋体" w:cs="宋体"/>
                <w:kern w:val="0"/>
                <w:sz w:val="22"/>
              </w:rPr>
            </w:pPr>
            <w:r>
              <w:rPr>
                <w:rFonts w:hint="eastAsia" w:ascii="宋体" w:hAnsi="宋体" w:cs="宋体"/>
                <w:kern w:val="0"/>
                <w:sz w:val="22"/>
              </w:rPr>
              <w:t>3600</w:t>
            </w:r>
          </w:p>
        </w:tc>
      </w:tr>
      <w:tr w14:paraId="1E9B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3011429">
            <w:pPr>
              <w:widowControl/>
              <w:jc w:val="center"/>
              <w:rPr>
                <w:rFonts w:ascii="宋体" w:hAnsi="宋体" w:cs="宋体"/>
                <w:kern w:val="0"/>
                <w:sz w:val="22"/>
              </w:rPr>
            </w:pPr>
            <w:r>
              <w:rPr>
                <w:rFonts w:hint="eastAsia" w:ascii="宋体" w:hAnsi="宋体" w:cs="宋体"/>
                <w:kern w:val="0"/>
                <w:sz w:val="22"/>
              </w:rPr>
              <w:t>20</w:t>
            </w:r>
          </w:p>
        </w:tc>
        <w:tc>
          <w:tcPr>
            <w:tcW w:w="1072" w:type="dxa"/>
            <w:shd w:val="clear" w:color="auto" w:fill="auto"/>
            <w:vAlign w:val="center"/>
          </w:tcPr>
          <w:p w14:paraId="1B6F4CED">
            <w:pPr>
              <w:widowControl/>
              <w:jc w:val="center"/>
              <w:rPr>
                <w:rFonts w:ascii="宋体" w:hAnsi="宋体" w:cs="宋体"/>
                <w:kern w:val="0"/>
                <w:sz w:val="22"/>
              </w:rPr>
            </w:pPr>
            <w:r>
              <w:rPr>
                <w:rFonts w:hint="eastAsia" w:ascii="宋体" w:hAnsi="宋体" w:cs="宋体"/>
                <w:kern w:val="0"/>
                <w:sz w:val="22"/>
              </w:rPr>
              <w:t>高速鲜奶打发机</w:t>
            </w:r>
          </w:p>
        </w:tc>
        <w:tc>
          <w:tcPr>
            <w:tcW w:w="4897" w:type="dxa"/>
            <w:shd w:val="clear" w:color="auto" w:fill="auto"/>
            <w:vAlign w:val="center"/>
          </w:tcPr>
          <w:p w14:paraId="17E6E662">
            <w:pPr>
              <w:widowControl/>
              <w:jc w:val="left"/>
              <w:rPr>
                <w:rFonts w:ascii="宋体" w:hAnsi="宋体" w:cs="宋体"/>
                <w:kern w:val="0"/>
                <w:sz w:val="22"/>
              </w:rPr>
            </w:pPr>
            <w:r>
              <w:rPr>
                <w:rFonts w:hint="eastAsia" w:ascii="宋体" w:hAnsi="宋体" w:cs="宋体"/>
                <w:kern w:val="0"/>
                <w:sz w:val="22"/>
              </w:rPr>
              <w:t>功率800W ，220V，50HZ</w:t>
            </w:r>
          </w:p>
        </w:tc>
        <w:tc>
          <w:tcPr>
            <w:tcW w:w="462" w:type="dxa"/>
            <w:shd w:val="clear" w:color="auto" w:fill="auto"/>
            <w:noWrap/>
            <w:vAlign w:val="center"/>
          </w:tcPr>
          <w:p w14:paraId="1020FF9E">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5CFB04D9">
            <w:pPr>
              <w:widowControl/>
              <w:jc w:val="center"/>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24F5D85E">
            <w:pPr>
              <w:widowControl/>
              <w:jc w:val="center"/>
              <w:rPr>
                <w:rFonts w:ascii="宋体" w:hAnsi="宋体" w:cs="宋体"/>
                <w:kern w:val="0"/>
                <w:sz w:val="22"/>
              </w:rPr>
            </w:pPr>
            <w:r>
              <w:rPr>
                <w:rFonts w:hint="eastAsia" w:ascii="宋体" w:hAnsi="宋体" w:cs="宋体"/>
                <w:kern w:val="0"/>
                <w:sz w:val="22"/>
              </w:rPr>
              <w:t>1250</w:t>
            </w:r>
          </w:p>
        </w:tc>
        <w:tc>
          <w:tcPr>
            <w:tcW w:w="1489" w:type="dxa"/>
            <w:shd w:val="clear" w:color="auto" w:fill="auto"/>
            <w:noWrap/>
            <w:vAlign w:val="center"/>
          </w:tcPr>
          <w:p w14:paraId="067A5855">
            <w:pPr>
              <w:widowControl/>
              <w:jc w:val="center"/>
              <w:rPr>
                <w:rFonts w:ascii="宋体" w:hAnsi="宋体" w:cs="宋体"/>
                <w:kern w:val="0"/>
                <w:sz w:val="22"/>
              </w:rPr>
            </w:pPr>
            <w:r>
              <w:rPr>
                <w:rFonts w:hint="eastAsia" w:ascii="宋体" w:hAnsi="宋体" w:cs="宋体"/>
                <w:kern w:val="0"/>
                <w:sz w:val="22"/>
              </w:rPr>
              <w:t>1250</w:t>
            </w:r>
          </w:p>
        </w:tc>
      </w:tr>
      <w:tr w14:paraId="1A5C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9FC885F">
            <w:pPr>
              <w:widowControl/>
              <w:jc w:val="center"/>
              <w:rPr>
                <w:rFonts w:ascii="宋体" w:hAnsi="宋体" w:cs="宋体"/>
                <w:kern w:val="0"/>
                <w:sz w:val="22"/>
              </w:rPr>
            </w:pPr>
            <w:r>
              <w:rPr>
                <w:rFonts w:hint="eastAsia" w:ascii="宋体" w:hAnsi="宋体" w:cs="宋体"/>
                <w:kern w:val="0"/>
                <w:sz w:val="22"/>
              </w:rPr>
              <w:t>21</w:t>
            </w:r>
          </w:p>
        </w:tc>
        <w:tc>
          <w:tcPr>
            <w:tcW w:w="1072" w:type="dxa"/>
            <w:shd w:val="clear" w:color="auto" w:fill="auto"/>
            <w:vAlign w:val="center"/>
          </w:tcPr>
          <w:p w14:paraId="78087129">
            <w:pPr>
              <w:widowControl/>
              <w:jc w:val="center"/>
              <w:rPr>
                <w:rFonts w:ascii="宋体" w:hAnsi="宋体" w:cs="宋体"/>
                <w:kern w:val="0"/>
                <w:sz w:val="22"/>
              </w:rPr>
            </w:pPr>
            <w:r>
              <w:rPr>
                <w:rFonts w:hint="eastAsia" w:ascii="宋体" w:hAnsi="宋体" w:cs="宋体"/>
                <w:kern w:val="0"/>
                <w:sz w:val="22"/>
              </w:rPr>
              <w:t>面食发酵箱</w:t>
            </w:r>
          </w:p>
        </w:tc>
        <w:tc>
          <w:tcPr>
            <w:tcW w:w="4897" w:type="dxa"/>
            <w:shd w:val="clear" w:color="auto" w:fill="auto"/>
            <w:vAlign w:val="center"/>
          </w:tcPr>
          <w:p w14:paraId="76EA2B20">
            <w:pPr>
              <w:widowControl/>
              <w:jc w:val="left"/>
              <w:rPr>
                <w:rFonts w:ascii="宋体" w:hAnsi="宋体" w:cs="宋体"/>
                <w:kern w:val="0"/>
                <w:sz w:val="22"/>
              </w:rPr>
            </w:pPr>
            <w:r>
              <w:rPr>
                <w:rFonts w:hint="eastAsia" w:ascii="宋体" w:hAnsi="宋体" w:cs="宋体"/>
                <w:kern w:val="0"/>
                <w:sz w:val="22"/>
              </w:rPr>
              <w:t xml:space="preserve">规格：810x580x2000mm                                            </w:t>
            </w:r>
            <w:r>
              <w:rPr>
                <w:rFonts w:hint="eastAsia" w:ascii="宋体" w:hAnsi="宋体" w:cs="宋体"/>
                <w:kern w:val="0"/>
                <w:sz w:val="22"/>
              </w:rPr>
              <w:br w:type="textWrapping"/>
            </w:r>
            <w:r>
              <w:rPr>
                <w:rFonts w:hint="eastAsia" w:ascii="宋体" w:hAnsi="宋体" w:cs="宋体"/>
                <w:kern w:val="0"/>
                <w:sz w:val="22"/>
              </w:rPr>
              <w:t>电压/功率：220V/2.7KW</w:t>
            </w:r>
            <w:r>
              <w:rPr>
                <w:rFonts w:hint="eastAsia" w:ascii="宋体" w:hAnsi="宋体" w:cs="宋体"/>
                <w:kern w:val="0"/>
                <w:sz w:val="22"/>
              </w:rPr>
              <w:br w:type="textWrapping"/>
            </w:r>
            <w:r>
              <w:rPr>
                <w:rFonts w:hint="eastAsia" w:ascii="宋体" w:hAnsi="宋体" w:cs="宋体"/>
                <w:kern w:val="0"/>
                <w:sz w:val="22"/>
              </w:rPr>
              <w:t>1、双层不锈钢制作，PU保温层，完全符合食品卫生要求；</w:t>
            </w:r>
            <w:r>
              <w:rPr>
                <w:rFonts w:hint="eastAsia" w:ascii="宋体" w:hAnsi="宋体" w:cs="宋体"/>
                <w:kern w:val="0"/>
                <w:sz w:val="22"/>
              </w:rPr>
              <w:br w:type="textWrapping"/>
            </w:r>
            <w:r>
              <w:rPr>
                <w:rFonts w:hint="eastAsia" w:ascii="宋体" w:hAnsi="宋体" w:cs="宋体"/>
                <w:kern w:val="0"/>
                <w:sz w:val="22"/>
              </w:rPr>
              <w:t>2、箱内热风循环技术，使箱内的温度环境更均匀，温度和湿度的调节更精确；                                                  3、全自动触摸式控制，使温度、湿度更精准并有时间控制、报警模式。</w:t>
            </w:r>
          </w:p>
        </w:tc>
        <w:tc>
          <w:tcPr>
            <w:tcW w:w="462" w:type="dxa"/>
            <w:shd w:val="clear" w:color="auto" w:fill="auto"/>
            <w:noWrap/>
            <w:vAlign w:val="center"/>
          </w:tcPr>
          <w:p w14:paraId="108566EF">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68CA9F7C">
            <w:pPr>
              <w:widowControl/>
              <w:jc w:val="center"/>
              <w:rPr>
                <w:rFonts w:ascii="宋体" w:hAnsi="宋体" w:cs="宋体"/>
                <w:kern w:val="0"/>
                <w:sz w:val="22"/>
              </w:rPr>
            </w:pPr>
            <w:r>
              <w:rPr>
                <w:rFonts w:hint="eastAsia" w:ascii="宋体" w:hAnsi="宋体" w:cs="宋体"/>
                <w:kern w:val="0"/>
                <w:sz w:val="22"/>
              </w:rPr>
              <w:t>2</w:t>
            </w:r>
          </w:p>
        </w:tc>
        <w:tc>
          <w:tcPr>
            <w:tcW w:w="1048" w:type="dxa"/>
            <w:shd w:val="clear" w:color="auto" w:fill="auto"/>
            <w:noWrap/>
            <w:vAlign w:val="center"/>
          </w:tcPr>
          <w:p w14:paraId="40554EE2">
            <w:pPr>
              <w:widowControl/>
              <w:jc w:val="center"/>
              <w:rPr>
                <w:rFonts w:ascii="宋体" w:hAnsi="宋体" w:cs="宋体"/>
                <w:kern w:val="0"/>
                <w:sz w:val="22"/>
              </w:rPr>
            </w:pPr>
            <w:r>
              <w:rPr>
                <w:rFonts w:hint="eastAsia" w:ascii="宋体" w:hAnsi="宋体" w:cs="宋体"/>
                <w:kern w:val="0"/>
                <w:sz w:val="22"/>
              </w:rPr>
              <w:t>4200</w:t>
            </w:r>
          </w:p>
        </w:tc>
        <w:tc>
          <w:tcPr>
            <w:tcW w:w="1489" w:type="dxa"/>
            <w:shd w:val="clear" w:color="auto" w:fill="auto"/>
            <w:noWrap/>
            <w:vAlign w:val="center"/>
          </w:tcPr>
          <w:p w14:paraId="23C01117">
            <w:pPr>
              <w:widowControl/>
              <w:jc w:val="center"/>
              <w:rPr>
                <w:rFonts w:ascii="宋体" w:hAnsi="宋体" w:cs="宋体"/>
                <w:kern w:val="0"/>
                <w:sz w:val="22"/>
              </w:rPr>
            </w:pPr>
            <w:r>
              <w:rPr>
                <w:rFonts w:hint="eastAsia" w:ascii="宋体" w:hAnsi="宋体" w:cs="宋体"/>
                <w:kern w:val="0"/>
                <w:sz w:val="22"/>
              </w:rPr>
              <w:t>8400</w:t>
            </w:r>
          </w:p>
        </w:tc>
      </w:tr>
      <w:tr w14:paraId="4456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546CB81">
            <w:pPr>
              <w:widowControl/>
              <w:jc w:val="center"/>
              <w:rPr>
                <w:rFonts w:ascii="宋体" w:hAnsi="宋体" w:cs="宋体"/>
                <w:kern w:val="0"/>
                <w:sz w:val="22"/>
              </w:rPr>
            </w:pPr>
            <w:r>
              <w:rPr>
                <w:rFonts w:hint="eastAsia" w:ascii="宋体" w:hAnsi="宋体" w:cs="宋体"/>
                <w:kern w:val="0"/>
                <w:sz w:val="22"/>
              </w:rPr>
              <w:t>22</w:t>
            </w:r>
          </w:p>
        </w:tc>
        <w:tc>
          <w:tcPr>
            <w:tcW w:w="1072" w:type="dxa"/>
            <w:shd w:val="clear" w:color="auto" w:fill="auto"/>
            <w:vAlign w:val="center"/>
          </w:tcPr>
          <w:p w14:paraId="67F9F1D2">
            <w:pPr>
              <w:widowControl/>
              <w:jc w:val="center"/>
              <w:rPr>
                <w:rFonts w:ascii="宋体" w:hAnsi="宋体" w:cs="宋体"/>
                <w:kern w:val="0"/>
                <w:sz w:val="22"/>
              </w:rPr>
            </w:pPr>
            <w:r>
              <w:rPr>
                <w:rFonts w:hint="eastAsia" w:ascii="宋体" w:hAnsi="宋体" w:cs="宋体"/>
                <w:kern w:val="0"/>
                <w:sz w:val="22"/>
              </w:rPr>
              <w:t>蔬菜切丝切片机</w:t>
            </w:r>
          </w:p>
        </w:tc>
        <w:tc>
          <w:tcPr>
            <w:tcW w:w="4897" w:type="dxa"/>
            <w:shd w:val="clear" w:color="auto" w:fill="auto"/>
            <w:vAlign w:val="center"/>
          </w:tcPr>
          <w:p w14:paraId="7ABEFCF2">
            <w:pPr>
              <w:widowControl/>
              <w:jc w:val="left"/>
              <w:rPr>
                <w:rFonts w:ascii="宋体" w:hAnsi="宋体" w:cs="宋体"/>
                <w:kern w:val="0"/>
                <w:sz w:val="22"/>
              </w:rPr>
            </w:pPr>
            <w:r>
              <w:rPr>
                <w:rFonts w:hint="eastAsia" w:ascii="宋体" w:hAnsi="宋体" w:cs="宋体"/>
                <w:kern w:val="0"/>
                <w:sz w:val="22"/>
              </w:rPr>
              <w:t>生产能力：100-300kg/h ，锈钢材质，双转向，球茎类切丝切片</w:t>
            </w:r>
          </w:p>
        </w:tc>
        <w:tc>
          <w:tcPr>
            <w:tcW w:w="462" w:type="dxa"/>
            <w:shd w:val="clear" w:color="auto" w:fill="auto"/>
            <w:noWrap/>
            <w:vAlign w:val="center"/>
          </w:tcPr>
          <w:p w14:paraId="0BFAD331">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3084BB45">
            <w:pPr>
              <w:widowControl/>
              <w:jc w:val="center"/>
              <w:rPr>
                <w:rFonts w:ascii="宋体" w:hAnsi="宋体" w:cs="宋体"/>
                <w:kern w:val="0"/>
                <w:sz w:val="22"/>
              </w:rPr>
            </w:pPr>
            <w:r>
              <w:rPr>
                <w:rFonts w:hint="eastAsia" w:ascii="宋体" w:hAnsi="宋体" w:cs="宋体"/>
                <w:kern w:val="0"/>
                <w:sz w:val="22"/>
              </w:rPr>
              <w:t>2</w:t>
            </w:r>
          </w:p>
        </w:tc>
        <w:tc>
          <w:tcPr>
            <w:tcW w:w="1048" w:type="dxa"/>
            <w:shd w:val="clear" w:color="auto" w:fill="auto"/>
            <w:noWrap/>
            <w:vAlign w:val="center"/>
          </w:tcPr>
          <w:p w14:paraId="6F110FF1">
            <w:pPr>
              <w:widowControl/>
              <w:jc w:val="center"/>
              <w:rPr>
                <w:rFonts w:ascii="宋体" w:hAnsi="宋体" w:cs="宋体"/>
                <w:kern w:val="0"/>
                <w:sz w:val="22"/>
              </w:rPr>
            </w:pPr>
            <w:r>
              <w:rPr>
                <w:rFonts w:hint="eastAsia" w:ascii="宋体" w:hAnsi="宋体" w:cs="宋体"/>
                <w:kern w:val="0"/>
                <w:sz w:val="22"/>
              </w:rPr>
              <w:t>3050</w:t>
            </w:r>
          </w:p>
        </w:tc>
        <w:tc>
          <w:tcPr>
            <w:tcW w:w="1489" w:type="dxa"/>
            <w:shd w:val="clear" w:color="auto" w:fill="auto"/>
            <w:noWrap/>
            <w:vAlign w:val="center"/>
          </w:tcPr>
          <w:p w14:paraId="7C9D947F">
            <w:pPr>
              <w:widowControl/>
              <w:jc w:val="center"/>
              <w:rPr>
                <w:rFonts w:ascii="宋体" w:hAnsi="宋体" w:cs="宋体"/>
                <w:kern w:val="0"/>
                <w:sz w:val="22"/>
              </w:rPr>
            </w:pPr>
            <w:r>
              <w:rPr>
                <w:rFonts w:hint="eastAsia" w:ascii="宋体" w:hAnsi="宋体" w:cs="宋体"/>
                <w:kern w:val="0"/>
                <w:sz w:val="22"/>
              </w:rPr>
              <w:t>6100</w:t>
            </w:r>
          </w:p>
        </w:tc>
      </w:tr>
      <w:tr w14:paraId="3B66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2C3FE3">
            <w:pPr>
              <w:widowControl/>
              <w:jc w:val="center"/>
              <w:rPr>
                <w:rFonts w:ascii="宋体" w:hAnsi="宋体" w:cs="宋体"/>
                <w:kern w:val="0"/>
                <w:sz w:val="22"/>
              </w:rPr>
            </w:pPr>
            <w:r>
              <w:rPr>
                <w:rFonts w:hint="eastAsia" w:ascii="宋体" w:hAnsi="宋体" w:cs="宋体"/>
                <w:kern w:val="0"/>
                <w:sz w:val="22"/>
              </w:rPr>
              <w:t>23</w:t>
            </w:r>
          </w:p>
        </w:tc>
        <w:tc>
          <w:tcPr>
            <w:tcW w:w="1072" w:type="dxa"/>
            <w:shd w:val="clear" w:color="auto" w:fill="auto"/>
            <w:vAlign w:val="center"/>
          </w:tcPr>
          <w:p w14:paraId="4C9BCB45">
            <w:pPr>
              <w:widowControl/>
              <w:jc w:val="center"/>
              <w:rPr>
                <w:rFonts w:ascii="宋体" w:hAnsi="宋体" w:cs="宋体"/>
                <w:kern w:val="0"/>
                <w:sz w:val="22"/>
              </w:rPr>
            </w:pPr>
            <w:r>
              <w:rPr>
                <w:rFonts w:hint="eastAsia" w:ascii="宋体" w:hAnsi="宋体" w:cs="宋体"/>
                <w:kern w:val="0"/>
                <w:sz w:val="22"/>
              </w:rPr>
              <w:t>绞肉机</w:t>
            </w:r>
          </w:p>
        </w:tc>
        <w:tc>
          <w:tcPr>
            <w:tcW w:w="4897" w:type="dxa"/>
            <w:shd w:val="clear" w:color="auto" w:fill="auto"/>
            <w:vAlign w:val="center"/>
          </w:tcPr>
          <w:p w14:paraId="0FD1EDD0">
            <w:pPr>
              <w:widowControl/>
              <w:jc w:val="left"/>
              <w:rPr>
                <w:rFonts w:ascii="宋体" w:hAnsi="宋体" w:cs="宋体"/>
                <w:kern w:val="0"/>
                <w:sz w:val="22"/>
              </w:rPr>
            </w:pPr>
            <w:r>
              <w:rPr>
                <w:rFonts w:hint="eastAsia" w:ascii="宋体" w:hAnsi="宋体" w:cs="宋体"/>
                <w:kern w:val="0"/>
                <w:sz w:val="22"/>
              </w:rPr>
              <w:t>1、额定电压:220V；</w:t>
            </w:r>
            <w:r>
              <w:rPr>
                <w:rFonts w:hint="eastAsia" w:ascii="宋体" w:hAnsi="宋体" w:cs="宋体"/>
                <w:kern w:val="0"/>
                <w:sz w:val="22"/>
              </w:rPr>
              <w:br w:type="textWrapping"/>
            </w:r>
            <w:r>
              <w:rPr>
                <w:rFonts w:hint="eastAsia" w:ascii="宋体" w:hAnsi="宋体" w:cs="宋体"/>
                <w:kern w:val="0"/>
                <w:sz w:val="22"/>
              </w:rPr>
              <w:t>2、额定功率:1.1KW；</w:t>
            </w:r>
            <w:r>
              <w:rPr>
                <w:rFonts w:hint="eastAsia" w:ascii="宋体" w:hAnsi="宋体" w:cs="宋体"/>
                <w:kern w:val="0"/>
                <w:sz w:val="22"/>
              </w:rPr>
              <w:br w:type="textWrapping"/>
            </w:r>
            <w:r>
              <w:rPr>
                <w:rFonts w:hint="eastAsia" w:ascii="宋体" w:hAnsi="宋体" w:cs="宋体"/>
                <w:kern w:val="0"/>
                <w:sz w:val="22"/>
              </w:rPr>
              <w:t>3、绞肉工作能力：320KG/H;</w:t>
            </w:r>
            <w:r>
              <w:rPr>
                <w:rFonts w:hint="eastAsia" w:ascii="宋体" w:hAnsi="宋体" w:cs="宋体"/>
                <w:kern w:val="0"/>
                <w:sz w:val="22"/>
              </w:rPr>
              <w:br w:type="textWrapping"/>
            </w:r>
            <w:r>
              <w:rPr>
                <w:rFonts w:hint="eastAsia" w:ascii="宋体" w:hAnsi="宋体" w:cs="宋体"/>
                <w:kern w:val="0"/>
                <w:sz w:val="22"/>
              </w:rPr>
              <w:t>4、刀片：1.0*Φ105*Φ28.2mm；</w:t>
            </w:r>
            <w:r>
              <w:rPr>
                <w:rFonts w:hint="eastAsia" w:ascii="宋体" w:hAnsi="宋体" w:cs="宋体"/>
                <w:kern w:val="0"/>
                <w:sz w:val="22"/>
              </w:rPr>
              <w:br w:type="textWrapping"/>
            </w:r>
            <w:r>
              <w:rPr>
                <w:rFonts w:hint="eastAsia" w:ascii="宋体" w:hAnsi="宋体" w:cs="宋体"/>
                <w:kern w:val="0"/>
                <w:sz w:val="22"/>
              </w:rPr>
              <w:t>5、采用全不锈钢制造，延长机器的使用寿命；</w:t>
            </w:r>
            <w:r>
              <w:rPr>
                <w:rFonts w:hint="eastAsia" w:ascii="宋体" w:hAnsi="宋体" w:cs="宋体"/>
                <w:kern w:val="0"/>
                <w:sz w:val="22"/>
              </w:rPr>
              <w:br w:type="textWrapping"/>
            </w:r>
            <w:r>
              <w:rPr>
                <w:rFonts w:hint="eastAsia" w:ascii="宋体" w:hAnsi="宋体" w:cs="宋体"/>
                <w:kern w:val="0"/>
                <w:sz w:val="22"/>
              </w:rPr>
              <w:t>6、具结构紧凑、外形美观、效率高、易清洁保养特点。</w:t>
            </w:r>
          </w:p>
        </w:tc>
        <w:tc>
          <w:tcPr>
            <w:tcW w:w="462" w:type="dxa"/>
            <w:shd w:val="clear" w:color="auto" w:fill="auto"/>
            <w:noWrap/>
            <w:vAlign w:val="center"/>
          </w:tcPr>
          <w:p w14:paraId="039CEC94">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362C9D18">
            <w:pPr>
              <w:widowControl/>
              <w:jc w:val="center"/>
              <w:rPr>
                <w:rFonts w:ascii="宋体" w:hAnsi="宋体" w:cs="宋体"/>
                <w:kern w:val="0"/>
                <w:sz w:val="22"/>
              </w:rPr>
            </w:pPr>
            <w:r>
              <w:rPr>
                <w:rFonts w:hint="eastAsia" w:ascii="宋体" w:hAnsi="宋体" w:cs="宋体"/>
                <w:kern w:val="0"/>
                <w:sz w:val="22"/>
              </w:rPr>
              <w:t>3</w:t>
            </w:r>
          </w:p>
        </w:tc>
        <w:tc>
          <w:tcPr>
            <w:tcW w:w="1048" w:type="dxa"/>
            <w:shd w:val="clear" w:color="auto" w:fill="auto"/>
            <w:noWrap/>
            <w:vAlign w:val="center"/>
          </w:tcPr>
          <w:p w14:paraId="68936574">
            <w:pPr>
              <w:widowControl/>
              <w:jc w:val="center"/>
              <w:rPr>
                <w:rFonts w:ascii="宋体" w:hAnsi="宋体" w:cs="宋体"/>
                <w:kern w:val="0"/>
                <w:sz w:val="22"/>
              </w:rPr>
            </w:pPr>
            <w:r>
              <w:rPr>
                <w:rFonts w:hint="eastAsia" w:ascii="宋体" w:hAnsi="宋体" w:cs="宋体"/>
                <w:kern w:val="0"/>
                <w:sz w:val="22"/>
              </w:rPr>
              <w:t>3800</w:t>
            </w:r>
          </w:p>
        </w:tc>
        <w:tc>
          <w:tcPr>
            <w:tcW w:w="1489" w:type="dxa"/>
            <w:shd w:val="clear" w:color="auto" w:fill="auto"/>
            <w:noWrap/>
            <w:vAlign w:val="center"/>
          </w:tcPr>
          <w:p w14:paraId="79A7F4C5">
            <w:pPr>
              <w:widowControl/>
              <w:jc w:val="center"/>
              <w:rPr>
                <w:rFonts w:ascii="宋体" w:hAnsi="宋体" w:cs="宋体"/>
                <w:kern w:val="0"/>
                <w:sz w:val="22"/>
              </w:rPr>
            </w:pPr>
            <w:r>
              <w:rPr>
                <w:rFonts w:hint="eastAsia" w:ascii="宋体" w:hAnsi="宋体" w:cs="宋体"/>
                <w:kern w:val="0"/>
                <w:sz w:val="22"/>
              </w:rPr>
              <w:t>11400</w:t>
            </w:r>
          </w:p>
        </w:tc>
      </w:tr>
      <w:tr w14:paraId="3F45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782F1BA">
            <w:pPr>
              <w:widowControl/>
              <w:jc w:val="center"/>
              <w:rPr>
                <w:rFonts w:ascii="宋体" w:hAnsi="宋体" w:cs="宋体"/>
                <w:kern w:val="0"/>
                <w:sz w:val="22"/>
              </w:rPr>
            </w:pPr>
            <w:r>
              <w:rPr>
                <w:rFonts w:hint="eastAsia" w:ascii="宋体" w:hAnsi="宋体" w:cs="宋体"/>
                <w:kern w:val="0"/>
                <w:sz w:val="22"/>
              </w:rPr>
              <w:t>26</w:t>
            </w:r>
          </w:p>
        </w:tc>
        <w:tc>
          <w:tcPr>
            <w:tcW w:w="1072" w:type="dxa"/>
            <w:shd w:val="clear" w:color="auto" w:fill="auto"/>
            <w:vAlign w:val="center"/>
          </w:tcPr>
          <w:p w14:paraId="55804955">
            <w:pPr>
              <w:widowControl/>
              <w:jc w:val="center"/>
              <w:rPr>
                <w:rFonts w:ascii="宋体" w:hAnsi="宋体" w:cs="宋体"/>
                <w:kern w:val="0"/>
                <w:sz w:val="22"/>
              </w:rPr>
            </w:pPr>
            <w:r>
              <w:rPr>
                <w:rFonts w:hint="eastAsia" w:ascii="宋体" w:hAnsi="宋体" w:cs="宋体"/>
                <w:kern w:val="0"/>
                <w:sz w:val="22"/>
              </w:rPr>
              <w:t>切刀</w:t>
            </w:r>
          </w:p>
        </w:tc>
        <w:tc>
          <w:tcPr>
            <w:tcW w:w="4897" w:type="dxa"/>
            <w:shd w:val="clear" w:color="auto" w:fill="auto"/>
            <w:vAlign w:val="bottom"/>
          </w:tcPr>
          <w:p w14:paraId="358A16C6">
            <w:pPr>
              <w:widowControl/>
              <w:jc w:val="left"/>
              <w:rPr>
                <w:rFonts w:ascii="宋体" w:hAnsi="宋体" w:cs="宋体"/>
                <w:kern w:val="0"/>
                <w:sz w:val="20"/>
                <w:szCs w:val="20"/>
              </w:rPr>
            </w:pPr>
            <w:r>
              <w:rPr>
                <w:rFonts w:hint="eastAsia" w:ascii="宋体" w:hAnsi="宋体" w:cs="宋体"/>
                <w:kern w:val="0"/>
                <w:sz w:val="20"/>
                <w:szCs w:val="20"/>
              </w:rPr>
              <w:t>1.功能：切菜，切片。</w:t>
            </w:r>
            <w:r>
              <w:rPr>
                <w:rFonts w:hint="eastAsia" w:ascii="宋体" w:hAnsi="宋体" w:cs="宋体"/>
                <w:kern w:val="0"/>
                <w:sz w:val="20"/>
                <w:szCs w:val="20"/>
              </w:rPr>
              <w:br w:type="textWrapping"/>
            </w:r>
            <w:r>
              <w:rPr>
                <w:rFonts w:hint="eastAsia" w:ascii="宋体" w:hAnsi="宋体" w:cs="宋体"/>
                <w:kern w:val="0"/>
                <w:sz w:val="20"/>
                <w:szCs w:val="20"/>
              </w:rPr>
              <w:t>2.工艺：抛光，防腐蚀，手柄加固，手柄防滑，防锈。</w:t>
            </w:r>
            <w:r>
              <w:rPr>
                <w:rFonts w:hint="eastAsia" w:ascii="宋体" w:hAnsi="宋体" w:cs="宋体"/>
                <w:kern w:val="0"/>
                <w:sz w:val="20"/>
                <w:szCs w:val="20"/>
              </w:rPr>
              <w:br w:type="textWrapping"/>
            </w:r>
            <w:r>
              <w:rPr>
                <w:rFonts w:hint="eastAsia" w:ascii="宋体" w:hAnsi="宋体" w:cs="宋体"/>
                <w:kern w:val="0"/>
                <w:sz w:val="20"/>
                <w:szCs w:val="20"/>
              </w:rPr>
              <w:t>3.刀刃长度：</w:t>
            </w:r>
            <w:r>
              <w:rPr>
                <w:rFonts w:hint="eastAsia" w:ascii="仿宋_GB2312" w:hAnsi="宋体" w:eastAsia="仿宋_GB2312" w:cs="宋体"/>
                <w:kern w:val="0"/>
                <w:sz w:val="20"/>
                <w:szCs w:val="20"/>
              </w:rPr>
              <w:t>≥</w:t>
            </w:r>
            <w:r>
              <w:rPr>
                <w:rFonts w:hint="eastAsia" w:ascii="宋体" w:hAnsi="宋体" w:cs="宋体"/>
                <w:kern w:val="0"/>
                <w:sz w:val="20"/>
                <w:szCs w:val="20"/>
              </w:rPr>
              <w:t>220mm。</w:t>
            </w:r>
            <w:r>
              <w:rPr>
                <w:rFonts w:hint="eastAsia" w:ascii="宋体" w:hAnsi="宋体" w:cs="宋体"/>
                <w:kern w:val="0"/>
                <w:sz w:val="20"/>
                <w:szCs w:val="20"/>
              </w:rPr>
              <w:br w:type="textWrapping"/>
            </w:r>
            <w:r>
              <w:rPr>
                <w:rFonts w:hint="eastAsia" w:ascii="宋体" w:hAnsi="宋体" w:cs="宋体"/>
                <w:kern w:val="0"/>
                <w:sz w:val="20"/>
                <w:szCs w:val="20"/>
              </w:rPr>
              <w:t>4.刀身材质：400系列不锈钢。</w:t>
            </w:r>
            <w:r>
              <w:rPr>
                <w:rFonts w:hint="eastAsia" w:ascii="宋体" w:hAnsi="宋体" w:cs="宋体"/>
                <w:kern w:val="0"/>
                <w:sz w:val="20"/>
                <w:szCs w:val="20"/>
              </w:rPr>
              <w:br w:type="textWrapping"/>
            </w:r>
            <w:r>
              <w:rPr>
                <w:rFonts w:hint="eastAsia" w:ascii="宋体" w:hAnsi="宋体" w:cs="宋体"/>
                <w:kern w:val="0"/>
                <w:sz w:val="20"/>
                <w:szCs w:val="20"/>
              </w:rPr>
              <w:t>5.手柄材质：不锈钢。</w:t>
            </w:r>
            <w:r>
              <w:rPr>
                <w:rFonts w:hint="eastAsia" w:ascii="宋体" w:hAnsi="宋体" w:cs="宋体"/>
                <w:kern w:val="0"/>
                <w:sz w:val="20"/>
                <w:szCs w:val="20"/>
              </w:rPr>
              <w:br w:type="textWrapping"/>
            </w:r>
            <w:r>
              <w:rPr>
                <w:rFonts w:hint="eastAsia" w:ascii="宋体" w:hAnsi="宋体" w:cs="宋体"/>
                <w:kern w:val="0"/>
                <w:sz w:val="20"/>
                <w:szCs w:val="20"/>
              </w:rPr>
              <w:t>6.刀尖角度：≥60</w:t>
            </w:r>
          </w:p>
        </w:tc>
        <w:tc>
          <w:tcPr>
            <w:tcW w:w="462" w:type="dxa"/>
            <w:shd w:val="clear" w:color="auto" w:fill="auto"/>
            <w:noWrap/>
            <w:vAlign w:val="center"/>
          </w:tcPr>
          <w:p w14:paraId="0D987C0E">
            <w:pPr>
              <w:widowControl/>
              <w:jc w:val="left"/>
              <w:rPr>
                <w:rFonts w:ascii="宋体" w:hAnsi="宋体" w:cs="宋体"/>
                <w:kern w:val="0"/>
                <w:sz w:val="22"/>
              </w:rPr>
            </w:pPr>
            <w:r>
              <w:rPr>
                <w:rFonts w:hint="eastAsia" w:ascii="宋体" w:hAnsi="宋体" w:cs="宋体"/>
                <w:kern w:val="0"/>
                <w:sz w:val="22"/>
              </w:rPr>
              <w:t>把</w:t>
            </w:r>
          </w:p>
        </w:tc>
        <w:tc>
          <w:tcPr>
            <w:tcW w:w="605" w:type="dxa"/>
            <w:shd w:val="clear" w:color="auto" w:fill="auto"/>
            <w:noWrap/>
            <w:vAlign w:val="center"/>
          </w:tcPr>
          <w:p w14:paraId="2DDBDB8F">
            <w:pPr>
              <w:widowControl/>
              <w:jc w:val="center"/>
              <w:rPr>
                <w:rFonts w:ascii="宋体" w:hAnsi="宋体" w:cs="宋体"/>
                <w:kern w:val="0"/>
                <w:sz w:val="22"/>
              </w:rPr>
            </w:pPr>
            <w:r>
              <w:rPr>
                <w:rFonts w:hint="eastAsia" w:ascii="宋体" w:hAnsi="宋体" w:cs="宋体"/>
                <w:kern w:val="0"/>
                <w:sz w:val="22"/>
              </w:rPr>
              <w:t>30</w:t>
            </w:r>
          </w:p>
        </w:tc>
        <w:tc>
          <w:tcPr>
            <w:tcW w:w="1048" w:type="dxa"/>
            <w:shd w:val="clear" w:color="auto" w:fill="auto"/>
            <w:noWrap/>
            <w:vAlign w:val="center"/>
          </w:tcPr>
          <w:p w14:paraId="6682D8CF">
            <w:pPr>
              <w:widowControl/>
              <w:jc w:val="center"/>
              <w:rPr>
                <w:rFonts w:ascii="宋体" w:hAnsi="宋体" w:cs="宋体"/>
                <w:kern w:val="0"/>
                <w:sz w:val="22"/>
              </w:rPr>
            </w:pPr>
            <w:r>
              <w:rPr>
                <w:rFonts w:hint="eastAsia" w:ascii="宋体" w:hAnsi="宋体" w:cs="宋体"/>
                <w:kern w:val="0"/>
                <w:sz w:val="22"/>
              </w:rPr>
              <w:t>80</w:t>
            </w:r>
          </w:p>
        </w:tc>
        <w:tc>
          <w:tcPr>
            <w:tcW w:w="1489" w:type="dxa"/>
            <w:shd w:val="clear" w:color="auto" w:fill="auto"/>
            <w:noWrap/>
            <w:vAlign w:val="center"/>
          </w:tcPr>
          <w:p w14:paraId="44C47190">
            <w:pPr>
              <w:widowControl/>
              <w:jc w:val="center"/>
              <w:rPr>
                <w:rFonts w:ascii="宋体" w:hAnsi="宋体" w:cs="宋体"/>
                <w:kern w:val="0"/>
                <w:sz w:val="22"/>
              </w:rPr>
            </w:pPr>
            <w:r>
              <w:rPr>
                <w:rFonts w:hint="eastAsia" w:ascii="宋体" w:hAnsi="宋体" w:cs="宋体"/>
                <w:kern w:val="0"/>
                <w:sz w:val="22"/>
              </w:rPr>
              <w:t>2400</w:t>
            </w:r>
          </w:p>
        </w:tc>
      </w:tr>
      <w:tr w14:paraId="2A89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813B305">
            <w:pPr>
              <w:widowControl/>
              <w:jc w:val="center"/>
              <w:rPr>
                <w:rFonts w:ascii="宋体" w:hAnsi="宋体" w:cs="宋体"/>
                <w:kern w:val="0"/>
                <w:sz w:val="22"/>
              </w:rPr>
            </w:pPr>
            <w:r>
              <w:rPr>
                <w:rFonts w:hint="eastAsia" w:ascii="宋体" w:hAnsi="宋体" w:cs="宋体"/>
                <w:kern w:val="0"/>
                <w:sz w:val="22"/>
              </w:rPr>
              <w:t>27</w:t>
            </w:r>
          </w:p>
        </w:tc>
        <w:tc>
          <w:tcPr>
            <w:tcW w:w="1072" w:type="dxa"/>
            <w:shd w:val="clear" w:color="auto" w:fill="auto"/>
            <w:vAlign w:val="center"/>
          </w:tcPr>
          <w:p w14:paraId="56C7A693">
            <w:pPr>
              <w:widowControl/>
              <w:jc w:val="center"/>
              <w:rPr>
                <w:rFonts w:ascii="宋体" w:hAnsi="宋体" w:cs="宋体"/>
                <w:kern w:val="0"/>
                <w:sz w:val="22"/>
              </w:rPr>
            </w:pPr>
            <w:r>
              <w:rPr>
                <w:rFonts w:hint="eastAsia" w:ascii="宋体" w:hAnsi="宋体" w:cs="宋体"/>
                <w:kern w:val="0"/>
                <w:sz w:val="22"/>
              </w:rPr>
              <w:t>砍刀</w:t>
            </w:r>
          </w:p>
        </w:tc>
        <w:tc>
          <w:tcPr>
            <w:tcW w:w="4897" w:type="dxa"/>
            <w:shd w:val="clear" w:color="auto" w:fill="auto"/>
            <w:vAlign w:val="bottom"/>
          </w:tcPr>
          <w:p w14:paraId="444E347D">
            <w:pPr>
              <w:widowControl/>
              <w:jc w:val="left"/>
              <w:rPr>
                <w:rFonts w:ascii="宋体" w:hAnsi="宋体" w:cs="宋体"/>
                <w:kern w:val="0"/>
                <w:sz w:val="20"/>
                <w:szCs w:val="20"/>
              </w:rPr>
            </w:pPr>
            <w:r>
              <w:rPr>
                <w:rFonts w:hint="eastAsia" w:ascii="宋体" w:hAnsi="宋体" w:cs="宋体"/>
                <w:kern w:val="0"/>
                <w:sz w:val="20"/>
                <w:szCs w:val="20"/>
              </w:rPr>
              <w:t>1.刀身材质：400系列不锈钢</w:t>
            </w:r>
            <w:r>
              <w:rPr>
                <w:rFonts w:hint="eastAsia" w:ascii="宋体" w:hAnsi="宋体" w:cs="宋体"/>
                <w:kern w:val="0"/>
                <w:sz w:val="20"/>
                <w:szCs w:val="20"/>
              </w:rPr>
              <w:br w:type="textWrapping"/>
            </w:r>
            <w:r>
              <w:rPr>
                <w:rFonts w:hint="eastAsia" w:ascii="宋体" w:hAnsi="宋体" w:cs="宋体"/>
                <w:kern w:val="0"/>
                <w:sz w:val="20"/>
                <w:szCs w:val="20"/>
              </w:rPr>
              <w:t>2.工艺：加厚，锻打，手柄防滑</w:t>
            </w:r>
            <w:r>
              <w:rPr>
                <w:rFonts w:hint="eastAsia" w:ascii="宋体" w:hAnsi="宋体" w:cs="宋体"/>
                <w:kern w:val="0"/>
                <w:sz w:val="20"/>
                <w:szCs w:val="20"/>
              </w:rPr>
              <w:br w:type="textWrapping"/>
            </w:r>
            <w:r>
              <w:rPr>
                <w:rFonts w:hint="eastAsia" w:ascii="宋体" w:hAnsi="宋体" w:cs="宋体"/>
                <w:kern w:val="0"/>
                <w:sz w:val="20"/>
                <w:szCs w:val="20"/>
              </w:rPr>
              <w:t>3.刀刃长度：≥220mm</w:t>
            </w:r>
            <w:r>
              <w:rPr>
                <w:rFonts w:hint="eastAsia" w:ascii="宋体" w:hAnsi="宋体" w:cs="宋体"/>
                <w:kern w:val="0"/>
                <w:sz w:val="20"/>
                <w:szCs w:val="20"/>
              </w:rPr>
              <w:br w:type="textWrapping"/>
            </w:r>
            <w:r>
              <w:rPr>
                <w:rFonts w:hint="eastAsia" w:ascii="宋体" w:hAnsi="宋体" w:cs="宋体"/>
                <w:kern w:val="0"/>
                <w:sz w:val="20"/>
                <w:szCs w:val="20"/>
              </w:rPr>
              <w:t>4.手柄材质：不锈钢</w:t>
            </w:r>
            <w:r>
              <w:rPr>
                <w:rFonts w:hint="eastAsia" w:ascii="宋体" w:hAnsi="宋体" w:cs="宋体"/>
                <w:kern w:val="0"/>
                <w:sz w:val="20"/>
                <w:szCs w:val="20"/>
              </w:rPr>
              <w:br w:type="textWrapping"/>
            </w:r>
            <w:r>
              <w:rPr>
                <w:rFonts w:hint="eastAsia" w:ascii="宋体" w:hAnsi="宋体" w:cs="宋体"/>
                <w:kern w:val="0"/>
                <w:sz w:val="20"/>
                <w:szCs w:val="20"/>
              </w:rPr>
              <w:t>5.功能：砍骨</w:t>
            </w:r>
            <w:r>
              <w:rPr>
                <w:rFonts w:hint="eastAsia" w:ascii="宋体" w:hAnsi="宋体" w:cs="宋体"/>
                <w:kern w:val="0"/>
                <w:sz w:val="20"/>
                <w:szCs w:val="20"/>
              </w:rPr>
              <w:br w:type="textWrapping"/>
            </w:r>
            <w:r>
              <w:rPr>
                <w:rFonts w:hint="eastAsia" w:ascii="宋体" w:hAnsi="宋体" w:cs="宋体"/>
                <w:kern w:val="0"/>
                <w:sz w:val="20"/>
                <w:szCs w:val="20"/>
              </w:rPr>
              <w:t>6.刀尖角度：≥60°</w:t>
            </w:r>
          </w:p>
        </w:tc>
        <w:tc>
          <w:tcPr>
            <w:tcW w:w="462" w:type="dxa"/>
            <w:shd w:val="clear" w:color="auto" w:fill="auto"/>
            <w:noWrap/>
            <w:vAlign w:val="center"/>
          </w:tcPr>
          <w:p w14:paraId="07406625">
            <w:pPr>
              <w:widowControl/>
              <w:jc w:val="left"/>
              <w:rPr>
                <w:rFonts w:ascii="宋体" w:hAnsi="宋体" w:cs="宋体"/>
                <w:kern w:val="0"/>
                <w:sz w:val="22"/>
              </w:rPr>
            </w:pPr>
            <w:r>
              <w:rPr>
                <w:rFonts w:hint="eastAsia" w:ascii="宋体" w:hAnsi="宋体" w:cs="宋体"/>
                <w:kern w:val="0"/>
                <w:sz w:val="22"/>
              </w:rPr>
              <w:t>把</w:t>
            </w:r>
          </w:p>
        </w:tc>
        <w:tc>
          <w:tcPr>
            <w:tcW w:w="605" w:type="dxa"/>
            <w:shd w:val="clear" w:color="auto" w:fill="auto"/>
            <w:noWrap/>
            <w:vAlign w:val="center"/>
          </w:tcPr>
          <w:p w14:paraId="4C9B5EE6">
            <w:pPr>
              <w:widowControl/>
              <w:jc w:val="center"/>
              <w:rPr>
                <w:rFonts w:ascii="宋体" w:hAnsi="宋体" w:cs="宋体"/>
                <w:kern w:val="0"/>
                <w:sz w:val="22"/>
              </w:rPr>
            </w:pPr>
            <w:r>
              <w:rPr>
                <w:rFonts w:hint="eastAsia" w:ascii="宋体" w:hAnsi="宋体" w:cs="宋体"/>
                <w:kern w:val="0"/>
                <w:sz w:val="22"/>
              </w:rPr>
              <w:t>30</w:t>
            </w:r>
          </w:p>
        </w:tc>
        <w:tc>
          <w:tcPr>
            <w:tcW w:w="1048" w:type="dxa"/>
            <w:shd w:val="clear" w:color="auto" w:fill="auto"/>
            <w:noWrap/>
            <w:vAlign w:val="center"/>
          </w:tcPr>
          <w:p w14:paraId="7F948600">
            <w:pPr>
              <w:widowControl/>
              <w:jc w:val="center"/>
              <w:rPr>
                <w:rFonts w:ascii="宋体" w:hAnsi="宋体" w:cs="宋体"/>
                <w:kern w:val="0"/>
                <w:sz w:val="22"/>
              </w:rPr>
            </w:pPr>
            <w:r>
              <w:rPr>
                <w:rFonts w:hint="eastAsia" w:ascii="宋体" w:hAnsi="宋体" w:cs="宋体"/>
                <w:kern w:val="0"/>
                <w:sz w:val="22"/>
              </w:rPr>
              <w:t>100</w:t>
            </w:r>
          </w:p>
        </w:tc>
        <w:tc>
          <w:tcPr>
            <w:tcW w:w="1489" w:type="dxa"/>
            <w:shd w:val="clear" w:color="auto" w:fill="auto"/>
            <w:noWrap/>
            <w:vAlign w:val="center"/>
          </w:tcPr>
          <w:p w14:paraId="7FE5B624">
            <w:pPr>
              <w:widowControl/>
              <w:jc w:val="center"/>
              <w:rPr>
                <w:rFonts w:ascii="宋体" w:hAnsi="宋体" w:cs="宋体"/>
                <w:kern w:val="0"/>
                <w:sz w:val="22"/>
              </w:rPr>
            </w:pPr>
            <w:r>
              <w:rPr>
                <w:rFonts w:hint="eastAsia" w:ascii="宋体" w:hAnsi="宋体" w:cs="宋体"/>
                <w:kern w:val="0"/>
                <w:sz w:val="22"/>
              </w:rPr>
              <w:t>3000</w:t>
            </w:r>
          </w:p>
        </w:tc>
      </w:tr>
      <w:tr w14:paraId="745E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8BD700E">
            <w:pPr>
              <w:widowControl/>
              <w:jc w:val="center"/>
              <w:rPr>
                <w:rFonts w:ascii="宋体" w:hAnsi="宋体" w:cs="宋体"/>
                <w:kern w:val="0"/>
                <w:sz w:val="22"/>
              </w:rPr>
            </w:pPr>
            <w:r>
              <w:rPr>
                <w:rFonts w:hint="eastAsia" w:ascii="宋体" w:hAnsi="宋体" w:cs="宋体"/>
                <w:kern w:val="0"/>
                <w:sz w:val="22"/>
              </w:rPr>
              <w:t>28</w:t>
            </w:r>
          </w:p>
        </w:tc>
        <w:tc>
          <w:tcPr>
            <w:tcW w:w="1072" w:type="dxa"/>
            <w:shd w:val="clear" w:color="auto" w:fill="auto"/>
            <w:vAlign w:val="center"/>
          </w:tcPr>
          <w:p w14:paraId="1680C1E0">
            <w:pPr>
              <w:widowControl/>
              <w:jc w:val="center"/>
              <w:rPr>
                <w:rFonts w:ascii="宋体" w:hAnsi="宋体" w:cs="宋体"/>
                <w:kern w:val="0"/>
                <w:sz w:val="22"/>
              </w:rPr>
            </w:pPr>
            <w:r>
              <w:rPr>
                <w:rFonts w:hint="eastAsia" w:ascii="宋体" w:hAnsi="宋体" w:cs="宋体"/>
                <w:kern w:val="0"/>
                <w:sz w:val="22"/>
              </w:rPr>
              <w:t>红色砧板</w:t>
            </w:r>
          </w:p>
        </w:tc>
        <w:tc>
          <w:tcPr>
            <w:tcW w:w="4897" w:type="dxa"/>
            <w:shd w:val="clear" w:color="auto" w:fill="auto"/>
            <w:vAlign w:val="center"/>
          </w:tcPr>
          <w:p w14:paraId="649A5A5B">
            <w:pPr>
              <w:widowControl/>
              <w:jc w:val="left"/>
              <w:rPr>
                <w:rFonts w:ascii="宋体" w:hAnsi="宋体" w:cs="宋体"/>
                <w:kern w:val="0"/>
                <w:sz w:val="20"/>
                <w:szCs w:val="20"/>
              </w:rPr>
            </w:pPr>
            <w:r>
              <w:rPr>
                <w:rFonts w:hint="eastAsia" w:ascii="宋体" w:hAnsi="宋体" w:cs="宋体"/>
                <w:kern w:val="0"/>
                <w:sz w:val="20"/>
                <w:szCs w:val="20"/>
              </w:rPr>
              <w:t>塑料，不小于42公分直径*10公分厚。</w:t>
            </w:r>
          </w:p>
        </w:tc>
        <w:tc>
          <w:tcPr>
            <w:tcW w:w="462" w:type="dxa"/>
            <w:shd w:val="clear" w:color="auto" w:fill="auto"/>
            <w:noWrap/>
            <w:vAlign w:val="center"/>
          </w:tcPr>
          <w:p w14:paraId="108946CE">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7D6DF5F8">
            <w:pPr>
              <w:widowControl/>
              <w:jc w:val="center"/>
              <w:rPr>
                <w:rFonts w:ascii="宋体" w:hAnsi="宋体" w:cs="宋体"/>
                <w:kern w:val="0"/>
                <w:sz w:val="22"/>
              </w:rPr>
            </w:pPr>
            <w:r>
              <w:rPr>
                <w:rFonts w:hint="eastAsia" w:ascii="宋体" w:hAnsi="宋体" w:cs="宋体"/>
                <w:kern w:val="0"/>
                <w:sz w:val="22"/>
              </w:rPr>
              <w:t>12</w:t>
            </w:r>
          </w:p>
        </w:tc>
        <w:tc>
          <w:tcPr>
            <w:tcW w:w="1048" w:type="dxa"/>
            <w:shd w:val="clear" w:color="auto" w:fill="auto"/>
            <w:noWrap/>
            <w:vAlign w:val="center"/>
          </w:tcPr>
          <w:p w14:paraId="7E822094">
            <w:pPr>
              <w:widowControl/>
              <w:jc w:val="center"/>
              <w:rPr>
                <w:rFonts w:ascii="宋体" w:hAnsi="宋体" w:cs="宋体"/>
                <w:kern w:val="0"/>
                <w:sz w:val="22"/>
              </w:rPr>
            </w:pPr>
            <w:r>
              <w:rPr>
                <w:rFonts w:hint="eastAsia" w:ascii="宋体" w:hAnsi="宋体" w:cs="宋体"/>
                <w:kern w:val="0"/>
                <w:sz w:val="22"/>
              </w:rPr>
              <w:t>250</w:t>
            </w:r>
          </w:p>
        </w:tc>
        <w:tc>
          <w:tcPr>
            <w:tcW w:w="1489" w:type="dxa"/>
            <w:shd w:val="clear" w:color="auto" w:fill="auto"/>
            <w:noWrap/>
            <w:vAlign w:val="center"/>
          </w:tcPr>
          <w:p w14:paraId="6128C6C6">
            <w:pPr>
              <w:widowControl/>
              <w:jc w:val="center"/>
              <w:rPr>
                <w:rFonts w:ascii="宋体" w:hAnsi="宋体" w:cs="宋体"/>
                <w:kern w:val="0"/>
                <w:sz w:val="22"/>
              </w:rPr>
            </w:pPr>
            <w:r>
              <w:rPr>
                <w:rFonts w:hint="eastAsia" w:ascii="宋体" w:hAnsi="宋体" w:cs="宋体"/>
                <w:kern w:val="0"/>
                <w:sz w:val="22"/>
              </w:rPr>
              <w:t>3000</w:t>
            </w:r>
          </w:p>
        </w:tc>
      </w:tr>
      <w:tr w14:paraId="0117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89186F5">
            <w:pPr>
              <w:widowControl/>
              <w:jc w:val="center"/>
              <w:rPr>
                <w:rFonts w:ascii="宋体" w:hAnsi="宋体" w:cs="宋体"/>
                <w:kern w:val="0"/>
                <w:sz w:val="22"/>
              </w:rPr>
            </w:pPr>
            <w:r>
              <w:rPr>
                <w:rFonts w:hint="eastAsia" w:ascii="宋体" w:hAnsi="宋体" w:cs="宋体"/>
                <w:kern w:val="0"/>
                <w:sz w:val="22"/>
              </w:rPr>
              <w:t>29</w:t>
            </w:r>
          </w:p>
        </w:tc>
        <w:tc>
          <w:tcPr>
            <w:tcW w:w="1072" w:type="dxa"/>
            <w:shd w:val="clear" w:color="auto" w:fill="auto"/>
            <w:vAlign w:val="center"/>
          </w:tcPr>
          <w:p w14:paraId="31F35805">
            <w:pPr>
              <w:widowControl/>
              <w:jc w:val="center"/>
              <w:rPr>
                <w:rFonts w:ascii="宋体" w:hAnsi="宋体" w:cs="宋体"/>
                <w:kern w:val="0"/>
                <w:sz w:val="22"/>
              </w:rPr>
            </w:pPr>
            <w:r>
              <w:rPr>
                <w:rFonts w:hint="eastAsia" w:ascii="宋体" w:hAnsi="宋体" w:cs="宋体"/>
                <w:kern w:val="0"/>
                <w:sz w:val="22"/>
              </w:rPr>
              <w:t>绿色砧板</w:t>
            </w:r>
          </w:p>
        </w:tc>
        <w:tc>
          <w:tcPr>
            <w:tcW w:w="4897" w:type="dxa"/>
            <w:shd w:val="clear" w:color="auto" w:fill="auto"/>
            <w:vAlign w:val="center"/>
          </w:tcPr>
          <w:p w14:paraId="5F848AAF">
            <w:pPr>
              <w:widowControl/>
              <w:jc w:val="left"/>
              <w:rPr>
                <w:rFonts w:ascii="宋体" w:hAnsi="宋体" w:cs="宋体"/>
                <w:kern w:val="0"/>
                <w:sz w:val="20"/>
                <w:szCs w:val="20"/>
              </w:rPr>
            </w:pPr>
            <w:r>
              <w:rPr>
                <w:rFonts w:hint="eastAsia" w:ascii="宋体" w:hAnsi="宋体" w:cs="宋体"/>
                <w:kern w:val="0"/>
                <w:sz w:val="20"/>
                <w:szCs w:val="20"/>
              </w:rPr>
              <w:t>塑料，不小于42公分直径*10公分厚。</w:t>
            </w:r>
          </w:p>
        </w:tc>
        <w:tc>
          <w:tcPr>
            <w:tcW w:w="462" w:type="dxa"/>
            <w:shd w:val="clear" w:color="auto" w:fill="auto"/>
            <w:noWrap/>
            <w:vAlign w:val="center"/>
          </w:tcPr>
          <w:p w14:paraId="7AC957BA">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193779F3">
            <w:pPr>
              <w:widowControl/>
              <w:jc w:val="center"/>
              <w:rPr>
                <w:rFonts w:ascii="宋体" w:hAnsi="宋体" w:cs="宋体"/>
                <w:kern w:val="0"/>
                <w:sz w:val="22"/>
              </w:rPr>
            </w:pPr>
            <w:r>
              <w:rPr>
                <w:rFonts w:hint="eastAsia" w:ascii="宋体" w:hAnsi="宋体" w:cs="宋体"/>
                <w:kern w:val="0"/>
                <w:sz w:val="22"/>
              </w:rPr>
              <w:t>12</w:t>
            </w:r>
          </w:p>
        </w:tc>
        <w:tc>
          <w:tcPr>
            <w:tcW w:w="1048" w:type="dxa"/>
            <w:shd w:val="clear" w:color="auto" w:fill="auto"/>
            <w:noWrap/>
            <w:vAlign w:val="center"/>
          </w:tcPr>
          <w:p w14:paraId="004E3107">
            <w:pPr>
              <w:widowControl/>
              <w:jc w:val="center"/>
              <w:rPr>
                <w:rFonts w:ascii="宋体" w:hAnsi="宋体" w:cs="宋体"/>
                <w:kern w:val="0"/>
                <w:sz w:val="22"/>
              </w:rPr>
            </w:pPr>
            <w:r>
              <w:rPr>
                <w:rFonts w:hint="eastAsia" w:ascii="宋体" w:hAnsi="宋体" w:cs="宋体"/>
                <w:kern w:val="0"/>
                <w:sz w:val="22"/>
              </w:rPr>
              <w:t>250</w:t>
            </w:r>
          </w:p>
        </w:tc>
        <w:tc>
          <w:tcPr>
            <w:tcW w:w="1489" w:type="dxa"/>
            <w:shd w:val="clear" w:color="auto" w:fill="auto"/>
            <w:noWrap/>
            <w:vAlign w:val="center"/>
          </w:tcPr>
          <w:p w14:paraId="52BB9389">
            <w:pPr>
              <w:widowControl/>
              <w:jc w:val="center"/>
              <w:rPr>
                <w:rFonts w:ascii="宋体" w:hAnsi="宋体" w:cs="宋体"/>
                <w:kern w:val="0"/>
                <w:sz w:val="22"/>
              </w:rPr>
            </w:pPr>
            <w:r>
              <w:rPr>
                <w:rFonts w:hint="eastAsia" w:ascii="宋体" w:hAnsi="宋体" w:cs="宋体"/>
                <w:kern w:val="0"/>
                <w:sz w:val="22"/>
              </w:rPr>
              <w:t>3000</w:t>
            </w:r>
          </w:p>
        </w:tc>
      </w:tr>
      <w:tr w14:paraId="0D06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BDC01AD">
            <w:pPr>
              <w:widowControl/>
              <w:jc w:val="center"/>
              <w:rPr>
                <w:rFonts w:ascii="宋体" w:hAnsi="宋体" w:cs="宋体"/>
                <w:kern w:val="0"/>
                <w:sz w:val="22"/>
              </w:rPr>
            </w:pPr>
            <w:r>
              <w:rPr>
                <w:rFonts w:hint="eastAsia" w:ascii="宋体" w:hAnsi="宋体" w:cs="宋体"/>
                <w:kern w:val="0"/>
                <w:sz w:val="22"/>
              </w:rPr>
              <w:t>30</w:t>
            </w:r>
          </w:p>
        </w:tc>
        <w:tc>
          <w:tcPr>
            <w:tcW w:w="1072" w:type="dxa"/>
            <w:shd w:val="clear" w:color="auto" w:fill="auto"/>
            <w:vAlign w:val="center"/>
          </w:tcPr>
          <w:p w14:paraId="12390D83">
            <w:pPr>
              <w:widowControl/>
              <w:jc w:val="center"/>
              <w:rPr>
                <w:rFonts w:ascii="宋体" w:hAnsi="宋体" w:cs="宋体"/>
                <w:kern w:val="0"/>
                <w:sz w:val="22"/>
              </w:rPr>
            </w:pPr>
            <w:r>
              <w:rPr>
                <w:rFonts w:hint="eastAsia" w:ascii="宋体" w:hAnsi="宋体" w:cs="宋体"/>
                <w:kern w:val="0"/>
                <w:sz w:val="22"/>
              </w:rPr>
              <w:t>破壁机</w:t>
            </w:r>
          </w:p>
        </w:tc>
        <w:tc>
          <w:tcPr>
            <w:tcW w:w="4897" w:type="dxa"/>
            <w:shd w:val="clear" w:color="auto" w:fill="auto"/>
            <w:vAlign w:val="center"/>
          </w:tcPr>
          <w:p w14:paraId="31C81A64">
            <w:pPr>
              <w:widowControl/>
              <w:jc w:val="left"/>
              <w:rPr>
                <w:rFonts w:ascii="宋体" w:hAnsi="宋体" w:cs="宋体"/>
                <w:kern w:val="0"/>
                <w:sz w:val="22"/>
              </w:rPr>
            </w:pPr>
            <w:r>
              <w:rPr>
                <w:rFonts w:hint="eastAsia" w:ascii="宋体" w:hAnsi="宋体" w:cs="宋体"/>
                <w:kern w:val="0"/>
                <w:sz w:val="22"/>
              </w:rPr>
              <w:t>商用，规格：220V/50Hz/2000W，容量8L</w:t>
            </w:r>
          </w:p>
        </w:tc>
        <w:tc>
          <w:tcPr>
            <w:tcW w:w="462" w:type="dxa"/>
            <w:shd w:val="clear" w:color="auto" w:fill="auto"/>
            <w:noWrap/>
            <w:vAlign w:val="center"/>
          </w:tcPr>
          <w:p w14:paraId="64A94E92">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4E38303C">
            <w:pPr>
              <w:widowControl/>
              <w:jc w:val="center"/>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5C9F5340">
            <w:pPr>
              <w:widowControl/>
              <w:jc w:val="center"/>
              <w:rPr>
                <w:rFonts w:ascii="宋体" w:hAnsi="宋体" w:cs="宋体"/>
                <w:kern w:val="0"/>
                <w:sz w:val="22"/>
              </w:rPr>
            </w:pPr>
            <w:r>
              <w:rPr>
                <w:rFonts w:hint="eastAsia" w:ascii="宋体" w:hAnsi="宋体" w:cs="宋体"/>
                <w:kern w:val="0"/>
                <w:sz w:val="22"/>
              </w:rPr>
              <w:t>580</w:t>
            </w:r>
          </w:p>
        </w:tc>
        <w:tc>
          <w:tcPr>
            <w:tcW w:w="1489" w:type="dxa"/>
            <w:shd w:val="clear" w:color="auto" w:fill="auto"/>
            <w:noWrap/>
            <w:vAlign w:val="center"/>
          </w:tcPr>
          <w:p w14:paraId="674995D7">
            <w:pPr>
              <w:widowControl/>
              <w:jc w:val="center"/>
              <w:rPr>
                <w:rFonts w:ascii="宋体" w:hAnsi="宋体" w:cs="宋体"/>
                <w:kern w:val="0"/>
                <w:sz w:val="22"/>
              </w:rPr>
            </w:pPr>
            <w:r>
              <w:rPr>
                <w:rFonts w:hint="eastAsia" w:ascii="宋体" w:hAnsi="宋体" w:cs="宋体"/>
                <w:kern w:val="0"/>
                <w:sz w:val="22"/>
              </w:rPr>
              <w:t>580</w:t>
            </w:r>
          </w:p>
        </w:tc>
      </w:tr>
      <w:tr w14:paraId="54DC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3CE8936">
            <w:pPr>
              <w:widowControl/>
              <w:jc w:val="center"/>
              <w:rPr>
                <w:rFonts w:ascii="宋体" w:hAnsi="宋体" w:cs="宋体"/>
                <w:kern w:val="0"/>
                <w:sz w:val="22"/>
              </w:rPr>
            </w:pPr>
            <w:r>
              <w:rPr>
                <w:rFonts w:hint="eastAsia" w:ascii="宋体" w:hAnsi="宋体" w:cs="宋体"/>
                <w:kern w:val="0"/>
                <w:sz w:val="22"/>
              </w:rPr>
              <w:t>31</w:t>
            </w:r>
          </w:p>
        </w:tc>
        <w:tc>
          <w:tcPr>
            <w:tcW w:w="1072" w:type="dxa"/>
            <w:shd w:val="clear" w:color="auto" w:fill="auto"/>
            <w:vAlign w:val="center"/>
          </w:tcPr>
          <w:p w14:paraId="6572C5F7">
            <w:pPr>
              <w:widowControl/>
              <w:jc w:val="center"/>
              <w:rPr>
                <w:rFonts w:ascii="宋体" w:hAnsi="宋体" w:cs="宋体"/>
                <w:kern w:val="0"/>
                <w:sz w:val="22"/>
              </w:rPr>
            </w:pPr>
            <w:r>
              <w:rPr>
                <w:rFonts w:hint="eastAsia" w:ascii="宋体" w:hAnsi="宋体" w:cs="宋体"/>
                <w:kern w:val="0"/>
                <w:sz w:val="22"/>
              </w:rPr>
              <w:t>不锈钢有孔蒸盘</w:t>
            </w:r>
          </w:p>
        </w:tc>
        <w:tc>
          <w:tcPr>
            <w:tcW w:w="4897" w:type="dxa"/>
            <w:shd w:val="clear" w:color="auto" w:fill="auto"/>
            <w:vAlign w:val="center"/>
          </w:tcPr>
          <w:p w14:paraId="7F217D67">
            <w:pPr>
              <w:widowControl/>
              <w:jc w:val="left"/>
              <w:rPr>
                <w:rFonts w:ascii="宋体" w:hAnsi="宋体" w:cs="宋体"/>
                <w:kern w:val="0"/>
                <w:sz w:val="22"/>
              </w:rPr>
            </w:pPr>
            <w:r>
              <w:rPr>
                <w:rFonts w:hint="eastAsia" w:ascii="宋体" w:hAnsi="宋体" w:cs="宋体"/>
                <w:kern w:val="0"/>
                <w:sz w:val="22"/>
              </w:rPr>
              <w:t>长59.5*宽38.5*高4.8(cm)</w:t>
            </w:r>
          </w:p>
        </w:tc>
        <w:tc>
          <w:tcPr>
            <w:tcW w:w="462" w:type="dxa"/>
            <w:shd w:val="clear" w:color="auto" w:fill="auto"/>
            <w:noWrap/>
            <w:vAlign w:val="center"/>
          </w:tcPr>
          <w:p w14:paraId="42D4CF1B">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791A0DDB">
            <w:pPr>
              <w:widowControl/>
              <w:jc w:val="center"/>
              <w:rPr>
                <w:rFonts w:ascii="宋体" w:hAnsi="宋体" w:cs="宋体"/>
                <w:kern w:val="0"/>
                <w:sz w:val="22"/>
              </w:rPr>
            </w:pPr>
            <w:r>
              <w:rPr>
                <w:rFonts w:hint="eastAsia" w:ascii="宋体" w:hAnsi="宋体" w:cs="宋体"/>
                <w:kern w:val="0"/>
                <w:sz w:val="22"/>
              </w:rPr>
              <w:t>30</w:t>
            </w:r>
          </w:p>
        </w:tc>
        <w:tc>
          <w:tcPr>
            <w:tcW w:w="1048" w:type="dxa"/>
            <w:shd w:val="clear" w:color="auto" w:fill="auto"/>
            <w:noWrap/>
            <w:vAlign w:val="center"/>
          </w:tcPr>
          <w:p w14:paraId="77927C99">
            <w:pPr>
              <w:widowControl/>
              <w:jc w:val="center"/>
              <w:rPr>
                <w:rFonts w:ascii="宋体" w:hAnsi="宋体" w:cs="宋体"/>
                <w:kern w:val="0"/>
                <w:sz w:val="22"/>
              </w:rPr>
            </w:pPr>
            <w:r>
              <w:rPr>
                <w:rFonts w:hint="eastAsia" w:ascii="宋体" w:hAnsi="宋体" w:cs="宋体"/>
                <w:kern w:val="0"/>
                <w:sz w:val="22"/>
              </w:rPr>
              <w:t>30</w:t>
            </w:r>
          </w:p>
        </w:tc>
        <w:tc>
          <w:tcPr>
            <w:tcW w:w="1489" w:type="dxa"/>
            <w:shd w:val="clear" w:color="auto" w:fill="auto"/>
            <w:noWrap/>
            <w:vAlign w:val="center"/>
          </w:tcPr>
          <w:p w14:paraId="49C2E51B">
            <w:pPr>
              <w:widowControl/>
              <w:jc w:val="center"/>
              <w:rPr>
                <w:rFonts w:ascii="宋体" w:hAnsi="宋体" w:cs="宋体"/>
                <w:kern w:val="0"/>
                <w:sz w:val="22"/>
              </w:rPr>
            </w:pPr>
            <w:r>
              <w:rPr>
                <w:rFonts w:hint="eastAsia" w:ascii="宋体" w:hAnsi="宋体" w:cs="宋体"/>
                <w:kern w:val="0"/>
                <w:sz w:val="22"/>
              </w:rPr>
              <w:t>900</w:t>
            </w:r>
          </w:p>
        </w:tc>
      </w:tr>
      <w:tr w14:paraId="3969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863C6BE">
            <w:pPr>
              <w:widowControl/>
              <w:jc w:val="center"/>
              <w:rPr>
                <w:rFonts w:ascii="宋体" w:hAnsi="宋体" w:cs="宋体"/>
                <w:kern w:val="0"/>
                <w:sz w:val="22"/>
              </w:rPr>
            </w:pPr>
            <w:r>
              <w:rPr>
                <w:rFonts w:hint="eastAsia" w:ascii="宋体" w:hAnsi="宋体" w:cs="宋体"/>
                <w:kern w:val="0"/>
                <w:sz w:val="22"/>
              </w:rPr>
              <w:t>32</w:t>
            </w:r>
          </w:p>
        </w:tc>
        <w:tc>
          <w:tcPr>
            <w:tcW w:w="1072" w:type="dxa"/>
            <w:shd w:val="clear" w:color="auto" w:fill="auto"/>
            <w:vAlign w:val="center"/>
          </w:tcPr>
          <w:p w14:paraId="46CC1674">
            <w:pPr>
              <w:widowControl/>
              <w:jc w:val="center"/>
              <w:rPr>
                <w:rFonts w:ascii="宋体" w:hAnsi="宋体" w:cs="宋体"/>
                <w:kern w:val="0"/>
                <w:sz w:val="22"/>
              </w:rPr>
            </w:pPr>
            <w:r>
              <w:rPr>
                <w:rFonts w:hint="eastAsia" w:ascii="宋体" w:hAnsi="宋体" w:cs="宋体"/>
                <w:kern w:val="0"/>
                <w:sz w:val="22"/>
              </w:rPr>
              <w:t>不锈钢盆</w:t>
            </w:r>
          </w:p>
        </w:tc>
        <w:tc>
          <w:tcPr>
            <w:tcW w:w="4897" w:type="dxa"/>
            <w:shd w:val="clear" w:color="auto" w:fill="auto"/>
            <w:vAlign w:val="center"/>
          </w:tcPr>
          <w:p w14:paraId="1E863928">
            <w:pPr>
              <w:widowControl/>
              <w:jc w:val="left"/>
              <w:rPr>
                <w:rFonts w:ascii="宋体" w:hAnsi="宋体" w:cs="宋体"/>
                <w:kern w:val="0"/>
                <w:sz w:val="22"/>
              </w:rPr>
            </w:pPr>
            <w:r>
              <w:rPr>
                <w:rFonts w:hint="eastAsia" w:ascii="宋体" w:hAnsi="宋体" w:cs="宋体"/>
                <w:kern w:val="0"/>
                <w:sz w:val="22"/>
              </w:rPr>
              <w:t>直径60公分</w:t>
            </w:r>
          </w:p>
        </w:tc>
        <w:tc>
          <w:tcPr>
            <w:tcW w:w="462" w:type="dxa"/>
            <w:shd w:val="clear" w:color="auto" w:fill="auto"/>
            <w:noWrap/>
            <w:vAlign w:val="center"/>
          </w:tcPr>
          <w:p w14:paraId="1E4B8548">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5244D526">
            <w:pPr>
              <w:widowControl/>
              <w:jc w:val="center"/>
              <w:rPr>
                <w:rFonts w:ascii="宋体" w:hAnsi="宋体" w:cs="宋体"/>
                <w:kern w:val="0"/>
                <w:sz w:val="22"/>
              </w:rPr>
            </w:pPr>
            <w:r>
              <w:rPr>
                <w:rFonts w:hint="eastAsia" w:ascii="宋体" w:hAnsi="宋体" w:cs="宋体"/>
                <w:kern w:val="0"/>
                <w:sz w:val="22"/>
              </w:rPr>
              <w:t>30</w:t>
            </w:r>
          </w:p>
        </w:tc>
        <w:tc>
          <w:tcPr>
            <w:tcW w:w="1048" w:type="dxa"/>
            <w:shd w:val="clear" w:color="auto" w:fill="auto"/>
            <w:noWrap/>
            <w:vAlign w:val="center"/>
          </w:tcPr>
          <w:p w14:paraId="35B20346">
            <w:pPr>
              <w:widowControl/>
              <w:jc w:val="center"/>
              <w:rPr>
                <w:rFonts w:ascii="宋体" w:hAnsi="宋体" w:cs="宋体"/>
                <w:kern w:val="0"/>
                <w:sz w:val="22"/>
              </w:rPr>
            </w:pPr>
            <w:r>
              <w:rPr>
                <w:rFonts w:hint="eastAsia" w:ascii="宋体" w:hAnsi="宋体" w:cs="宋体"/>
                <w:kern w:val="0"/>
                <w:sz w:val="22"/>
              </w:rPr>
              <w:t>60</w:t>
            </w:r>
          </w:p>
        </w:tc>
        <w:tc>
          <w:tcPr>
            <w:tcW w:w="1489" w:type="dxa"/>
            <w:shd w:val="clear" w:color="auto" w:fill="auto"/>
            <w:noWrap/>
            <w:vAlign w:val="center"/>
          </w:tcPr>
          <w:p w14:paraId="0934608F">
            <w:pPr>
              <w:widowControl/>
              <w:jc w:val="center"/>
              <w:rPr>
                <w:rFonts w:ascii="宋体" w:hAnsi="宋体" w:cs="宋体"/>
                <w:kern w:val="0"/>
                <w:sz w:val="22"/>
              </w:rPr>
            </w:pPr>
            <w:r>
              <w:rPr>
                <w:rFonts w:hint="eastAsia" w:ascii="宋体" w:hAnsi="宋体" w:cs="宋体"/>
                <w:kern w:val="0"/>
                <w:sz w:val="22"/>
              </w:rPr>
              <w:t>1800</w:t>
            </w:r>
          </w:p>
        </w:tc>
      </w:tr>
      <w:tr w14:paraId="79CB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F8D6010">
            <w:pPr>
              <w:widowControl/>
              <w:jc w:val="center"/>
              <w:rPr>
                <w:rFonts w:ascii="宋体" w:hAnsi="宋体" w:cs="宋体"/>
                <w:kern w:val="0"/>
                <w:sz w:val="22"/>
              </w:rPr>
            </w:pPr>
            <w:r>
              <w:rPr>
                <w:rFonts w:hint="eastAsia" w:ascii="宋体" w:hAnsi="宋体" w:cs="宋体"/>
                <w:kern w:val="0"/>
                <w:sz w:val="22"/>
              </w:rPr>
              <w:t>33</w:t>
            </w:r>
          </w:p>
        </w:tc>
        <w:tc>
          <w:tcPr>
            <w:tcW w:w="1072" w:type="dxa"/>
            <w:shd w:val="clear" w:color="auto" w:fill="auto"/>
            <w:vAlign w:val="center"/>
          </w:tcPr>
          <w:p w14:paraId="3DAAF5D8">
            <w:pPr>
              <w:widowControl/>
              <w:jc w:val="center"/>
              <w:rPr>
                <w:rFonts w:ascii="宋体" w:hAnsi="宋体" w:cs="宋体"/>
                <w:kern w:val="0"/>
                <w:sz w:val="22"/>
              </w:rPr>
            </w:pPr>
            <w:r>
              <w:rPr>
                <w:rFonts w:hint="eastAsia" w:ascii="宋体" w:hAnsi="宋体" w:cs="宋体"/>
                <w:kern w:val="0"/>
                <w:sz w:val="22"/>
              </w:rPr>
              <w:t>白色食品级加厚塑料盆</w:t>
            </w:r>
          </w:p>
        </w:tc>
        <w:tc>
          <w:tcPr>
            <w:tcW w:w="4897" w:type="dxa"/>
            <w:shd w:val="clear" w:color="auto" w:fill="auto"/>
            <w:vAlign w:val="center"/>
          </w:tcPr>
          <w:p w14:paraId="62A62380">
            <w:pPr>
              <w:widowControl/>
              <w:jc w:val="left"/>
              <w:rPr>
                <w:rFonts w:ascii="宋体" w:hAnsi="宋体" w:cs="宋体"/>
                <w:kern w:val="0"/>
                <w:sz w:val="22"/>
              </w:rPr>
            </w:pPr>
            <w:r>
              <w:rPr>
                <w:rFonts w:hint="eastAsia" w:ascii="宋体" w:hAnsi="宋体" w:cs="宋体"/>
                <w:kern w:val="0"/>
                <w:sz w:val="22"/>
              </w:rPr>
              <w:t>长54*宽38*高20（cm)</w:t>
            </w:r>
          </w:p>
        </w:tc>
        <w:tc>
          <w:tcPr>
            <w:tcW w:w="462" w:type="dxa"/>
            <w:shd w:val="clear" w:color="auto" w:fill="auto"/>
            <w:noWrap/>
            <w:vAlign w:val="center"/>
          </w:tcPr>
          <w:p w14:paraId="1AACE302">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758D80B7">
            <w:pPr>
              <w:widowControl/>
              <w:jc w:val="center"/>
              <w:rPr>
                <w:rFonts w:ascii="宋体" w:hAnsi="宋体" w:cs="宋体"/>
                <w:kern w:val="0"/>
                <w:sz w:val="22"/>
              </w:rPr>
            </w:pPr>
            <w:r>
              <w:rPr>
                <w:rFonts w:hint="eastAsia" w:ascii="宋体" w:hAnsi="宋体" w:cs="宋体"/>
                <w:kern w:val="0"/>
                <w:sz w:val="22"/>
              </w:rPr>
              <w:t>50</w:t>
            </w:r>
          </w:p>
        </w:tc>
        <w:tc>
          <w:tcPr>
            <w:tcW w:w="1048" w:type="dxa"/>
            <w:shd w:val="clear" w:color="auto" w:fill="auto"/>
            <w:noWrap/>
            <w:vAlign w:val="center"/>
          </w:tcPr>
          <w:p w14:paraId="508FE723">
            <w:pPr>
              <w:widowControl/>
              <w:jc w:val="center"/>
              <w:rPr>
                <w:rFonts w:ascii="宋体" w:hAnsi="宋体" w:cs="宋体"/>
                <w:kern w:val="0"/>
                <w:sz w:val="22"/>
              </w:rPr>
            </w:pPr>
            <w:r>
              <w:rPr>
                <w:rFonts w:hint="eastAsia" w:ascii="宋体" w:hAnsi="宋体" w:cs="宋体"/>
                <w:kern w:val="0"/>
                <w:sz w:val="22"/>
              </w:rPr>
              <w:t>50</w:t>
            </w:r>
          </w:p>
        </w:tc>
        <w:tc>
          <w:tcPr>
            <w:tcW w:w="1489" w:type="dxa"/>
            <w:shd w:val="clear" w:color="auto" w:fill="auto"/>
            <w:noWrap/>
            <w:vAlign w:val="center"/>
          </w:tcPr>
          <w:p w14:paraId="3BA310E4">
            <w:pPr>
              <w:widowControl/>
              <w:jc w:val="center"/>
              <w:rPr>
                <w:rFonts w:ascii="宋体" w:hAnsi="宋体" w:cs="宋体"/>
                <w:kern w:val="0"/>
                <w:sz w:val="22"/>
              </w:rPr>
            </w:pPr>
            <w:r>
              <w:rPr>
                <w:rFonts w:hint="eastAsia" w:ascii="宋体" w:hAnsi="宋体" w:cs="宋体"/>
                <w:kern w:val="0"/>
                <w:sz w:val="22"/>
              </w:rPr>
              <w:t>2500</w:t>
            </w:r>
          </w:p>
        </w:tc>
      </w:tr>
      <w:tr w14:paraId="7056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C59CDE8">
            <w:pPr>
              <w:widowControl/>
              <w:jc w:val="center"/>
              <w:rPr>
                <w:rFonts w:ascii="宋体" w:hAnsi="宋体" w:cs="宋体"/>
                <w:kern w:val="0"/>
                <w:sz w:val="22"/>
              </w:rPr>
            </w:pPr>
            <w:r>
              <w:rPr>
                <w:rFonts w:hint="eastAsia" w:ascii="宋体" w:hAnsi="宋体" w:cs="宋体"/>
                <w:kern w:val="0"/>
                <w:sz w:val="22"/>
              </w:rPr>
              <w:t>34</w:t>
            </w:r>
          </w:p>
        </w:tc>
        <w:tc>
          <w:tcPr>
            <w:tcW w:w="1072" w:type="dxa"/>
            <w:shd w:val="clear" w:color="auto" w:fill="auto"/>
            <w:vAlign w:val="center"/>
          </w:tcPr>
          <w:p w14:paraId="3C3D018B">
            <w:pPr>
              <w:widowControl/>
              <w:jc w:val="center"/>
              <w:rPr>
                <w:rFonts w:ascii="宋体" w:hAnsi="宋体" w:cs="宋体"/>
                <w:kern w:val="0"/>
                <w:sz w:val="22"/>
              </w:rPr>
            </w:pPr>
            <w:r>
              <w:rPr>
                <w:rFonts w:hint="eastAsia" w:ascii="宋体" w:hAnsi="宋体" w:cs="宋体"/>
                <w:kern w:val="0"/>
                <w:sz w:val="22"/>
              </w:rPr>
              <w:t>食品级塑料收纳箱</w:t>
            </w:r>
          </w:p>
        </w:tc>
        <w:tc>
          <w:tcPr>
            <w:tcW w:w="4897" w:type="dxa"/>
            <w:shd w:val="clear" w:color="auto" w:fill="auto"/>
            <w:vAlign w:val="center"/>
          </w:tcPr>
          <w:p w14:paraId="0B70F72F">
            <w:pPr>
              <w:widowControl/>
              <w:jc w:val="left"/>
              <w:rPr>
                <w:rFonts w:ascii="宋体" w:hAnsi="宋体" w:cs="宋体"/>
                <w:kern w:val="0"/>
                <w:sz w:val="22"/>
              </w:rPr>
            </w:pPr>
            <w:r>
              <w:rPr>
                <w:rFonts w:hint="eastAsia" w:ascii="宋体" w:hAnsi="宋体" w:cs="宋体"/>
                <w:kern w:val="0"/>
                <w:sz w:val="22"/>
              </w:rPr>
              <w:t>长49*宽36*高30（cm)</w:t>
            </w:r>
          </w:p>
        </w:tc>
        <w:tc>
          <w:tcPr>
            <w:tcW w:w="462" w:type="dxa"/>
            <w:shd w:val="clear" w:color="auto" w:fill="auto"/>
            <w:noWrap/>
            <w:vAlign w:val="center"/>
          </w:tcPr>
          <w:p w14:paraId="07C776B5">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0A21ACD0">
            <w:pPr>
              <w:widowControl/>
              <w:jc w:val="center"/>
              <w:rPr>
                <w:rFonts w:ascii="宋体" w:hAnsi="宋体" w:cs="宋体"/>
                <w:kern w:val="0"/>
                <w:sz w:val="22"/>
              </w:rPr>
            </w:pPr>
            <w:r>
              <w:rPr>
                <w:rFonts w:hint="eastAsia" w:ascii="宋体" w:hAnsi="宋体" w:cs="宋体"/>
                <w:kern w:val="0"/>
                <w:sz w:val="22"/>
              </w:rPr>
              <w:t>3</w:t>
            </w:r>
          </w:p>
        </w:tc>
        <w:tc>
          <w:tcPr>
            <w:tcW w:w="1048" w:type="dxa"/>
            <w:shd w:val="clear" w:color="auto" w:fill="auto"/>
            <w:noWrap/>
            <w:vAlign w:val="center"/>
          </w:tcPr>
          <w:p w14:paraId="48EF5DBC">
            <w:pPr>
              <w:widowControl/>
              <w:jc w:val="center"/>
              <w:rPr>
                <w:rFonts w:ascii="宋体" w:hAnsi="宋体" w:cs="宋体"/>
                <w:kern w:val="0"/>
                <w:sz w:val="22"/>
              </w:rPr>
            </w:pPr>
            <w:r>
              <w:rPr>
                <w:rFonts w:hint="eastAsia" w:ascii="宋体" w:hAnsi="宋体" w:cs="宋体"/>
                <w:kern w:val="0"/>
                <w:sz w:val="22"/>
              </w:rPr>
              <w:t>45</w:t>
            </w:r>
          </w:p>
        </w:tc>
        <w:tc>
          <w:tcPr>
            <w:tcW w:w="1489" w:type="dxa"/>
            <w:shd w:val="clear" w:color="auto" w:fill="auto"/>
            <w:noWrap/>
            <w:vAlign w:val="center"/>
          </w:tcPr>
          <w:p w14:paraId="21EBDBA7">
            <w:pPr>
              <w:widowControl/>
              <w:jc w:val="center"/>
              <w:rPr>
                <w:rFonts w:ascii="宋体" w:hAnsi="宋体" w:cs="宋体"/>
                <w:kern w:val="0"/>
                <w:sz w:val="22"/>
              </w:rPr>
            </w:pPr>
            <w:r>
              <w:rPr>
                <w:rFonts w:hint="eastAsia" w:ascii="宋体" w:hAnsi="宋体" w:cs="宋体"/>
                <w:kern w:val="0"/>
                <w:sz w:val="22"/>
              </w:rPr>
              <w:t>135</w:t>
            </w:r>
          </w:p>
        </w:tc>
      </w:tr>
      <w:tr w14:paraId="3162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9F31A19">
            <w:pPr>
              <w:widowControl/>
              <w:jc w:val="center"/>
              <w:rPr>
                <w:rFonts w:ascii="宋体" w:hAnsi="宋体" w:cs="宋体"/>
                <w:kern w:val="0"/>
                <w:sz w:val="22"/>
              </w:rPr>
            </w:pPr>
            <w:r>
              <w:rPr>
                <w:rFonts w:hint="eastAsia" w:ascii="宋体" w:hAnsi="宋体" w:cs="宋体"/>
                <w:kern w:val="0"/>
                <w:sz w:val="22"/>
              </w:rPr>
              <w:t>35</w:t>
            </w:r>
          </w:p>
        </w:tc>
        <w:tc>
          <w:tcPr>
            <w:tcW w:w="1072" w:type="dxa"/>
            <w:shd w:val="clear" w:color="auto" w:fill="auto"/>
            <w:vAlign w:val="center"/>
          </w:tcPr>
          <w:p w14:paraId="3E3CF125">
            <w:pPr>
              <w:widowControl/>
              <w:jc w:val="center"/>
              <w:rPr>
                <w:rFonts w:ascii="宋体" w:hAnsi="宋体" w:cs="宋体"/>
                <w:kern w:val="0"/>
                <w:sz w:val="22"/>
              </w:rPr>
            </w:pPr>
            <w:r>
              <w:rPr>
                <w:rFonts w:hint="eastAsia" w:ascii="宋体" w:hAnsi="宋体" w:cs="宋体"/>
                <w:kern w:val="0"/>
                <w:sz w:val="22"/>
              </w:rPr>
              <w:t>电热汤桶</w:t>
            </w:r>
          </w:p>
        </w:tc>
        <w:tc>
          <w:tcPr>
            <w:tcW w:w="4897" w:type="dxa"/>
            <w:shd w:val="clear" w:color="auto" w:fill="auto"/>
            <w:vAlign w:val="center"/>
          </w:tcPr>
          <w:p w14:paraId="42FBFDE5">
            <w:pPr>
              <w:widowControl/>
              <w:jc w:val="left"/>
              <w:rPr>
                <w:rFonts w:ascii="宋体" w:hAnsi="宋体" w:cs="宋体"/>
                <w:kern w:val="0"/>
                <w:sz w:val="22"/>
              </w:rPr>
            </w:pPr>
            <w:r>
              <w:rPr>
                <w:rFonts w:hint="eastAsia" w:ascii="宋体" w:hAnsi="宋体" w:cs="宋体"/>
                <w:kern w:val="0"/>
                <w:sz w:val="22"/>
              </w:rPr>
              <w:t xml:space="preserve">1.规格约650*650*920mm </w:t>
            </w:r>
            <w:r>
              <w:rPr>
                <w:rFonts w:hint="eastAsia" w:ascii="宋体" w:hAnsi="宋体" w:cs="宋体"/>
                <w:kern w:val="0"/>
                <w:sz w:val="22"/>
              </w:rPr>
              <w:br w:type="textWrapping"/>
            </w:r>
            <w:r>
              <w:rPr>
                <w:rFonts w:hint="eastAsia" w:ascii="宋体" w:hAnsi="宋体" w:cs="宋体"/>
                <w:kern w:val="0"/>
                <w:sz w:val="22"/>
              </w:rPr>
              <w:t>2.功率9kw</w:t>
            </w:r>
          </w:p>
        </w:tc>
        <w:tc>
          <w:tcPr>
            <w:tcW w:w="462" w:type="dxa"/>
            <w:shd w:val="clear" w:color="auto" w:fill="auto"/>
            <w:noWrap/>
            <w:vAlign w:val="center"/>
          </w:tcPr>
          <w:p w14:paraId="584811C8">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5FDF0C75">
            <w:pPr>
              <w:widowControl/>
              <w:jc w:val="center"/>
              <w:rPr>
                <w:rFonts w:ascii="宋体" w:hAnsi="宋体" w:cs="宋体"/>
                <w:kern w:val="0"/>
                <w:sz w:val="22"/>
              </w:rPr>
            </w:pPr>
            <w:r>
              <w:rPr>
                <w:rFonts w:hint="eastAsia" w:ascii="宋体" w:hAnsi="宋体" w:cs="宋体"/>
                <w:kern w:val="0"/>
                <w:sz w:val="22"/>
              </w:rPr>
              <w:t>2</w:t>
            </w:r>
          </w:p>
        </w:tc>
        <w:tc>
          <w:tcPr>
            <w:tcW w:w="1048" w:type="dxa"/>
            <w:shd w:val="clear" w:color="auto" w:fill="auto"/>
            <w:noWrap/>
            <w:vAlign w:val="center"/>
          </w:tcPr>
          <w:p w14:paraId="0AEDC670">
            <w:pPr>
              <w:widowControl/>
              <w:jc w:val="center"/>
              <w:rPr>
                <w:rFonts w:ascii="宋体" w:hAnsi="宋体" w:cs="宋体"/>
                <w:kern w:val="0"/>
                <w:sz w:val="22"/>
              </w:rPr>
            </w:pPr>
            <w:r>
              <w:rPr>
                <w:rFonts w:hint="eastAsia" w:ascii="宋体" w:hAnsi="宋体" w:cs="宋体"/>
                <w:kern w:val="0"/>
                <w:sz w:val="22"/>
              </w:rPr>
              <w:t>1800</w:t>
            </w:r>
          </w:p>
        </w:tc>
        <w:tc>
          <w:tcPr>
            <w:tcW w:w="1489" w:type="dxa"/>
            <w:shd w:val="clear" w:color="auto" w:fill="auto"/>
            <w:noWrap/>
            <w:vAlign w:val="center"/>
          </w:tcPr>
          <w:p w14:paraId="5EE279AC">
            <w:pPr>
              <w:widowControl/>
              <w:jc w:val="center"/>
              <w:rPr>
                <w:rFonts w:ascii="宋体" w:hAnsi="宋体" w:cs="宋体"/>
                <w:kern w:val="0"/>
                <w:sz w:val="22"/>
              </w:rPr>
            </w:pPr>
            <w:r>
              <w:rPr>
                <w:rFonts w:hint="eastAsia" w:ascii="宋体" w:hAnsi="宋体" w:cs="宋体"/>
                <w:kern w:val="0"/>
                <w:sz w:val="22"/>
              </w:rPr>
              <w:t>3600</w:t>
            </w:r>
          </w:p>
        </w:tc>
      </w:tr>
      <w:tr w14:paraId="79BD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0408938">
            <w:pPr>
              <w:widowControl/>
              <w:jc w:val="center"/>
              <w:rPr>
                <w:rFonts w:ascii="宋体" w:hAnsi="宋体" w:cs="宋体"/>
                <w:kern w:val="0"/>
                <w:sz w:val="22"/>
              </w:rPr>
            </w:pPr>
            <w:r>
              <w:rPr>
                <w:rFonts w:hint="eastAsia" w:ascii="宋体" w:hAnsi="宋体" w:cs="宋体"/>
                <w:kern w:val="0"/>
                <w:sz w:val="22"/>
              </w:rPr>
              <w:t>37</w:t>
            </w:r>
          </w:p>
        </w:tc>
        <w:tc>
          <w:tcPr>
            <w:tcW w:w="1072" w:type="dxa"/>
            <w:shd w:val="clear" w:color="auto" w:fill="auto"/>
            <w:vAlign w:val="center"/>
          </w:tcPr>
          <w:p w14:paraId="36DCF865">
            <w:pPr>
              <w:widowControl/>
              <w:jc w:val="center"/>
              <w:rPr>
                <w:rFonts w:ascii="宋体" w:hAnsi="宋体" w:cs="宋体"/>
                <w:kern w:val="0"/>
                <w:sz w:val="22"/>
              </w:rPr>
            </w:pPr>
            <w:r>
              <w:rPr>
                <w:rFonts w:hint="eastAsia" w:ascii="宋体" w:hAnsi="宋体" w:cs="宋体"/>
                <w:kern w:val="0"/>
                <w:sz w:val="22"/>
              </w:rPr>
              <w:t>二层推车</w:t>
            </w:r>
          </w:p>
        </w:tc>
        <w:tc>
          <w:tcPr>
            <w:tcW w:w="4897" w:type="dxa"/>
            <w:shd w:val="clear" w:color="auto" w:fill="auto"/>
            <w:vAlign w:val="center"/>
          </w:tcPr>
          <w:p w14:paraId="5632065E">
            <w:pPr>
              <w:widowControl/>
              <w:jc w:val="left"/>
              <w:rPr>
                <w:rFonts w:ascii="宋体" w:hAnsi="宋体" w:cs="宋体"/>
                <w:kern w:val="0"/>
                <w:sz w:val="22"/>
              </w:rPr>
            </w:pPr>
            <w:r>
              <w:rPr>
                <w:rFonts w:hint="eastAsia" w:ascii="宋体" w:hAnsi="宋体" w:cs="宋体"/>
                <w:kern w:val="0"/>
                <w:sz w:val="22"/>
              </w:rPr>
              <w:t>1、定制；</w:t>
            </w:r>
            <w:r>
              <w:rPr>
                <w:rFonts w:hint="eastAsia" w:ascii="宋体" w:hAnsi="宋体" w:cs="宋体"/>
                <w:kern w:val="0"/>
                <w:sz w:val="22"/>
              </w:rPr>
              <w:br w:type="textWrapping"/>
            </w:r>
            <w:r>
              <w:rPr>
                <w:rFonts w:hint="eastAsia" w:ascii="宋体" w:hAnsi="宋体" w:cs="宋体"/>
                <w:kern w:val="0"/>
                <w:sz w:val="22"/>
              </w:rPr>
              <w:t xml:space="preserve">2、板材采用1.2mm优质SUS304#不锈钢磨砂贴塑板; </w:t>
            </w:r>
            <w:r>
              <w:rPr>
                <w:rFonts w:hint="eastAsia" w:ascii="宋体" w:hAnsi="宋体" w:cs="宋体"/>
                <w:kern w:val="0"/>
                <w:sz w:val="22"/>
              </w:rPr>
              <w:br w:type="textWrapping"/>
            </w:r>
            <w:r>
              <w:rPr>
                <w:rFonts w:hint="eastAsia" w:ascii="宋体" w:hAnsi="宋体" w:cs="宋体"/>
                <w:kern w:val="0"/>
                <w:sz w:val="22"/>
              </w:rPr>
              <w:t>3、配四个超强承重静音万向轮带刹车，可承重300KG；</w:t>
            </w:r>
          </w:p>
        </w:tc>
        <w:tc>
          <w:tcPr>
            <w:tcW w:w="462" w:type="dxa"/>
            <w:shd w:val="clear" w:color="auto" w:fill="auto"/>
            <w:noWrap/>
            <w:vAlign w:val="center"/>
          </w:tcPr>
          <w:p w14:paraId="582B2F85">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0BCAE653">
            <w:pPr>
              <w:widowControl/>
              <w:jc w:val="center"/>
              <w:rPr>
                <w:rFonts w:ascii="宋体" w:hAnsi="宋体" w:cs="宋体"/>
                <w:kern w:val="0"/>
                <w:sz w:val="22"/>
              </w:rPr>
            </w:pPr>
            <w:r>
              <w:rPr>
                <w:rFonts w:hint="eastAsia" w:ascii="宋体" w:hAnsi="宋体" w:cs="宋体"/>
                <w:kern w:val="0"/>
                <w:sz w:val="22"/>
              </w:rPr>
              <w:t>6</w:t>
            </w:r>
          </w:p>
        </w:tc>
        <w:tc>
          <w:tcPr>
            <w:tcW w:w="1048" w:type="dxa"/>
            <w:shd w:val="clear" w:color="auto" w:fill="auto"/>
            <w:noWrap/>
            <w:vAlign w:val="center"/>
          </w:tcPr>
          <w:p w14:paraId="01F2ABF0">
            <w:pPr>
              <w:widowControl/>
              <w:jc w:val="center"/>
              <w:rPr>
                <w:rFonts w:ascii="宋体" w:hAnsi="宋体" w:cs="宋体"/>
                <w:kern w:val="0"/>
                <w:sz w:val="22"/>
              </w:rPr>
            </w:pPr>
            <w:r>
              <w:rPr>
                <w:rFonts w:hint="eastAsia" w:ascii="宋体" w:hAnsi="宋体" w:cs="宋体"/>
                <w:kern w:val="0"/>
                <w:sz w:val="22"/>
              </w:rPr>
              <w:t>1380</w:t>
            </w:r>
          </w:p>
        </w:tc>
        <w:tc>
          <w:tcPr>
            <w:tcW w:w="1489" w:type="dxa"/>
            <w:shd w:val="clear" w:color="auto" w:fill="auto"/>
            <w:noWrap/>
            <w:vAlign w:val="center"/>
          </w:tcPr>
          <w:p w14:paraId="55BAC8FD">
            <w:pPr>
              <w:widowControl/>
              <w:jc w:val="center"/>
              <w:rPr>
                <w:rFonts w:ascii="宋体" w:hAnsi="宋体" w:cs="宋体"/>
                <w:kern w:val="0"/>
                <w:sz w:val="22"/>
              </w:rPr>
            </w:pPr>
            <w:r>
              <w:rPr>
                <w:rFonts w:hint="eastAsia" w:ascii="宋体" w:hAnsi="宋体" w:cs="宋体"/>
                <w:kern w:val="0"/>
                <w:sz w:val="22"/>
              </w:rPr>
              <w:t>8280</w:t>
            </w:r>
          </w:p>
        </w:tc>
      </w:tr>
      <w:tr w14:paraId="0541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226" w:type="dxa"/>
            <w:gridSpan w:val="7"/>
            <w:shd w:val="clear" w:color="auto" w:fill="auto"/>
            <w:noWrap/>
            <w:vAlign w:val="center"/>
          </w:tcPr>
          <w:p w14:paraId="73BBC356">
            <w:pPr>
              <w:widowControl/>
              <w:jc w:val="left"/>
              <w:textAlignment w:val="center"/>
              <w:rPr>
                <w:rFonts w:ascii="宋体" w:hAnsi="宋体" w:cs="宋体"/>
                <w:color w:val="000000"/>
                <w:sz w:val="22"/>
                <w:szCs w:val="22"/>
              </w:rPr>
            </w:pPr>
            <w:r>
              <w:rPr>
                <w:rFonts w:hint="eastAsia" w:ascii="宋体" w:hAnsi="宋体" w:cs="宋体"/>
                <w:b/>
                <w:bCs/>
                <w:kern w:val="0"/>
                <w:sz w:val="22"/>
              </w:rPr>
              <w:t>十三、宿舍置物架</w:t>
            </w:r>
          </w:p>
        </w:tc>
      </w:tr>
      <w:tr w14:paraId="2EE4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202A28C">
            <w:pPr>
              <w:widowControl/>
              <w:jc w:val="center"/>
              <w:rPr>
                <w:rFonts w:ascii="宋体" w:hAnsi="宋体" w:cs="宋体"/>
                <w:kern w:val="0"/>
                <w:sz w:val="22"/>
              </w:rPr>
            </w:pPr>
            <w:r>
              <w:rPr>
                <w:rFonts w:hint="eastAsia" w:ascii="宋体" w:hAnsi="宋体" w:cs="宋体"/>
                <w:kern w:val="0"/>
                <w:sz w:val="22"/>
              </w:rPr>
              <w:t>1</w:t>
            </w:r>
          </w:p>
        </w:tc>
        <w:tc>
          <w:tcPr>
            <w:tcW w:w="1072" w:type="dxa"/>
            <w:shd w:val="clear" w:color="auto" w:fill="auto"/>
            <w:vAlign w:val="center"/>
          </w:tcPr>
          <w:p w14:paraId="7A229D3D">
            <w:pPr>
              <w:widowControl/>
              <w:jc w:val="left"/>
              <w:rPr>
                <w:rFonts w:ascii="宋体" w:hAnsi="宋体" w:cs="宋体"/>
                <w:kern w:val="0"/>
                <w:sz w:val="22"/>
              </w:rPr>
            </w:pPr>
            <w:r>
              <w:rPr>
                <w:rFonts w:hint="eastAsia" w:ascii="宋体" w:hAnsi="宋体" w:cs="宋体"/>
                <w:kern w:val="0"/>
                <w:sz w:val="22"/>
              </w:rPr>
              <w:t>不锈钢置物架1</w:t>
            </w:r>
          </w:p>
        </w:tc>
        <w:tc>
          <w:tcPr>
            <w:tcW w:w="4897" w:type="dxa"/>
            <w:shd w:val="clear" w:color="auto" w:fill="auto"/>
            <w:vAlign w:val="center"/>
          </w:tcPr>
          <w:p w14:paraId="1CF718D6">
            <w:pPr>
              <w:widowControl/>
              <w:jc w:val="left"/>
              <w:rPr>
                <w:rFonts w:ascii="宋体" w:hAnsi="宋体" w:cs="宋体"/>
                <w:kern w:val="0"/>
                <w:sz w:val="22"/>
              </w:rPr>
            </w:pPr>
            <w:r>
              <w:rPr>
                <w:rFonts w:hint="eastAsia" w:ascii="宋体" w:hAnsi="宋体" w:cs="宋体"/>
                <w:kern w:val="0"/>
                <w:sz w:val="22"/>
              </w:rPr>
              <w:t>1、整体规格：长宽1300×700mm，底层下沿离地200mm，整体三层（不含地面层），每层高700mm。</w:t>
            </w:r>
            <w:r>
              <w:rPr>
                <w:rFonts w:hint="eastAsia" w:ascii="宋体" w:hAnsi="宋体" w:cs="宋体"/>
                <w:kern w:val="0"/>
                <w:sz w:val="22"/>
              </w:rPr>
              <w:br w:type="textWrapping"/>
            </w:r>
            <w:r>
              <w:rPr>
                <w:rFonts w:hint="eastAsia" w:ascii="宋体" w:hAnsi="宋体" w:cs="宋体"/>
                <w:kern w:val="0"/>
                <w:sz w:val="22"/>
              </w:rPr>
              <w:t>2、主要材质：立柱采用国标≥38mm*38mm方管，方管厚度≥1.0mm，辅件置物架采用国标≥30mm*30mm方管，厚度≥1.0mm。</w:t>
            </w:r>
            <w:r>
              <w:rPr>
                <w:rFonts w:hint="eastAsia" w:ascii="宋体" w:hAnsi="宋体" w:cs="宋体"/>
                <w:kern w:val="0"/>
                <w:sz w:val="22"/>
              </w:rPr>
              <w:br w:type="textWrapping"/>
            </w:r>
            <w:r>
              <w:rPr>
                <w:rFonts w:hint="eastAsia" w:ascii="宋体" w:hAnsi="宋体" w:cs="宋体"/>
                <w:kern w:val="0"/>
                <w:sz w:val="22"/>
              </w:rPr>
              <w:t>3、焊接要求：采用二氧化碳气体保护焊，焊点应满焊、均匀、牢固、平整，无漏焊、假焊、裂纹、烧穿、毛刺、表面气孔、夹渣、焊疤堆积等缺陷，焊后打磨平、除刺及抛光。</w:t>
            </w:r>
            <w:r>
              <w:rPr>
                <w:rFonts w:hint="eastAsia" w:ascii="宋体" w:hAnsi="宋体" w:cs="宋体"/>
                <w:kern w:val="0"/>
                <w:sz w:val="22"/>
              </w:rPr>
              <w:br w:type="textWrapping"/>
            </w:r>
            <w:r>
              <w:rPr>
                <w:rFonts w:hint="eastAsia" w:ascii="宋体" w:hAnsi="宋体" w:cs="宋体"/>
                <w:kern w:val="0"/>
                <w:sz w:val="22"/>
              </w:rPr>
              <w:t>4、表面除锈镀层要求：涂饰前零部件的表面应光滑、平整，不得有开裂、脱焊、漏焊、焊渣或飞边、尖角、毛刺等可能超成机械伤害的缺陷。表面须经过“除油—水洗—酸洗—除锈—清洗—中和—磷化—水洗—烘干”九工位处理，预备处理后表面无氧化皮、锈蚀、粘砂等其他杂质。预备处理后及时进行涂饰。</w:t>
            </w:r>
            <w:r>
              <w:rPr>
                <w:rFonts w:hint="eastAsia" w:ascii="宋体" w:hAnsi="宋体" w:cs="宋体"/>
                <w:kern w:val="0"/>
                <w:sz w:val="22"/>
              </w:rPr>
              <w:br w:type="textWrapping"/>
            </w:r>
            <w:r>
              <w:rPr>
                <w:rFonts w:hint="eastAsia" w:ascii="宋体" w:hAnsi="宋体" w:cs="宋体"/>
                <w:kern w:val="0"/>
                <w:sz w:val="22"/>
              </w:rPr>
              <w:t>5、喷塑要求：钢材表面经除油，去锈，磷化静电喷粉、高温固化而成。</w:t>
            </w:r>
          </w:p>
        </w:tc>
        <w:tc>
          <w:tcPr>
            <w:tcW w:w="462" w:type="dxa"/>
            <w:shd w:val="clear" w:color="auto" w:fill="auto"/>
            <w:noWrap/>
            <w:vAlign w:val="center"/>
          </w:tcPr>
          <w:p w14:paraId="4E807DF7">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326D5DB9">
            <w:pPr>
              <w:widowControl/>
              <w:jc w:val="left"/>
              <w:rPr>
                <w:rFonts w:ascii="宋体" w:hAnsi="宋体" w:cs="宋体"/>
                <w:kern w:val="0"/>
                <w:sz w:val="22"/>
              </w:rPr>
            </w:pPr>
            <w:r>
              <w:rPr>
                <w:rFonts w:hint="eastAsia" w:ascii="宋体" w:hAnsi="宋体" w:cs="宋体"/>
                <w:kern w:val="0"/>
                <w:sz w:val="22"/>
              </w:rPr>
              <w:t>12</w:t>
            </w:r>
          </w:p>
        </w:tc>
        <w:tc>
          <w:tcPr>
            <w:tcW w:w="1048" w:type="dxa"/>
            <w:shd w:val="clear" w:color="auto" w:fill="auto"/>
            <w:noWrap/>
            <w:vAlign w:val="center"/>
          </w:tcPr>
          <w:p w14:paraId="28B158C0">
            <w:pPr>
              <w:widowControl/>
              <w:jc w:val="left"/>
              <w:rPr>
                <w:rFonts w:ascii="宋体" w:hAnsi="宋体" w:cs="宋体"/>
                <w:kern w:val="0"/>
                <w:sz w:val="22"/>
              </w:rPr>
            </w:pPr>
            <w:r>
              <w:rPr>
                <w:rFonts w:hint="eastAsia" w:ascii="宋体" w:hAnsi="宋体" w:cs="宋体"/>
                <w:kern w:val="0"/>
                <w:sz w:val="22"/>
              </w:rPr>
              <w:t>1230</w:t>
            </w:r>
          </w:p>
        </w:tc>
        <w:tc>
          <w:tcPr>
            <w:tcW w:w="1489" w:type="dxa"/>
            <w:shd w:val="clear" w:color="auto" w:fill="auto"/>
            <w:noWrap/>
            <w:vAlign w:val="center"/>
          </w:tcPr>
          <w:p w14:paraId="36A68FB9">
            <w:pPr>
              <w:widowControl/>
              <w:jc w:val="left"/>
              <w:rPr>
                <w:rFonts w:ascii="宋体" w:hAnsi="宋体" w:cs="宋体"/>
                <w:kern w:val="0"/>
                <w:sz w:val="22"/>
              </w:rPr>
            </w:pPr>
            <w:r>
              <w:rPr>
                <w:rFonts w:hint="eastAsia" w:ascii="宋体" w:hAnsi="宋体" w:cs="宋体"/>
                <w:kern w:val="0"/>
                <w:sz w:val="22"/>
              </w:rPr>
              <w:t>14760</w:t>
            </w:r>
          </w:p>
        </w:tc>
      </w:tr>
      <w:tr w14:paraId="57A3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539EEB">
            <w:pPr>
              <w:widowControl/>
              <w:jc w:val="center"/>
              <w:rPr>
                <w:rFonts w:ascii="宋体" w:hAnsi="宋体" w:cs="宋体"/>
                <w:kern w:val="0"/>
                <w:sz w:val="22"/>
              </w:rPr>
            </w:pPr>
            <w:r>
              <w:rPr>
                <w:rFonts w:hint="eastAsia" w:ascii="宋体" w:hAnsi="宋体" w:cs="宋体"/>
                <w:kern w:val="0"/>
                <w:sz w:val="22"/>
              </w:rPr>
              <w:t>2</w:t>
            </w:r>
          </w:p>
        </w:tc>
        <w:tc>
          <w:tcPr>
            <w:tcW w:w="1072" w:type="dxa"/>
            <w:shd w:val="clear" w:color="auto" w:fill="auto"/>
            <w:vAlign w:val="center"/>
          </w:tcPr>
          <w:p w14:paraId="39044442">
            <w:pPr>
              <w:widowControl/>
              <w:jc w:val="left"/>
              <w:rPr>
                <w:rFonts w:ascii="宋体" w:hAnsi="宋体" w:cs="宋体"/>
                <w:kern w:val="0"/>
                <w:sz w:val="22"/>
              </w:rPr>
            </w:pPr>
            <w:r>
              <w:rPr>
                <w:rFonts w:hint="eastAsia" w:ascii="宋体" w:hAnsi="宋体" w:cs="宋体"/>
                <w:kern w:val="0"/>
                <w:sz w:val="22"/>
              </w:rPr>
              <w:t>不锈钢置物架2</w:t>
            </w:r>
          </w:p>
        </w:tc>
        <w:tc>
          <w:tcPr>
            <w:tcW w:w="4897" w:type="dxa"/>
            <w:shd w:val="clear" w:color="auto" w:fill="auto"/>
            <w:vAlign w:val="center"/>
          </w:tcPr>
          <w:p w14:paraId="73BB7C3A">
            <w:pPr>
              <w:widowControl/>
              <w:jc w:val="left"/>
              <w:rPr>
                <w:rFonts w:ascii="宋体" w:hAnsi="宋体" w:cs="宋体"/>
                <w:kern w:val="0"/>
                <w:sz w:val="22"/>
              </w:rPr>
            </w:pPr>
            <w:r>
              <w:rPr>
                <w:rFonts w:hint="eastAsia" w:ascii="宋体" w:hAnsi="宋体" w:cs="宋体"/>
                <w:kern w:val="0"/>
                <w:sz w:val="22"/>
              </w:rPr>
              <w:t>1、整体规格：长宽1300×700mm，底层下沿离地200mm，整体四层（不含地面层），每层高500mm。</w:t>
            </w:r>
            <w:r>
              <w:rPr>
                <w:rFonts w:hint="eastAsia" w:ascii="宋体" w:hAnsi="宋体" w:cs="宋体"/>
                <w:kern w:val="0"/>
                <w:sz w:val="22"/>
              </w:rPr>
              <w:br w:type="textWrapping"/>
            </w:r>
            <w:r>
              <w:rPr>
                <w:rFonts w:hint="eastAsia" w:ascii="宋体" w:hAnsi="宋体" w:cs="宋体"/>
                <w:kern w:val="0"/>
                <w:sz w:val="22"/>
              </w:rPr>
              <w:t>2、主要材质：立柱采用国标≥38mm*38mm方管，方管厚度≥1.0mm，辅件置物架采用国标≥30mm*30mm方管，厚度≥1.0mm。</w:t>
            </w:r>
            <w:r>
              <w:rPr>
                <w:rFonts w:hint="eastAsia" w:ascii="宋体" w:hAnsi="宋体" w:cs="宋体"/>
                <w:kern w:val="0"/>
                <w:sz w:val="22"/>
              </w:rPr>
              <w:br w:type="textWrapping"/>
            </w:r>
            <w:r>
              <w:rPr>
                <w:rFonts w:hint="eastAsia" w:ascii="宋体" w:hAnsi="宋体" w:cs="宋体"/>
                <w:kern w:val="0"/>
                <w:sz w:val="22"/>
              </w:rPr>
              <w:t>3、焊接要求：采用二氧化碳气体保护焊，焊点应满焊、均匀、牢固、平整，无漏焊、假焊、裂纹、烧穿、毛刺、表面气孔、夹渣、焊疤堆积等缺陷，焊后打磨平、除刺及抛光。</w:t>
            </w:r>
            <w:r>
              <w:rPr>
                <w:rFonts w:hint="eastAsia" w:ascii="宋体" w:hAnsi="宋体" w:cs="宋体"/>
                <w:kern w:val="0"/>
                <w:sz w:val="22"/>
              </w:rPr>
              <w:br w:type="textWrapping"/>
            </w:r>
            <w:r>
              <w:rPr>
                <w:rFonts w:hint="eastAsia" w:ascii="宋体" w:hAnsi="宋体" w:cs="宋体"/>
                <w:kern w:val="0"/>
                <w:sz w:val="22"/>
              </w:rPr>
              <w:t>4、表面除锈镀层要求：涂饰前零部件的表面应光滑、平整，不得有开裂、脱焊、漏焊、焊渣或飞边、尖角、毛刺等可能超成机械伤害的缺陷。表面须经过“除油—水洗—酸洗—除锈—清洗—中和—磷化—水洗—烘干”九工位处理，预备处理后表面无氧化皮、锈蚀、粘砂等其他杂质。预备处理后及时进行涂饰。</w:t>
            </w:r>
            <w:r>
              <w:rPr>
                <w:rFonts w:hint="eastAsia" w:ascii="宋体" w:hAnsi="宋体" w:cs="宋体"/>
                <w:kern w:val="0"/>
                <w:sz w:val="22"/>
              </w:rPr>
              <w:br w:type="textWrapping"/>
            </w:r>
            <w:r>
              <w:rPr>
                <w:rFonts w:hint="eastAsia" w:ascii="宋体" w:hAnsi="宋体" w:cs="宋体"/>
                <w:kern w:val="0"/>
                <w:sz w:val="22"/>
              </w:rPr>
              <w:t>5、喷塑要求：钢材表面经除油，去锈，磷化静电喷粉、高温固化而成。</w:t>
            </w:r>
          </w:p>
        </w:tc>
        <w:tc>
          <w:tcPr>
            <w:tcW w:w="462" w:type="dxa"/>
            <w:shd w:val="clear" w:color="auto" w:fill="auto"/>
            <w:noWrap/>
            <w:vAlign w:val="center"/>
          </w:tcPr>
          <w:p w14:paraId="7A99BE9E">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7732B5D8">
            <w:pPr>
              <w:widowControl/>
              <w:jc w:val="left"/>
              <w:rPr>
                <w:rFonts w:ascii="宋体" w:hAnsi="宋体" w:cs="宋体"/>
                <w:kern w:val="0"/>
                <w:sz w:val="22"/>
              </w:rPr>
            </w:pPr>
            <w:r>
              <w:rPr>
                <w:rFonts w:hint="eastAsia" w:ascii="宋体" w:hAnsi="宋体" w:cs="宋体"/>
                <w:kern w:val="0"/>
                <w:sz w:val="22"/>
              </w:rPr>
              <w:t>20</w:t>
            </w:r>
          </w:p>
        </w:tc>
        <w:tc>
          <w:tcPr>
            <w:tcW w:w="1048" w:type="dxa"/>
            <w:shd w:val="clear" w:color="auto" w:fill="auto"/>
            <w:noWrap/>
            <w:vAlign w:val="center"/>
          </w:tcPr>
          <w:p w14:paraId="6F7728CF">
            <w:pPr>
              <w:widowControl/>
              <w:jc w:val="left"/>
              <w:rPr>
                <w:rFonts w:ascii="宋体" w:hAnsi="宋体" w:cs="宋体"/>
                <w:kern w:val="0"/>
                <w:sz w:val="22"/>
              </w:rPr>
            </w:pPr>
            <w:r>
              <w:rPr>
                <w:rFonts w:hint="eastAsia" w:ascii="宋体" w:hAnsi="宋体" w:cs="宋体"/>
                <w:kern w:val="0"/>
                <w:sz w:val="22"/>
              </w:rPr>
              <w:t>1250</w:t>
            </w:r>
          </w:p>
        </w:tc>
        <w:tc>
          <w:tcPr>
            <w:tcW w:w="1489" w:type="dxa"/>
            <w:shd w:val="clear" w:color="auto" w:fill="auto"/>
            <w:noWrap/>
            <w:vAlign w:val="center"/>
          </w:tcPr>
          <w:p w14:paraId="49658B74">
            <w:pPr>
              <w:widowControl/>
              <w:jc w:val="left"/>
              <w:rPr>
                <w:rFonts w:ascii="宋体" w:hAnsi="宋体" w:cs="宋体"/>
                <w:kern w:val="0"/>
                <w:sz w:val="22"/>
              </w:rPr>
            </w:pPr>
            <w:r>
              <w:rPr>
                <w:rFonts w:hint="eastAsia" w:ascii="宋体" w:hAnsi="宋体" w:cs="宋体"/>
                <w:kern w:val="0"/>
                <w:sz w:val="22"/>
              </w:rPr>
              <w:t>25000</w:t>
            </w:r>
          </w:p>
        </w:tc>
      </w:tr>
      <w:tr w14:paraId="5460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FAABC75">
            <w:pPr>
              <w:widowControl/>
              <w:jc w:val="center"/>
              <w:rPr>
                <w:rFonts w:ascii="宋体" w:hAnsi="宋体" w:cs="宋体"/>
                <w:kern w:val="0"/>
                <w:sz w:val="22"/>
              </w:rPr>
            </w:pPr>
            <w:r>
              <w:rPr>
                <w:rFonts w:hint="eastAsia" w:ascii="宋体" w:hAnsi="宋体" w:cs="宋体"/>
                <w:kern w:val="0"/>
                <w:sz w:val="22"/>
              </w:rPr>
              <w:t>3</w:t>
            </w:r>
          </w:p>
        </w:tc>
        <w:tc>
          <w:tcPr>
            <w:tcW w:w="1072" w:type="dxa"/>
            <w:shd w:val="clear" w:color="auto" w:fill="auto"/>
            <w:vAlign w:val="center"/>
          </w:tcPr>
          <w:p w14:paraId="140CBB3C">
            <w:pPr>
              <w:widowControl/>
              <w:jc w:val="left"/>
              <w:rPr>
                <w:rFonts w:ascii="宋体" w:hAnsi="宋体" w:cs="宋体"/>
                <w:kern w:val="0"/>
                <w:sz w:val="22"/>
              </w:rPr>
            </w:pPr>
            <w:r>
              <w:rPr>
                <w:rFonts w:hint="eastAsia" w:ascii="宋体" w:hAnsi="宋体" w:cs="宋体"/>
                <w:kern w:val="0"/>
                <w:sz w:val="22"/>
              </w:rPr>
              <w:t>不锈钢置物架3</w:t>
            </w:r>
          </w:p>
        </w:tc>
        <w:tc>
          <w:tcPr>
            <w:tcW w:w="4897" w:type="dxa"/>
            <w:shd w:val="clear" w:color="auto" w:fill="auto"/>
            <w:vAlign w:val="center"/>
          </w:tcPr>
          <w:p w14:paraId="4777A165">
            <w:pPr>
              <w:widowControl/>
              <w:jc w:val="left"/>
              <w:rPr>
                <w:rFonts w:ascii="宋体" w:hAnsi="宋体" w:cs="宋体"/>
                <w:kern w:val="0"/>
                <w:sz w:val="22"/>
              </w:rPr>
            </w:pPr>
            <w:r>
              <w:rPr>
                <w:rFonts w:hint="eastAsia" w:ascii="宋体" w:hAnsi="宋体" w:cs="宋体"/>
                <w:kern w:val="0"/>
                <w:sz w:val="22"/>
              </w:rPr>
              <w:t>1、整体规格：长宽1000×700mm，底层下沿离地200mm，整体四层（不含地面层），每层高500mm。</w:t>
            </w:r>
            <w:r>
              <w:rPr>
                <w:rFonts w:hint="eastAsia" w:ascii="宋体" w:hAnsi="宋体" w:cs="宋体"/>
                <w:kern w:val="0"/>
                <w:sz w:val="22"/>
              </w:rPr>
              <w:br w:type="textWrapping"/>
            </w:r>
            <w:r>
              <w:rPr>
                <w:rFonts w:hint="eastAsia" w:ascii="宋体" w:hAnsi="宋体" w:cs="宋体"/>
                <w:kern w:val="0"/>
                <w:sz w:val="22"/>
              </w:rPr>
              <w:t>2、主要材质：立柱采用国标≥38mm*38mm方管，方管厚度≥1.0mm，辅件置物架采用国标≥30mm*30mm方管，厚度≥1.0mm。</w:t>
            </w:r>
            <w:r>
              <w:rPr>
                <w:rFonts w:hint="eastAsia" w:ascii="宋体" w:hAnsi="宋体" w:cs="宋体"/>
                <w:kern w:val="0"/>
                <w:sz w:val="22"/>
              </w:rPr>
              <w:br w:type="textWrapping"/>
            </w:r>
            <w:r>
              <w:rPr>
                <w:rFonts w:hint="eastAsia" w:ascii="宋体" w:hAnsi="宋体" w:cs="宋体"/>
                <w:kern w:val="0"/>
                <w:sz w:val="22"/>
              </w:rPr>
              <w:t>3、焊接要求：采用二氧化碳气体保护焊，焊点应满焊、均匀、牢固、平整，无漏焊、假焊、裂纹、烧穿、毛刺、表面气孔、夹渣、焊疤堆积等缺陷，焊后打磨平、除刺及抛光。</w:t>
            </w:r>
            <w:r>
              <w:rPr>
                <w:rFonts w:hint="eastAsia" w:ascii="宋体" w:hAnsi="宋体" w:cs="宋体"/>
                <w:kern w:val="0"/>
                <w:sz w:val="22"/>
              </w:rPr>
              <w:br w:type="textWrapping"/>
            </w:r>
            <w:r>
              <w:rPr>
                <w:rFonts w:hint="eastAsia" w:ascii="宋体" w:hAnsi="宋体" w:cs="宋体"/>
                <w:kern w:val="0"/>
                <w:sz w:val="22"/>
              </w:rPr>
              <w:t>4、表面除锈镀层要求：涂饰前零部件的表面应光滑、平整，不得有开裂、脱焊、漏焊、焊渣或飞边、尖角、毛刺等可能超成机械伤害的缺陷。表面须经过“除油—水洗—酸洗—除锈—清洗—中和—磷化—水洗—烘干”九工位处理，预备处理后表面无氧化皮、锈蚀、粘砂等其他杂质。预备处理后及时进行涂饰。</w:t>
            </w:r>
            <w:r>
              <w:rPr>
                <w:rFonts w:hint="eastAsia" w:ascii="宋体" w:hAnsi="宋体" w:cs="宋体"/>
                <w:kern w:val="0"/>
                <w:sz w:val="22"/>
              </w:rPr>
              <w:br w:type="textWrapping"/>
            </w:r>
            <w:r>
              <w:rPr>
                <w:rFonts w:hint="eastAsia" w:ascii="宋体" w:hAnsi="宋体" w:cs="宋体"/>
                <w:kern w:val="0"/>
                <w:sz w:val="22"/>
              </w:rPr>
              <w:t>5、喷塑要求：钢材表面经除油，去锈，磷化静电喷粉、高温固化而成。</w:t>
            </w:r>
          </w:p>
        </w:tc>
        <w:tc>
          <w:tcPr>
            <w:tcW w:w="462" w:type="dxa"/>
            <w:shd w:val="clear" w:color="auto" w:fill="auto"/>
            <w:noWrap/>
            <w:vAlign w:val="center"/>
          </w:tcPr>
          <w:p w14:paraId="53778D29">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2C6F4632">
            <w:pPr>
              <w:widowControl/>
              <w:jc w:val="left"/>
              <w:rPr>
                <w:rFonts w:ascii="宋体" w:hAnsi="宋体" w:cs="宋体"/>
                <w:kern w:val="0"/>
                <w:sz w:val="22"/>
              </w:rPr>
            </w:pPr>
            <w:r>
              <w:rPr>
                <w:rFonts w:hint="eastAsia" w:ascii="宋体" w:hAnsi="宋体" w:cs="宋体"/>
                <w:kern w:val="0"/>
                <w:sz w:val="22"/>
              </w:rPr>
              <w:t>124</w:t>
            </w:r>
          </w:p>
        </w:tc>
        <w:tc>
          <w:tcPr>
            <w:tcW w:w="1048" w:type="dxa"/>
            <w:shd w:val="clear" w:color="auto" w:fill="auto"/>
            <w:noWrap/>
            <w:vAlign w:val="center"/>
          </w:tcPr>
          <w:p w14:paraId="43E4C002">
            <w:pPr>
              <w:widowControl/>
              <w:jc w:val="left"/>
              <w:rPr>
                <w:rFonts w:ascii="宋体" w:hAnsi="宋体" w:cs="宋体"/>
                <w:kern w:val="0"/>
                <w:sz w:val="22"/>
              </w:rPr>
            </w:pPr>
            <w:r>
              <w:rPr>
                <w:rFonts w:hint="eastAsia" w:ascii="宋体" w:hAnsi="宋体" w:cs="宋体"/>
                <w:kern w:val="0"/>
                <w:sz w:val="22"/>
              </w:rPr>
              <w:t>980</w:t>
            </w:r>
          </w:p>
        </w:tc>
        <w:tc>
          <w:tcPr>
            <w:tcW w:w="1489" w:type="dxa"/>
            <w:shd w:val="clear" w:color="auto" w:fill="auto"/>
            <w:noWrap/>
            <w:vAlign w:val="center"/>
          </w:tcPr>
          <w:p w14:paraId="39A6F062">
            <w:pPr>
              <w:widowControl/>
              <w:jc w:val="left"/>
              <w:rPr>
                <w:rFonts w:ascii="宋体" w:hAnsi="宋体" w:cs="宋体"/>
                <w:kern w:val="0"/>
                <w:sz w:val="22"/>
              </w:rPr>
            </w:pPr>
            <w:r>
              <w:rPr>
                <w:rFonts w:hint="eastAsia" w:ascii="宋体" w:hAnsi="宋体" w:cs="宋体"/>
                <w:kern w:val="0"/>
                <w:sz w:val="22"/>
              </w:rPr>
              <w:t>121520</w:t>
            </w:r>
          </w:p>
        </w:tc>
      </w:tr>
      <w:tr w14:paraId="6843F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B4FD167">
            <w:pPr>
              <w:widowControl/>
              <w:jc w:val="center"/>
              <w:rPr>
                <w:rFonts w:ascii="宋体" w:hAnsi="宋体" w:cs="宋体"/>
                <w:kern w:val="0"/>
                <w:sz w:val="22"/>
              </w:rPr>
            </w:pPr>
            <w:r>
              <w:rPr>
                <w:rFonts w:hint="eastAsia" w:ascii="宋体" w:hAnsi="宋体" w:cs="宋体"/>
                <w:kern w:val="0"/>
                <w:sz w:val="22"/>
              </w:rPr>
              <w:t>4</w:t>
            </w:r>
          </w:p>
        </w:tc>
        <w:tc>
          <w:tcPr>
            <w:tcW w:w="1072" w:type="dxa"/>
            <w:shd w:val="clear" w:color="auto" w:fill="auto"/>
            <w:vAlign w:val="center"/>
          </w:tcPr>
          <w:p w14:paraId="60210EFE">
            <w:pPr>
              <w:widowControl/>
              <w:jc w:val="left"/>
              <w:rPr>
                <w:rFonts w:ascii="宋体" w:hAnsi="宋体" w:cs="宋体"/>
                <w:kern w:val="0"/>
                <w:sz w:val="22"/>
              </w:rPr>
            </w:pPr>
            <w:r>
              <w:rPr>
                <w:rFonts w:hint="eastAsia" w:ascii="宋体" w:hAnsi="宋体" w:cs="宋体"/>
                <w:kern w:val="0"/>
                <w:sz w:val="22"/>
              </w:rPr>
              <w:t>不锈钢置物架4</w:t>
            </w:r>
          </w:p>
        </w:tc>
        <w:tc>
          <w:tcPr>
            <w:tcW w:w="4897" w:type="dxa"/>
            <w:shd w:val="clear" w:color="auto" w:fill="auto"/>
            <w:vAlign w:val="center"/>
          </w:tcPr>
          <w:p w14:paraId="6F49176A">
            <w:pPr>
              <w:widowControl/>
              <w:jc w:val="left"/>
              <w:rPr>
                <w:rFonts w:ascii="宋体" w:hAnsi="宋体" w:cs="宋体"/>
                <w:kern w:val="0"/>
                <w:sz w:val="22"/>
              </w:rPr>
            </w:pPr>
            <w:r>
              <w:rPr>
                <w:rFonts w:hint="eastAsia" w:ascii="宋体" w:hAnsi="宋体" w:cs="宋体"/>
                <w:kern w:val="0"/>
                <w:sz w:val="22"/>
              </w:rPr>
              <w:t>1、整体规格：长宽700×850mm，底层下沿离地200mm，整体三层（不含地面层），每层高700mm。</w:t>
            </w:r>
            <w:r>
              <w:rPr>
                <w:rFonts w:hint="eastAsia" w:ascii="宋体" w:hAnsi="宋体" w:cs="宋体"/>
                <w:kern w:val="0"/>
                <w:sz w:val="22"/>
              </w:rPr>
              <w:br w:type="textWrapping"/>
            </w:r>
            <w:r>
              <w:rPr>
                <w:rFonts w:hint="eastAsia" w:ascii="宋体" w:hAnsi="宋体" w:cs="宋体"/>
                <w:kern w:val="0"/>
                <w:sz w:val="22"/>
              </w:rPr>
              <w:t>2、主要材质：立柱采用国标≥38mm*38mm方管，方管厚度≥1.0mm，辅件置物架采用国标≥30mm*30mm方管，厚度≥1.0mm。</w:t>
            </w:r>
            <w:r>
              <w:rPr>
                <w:rFonts w:hint="eastAsia" w:ascii="宋体" w:hAnsi="宋体" w:cs="宋体"/>
                <w:kern w:val="0"/>
                <w:sz w:val="22"/>
              </w:rPr>
              <w:br w:type="textWrapping"/>
            </w:r>
            <w:r>
              <w:rPr>
                <w:rFonts w:hint="eastAsia" w:ascii="宋体" w:hAnsi="宋体" w:cs="宋体"/>
                <w:kern w:val="0"/>
                <w:sz w:val="22"/>
              </w:rPr>
              <w:t>3、焊接要求：采用二氧化碳气体保护焊，焊点应满焊、均匀、牢固、平整，无漏焊、假焊、裂纹、烧穿、毛刺、表面气孔、夹渣、焊疤堆积等缺陷，焊后打磨平、除刺及抛光。</w:t>
            </w:r>
            <w:r>
              <w:rPr>
                <w:rFonts w:hint="eastAsia" w:ascii="宋体" w:hAnsi="宋体" w:cs="宋体"/>
                <w:kern w:val="0"/>
                <w:sz w:val="22"/>
              </w:rPr>
              <w:br w:type="textWrapping"/>
            </w:r>
            <w:r>
              <w:rPr>
                <w:rFonts w:hint="eastAsia" w:ascii="宋体" w:hAnsi="宋体" w:cs="宋体"/>
                <w:kern w:val="0"/>
                <w:sz w:val="22"/>
              </w:rPr>
              <w:t>4、表面除锈镀层要求：涂饰前零部件的表面应光滑、平整，不得有开裂、脱焊、漏焊、焊渣或飞边、尖角、毛刺等可能超成机械伤害的缺陷。表面须经过“除油—水洗—酸洗—除锈—清洗—中和—磷化—水洗—烘干”九工位处理，预备处理后表面无氧化皮、锈蚀、粘砂等其他杂质。预备处理后及时进行涂饰。</w:t>
            </w:r>
            <w:r>
              <w:rPr>
                <w:rFonts w:hint="eastAsia" w:ascii="宋体" w:hAnsi="宋体" w:cs="宋体"/>
                <w:kern w:val="0"/>
                <w:sz w:val="22"/>
              </w:rPr>
              <w:br w:type="textWrapping"/>
            </w:r>
            <w:r>
              <w:rPr>
                <w:rFonts w:hint="eastAsia" w:ascii="宋体" w:hAnsi="宋体" w:cs="宋体"/>
                <w:kern w:val="0"/>
                <w:sz w:val="22"/>
              </w:rPr>
              <w:t>5、喷塑要求：钢材表面经除油，去锈，磷化静电喷粉、高温固化而成。</w:t>
            </w:r>
          </w:p>
        </w:tc>
        <w:tc>
          <w:tcPr>
            <w:tcW w:w="462" w:type="dxa"/>
            <w:shd w:val="clear" w:color="auto" w:fill="auto"/>
            <w:noWrap/>
            <w:vAlign w:val="center"/>
          </w:tcPr>
          <w:p w14:paraId="621421FC">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3968B0B7">
            <w:pPr>
              <w:widowControl/>
              <w:jc w:val="left"/>
              <w:rPr>
                <w:rFonts w:ascii="宋体" w:hAnsi="宋体" w:cs="宋体"/>
                <w:kern w:val="0"/>
                <w:sz w:val="22"/>
              </w:rPr>
            </w:pPr>
            <w:r>
              <w:rPr>
                <w:rFonts w:hint="eastAsia" w:ascii="宋体" w:hAnsi="宋体" w:cs="宋体"/>
                <w:kern w:val="0"/>
                <w:sz w:val="22"/>
              </w:rPr>
              <w:t>6</w:t>
            </w:r>
          </w:p>
        </w:tc>
        <w:tc>
          <w:tcPr>
            <w:tcW w:w="1048" w:type="dxa"/>
            <w:shd w:val="clear" w:color="auto" w:fill="auto"/>
            <w:noWrap/>
            <w:vAlign w:val="center"/>
          </w:tcPr>
          <w:p w14:paraId="0050331A">
            <w:pPr>
              <w:widowControl/>
              <w:jc w:val="left"/>
              <w:rPr>
                <w:rFonts w:ascii="宋体" w:hAnsi="宋体" w:cs="宋体"/>
                <w:kern w:val="0"/>
                <w:sz w:val="22"/>
              </w:rPr>
            </w:pPr>
            <w:r>
              <w:rPr>
                <w:rFonts w:hint="eastAsia" w:ascii="宋体" w:hAnsi="宋体" w:cs="宋体"/>
                <w:kern w:val="0"/>
                <w:sz w:val="22"/>
              </w:rPr>
              <w:t>900</w:t>
            </w:r>
          </w:p>
        </w:tc>
        <w:tc>
          <w:tcPr>
            <w:tcW w:w="1489" w:type="dxa"/>
            <w:shd w:val="clear" w:color="auto" w:fill="auto"/>
            <w:noWrap/>
            <w:vAlign w:val="center"/>
          </w:tcPr>
          <w:p w14:paraId="1FC51F06">
            <w:pPr>
              <w:widowControl/>
              <w:jc w:val="left"/>
              <w:rPr>
                <w:rFonts w:ascii="宋体" w:hAnsi="宋体" w:cs="宋体"/>
                <w:kern w:val="0"/>
                <w:sz w:val="22"/>
              </w:rPr>
            </w:pPr>
            <w:r>
              <w:rPr>
                <w:rFonts w:hint="eastAsia" w:ascii="宋体" w:hAnsi="宋体" w:cs="宋体"/>
                <w:kern w:val="0"/>
                <w:sz w:val="22"/>
              </w:rPr>
              <w:t>5400</w:t>
            </w:r>
          </w:p>
        </w:tc>
      </w:tr>
      <w:tr w14:paraId="35EB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1F2F0DF">
            <w:pPr>
              <w:widowControl/>
              <w:jc w:val="center"/>
              <w:rPr>
                <w:rFonts w:ascii="宋体" w:hAnsi="宋体" w:cs="宋体"/>
                <w:kern w:val="0"/>
                <w:sz w:val="22"/>
              </w:rPr>
            </w:pPr>
            <w:r>
              <w:rPr>
                <w:rFonts w:hint="eastAsia" w:ascii="宋体" w:hAnsi="宋体" w:cs="宋体"/>
                <w:kern w:val="0"/>
                <w:sz w:val="22"/>
              </w:rPr>
              <w:t>5</w:t>
            </w:r>
          </w:p>
        </w:tc>
        <w:tc>
          <w:tcPr>
            <w:tcW w:w="1072" w:type="dxa"/>
            <w:shd w:val="clear" w:color="auto" w:fill="auto"/>
            <w:vAlign w:val="center"/>
          </w:tcPr>
          <w:p w14:paraId="300F5FF2">
            <w:pPr>
              <w:widowControl/>
              <w:jc w:val="left"/>
              <w:rPr>
                <w:rFonts w:ascii="宋体" w:hAnsi="宋体" w:cs="宋体"/>
                <w:kern w:val="0"/>
                <w:sz w:val="22"/>
              </w:rPr>
            </w:pPr>
            <w:r>
              <w:rPr>
                <w:rFonts w:hint="eastAsia" w:ascii="宋体" w:hAnsi="宋体" w:cs="宋体"/>
                <w:kern w:val="0"/>
                <w:sz w:val="22"/>
              </w:rPr>
              <w:t>系统集成</w:t>
            </w:r>
          </w:p>
        </w:tc>
        <w:tc>
          <w:tcPr>
            <w:tcW w:w="4897" w:type="dxa"/>
            <w:shd w:val="clear" w:color="auto" w:fill="auto"/>
            <w:vAlign w:val="center"/>
          </w:tcPr>
          <w:p w14:paraId="58E0A4F3">
            <w:pPr>
              <w:widowControl/>
              <w:jc w:val="left"/>
              <w:rPr>
                <w:rFonts w:ascii="宋体" w:hAnsi="宋体" w:cs="宋体"/>
                <w:kern w:val="0"/>
                <w:sz w:val="22"/>
              </w:rPr>
            </w:pPr>
            <w:r>
              <w:rPr>
                <w:rFonts w:hint="eastAsia" w:ascii="宋体" w:hAnsi="宋体" w:cs="宋体"/>
                <w:kern w:val="0"/>
                <w:sz w:val="22"/>
              </w:rPr>
              <w:t>1、中标供应商实际供货前先提供一款样品（任意规格）供学校检查和确认无误后再量产和供货。</w:t>
            </w:r>
            <w:r>
              <w:rPr>
                <w:rFonts w:hint="eastAsia" w:ascii="宋体" w:hAnsi="宋体" w:cs="宋体"/>
                <w:kern w:val="0"/>
                <w:sz w:val="22"/>
              </w:rPr>
              <w:br w:type="textWrapping"/>
            </w:r>
            <w:r>
              <w:rPr>
                <w:rFonts w:hint="eastAsia" w:ascii="宋体" w:hAnsi="宋体" w:cs="宋体"/>
                <w:kern w:val="0"/>
                <w:sz w:val="22"/>
              </w:rPr>
              <w:t>2、为保证安全，所有置物架需用螺丝固定到墙体。</w:t>
            </w:r>
            <w:r>
              <w:rPr>
                <w:rFonts w:hint="eastAsia" w:ascii="宋体" w:hAnsi="宋体" w:cs="宋体"/>
                <w:kern w:val="0"/>
                <w:sz w:val="22"/>
              </w:rPr>
              <w:br w:type="textWrapping"/>
            </w:r>
            <w:r>
              <w:rPr>
                <w:rFonts w:hint="eastAsia" w:ascii="宋体" w:hAnsi="宋体" w:cs="宋体"/>
                <w:kern w:val="0"/>
                <w:sz w:val="22"/>
              </w:rPr>
              <w:t>2、含运费、上楼、安装、摆放、固定、税费等所有费用。</w:t>
            </w:r>
          </w:p>
        </w:tc>
        <w:tc>
          <w:tcPr>
            <w:tcW w:w="462" w:type="dxa"/>
            <w:shd w:val="clear" w:color="auto" w:fill="auto"/>
            <w:noWrap/>
            <w:vAlign w:val="center"/>
          </w:tcPr>
          <w:p w14:paraId="3D24D68B">
            <w:pPr>
              <w:widowControl/>
              <w:jc w:val="left"/>
              <w:rPr>
                <w:rFonts w:ascii="宋体" w:hAnsi="宋体" w:cs="宋体"/>
                <w:kern w:val="0"/>
                <w:sz w:val="22"/>
              </w:rPr>
            </w:pPr>
            <w:r>
              <w:rPr>
                <w:rFonts w:hint="eastAsia" w:ascii="宋体" w:hAnsi="宋体" w:cs="宋体"/>
                <w:kern w:val="0"/>
                <w:sz w:val="22"/>
              </w:rPr>
              <w:t>项</w:t>
            </w:r>
          </w:p>
        </w:tc>
        <w:tc>
          <w:tcPr>
            <w:tcW w:w="605" w:type="dxa"/>
            <w:shd w:val="clear" w:color="auto" w:fill="auto"/>
            <w:noWrap/>
            <w:vAlign w:val="center"/>
          </w:tcPr>
          <w:p w14:paraId="49476B49">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53EBB2B9">
            <w:pPr>
              <w:widowControl/>
              <w:jc w:val="left"/>
              <w:rPr>
                <w:rFonts w:ascii="宋体" w:hAnsi="宋体" w:cs="宋体"/>
                <w:kern w:val="0"/>
                <w:sz w:val="22"/>
              </w:rPr>
            </w:pPr>
            <w:r>
              <w:rPr>
                <w:rFonts w:hint="eastAsia" w:ascii="宋体" w:hAnsi="宋体" w:cs="宋体"/>
                <w:kern w:val="0"/>
                <w:sz w:val="22"/>
              </w:rPr>
              <w:t>5000</w:t>
            </w:r>
          </w:p>
        </w:tc>
        <w:tc>
          <w:tcPr>
            <w:tcW w:w="1489" w:type="dxa"/>
            <w:shd w:val="clear" w:color="auto" w:fill="auto"/>
            <w:noWrap/>
            <w:vAlign w:val="center"/>
          </w:tcPr>
          <w:p w14:paraId="14344FEE">
            <w:pPr>
              <w:widowControl/>
              <w:jc w:val="left"/>
              <w:rPr>
                <w:rFonts w:ascii="宋体" w:hAnsi="宋体" w:cs="宋体"/>
                <w:kern w:val="0"/>
                <w:sz w:val="22"/>
              </w:rPr>
            </w:pPr>
            <w:r>
              <w:rPr>
                <w:rFonts w:hint="eastAsia" w:ascii="宋体" w:hAnsi="宋体" w:cs="宋体"/>
                <w:kern w:val="0"/>
                <w:sz w:val="22"/>
              </w:rPr>
              <w:t>5000</w:t>
            </w:r>
          </w:p>
        </w:tc>
      </w:tr>
      <w:tr w14:paraId="449A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92E93BF">
            <w:pPr>
              <w:widowControl/>
              <w:jc w:val="center"/>
              <w:rPr>
                <w:rFonts w:ascii="宋体" w:hAnsi="宋体" w:cs="宋体"/>
                <w:kern w:val="0"/>
                <w:sz w:val="22"/>
              </w:rPr>
            </w:pPr>
            <w:r>
              <w:rPr>
                <w:rFonts w:hint="eastAsia" w:ascii="宋体" w:hAnsi="宋体" w:cs="宋体"/>
                <w:kern w:val="0"/>
                <w:sz w:val="22"/>
              </w:rPr>
              <w:t>参考图样（三层款）</w:t>
            </w:r>
          </w:p>
        </w:tc>
        <w:tc>
          <w:tcPr>
            <w:tcW w:w="1072" w:type="dxa"/>
            <w:shd w:val="clear" w:color="auto" w:fill="auto"/>
            <w:vAlign w:val="center"/>
          </w:tcPr>
          <w:p w14:paraId="2AE6BFEF">
            <w:pPr>
              <w:widowControl/>
              <w:jc w:val="left"/>
              <w:rPr>
                <w:rFonts w:ascii="宋体" w:hAnsi="宋体" w:cs="宋体"/>
                <w:kern w:val="0"/>
                <w:sz w:val="22"/>
              </w:rPr>
            </w:pPr>
          </w:p>
        </w:tc>
        <w:tc>
          <w:tcPr>
            <w:tcW w:w="4897" w:type="dxa"/>
            <w:shd w:val="clear" w:color="auto" w:fill="auto"/>
            <w:vAlign w:val="center"/>
          </w:tcPr>
          <w:p w14:paraId="715DFA7B">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65408" behindDoc="0" locked="0" layoutInCell="1" allowOverlap="1">
                  <wp:simplePos x="0" y="0"/>
                  <wp:positionH relativeFrom="column">
                    <wp:posOffset>1277620</wp:posOffset>
                  </wp:positionH>
                  <wp:positionV relativeFrom="paragraph">
                    <wp:posOffset>62230</wp:posOffset>
                  </wp:positionV>
                  <wp:extent cx="866775" cy="1598295"/>
                  <wp:effectExtent l="0" t="0" r="9525" b="1905"/>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5"/>
                          <a:stretch>
                            <a:fillRect/>
                          </a:stretch>
                        </pic:blipFill>
                        <pic:spPr>
                          <a:xfrm>
                            <a:off x="0" y="0"/>
                            <a:ext cx="866775" cy="1598295"/>
                          </a:xfrm>
                          <a:prstGeom prst="rect">
                            <a:avLst/>
                          </a:prstGeom>
                        </pic:spPr>
                      </pic:pic>
                    </a:graphicData>
                  </a:graphic>
                </wp:anchor>
              </w:drawing>
            </w:r>
            <w:r>
              <w:rPr>
                <w:rFonts w:hint="eastAsia" w:ascii="宋体" w:hAnsi="宋体" w:cs="宋体"/>
                <w:kern w:val="0"/>
                <w:sz w:val="22"/>
              </w:rPr>
              <w:t>　</w:t>
            </w:r>
          </w:p>
          <w:p w14:paraId="3D5F258A">
            <w:pPr>
              <w:widowControl/>
              <w:jc w:val="left"/>
              <w:rPr>
                <w:rFonts w:ascii="宋体" w:hAnsi="宋体" w:cs="宋体"/>
                <w:kern w:val="0"/>
                <w:sz w:val="22"/>
              </w:rPr>
            </w:pPr>
          </w:p>
          <w:p w14:paraId="062FE57F">
            <w:pPr>
              <w:widowControl/>
              <w:jc w:val="left"/>
              <w:rPr>
                <w:rFonts w:ascii="宋体" w:hAnsi="宋体" w:cs="宋体"/>
                <w:kern w:val="0"/>
                <w:sz w:val="22"/>
              </w:rPr>
            </w:pPr>
          </w:p>
          <w:p w14:paraId="7683DBC0">
            <w:pPr>
              <w:widowControl/>
              <w:jc w:val="left"/>
              <w:rPr>
                <w:rFonts w:ascii="宋体" w:hAnsi="宋体" w:cs="宋体"/>
                <w:kern w:val="0"/>
                <w:sz w:val="22"/>
              </w:rPr>
            </w:pPr>
          </w:p>
          <w:p w14:paraId="3B9251CE">
            <w:pPr>
              <w:widowControl/>
              <w:jc w:val="left"/>
              <w:rPr>
                <w:rFonts w:ascii="宋体" w:hAnsi="宋体" w:cs="宋体"/>
                <w:kern w:val="0"/>
                <w:sz w:val="22"/>
              </w:rPr>
            </w:pPr>
          </w:p>
          <w:p w14:paraId="77592BD1">
            <w:pPr>
              <w:widowControl/>
              <w:jc w:val="left"/>
              <w:rPr>
                <w:rFonts w:ascii="宋体" w:hAnsi="宋体" w:cs="宋体"/>
                <w:kern w:val="0"/>
                <w:sz w:val="22"/>
              </w:rPr>
            </w:pPr>
          </w:p>
          <w:p w14:paraId="32F2E4EA">
            <w:pPr>
              <w:widowControl/>
              <w:jc w:val="left"/>
              <w:rPr>
                <w:rFonts w:ascii="宋体" w:hAnsi="宋体" w:cs="宋体"/>
                <w:kern w:val="0"/>
                <w:sz w:val="22"/>
              </w:rPr>
            </w:pPr>
          </w:p>
          <w:p w14:paraId="2B44C5BE">
            <w:pPr>
              <w:widowControl/>
              <w:jc w:val="left"/>
              <w:rPr>
                <w:rFonts w:ascii="宋体" w:hAnsi="宋体" w:cs="宋体"/>
                <w:kern w:val="0"/>
                <w:sz w:val="22"/>
              </w:rPr>
            </w:pPr>
          </w:p>
          <w:p w14:paraId="0862D09C">
            <w:pPr>
              <w:widowControl/>
              <w:jc w:val="left"/>
              <w:rPr>
                <w:rFonts w:ascii="宋体" w:hAnsi="宋体" w:cs="宋体"/>
                <w:kern w:val="0"/>
                <w:sz w:val="22"/>
              </w:rPr>
            </w:pPr>
          </w:p>
          <w:p w14:paraId="51E9A831">
            <w:pPr>
              <w:widowControl/>
              <w:jc w:val="left"/>
              <w:rPr>
                <w:rFonts w:ascii="宋体" w:hAnsi="宋体" w:cs="宋体"/>
                <w:kern w:val="0"/>
                <w:sz w:val="22"/>
              </w:rPr>
            </w:pPr>
          </w:p>
        </w:tc>
        <w:tc>
          <w:tcPr>
            <w:tcW w:w="462" w:type="dxa"/>
            <w:shd w:val="clear" w:color="auto" w:fill="auto"/>
            <w:noWrap/>
            <w:vAlign w:val="center"/>
          </w:tcPr>
          <w:p w14:paraId="0BE6507F">
            <w:pPr>
              <w:widowControl/>
              <w:jc w:val="left"/>
              <w:rPr>
                <w:rFonts w:ascii="宋体" w:hAnsi="宋体" w:cs="宋体"/>
                <w:kern w:val="0"/>
                <w:sz w:val="22"/>
              </w:rPr>
            </w:pPr>
            <w:r>
              <w:rPr>
                <w:rFonts w:hint="eastAsia" w:ascii="宋体" w:hAnsi="宋体" w:cs="宋体"/>
                <w:kern w:val="0"/>
                <w:sz w:val="22"/>
              </w:rPr>
              <w:t>　</w:t>
            </w:r>
          </w:p>
        </w:tc>
        <w:tc>
          <w:tcPr>
            <w:tcW w:w="605" w:type="dxa"/>
            <w:shd w:val="clear" w:color="auto" w:fill="auto"/>
            <w:noWrap/>
            <w:vAlign w:val="center"/>
          </w:tcPr>
          <w:p w14:paraId="1DAAD2CF">
            <w:pPr>
              <w:widowControl/>
              <w:jc w:val="left"/>
              <w:rPr>
                <w:rFonts w:ascii="宋体" w:hAnsi="宋体" w:cs="宋体"/>
                <w:kern w:val="0"/>
                <w:sz w:val="22"/>
              </w:rPr>
            </w:pPr>
            <w:r>
              <w:rPr>
                <w:rFonts w:hint="eastAsia" w:ascii="宋体" w:hAnsi="宋体" w:cs="宋体"/>
                <w:kern w:val="0"/>
                <w:sz w:val="22"/>
              </w:rPr>
              <w:t>　</w:t>
            </w:r>
          </w:p>
        </w:tc>
        <w:tc>
          <w:tcPr>
            <w:tcW w:w="1048" w:type="dxa"/>
            <w:shd w:val="clear" w:color="auto" w:fill="auto"/>
            <w:noWrap/>
            <w:vAlign w:val="center"/>
          </w:tcPr>
          <w:p w14:paraId="3D660B4B">
            <w:pPr>
              <w:widowControl/>
              <w:jc w:val="left"/>
              <w:rPr>
                <w:rFonts w:ascii="宋体" w:hAnsi="宋体" w:cs="宋体"/>
                <w:kern w:val="0"/>
                <w:sz w:val="22"/>
              </w:rPr>
            </w:pPr>
            <w:r>
              <w:rPr>
                <w:rFonts w:hint="eastAsia" w:ascii="宋体" w:hAnsi="宋体" w:cs="宋体"/>
                <w:kern w:val="0"/>
                <w:sz w:val="22"/>
              </w:rPr>
              <w:t>　</w:t>
            </w:r>
          </w:p>
        </w:tc>
        <w:tc>
          <w:tcPr>
            <w:tcW w:w="1489" w:type="dxa"/>
            <w:shd w:val="clear" w:color="auto" w:fill="auto"/>
            <w:noWrap/>
            <w:vAlign w:val="center"/>
          </w:tcPr>
          <w:p w14:paraId="0ECC09A6">
            <w:pPr>
              <w:widowControl/>
              <w:jc w:val="center"/>
              <w:textAlignment w:val="center"/>
              <w:rPr>
                <w:rFonts w:ascii="宋体" w:hAnsi="宋体" w:cs="宋体"/>
                <w:color w:val="000000"/>
                <w:sz w:val="22"/>
                <w:szCs w:val="22"/>
              </w:rPr>
            </w:pPr>
          </w:p>
        </w:tc>
      </w:tr>
      <w:tr w14:paraId="5300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1" w:hRule="atLeast"/>
        </w:trPr>
        <w:tc>
          <w:tcPr>
            <w:tcW w:w="10226" w:type="dxa"/>
            <w:gridSpan w:val="7"/>
            <w:shd w:val="clear" w:color="auto" w:fill="auto"/>
            <w:vAlign w:val="center"/>
          </w:tcPr>
          <w:tbl>
            <w:tblPr>
              <w:tblStyle w:val="24"/>
              <w:tblW w:w="10082" w:type="dxa"/>
              <w:tblInd w:w="0" w:type="dxa"/>
              <w:tblLayout w:type="fixed"/>
              <w:tblCellMar>
                <w:top w:w="0" w:type="dxa"/>
                <w:left w:w="108" w:type="dxa"/>
                <w:bottom w:w="0" w:type="dxa"/>
                <w:right w:w="108" w:type="dxa"/>
              </w:tblCellMar>
            </w:tblPr>
            <w:tblGrid>
              <w:gridCol w:w="10082"/>
            </w:tblGrid>
            <w:tr w14:paraId="2A10D85F">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0721784D">
                  <w:pPr>
                    <w:widowControl/>
                    <w:rPr>
                      <w:rFonts w:ascii="宋体" w:hAnsi="宋体" w:cs="宋体"/>
                      <w:kern w:val="0"/>
                      <w:sz w:val="20"/>
                      <w:szCs w:val="20"/>
                    </w:rPr>
                  </w:pPr>
                  <w:r>
                    <w:rPr>
                      <w:rFonts w:hint="eastAsia"/>
                      <w:b/>
                      <w:bCs/>
                    </w:rPr>
                    <w:t>商务条款</w:t>
                  </w:r>
                </w:p>
              </w:tc>
            </w:tr>
            <w:tr w14:paraId="17292CE8">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63498967">
                  <w:pPr>
                    <w:widowControl/>
                    <w:jc w:val="left"/>
                    <w:rPr>
                      <w:rFonts w:ascii="宋体" w:hAnsi="宋体" w:cs="宋体"/>
                      <w:kern w:val="0"/>
                      <w:sz w:val="20"/>
                      <w:szCs w:val="20"/>
                    </w:rPr>
                  </w:pPr>
                  <w:r>
                    <w:rPr>
                      <w:rFonts w:hint="eastAsia"/>
                    </w:rPr>
                    <w:t>▲一、合同签订期：自中标通知书发出之日起5日内。</w:t>
                  </w:r>
                </w:p>
              </w:tc>
            </w:tr>
            <w:tr w14:paraId="7054A5F9">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21AC76C2">
                  <w:pPr>
                    <w:widowControl/>
                    <w:jc w:val="left"/>
                    <w:rPr>
                      <w:rFonts w:ascii="宋体" w:hAnsi="宋体" w:cs="宋体"/>
                      <w:kern w:val="0"/>
                      <w:sz w:val="20"/>
                      <w:szCs w:val="20"/>
                    </w:rPr>
                  </w:pPr>
                  <w:r>
                    <w:rPr>
                      <w:rFonts w:hint="eastAsia"/>
                    </w:rPr>
                    <w:t>▲二、交货时间：自签订合同之日起</w:t>
                  </w:r>
                  <w:r>
                    <w:t>60</w:t>
                  </w:r>
                  <w:r>
                    <w:rPr>
                      <w:rFonts w:hint="eastAsia"/>
                    </w:rPr>
                    <w:t>日内完成供货、安装、调试、培训及验收。</w:t>
                  </w:r>
                </w:p>
              </w:tc>
            </w:tr>
            <w:tr w14:paraId="3DCD9693">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7A7035D1">
                  <w:pPr>
                    <w:widowControl/>
                    <w:jc w:val="left"/>
                    <w:rPr>
                      <w:rFonts w:ascii="宋体" w:hAnsi="宋体" w:cs="宋体"/>
                      <w:kern w:val="0"/>
                      <w:sz w:val="20"/>
                      <w:szCs w:val="20"/>
                    </w:rPr>
                  </w:pPr>
                  <w:r>
                    <w:rPr>
                      <w:rFonts w:hint="eastAsia"/>
                    </w:rPr>
                    <w:t>三、提交货物地点：采购人指定地点。</w:t>
                  </w:r>
                </w:p>
              </w:tc>
            </w:tr>
            <w:tr w14:paraId="5D2555A0">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131664CA">
                  <w:pPr>
                    <w:jc w:val="left"/>
                    <w:rPr>
                      <w:rFonts w:ascii="宋体" w:hAnsi="宋体" w:cs="宋体"/>
                      <w:kern w:val="0"/>
                      <w:sz w:val="20"/>
                      <w:szCs w:val="20"/>
                    </w:rPr>
                  </w:pPr>
                  <w:r>
                    <w:rPr>
                      <w:rFonts w:hint="eastAsia"/>
                    </w:rPr>
                    <w:t>四、交货方式：现场交货。</w:t>
                  </w:r>
                </w:p>
              </w:tc>
            </w:tr>
            <w:tr w14:paraId="772843C4">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7C52B676">
                  <w:pPr>
                    <w:jc w:val="left"/>
                  </w:pPr>
                  <w:r>
                    <w:rPr>
                      <w:rFonts w:hint="eastAsia"/>
                    </w:rPr>
                    <w:t>▲五、付款方式：本项目无预付款。中标供应商交货安装完毕后，经采购人书面验收合格，并按采购人要求提交项目请款有关资料，在财政部门审批同意用款计划后30日内，支付合同款。如因客观原因造成设备无法正常安装，乙方可在已部分供货的前提下向甲方申请支付项目进度款，甲方根据乙方供货进度并结合当时审批部门有关要求酌情办理进度款支付。</w:t>
                  </w:r>
                </w:p>
                <w:p w14:paraId="0C2EB6D2">
                  <w:pPr>
                    <w:widowControl/>
                    <w:jc w:val="left"/>
                  </w:pPr>
                </w:p>
              </w:tc>
            </w:tr>
            <w:tr w14:paraId="4C722D44">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5EBCC038">
                  <w:pPr>
                    <w:jc w:val="left"/>
                  </w:pPr>
                  <w:r>
                    <w:rPr>
                      <w:rFonts w:hint="eastAsia"/>
                    </w:rPr>
                    <w:t xml:space="preserve">六、验收标准、规范： </w:t>
                  </w:r>
                </w:p>
                <w:p w14:paraId="0A2714AA">
                  <w:pPr>
                    <w:widowControl/>
                    <w:jc w:val="left"/>
                  </w:pPr>
                  <w:r>
                    <w:rPr>
                      <w:rFonts w:hint="eastAsia"/>
                    </w:rPr>
                    <w:t>1.符合合同要求及国家相关标准。</w:t>
                  </w:r>
                </w:p>
                <w:p w14:paraId="18507BF3">
                  <w:pPr>
                    <w:widowControl/>
                    <w:jc w:val="left"/>
                  </w:pPr>
                  <w:r>
                    <w:rPr>
                      <w:rFonts w:hint="eastAsia"/>
                    </w:rPr>
                    <w:t>2.参数配置符合或优于合同要求。</w:t>
                  </w:r>
                </w:p>
                <w:p w14:paraId="62AFE9F9">
                  <w:pPr>
                    <w:widowControl/>
                    <w:jc w:val="left"/>
                  </w:pPr>
                  <w:r>
                    <w:rPr>
                      <w:rFonts w:hint="eastAsia"/>
                    </w:rPr>
                    <w:t>3.中标人提供所招标采购的货物、配套设备、所属装置等有关技术资料作为验收的参考依据。</w:t>
                  </w:r>
                </w:p>
                <w:p w14:paraId="11AFE75A">
                  <w:pPr>
                    <w:widowControl/>
                    <w:jc w:val="left"/>
                  </w:pPr>
                  <w:r>
                    <w:rPr>
                      <w:rFonts w:hint="eastAsia"/>
                    </w:rPr>
                    <w:t>4.本项目由采购人、设备使用单位联合开展全程监理和验收工作。如验收结果不合格的，须按采购人要求及时整改，因此过程耽误交货时间导致采购人造成损失的，中标人承担由此所造成全部损失。</w:t>
                  </w:r>
                </w:p>
                <w:p w14:paraId="244B1EC5">
                  <w:pPr>
                    <w:widowControl/>
                    <w:jc w:val="left"/>
                  </w:pPr>
                  <w:r>
                    <w:rPr>
                      <w:rFonts w:hint="eastAsia"/>
                    </w:rPr>
                    <w:t>5.验收所产生的费用由中标人承担。</w:t>
                  </w:r>
                </w:p>
                <w:p w14:paraId="70E83272">
                  <w:pPr>
                    <w:widowControl/>
                    <w:jc w:val="left"/>
                  </w:pPr>
                  <w:r>
                    <w:rPr>
                      <w:rFonts w:hint="eastAsia"/>
                    </w:rPr>
                    <w:t>6.在约定的期限内完成本项目开发过程中采购人最终确认的需求，认为可以验收的，中标人以书面方式通知采购人。交付验收前，中标人须对所交付的项目进行功能和运行检测，以确认交付项目符合本项目技术参数要求。</w:t>
                  </w:r>
                </w:p>
                <w:p w14:paraId="16E4392D">
                  <w:pPr>
                    <w:widowControl/>
                    <w:jc w:val="left"/>
                  </w:pPr>
                  <w:r>
                    <w:rPr>
                      <w:rFonts w:hint="eastAsia"/>
                    </w:rPr>
                    <w:t>7.交付验收应按本项目约定的时间进行，如因采购人的原因而导致不能按时交付，将按延期时间顺延交付时间。</w:t>
                  </w:r>
                </w:p>
              </w:tc>
            </w:tr>
            <w:tr w14:paraId="0D9470D7">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533F7334">
                  <w:pPr>
                    <w:jc w:val="left"/>
                  </w:pPr>
                  <w:r>
                    <w:rPr>
                      <w:rFonts w:hint="eastAsia"/>
                    </w:rPr>
                    <w:t>七、售后服务要求：</w:t>
                  </w:r>
                </w:p>
                <w:p w14:paraId="44336224">
                  <w:pPr>
                    <w:jc w:val="left"/>
                  </w:pPr>
                  <w:r>
                    <w:rPr>
                      <w:rFonts w:hint="eastAsia"/>
                    </w:rPr>
                    <w:t>1. 项目整体质保期1年，个别品目质保期以采购需求一览表、投标产品技术资料表、商务条款偏离表、售后服务承诺等资料中最长的质保期为准。（自提交成果并验收合格之日起计）。</w:t>
                  </w:r>
                </w:p>
                <w:p w14:paraId="0248C72A">
                  <w:pPr>
                    <w:jc w:val="left"/>
                  </w:pPr>
                  <w:r>
                    <w:rPr>
                      <w:rFonts w:hint="eastAsia"/>
                    </w:rPr>
                    <w:t>2.响应时间：接到采购人处理问题通知后24小时内到达采购人指定现场，按国家及行业标准对故障进行及时处理；在36小时内不能解决的，供应商须在3个工作日内提供与原设备技术参数要求相同或高于原设备技术参数要求的备用产品，以保证采购人的正常工作。</w:t>
                  </w:r>
                </w:p>
                <w:p w14:paraId="3D0D3FB2">
                  <w:pPr>
                    <w:jc w:val="left"/>
                  </w:pPr>
                  <w:r>
                    <w:rPr>
                      <w:rFonts w:hint="eastAsia"/>
                    </w:rPr>
                    <w:t>3.售后服务技术人员要求：专职/兼职人员。</w:t>
                  </w:r>
                </w:p>
                <w:p w14:paraId="4051544D">
                  <w:pPr>
                    <w:jc w:val="left"/>
                  </w:pPr>
                  <w:r>
                    <w:rPr>
                      <w:rFonts w:hint="eastAsia"/>
                    </w:rPr>
                    <w:t>4.备品备件要求：中标人随时优惠提供备品备件，优惠提供产品更新、改造服务。</w:t>
                  </w:r>
                </w:p>
                <w:p w14:paraId="0B1BE724">
                  <w:pPr>
                    <w:jc w:val="left"/>
                  </w:pPr>
                  <w:r>
                    <w:rPr>
                      <w:rFonts w:hint="eastAsia"/>
                    </w:rPr>
                    <w:t>5.其他：</w:t>
                  </w:r>
                </w:p>
                <w:p w14:paraId="487F0966">
                  <w:pPr>
                    <w:jc w:val="left"/>
                  </w:pPr>
                  <w:r>
                    <w:rPr>
                      <w:rFonts w:hint="eastAsia"/>
                    </w:rPr>
                    <w:t>（1）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超过质量保证期的货物，中标人提供终生维修、保养服务，维修时只收部件成本费。</w:t>
                  </w:r>
                </w:p>
                <w:p w14:paraId="4C98662B">
                  <w:pPr>
                    <w:jc w:val="left"/>
                    <w:rPr>
                      <w:rFonts w:ascii="宋体" w:hAnsi="宋体" w:cs="宋体"/>
                      <w:kern w:val="0"/>
                      <w:sz w:val="20"/>
                      <w:szCs w:val="20"/>
                    </w:rPr>
                  </w:pPr>
                  <w:r>
                    <w:rPr>
                      <w:rFonts w:hint="eastAsia"/>
                    </w:rPr>
                    <w:t>（2）中标人根据售后服务方案开展回访、设备保养等工作后，5个工作日内向采购人提供书面巡检报告、售后情况记录汇总表和售后情况记录表（PDF版1份，纸质版1份，PDF版和纸质版须使用方签字并加盖公章）。格式自拟。</w:t>
                  </w:r>
                </w:p>
              </w:tc>
            </w:tr>
            <w:tr w14:paraId="63E25F3C">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12B9AD31">
                  <w:pPr>
                    <w:jc w:val="left"/>
                  </w:pPr>
                  <w:r>
                    <w:rPr>
                      <w:rFonts w:hint="eastAsia"/>
                    </w:rPr>
                    <w:t>八、其他要求：</w:t>
                  </w:r>
                </w:p>
                <w:p w14:paraId="7835F668">
                  <w:pPr>
                    <w:jc w:val="left"/>
                  </w:pPr>
                  <w:r>
                    <w:rPr>
                      <w:rFonts w:hint="eastAsia"/>
                    </w:rPr>
                    <w:t>1. 投标方所投设备（货物）产品除满足《货物需求一览表》的技术参数及性能（配置）要求外，还应当符合国家现行的相关安全、环保、使用与保管的标准及规范的规定，应取得通过资质认定的专业检测机构出具的符合相关标准的检测报告。</w:t>
                  </w:r>
                </w:p>
                <w:p w14:paraId="493AEA2B">
                  <w:pPr>
                    <w:jc w:val="left"/>
                  </w:pPr>
                  <w:r>
                    <w:rPr>
                      <w:rFonts w:hint="eastAsia"/>
                    </w:rPr>
                    <w:t>2.凡是进入学校的教学仪器设备产品（含乐器类产品），除必须的实验用化学药品外，不得含有国家明令禁止的有毒材料，各项指标要应符合国家相关安全、环保、使用与保管的标准；乐器、乐器配件以及置于室内的乐器包装物的有害物质限量应符合GB/T28489—2012的要求；体育器材所用的材料、外形和结构设计、主要零部件静负荷能力、稳定性、安全警示要求除应符合相应产品标准外，应分别符合GB19272-2011的5.2、5.3、5.4、5.5、5.6的规定；需要安装的体育器材设施应严格按照相应的国家标准或行业标准要求进行安装，同时应符合GB19272—2011的5.7的规定；单杠、双杠、秋千、肋木、平梯、爬竿、爬绳等涉及上下运动弹跳或可能从空中跌落的器材，其跌落防护应符合GB19272-2011的5.3.3；体育器材的安全使用寿命及疲劳性能、环保要求、表面质量、管理与维护应分别符合GB19272-2011的5.8、5.9、5.10和第8章的规定；器材的标志和使用说明应符合GB19272-2011的7.1、7.1.1、7.1.2、7.1.3的规定。</w:t>
                  </w:r>
                </w:p>
                <w:p w14:paraId="74364D28">
                  <w:pPr>
                    <w:jc w:val="left"/>
                  </w:pPr>
                  <w:r>
                    <w:rPr>
                      <w:rFonts w:hint="eastAsia"/>
                    </w:rPr>
                    <w:t>3.本项目中所有计算机或具有计算机功能的信息化设备，必须预装正版操作系统，操作系统软件价格包含在计算机硬件价格中，不单独计算。</w:t>
                  </w:r>
                </w:p>
                <w:p w14:paraId="623AFA0E">
                  <w:pPr>
                    <w:jc w:val="left"/>
                  </w:pPr>
                  <w:r>
                    <w:rPr>
                      <w:rFonts w:hint="eastAsia"/>
                    </w:rPr>
                    <w:t>4.报价必须含以下部分，包括：</w:t>
                  </w:r>
                </w:p>
                <w:p w14:paraId="0B97D51D">
                  <w:pPr>
                    <w:jc w:val="left"/>
                  </w:pPr>
                  <w:r>
                    <w:rPr>
                      <w:rFonts w:hint="eastAsia"/>
                    </w:rPr>
                    <w:t>（1）货物及标准附件、备品备件、专用工具的价格；</w:t>
                  </w:r>
                </w:p>
                <w:p w14:paraId="5AD76DD5">
                  <w:pPr>
                    <w:jc w:val="left"/>
                  </w:pPr>
                  <w:r>
                    <w:rPr>
                      <w:rFonts w:hint="eastAsia"/>
                    </w:rPr>
                    <w:t>（2）必要的保险费用和各项税金、招标代理服务等费用；</w:t>
                  </w:r>
                </w:p>
                <w:p w14:paraId="159D7C58">
                  <w:pPr>
                    <w:jc w:val="left"/>
                  </w:pPr>
                  <w:r>
                    <w:rPr>
                      <w:rFonts w:hint="eastAsia"/>
                    </w:rPr>
                    <w:t>（3）其他：外购软件费、运输、装卸、施工（安装）、调试、仪器上架及粘贴标签、培训、技术支持、售后服务、更新升级、到现场验收、拆旧等费用，系统安装调试需要的线材、接插件、安装配件、标签等，须满足本项目建设的需要，所需费用含在设备报价中，不单独计费。</w:t>
                  </w:r>
                </w:p>
                <w:p w14:paraId="55B7E807">
                  <w:pPr>
                    <w:jc w:val="left"/>
                  </w:pPr>
                  <w:r>
                    <w:rPr>
                      <w:rFonts w:hint="eastAsia"/>
                    </w:rPr>
                    <w:t>5.实施和安装要求：</w:t>
                  </w:r>
                </w:p>
                <w:p w14:paraId="0B4D26E5">
                  <w:pPr>
                    <w:jc w:val="left"/>
                  </w:pPr>
                  <w:r>
                    <w:rPr>
                      <w:rFonts w:hint="eastAsia"/>
                    </w:rPr>
                    <w:t>（1）中标人必须服从采购人现场负责人的指挥，按指定地点进行安装；</w:t>
                  </w:r>
                </w:p>
                <w:p w14:paraId="29D9C435">
                  <w:pPr>
                    <w:jc w:val="left"/>
                  </w:pPr>
                  <w:r>
                    <w:rPr>
                      <w:rFonts w:hint="eastAsia"/>
                    </w:rPr>
                    <w:t>（2）安装过程中的所有安全保障由中标人自行负责；</w:t>
                  </w:r>
                </w:p>
                <w:p w14:paraId="2248F4C1">
                  <w:pPr>
                    <w:jc w:val="left"/>
                    <w:rPr>
                      <w:rFonts w:ascii="宋体" w:hAnsi="宋体" w:cs="宋体"/>
                      <w:kern w:val="0"/>
                      <w:sz w:val="20"/>
                      <w:szCs w:val="20"/>
                    </w:rPr>
                  </w:pPr>
                  <w:r>
                    <w:rPr>
                      <w:rFonts w:hint="eastAsia"/>
                    </w:rPr>
                    <w:t>（3）严格按投标产品的安装规范要求进行安装，确保安全。</w:t>
                  </w:r>
                </w:p>
              </w:tc>
            </w:tr>
            <w:tr w14:paraId="08074229">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7E6C79CD">
                  <w:r>
                    <w:rPr>
                      <w:rFonts w:hint="eastAsia"/>
                    </w:rPr>
                    <w:t>九、培训要求</w:t>
                  </w:r>
                </w:p>
                <w:p w14:paraId="2289BB17">
                  <w:r>
                    <w:rPr>
                      <w:rFonts w:hint="eastAsia"/>
                    </w:rPr>
                    <w:t>▲</w:t>
                  </w:r>
                  <w:r>
                    <w:t>1.在项目实施完成后，中标人免费提供各个软件和硬件系统相关的应用培训，投标文件中提供详细的培训方案。培训前将培训方案报采购人确认后方可开展培训。</w:t>
                  </w:r>
                </w:p>
                <w:p w14:paraId="18DB2086">
                  <w:r>
                    <w:t>2.中标人负责本地集中培训场地、培训教材、培训讲师以及培训所需的硬软件环境，为培训人员提供培训用中文培训教材（纸质稿和电子稿）、实习资料和讲义等相关用品。培训地点原则上在校内进行；培训时间由采购人根据需要确定，原则上集中培训至少1天，不少于50人次。培训费用及被培训人员所有费用由中标人负责。</w:t>
                  </w:r>
                </w:p>
                <w:p w14:paraId="297B6CE1">
                  <w:r>
                    <w:t>3.免费对采购人的管理人员、应用使用人员进行集中培训。通过讲解、学员亲自体验、试用、交流等形式开展培训。确保参与培训人员，能够熟练掌握系统操作流程、各个功能使用方法和应用技巧等，能掌握硬件设备运维和平台应用技巧等。</w:t>
                  </w:r>
                </w:p>
                <w:p w14:paraId="7F0CB00D">
                  <w:r>
                    <w:rPr>
                      <w:rFonts w:hint="eastAsia"/>
                    </w:rPr>
                    <w:t>▲</w:t>
                  </w:r>
                  <w:r>
                    <w:t>4.培训结束后5个工作日内，中标人向采购人提供以下培训材料：</w:t>
                  </w:r>
                </w:p>
                <w:p w14:paraId="24CAEB65">
                  <w:r>
                    <w:rPr>
                      <w:rFonts w:hint="eastAsia"/>
                    </w:rPr>
                    <w:t>（</w:t>
                  </w:r>
                  <w:r>
                    <w:t>1）参训学员名单、签到表；</w:t>
                  </w:r>
                </w:p>
                <w:p w14:paraId="17B54129">
                  <w:r>
                    <w:rPr>
                      <w:rFonts w:hint="eastAsia"/>
                    </w:rPr>
                    <w:t>（</w:t>
                  </w:r>
                  <w:r>
                    <w:t>2）培训具体日程安排表；</w:t>
                  </w:r>
                </w:p>
                <w:p w14:paraId="1F916F9A">
                  <w:r>
                    <w:rPr>
                      <w:rFonts w:hint="eastAsia"/>
                    </w:rPr>
                    <w:t>（</w:t>
                  </w:r>
                  <w:r>
                    <w:t>3）培训资料、教材、课件；</w:t>
                  </w:r>
                </w:p>
                <w:p w14:paraId="29733925">
                  <w:r>
                    <w:rPr>
                      <w:rFonts w:hint="eastAsia"/>
                    </w:rPr>
                    <w:t>（</w:t>
                  </w:r>
                  <w:r>
                    <w:t>4）培训简报；</w:t>
                  </w:r>
                </w:p>
                <w:p w14:paraId="4463FDE2">
                  <w:r>
                    <w:rPr>
                      <w:rFonts w:hint="eastAsia"/>
                    </w:rPr>
                    <w:t>（</w:t>
                  </w:r>
                  <w:r>
                    <w:t>5）培训照片（至少五张）；</w:t>
                  </w:r>
                </w:p>
                <w:p w14:paraId="4B0F9ED8">
                  <w:r>
                    <w:rPr>
                      <w:rFonts w:hint="eastAsia"/>
                    </w:rPr>
                    <w:t>（</w:t>
                  </w:r>
                  <w:r>
                    <w:t>6）培训项目评价反馈汇总表（受训学校盖章）。</w:t>
                  </w:r>
                </w:p>
                <w:p w14:paraId="314D92D8">
                  <w:pPr>
                    <w:jc w:val="left"/>
                  </w:pPr>
                </w:p>
              </w:tc>
            </w:tr>
            <w:tr w14:paraId="2AE2AE49">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1981E2A2">
                  <w:pPr>
                    <w:jc w:val="left"/>
                  </w:pPr>
                  <w:r>
                    <w:rPr>
                      <w:rFonts w:hint="eastAsia"/>
                    </w:rPr>
                    <w:t>十、其他说明</w:t>
                  </w:r>
                </w:p>
                <w:p w14:paraId="26E01C1F">
                  <w:pPr>
                    <w:jc w:val="left"/>
                  </w:pPr>
                  <w:r>
                    <w:rPr>
                      <w:rFonts w:hint="eastAsia"/>
                    </w:rPr>
                    <w:t>1、进口产品说明</w:t>
                  </w:r>
                </w:p>
                <w:p w14:paraId="7EA39EBC">
                  <w:pPr>
                    <w:jc w:val="left"/>
                  </w:pPr>
                  <w:r>
                    <w:rPr>
                      <w:rFonts w:hint="eastAsia"/>
                    </w:rPr>
                    <w:t>本分标货物不接受进口产品（即通过中国海关报关验放进入中国境内且产自关境外的产品）参与响应，如有进口产品参与投标的，其响应文件作无效处理。</w:t>
                  </w:r>
                </w:p>
                <w:p w14:paraId="660D8B74">
                  <w:pPr>
                    <w:jc w:val="left"/>
                  </w:pPr>
                  <w:r>
                    <w:rPr>
                      <w:rFonts w:hint="eastAsia"/>
                    </w:rPr>
                    <w:t>2、与本项目有关的设计图纸、技术规范、文件等附件资料及其获取方式（如有）</w:t>
                  </w:r>
                </w:p>
                <w:p w14:paraId="30ABD668">
                  <w:pPr>
                    <w:jc w:val="left"/>
                  </w:pPr>
                  <w:r>
                    <w:rPr>
                      <w:rFonts w:hint="eastAsia"/>
                    </w:rPr>
                    <w:t>文件或者资料名称：无</w:t>
                  </w:r>
                </w:p>
                <w:p w14:paraId="4B4D1186">
                  <w:pPr>
                    <w:jc w:val="left"/>
                  </w:pPr>
                  <w:r>
                    <w:rPr>
                      <w:rFonts w:hint="eastAsia"/>
                    </w:rPr>
                    <w:t>公布渠道或者获取方式：无</w:t>
                  </w:r>
                </w:p>
                <w:p w14:paraId="66A60EEE">
                  <w:pPr>
                    <w:jc w:val="left"/>
                  </w:pPr>
                  <w:r>
                    <w:rPr>
                      <w:rFonts w:hint="eastAsia"/>
                    </w:rPr>
                    <w:t>3、核心产品</w:t>
                  </w:r>
                </w:p>
                <w:p w14:paraId="0B97A4B8">
                  <w:pPr>
                    <w:jc w:val="left"/>
                  </w:pPr>
                  <w:r>
                    <w:rPr>
                      <w:rFonts w:hint="eastAsia"/>
                    </w:rPr>
                    <w:t>本项目核心产品为“采购清单及技术参数”表中的“交互智能平板一体机”。</w:t>
                  </w:r>
                </w:p>
                <w:p w14:paraId="5396DBAB">
                  <w:pPr>
                    <w:jc w:val="left"/>
                  </w:pPr>
                  <w:r>
                    <w:rPr>
                      <w:rFonts w:hint="eastAsia"/>
                    </w:rPr>
                    <w:t>4、其他</w:t>
                  </w:r>
                </w:p>
                <w:p w14:paraId="5D760B22">
                  <w:pPr>
                    <w:jc w:val="left"/>
                  </w:pPr>
                  <w:r>
                    <w:rPr>
                      <w:rFonts w:hint="eastAsia"/>
                    </w:rPr>
                    <w:t>（1）不进行演示</w:t>
                  </w:r>
                </w:p>
                <w:p w14:paraId="1495F34B">
                  <w:pPr>
                    <w:jc w:val="left"/>
                  </w:pPr>
                  <w:r>
                    <w:rPr>
                      <w:rFonts w:hint="eastAsia"/>
                    </w:rPr>
                    <w:t>（2）不要求提供样品</w:t>
                  </w:r>
                </w:p>
                <w:p w14:paraId="57A332DA">
                  <w:pPr>
                    <w:widowControl/>
                    <w:jc w:val="left"/>
                  </w:pPr>
                </w:p>
              </w:tc>
            </w:tr>
          </w:tbl>
          <w:p w14:paraId="5544FF3C">
            <w:pPr>
              <w:widowControl/>
              <w:jc w:val="center"/>
              <w:textAlignment w:val="center"/>
              <w:rPr>
                <w:rFonts w:cs="宋体"/>
                <w:kern w:val="0"/>
                <w:sz w:val="22"/>
                <w:szCs w:val="22"/>
                <w:lang w:bidi="ar"/>
              </w:rPr>
            </w:pPr>
          </w:p>
        </w:tc>
      </w:tr>
    </w:tbl>
    <w:p w14:paraId="54C98CBF">
      <w:pPr>
        <w:spacing w:line="360" w:lineRule="auto"/>
        <w:rPr>
          <w:rFonts w:ascii="宋体" w:hAnsi="宋体" w:cs="宋体"/>
        </w:rPr>
      </w:pPr>
    </w:p>
    <w:p w14:paraId="53296A5B">
      <w:pPr>
        <w:spacing w:line="360" w:lineRule="auto"/>
        <w:rPr>
          <w:rFonts w:ascii="宋体" w:hAnsi="宋体" w:cs="宋体"/>
        </w:rPr>
      </w:pPr>
    </w:p>
    <w:p w14:paraId="76E1FF45">
      <w:pPr>
        <w:spacing w:line="360" w:lineRule="auto"/>
        <w:rPr>
          <w:rFonts w:ascii="宋体" w:hAnsi="宋体" w:cs="宋体"/>
        </w:rPr>
      </w:pPr>
    </w:p>
    <w:p w14:paraId="570AEE94">
      <w:pPr>
        <w:spacing w:line="360" w:lineRule="auto"/>
        <w:rPr>
          <w:rFonts w:ascii="宋体" w:hAnsi="宋体" w:cs="宋体"/>
        </w:rPr>
      </w:pPr>
    </w:p>
    <w:p w14:paraId="2EDDD706">
      <w:pPr>
        <w:spacing w:line="360" w:lineRule="auto"/>
        <w:rPr>
          <w:rFonts w:ascii="宋体" w:hAnsi="宋体" w:cs="宋体"/>
        </w:rPr>
      </w:pPr>
    </w:p>
    <w:p w14:paraId="01EB833D">
      <w:pPr>
        <w:jc w:val="left"/>
        <w:rPr>
          <w:rFonts w:hint="eastAsia" w:ascii="仿宋_GB2312" w:eastAsia="仿宋_GB2312"/>
          <w:b/>
          <w:sz w:val="32"/>
          <w:szCs w:val="32"/>
        </w:rPr>
      </w:pPr>
    </w:p>
    <w:p w14:paraId="0F8EDCBF">
      <w:pPr>
        <w:jc w:val="left"/>
      </w:pPr>
      <w:r>
        <w:rPr>
          <w:rFonts w:hint="eastAsia" w:ascii="仿宋_GB2312" w:eastAsia="仿宋_GB2312"/>
          <w:b/>
          <w:sz w:val="32"/>
          <w:szCs w:val="32"/>
        </w:rPr>
        <w:t>B分标（2分标）：最高限价：265.1万元</w:t>
      </w:r>
    </w:p>
    <w:tbl>
      <w:tblPr>
        <w:tblStyle w:val="24"/>
        <w:tblW w:w="10134"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92"/>
        <w:gridCol w:w="4990"/>
        <w:gridCol w:w="471"/>
        <w:gridCol w:w="616"/>
        <w:gridCol w:w="699"/>
        <w:gridCol w:w="1600"/>
      </w:tblGrid>
      <w:tr w14:paraId="3665374A">
        <w:tblPrEx>
          <w:tblCellMar>
            <w:top w:w="0" w:type="dxa"/>
            <w:left w:w="108" w:type="dxa"/>
            <w:bottom w:w="0" w:type="dxa"/>
            <w:right w:w="108" w:type="dxa"/>
          </w:tblCellMar>
        </w:tblPrEx>
        <w:trPr>
          <w:trHeight w:val="699" w:hRule="atLeast"/>
        </w:trPr>
        <w:tc>
          <w:tcPr>
            <w:tcW w:w="653" w:type="dxa"/>
            <w:shd w:val="clear" w:color="auto" w:fill="auto"/>
            <w:vAlign w:val="center"/>
          </w:tcPr>
          <w:p w14:paraId="76B73D83">
            <w:pPr>
              <w:widowControl/>
              <w:jc w:val="center"/>
              <w:rPr>
                <w:rFonts w:ascii="宋体" w:hAnsi="宋体" w:cs="宋体"/>
                <w:kern w:val="0"/>
                <w:sz w:val="20"/>
                <w:szCs w:val="20"/>
              </w:rPr>
            </w:pPr>
            <w:r>
              <w:rPr>
                <w:rFonts w:hint="eastAsia" w:ascii="宋体" w:hAnsi="宋体" w:cs="宋体"/>
                <w:b/>
                <w:bCs/>
                <w:kern w:val="0"/>
                <w:sz w:val="22"/>
              </w:rPr>
              <w:t>序号</w:t>
            </w:r>
          </w:p>
        </w:tc>
        <w:tc>
          <w:tcPr>
            <w:tcW w:w="1072" w:type="dxa"/>
            <w:shd w:val="clear" w:color="auto" w:fill="auto"/>
            <w:vAlign w:val="center"/>
          </w:tcPr>
          <w:p w14:paraId="6EBFB848">
            <w:pPr>
              <w:widowControl/>
              <w:jc w:val="center"/>
              <w:rPr>
                <w:rFonts w:ascii="宋体" w:hAnsi="宋体" w:cs="宋体"/>
                <w:kern w:val="0"/>
                <w:sz w:val="20"/>
                <w:szCs w:val="20"/>
              </w:rPr>
            </w:pPr>
            <w:r>
              <w:rPr>
                <w:rFonts w:hint="eastAsia" w:ascii="宋体" w:hAnsi="宋体" w:cs="宋体"/>
                <w:b/>
                <w:bCs/>
                <w:kern w:val="0"/>
                <w:sz w:val="22"/>
              </w:rPr>
              <w:t>设备名称</w:t>
            </w:r>
          </w:p>
        </w:tc>
        <w:tc>
          <w:tcPr>
            <w:tcW w:w="4897" w:type="dxa"/>
            <w:shd w:val="clear" w:color="auto" w:fill="auto"/>
            <w:vAlign w:val="center"/>
          </w:tcPr>
          <w:p w14:paraId="4C0D9F5C">
            <w:pPr>
              <w:widowControl/>
              <w:jc w:val="center"/>
              <w:rPr>
                <w:rFonts w:ascii="宋体" w:hAnsi="宋体" w:cs="宋体"/>
                <w:kern w:val="0"/>
                <w:sz w:val="20"/>
                <w:szCs w:val="20"/>
              </w:rPr>
            </w:pPr>
            <w:r>
              <w:rPr>
                <w:rFonts w:hint="eastAsia" w:ascii="宋体" w:hAnsi="宋体" w:cs="宋体"/>
                <w:b/>
                <w:bCs/>
                <w:kern w:val="0"/>
                <w:sz w:val="22"/>
              </w:rPr>
              <w:t>规格及技术参数需求描述</w:t>
            </w:r>
          </w:p>
        </w:tc>
        <w:tc>
          <w:tcPr>
            <w:tcW w:w="462" w:type="dxa"/>
            <w:shd w:val="clear" w:color="auto" w:fill="auto"/>
            <w:vAlign w:val="center"/>
          </w:tcPr>
          <w:p w14:paraId="41A77A58">
            <w:pPr>
              <w:widowControl/>
              <w:jc w:val="center"/>
              <w:rPr>
                <w:rFonts w:ascii="宋体" w:hAnsi="宋体" w:cs="宋体"/>
                <w:kern w:val="0"/>
                <w:sz w:val="20"/>
                <w:szCs w:val="20"/>
              </w:rPr>
            </w:pPr>
            <w:r>
              <w:rPr>
                <w:rFonts w:hint="eastAsia" w:ascii="宋体" w:hAnsi="宋体" w:cs="宋体"/>
                <w:b/>
                <w:bCs/>
                <w:kern w:val="0"/>
                <w:sz w:val="22"/>
              </w:rPr>
              <w:t>单位</w:t>
            </w:r>
          </w:p>
        </w:tc>
        <w:tc>
          <w:tcPr>
            <w:tcW w:w="605" w:type="dxa"/>
            <w:shd w:val="clear" w:color="auto" w:fill="auto"/>
            <w:vAlign w:val="center"/>
          </w:tcPr>
          <w:p w14:paraId="510D475A">
            <w:pPr>
              <w:widowControl/>
              <w:jc w:val="center"/>
              <w:rPr>
                <w:rFonts w:ascii="宋体" w:hAnsi="宋体" w:cs="宋体"/>
                <w:kern w:val="0"/>
                <w:sz w:val="20"/>
                <w:szCs w:val="20"/>
              </w:rPr>
            </w:pPr>
            <w:r>
              <w:rPr>
                <w:rFonts w:hint="eastAsia" w:ascii="宋体" w:hAnsi="宋体" w:cs="宋体"/>
                <w:b/>
                <w:bCs/>
                <w:kern w:val="0"/>
                <w:sz w:val="22"/>
              </w:rPr>
              <w:t>数量</w:t>
            </w:r>
          </w:p>
        </w:tc>
        <w:tc>
          <w:tcPr>
            <w:tcW w:w="686" w:type="dxa"/>
            <w:shd w:val="clear" w:color="auto" w:fill="auto"/>
            <w:vAlign w:val="center"/>
          </w:tcPr>
          <w:p w14:paraId="0577292E">
            <w:pPr>
              <w:widowControl/>
              <w:jc w:val="center"/>
              <w:rPr>
                <w:rFonts w:ascii="宋体" w:hAnsi="宋体" w:cs="宋体"/>
                <w:kern w:val="0"/>
                <w:sz w:val="20"/>
                <w:szCs w:val="20"/>
              </w:rPr>
            </w:pPr>
            <w:r>
              <w:rPr>
                <w:rFonts w:hint="eastAsia" w:ascii="宋体" w:hAnsi="宋体" w:cs="宋体"/>
                <w:b/>
                <w:bCs/>
                <w:kern w:val="0"/>
                <w:sz w:val="22"/>
              </w:rPr>
              <w:t>单价</w:t>
            </w:r>
            <w:r>
              <w:rPr>
                <w:rFonts w:hint="eastAsia" w:ascii="宋体" w:hAnsi="宋体" w:cs="宋体"/>
                <w:b/>
                <w:bCs/>
                <w:kern w:val="0"/>
                <w:sz w:val="16"/>
              </w:rPr>
              <w:t>（元）</w:t>
            </w:r>
          </w:p>
        </w:tc>
        <w:tc>
          <w:tcPr>
            <w:tcW w:w="1570" w:type="dxa"/>
            <w:shd w:val="clear" w:color="auto" w:fill="auto"/>
            <w:vAlign w:val="center"/>
          </w:tcPr>
          <w:p w14:paraId="47738940">
            <w:pPr>
              <w:widowControl/>
              <w:jc w:val="center"/>
              <w:rPr>
                <w:rFonts w:ascii="宋体" w:hAnsi="宋体" w:cs="宋体"/>
                <w:kern w:val="0"/>
                <w:sz w:val="20"/>
                <w:szCs w:val="20"/>
              </w:rPr>
            </w:pPr>
            <w:r>
              <w:rPr>
                <w:rFonts w:hint="eastAsia" w:ascii="宋体" w:hAnsi="宋体" w:cs="宋体"/>
                <w:b/>
                <w:bCs/>
                <w:kern w:val="0"/>
                <w:sz w:val="22"/>
              </w:rPr>
              <w:t>合价</w:t>
            </w:r>
            <w:r>
              <w:rPr>
                <w:rFonts w:hint="eastAsia" w:ascii="宋体" w:hAnsi="宋体" w:cs="宋体"/>
                <w:b/>
                <w:bCs/>
                <w:kern w:val="0"/>
                <w:sz w:val="18"/>
              </w:rPr>
              <w:t>（元）</w:t>
            </w:r>
          </w:p>
        </w:tc>
      </w:tr>
      <w:tr w14:paraId="2622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restart"/>
            <w:shd w:val="clear" w:color="auto" w:fill="auto"/>
            <w:noWrap/>
            <w:vAlign w:val="center"/>
          </w:tcPr>
          <w:p w14:paraId="6406DFF5">
            <w:pPr>
              <w:widowControl/>
              <w:jc w:val="center"/>
              <w:rPr>
                <w:rFonts w:ascii="宋体" w:hAnsi="宋体" w:cs="宋体"/>
                <w:kern w:val="0"/>
                <w:szCs w:val="21"/>
              </w:rPr>
            </w:pPr>
            <w:r>
              <w:rPr>
                <w:rFonts w:hint="eastAsia" w:ascii="宋体" w:hAnsi="宋体" w:cs="宋体"/>
                <w:kern w:val="0"/>
                <w:szCs w:val="21"/>
              </w:rPr>
              <w:t>1</w:t>
            </w:r>
          </w:p>
        </w:tc>
        <w:tc>
          <w:tcPr>
            <w:tcW w:w="1072" w:type="dxa"/>
            <w:vMerge w:val="restart"/>
            <w:shd w:val="clear" w:color="auto" w:fill="auto"/>
            <w:vAlign w:val="center"/>
          </w:tcPr>
          <w:p w14:paraId="76CA9E2E">
            <w:pPr>
              <w:widowControl/>
              <w:jc w:val="center"/>
              <w:rPr>
                <w:rFonts w:ascii="宋体" w:hAnsi="宋体" w:cs="宋体"/>
                <w:kern w:val="0"/>
                <w:szCs w:val="21"/>
              </w:rPr>
            </w:pPr>
            <w:r>
              <w:rPr>
                <w:rFonts w:hint="eastAsia" w:ascii="宋体" w:hAnsi="宋体" w:cs="宋体"/>
                <w:kern w:val="0"/>
                <w:szCs w:val="21"/>
              </w:rPr>
              <w:t>高中图书及相关设备</w:t>
            </w:r>
          </w:p>
        </w:tc>
        <w:tc>
          <w:tcPr>
            <w:tcW w:w="4897" w:type="dxa"/>
            <w:shd w:val="clear" w:color="auto" w:fill="auto"/>
            <w:vAlign w:val="center"/>
          </w:tcPr>
          <w:p w14:paraId="5623454B">
            <w:pPr>
              <w:widowControl/>
              <w:rPr>
                <w:rFonts w:ascii="宋体" w:hAnsi="宋体" w:cs="宋体"/>
                <w:kern w:val="0"/>
                <w:szCs w:val="21"/>
              </w:rPr>
            </w:pPr>
            <w:r>
              <w:rPr>
                <w:rFonts w:hint="eastAsia" w:ascii="宋体" w:hAnsi="宋体" w:cs="宋体"/>
                <w:kern w:val="0"/>
                <w:szCs w:val="21"/>
              </w:rPr>
              <w:t>图书数量要求（≧106040册）</w:t>
            </w:r>
          </w:p>
        </w:tc>
        <w:tc>
          <w:tcPr>
            <w:tcW w:w="462" w:type="dxa"/>
            <w:vMerge w:val="restart"/>
            <w:shd w:val="clear" w:color="auto" w:fill="auto"/>
            <w:noWrap/>
            <w:vAlign w:val="center"/>
          </w:tcPr>
          <w:p w14:paraId="22262E62">
            <w:pPr>
              <w:widowControl/>
              <w:jc w:val="center"/>
              <w:rPr>
                <w:rFonts w:ascii="宋体" w:hAnsi="宋体" w:cs="宋体"/>
                <w:color w:val="000000"/>
                <w:sz w:val="22"/>
                <w:szCs w:val="22"/>
              </w:rPr>
            </w:pPr>
            <w:r>
              <w:rPr>
                <w:rFonts w:hint="eastAsia" w:ascii="宋体" w:hAnsi="宋体" w:cs="宋体"/>
                <w:kern w:val="0"/>
                <w:szCs w:val="21"/>
              </w:rPr>
              <w:t>册</w:t>
            </w:r>
          </w:p>
        </w:tc>
        <w:tc>
          <w:tcPr>
            <w:tcW w:w="605" w:type="dxa"/>
            <w:vMerge w:val="restart"/>
            <w:shd w:val="clear" w:color="auto" w:fill="auto"/>
            <w:noWrap/>
            <w:vAlign w:val="center"/>
          </w:tcPr>
          <w:p w14:paraId="2DCE1ACD">
            <w:pPr>
              <w:widowControl/>
              <w:jc w:val="center"/>
              <w:rPr>
                <w:rFonts w:ascii="宋体" w:hAnsi="宋体" w:cs="宋体"/>
                <w:color w:val="000000"/>
                <w:sz w:val="22"/>
                <w:szCs w:val="22"/>
              </w:rPr>
            </w:pPr>
            <w:r>
              <w:rPr>
                <w:rFonts w:ascii="宋体" w:hAnsi="宋体" w:cs="宋体"/>
                <w:kern w:val="0"/>
                <w:szCs w:val="21"/>
              </w:rPr>
              <w:t>106040</w:t>
            </w:r>
          </w:p>
        </w:tc>
        <w:tc>
          <w:tcPr>
            <w:tcW w:w="686" w:type="dxa"/>
            <w:vMerge w:val="restart"/>
            <w:shd w:val="clear" w:color="auto" w:fill="auto"/>
            <w:noWrap/>
            <w:vAlign w:val="center"/>
          </w:tcPr>
          <w:p w14:paraId="56E702F6">
            <w:pPr>
              <w:widowControl/>
              <w:jc w:val="center"/>
              <w:rPr>
                <w:rFonts w:ascii="宋体" w:hAnsi="宋体" w:cs="宋体"/>
                <w:color w:val="000000"/>
                <w:sz w:val="22"/>
                <w:szCs w:val="22"/>
              </w:rPr>
            </w:pPr>
            <w:r>
              <w:rPr>
                <w:rFonts w:hint="eastAsia" w:ascii="宋体" w:hAnsi="宋体" w:cs="宋体"/>
                <w:kern w:val="0"/>
                <w:szCs w:val="21"/>
              </w:rPr>
              <w:t>25</w:t>
            </w:r>
          </w:p>
        </w:tc>
        <w:tc>
          <w:tcPr>
            <w:tcW w:w="1570" w:type="dxa"/>
            <w:vMerge w:val="restart"/>
            <w:shd w:val="clear" w:color="auto" w:fill="auto"/>
            <w:noWrap/>
            <w:vAlign w:val="center"/>
          </w:tcPr>
          <w:p w14:paraId="7769850F">
            <w:pPr>
              <w:widowControl/>
              <w:jc w:val="center"/>
              <w:rPr>
                <w:rFonts w:ascii="宋体" w:hAnsi="宋体" w:cs="宋体"/>
                <w:color w:val="000000"/>
                <w:sz w:val="22"/>
                <w:szCs w:val="22"/>
              </w:rPr>
            </w:pPr>
            <w:r>
              <w:rPr>
                <w:rFonts w:ascii="宋体" w:hAnsi="宋体" w:cs="宋体"/>
                <w:kern w:val="0"/>
                <w:szCs w:val="21"/>
              </w:rPr>
              <w:t>2651000</w:t>
            </w:r>
          </w:p>
        </w:tc>
      </w:tr>
      <w:tr w14:paraId="1375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16A12D97">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405EBF3D">
            <w:pPr>
              <w:widowControl/>
              <w:jc w:val="left"/>
              <w:textAlignment w:val="center"/>
              <w:rPr>
                <w:rFonts w:ascii="宋体" w:hAnsi="宋体" w:cs="宋体"/>
                <w:color w:val="000000"/>
                <w:sz w:val="22"/>
                <w:szCs w:val="22"/>
              </w:rPr>
            </w:pPr>
          </w:p>
        </w:tc>
        <w:tc>
          <w:tcPr>
            <w:tcW w:w="4897" w:type="dxa"/>
            <w:shd w:val="clear" w:color="auto" w:fill="auto"/>
            <w:vAlign w:val="center"/>
          </w:tcPr>
          <w:p w14:paraId="0DDB68A5">
            <w:pPr>
              <w:widowControl/>
              <w:rPr>
                <w:rFonts w:ascii="黑体" w:hAnsi="黑体" w:eastAsia="黑体" w:cs="宋体"/>
                <w:kern w:val="0"/>
                <w:szCs w:val="21"/>
              </w:rPr>
            </w:pPr>
            <w:r>
              <w:rPr>
                <w:rFonts w:hint="eastAsia" w:ascii="黑体" w:hAnsi="黑体" w:eastAsia="黑体" w:cs="宋体"/>
                <w:kern w:val="0"/>
                <w:szCs w:val="21"/>
              </w:rPr>
              <w:t>一、图书：</w:t>
            </w:r>
          </w:p>
        </w:tc>
        <w:tc>
          <w:tcPr>
            <w:tcW w:w="462" w:type="dxa"/>
            <w:vMerge w:val="continue"/>
            <w:shd w:val="clear" w:color="auto" w:fill="auto"/>
            <w:vAlign w:val="center"/>
          </w:tcPr>
          <w:p w14:paraId="354A417B">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7CBEE6B8">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42A61548">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788B4F7B">
            <w:pPr>
              <w:widowControl/>
              <w:jc w:val="center"/>
              <w:textAlignment w:val="center"/>
              <w:rPr>
                <w:rFonts w:ascii="宋体" w:hAnsi="宋体" w:cs="宋体"/>
                <w:color w:val="000000"/>
                <w:sz w:val="22"/>
                <w:szCs w:val="22"/>
              </w:rPr>
            </w:pPr>
          </w:p>
        </w:tc>
      </w:tr>
      <w:tr w14:paraId="58E5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10E0E4EF">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1EBB68B6">
            <w:pPr>
              <w:widowControl/>
              <w:jc w:val="left"/>
              <w:textAlignment w:val="center"/>
              <w:rPr>
                <w:rFonts w:ascii="宋体" w:hAnsi="宋体" w:cs="宋体"/>
                <w:color w:val="000000"/>
                <w:sz w:val="22"/>
                <w:szCs w:val="22"/>
              </w:rPr>
            </w:pPr>
          </w:p>
        </w:tc>
        <w:tc>
          <w:tcPr>
            <w:tcW w:w="4897" w:type="dxa"/>
            <w:shd w:val="clear" w:color="auto" w:fill="auto"/>
            <w:vAlign w:val="center"/>
          </w:tcPr>
          <w:p w14:paraId="16ACD753">
            <w:pPr>
              <w:widowControl/>
              <w:rPr>
                <w:rFonts w:ascii="宋体" w:hAnsi="宋体" w:cs="宋体"/>
                <w:kern w:val="0"/>
                <w:szCs w:val="21"/>
              </w:rPr>
            </w:pPr>
            <w:r>
              <w:rPr>
                <w:rFonts w:hint="eastAsia" w:ascii="华文楷体" w:hAnsi="华文楷体" w:eastAsia="华文楷体" w:cs="宋体"/>
                <w:b/>
                <w:bCs/>
                <w:kern w:val="0"/>
                <w:szCs w:val="21"/>
              </w:rPr>
              <w:t>1.书目要求：</w:t>
            </w:r>
            <w:r>
              <w:rPr>
                <w:rFonts w:hint="eastAsia" w:ascii="宋体" w:hAnsi="宋体" w:cs="宋体"/>
                <w:kern w:val="0"/>
                <w:szCs w:val="21"/>
              </w:rPr>
              <w:br w:type="textWrapping"/>
            </w:r>
            <w:r>
              <w:rPr>
                <w:rFonts w:hint="eastAsia" w:ascii="宋体" w:hAnsi="宋体" w:cs="宋体"/>
                <w:kern w:val="0"/>
                <w:szCs w:val="21"/>
              </w:rPr>
              <w:t>（1）图书品种以现行教育部指导编制的《全国中小学图书馆（室）推荐书目》和自治区教育厅最新审定的《广西中小学图书馆（室）推荐书目》为主要参考依据，推荐书目内图书&gt;2000种。供选图书书目≥10000种。如项目学校属于义务教育段的，供选书目中小学书目四色图书≥20%（其中注音版图书不低于5%），初中书目四色图书≥5%。</w:t>
            </w:r>
          </w:p>
        </w:tc>
        <w:tc>
          <w:tcPr>
            <w:tcW w:w="462" w:type="dxa"/>
            <w:vMerge w:val="continue"/>
            <w:shd w:val="clear" w:color="auto" w:fill="auto"/>
            <w:vAlign w:val="center"/>
          </w:tcPr>
          <w:p w14:paraId="7FCD5062">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0291B984">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2B869E73">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66795CAC">
            <w:pPr>
              <w:widowControl/>
              <w:jc w:val="center"/>
              <w:textAlignment w:val="center"/>
              <w:rPr>
                <w:rFonts w:ascii="宋体" w:hAnsi="宋体" w:cs="宋体"/>
                <w:color w:val="000000"/>
                <w:sz w:val="22"/>
                <w:szCs w:val="22"/>
              </w:rPr>
            </w:pPr>
          </w:p>
        </w:tc>
      </w:tr>
      <w:tr w14:paraId="7004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6835E561">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6ADAE60">
            <w:pPr>
              <w:widowControl/>
              <w:jc w:val="left"/>
              <w:textAlignment w:val="center"/>
              <w:rPr>
                <w:rFonts w:ascii="宋体" w:hAnsi="宋体" w:cs="宋体"/>
                <w:color w:val="000000"/>
                <w:sz w:val="22"/>
                <w:szCs w:val="22"/>
              </w:rPr>
            </w:pPr>
          </w:p>
        </w:tc>
        <w:tc>
          <w:tcPr>
            <w:tcW w:w="4897" w:type="dxa"/>
            <w:shd w:val="clear" w:color="auto" w:fill="auto"/>
            <w:vAlign w:val="center"/>
          </w:tcPr>
          <w:p w14:paraId="0007878C">
            <w:pPr>
              <w:widowControl/>
              <w:rPr>
                <w:rFonts w:ascii="宋体" w:hAnsi="宋体" w:cs="宋体"/>
                <w:kern w:val="0"/>
                <w:szCs w:val="21"/>
              </w:rPr>
            </w:pPr>
            <w:r>
              <w:rPr>
                <w:rFonts w:hint="eastAsia" w:ascii="宋体" w:hAnsi="宋体" w:cs="宋体"/>
                <w:kern w:val="0"/>
                <w:szCs w:val="21"/>
              </w:rPr>
              <w:t>（2）所有图书必须符合教育部制定的《中小学生课外读物进校园管理办法》等法律法规要求，不能出现违反《出版管理条例》有关规定或存在《中小学生课外读物进校园管理办法》所列十二种“不得推荐或选用为中小学生课外读物”的图书；</w:t>
            </w:r>
          </w:p>
          <w:p w14:paraId="3BE7C446">
            <w:pPr>
              <w:widowControl/>
              <w:rPr>
                <w:rFonts w:ascii="宋体" w:hAnsi="宋体" w:cs="宋体"/>
                <w:b/>
                <w:kern w:val="0"/>
                <w:szCs w:val="21"/>
              </w:rPr>
            </w:pPr>
            <w:r>
              <w:rPr>
                <w:rFonts w:hint="eastAsia" w:ascii="宋体" w:hAnsi="宋体" w:cs="宋体"/>
                <w:b/>
                <w:kern w:val="0"/>
                <w:szCs w:val="21"/>
              </w:rPr>
              <w:t>结合学校现有图书情况，本次采购图书书目不能包含博弈中天、天下梦、格林纪、中南天使、磨铁图书等属于玄幻类的图书以及言情小说类图书。</w:t>
            </w:r>
          </w:p>
        </w:tc>
        <w:tc>
          <w:tcPr>
            <w:tcW w:w="462" w:type="dxa"/>
            <w:vMerge w:val="continue"/>
            <w:shd w:val="clear" w:color="auto" w:fill="auto"/>
            <w:vAlign w:val="center"/>
          </w:tcPr>
          <w:p w14:paraId="45619709">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4BEC0112">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37F1F059">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579E53E2">
            <w:pPr>
              <w:widowControl/>
              <w:jc w:val="center"/>
              <w:textAlignment w:val="center"/>
              <w:rPr>
                <w:rFonts w:ascii="宋体" w:hAnsi="宋体" w:cs="宋体"/>
                <w:color w:val="000000"/>
                <w:sz w:val="22"/>
                <w:szCs w:val="22"/>
              </w:rPr>
            </w:pPr>
          </w:p>
        </w:tc>
      </w:tr>
      <w:tr w14:paraId="10B7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05E6B55B">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EC81B47">
            <w:pPr>
              <w:widowControl/>
              <w:jc w:val="left"/>
              <w:textAlignment w:val="center"/>
              <w:rPr>
                <w:rFonts w:ascii="宋体" w:hAnsi="宋体" w:cs="宋体"/>
                <w:color w:val="000000"/>
                <w:sz w:val="22"/>
                <w:szCs w:val="22"/>
              </w:rPr>
            </w:pPr>
          </w:p>
        </w:tc>
        <w:tc>
          <w:tcPr>
            <w:tcW w:w="4897" w:type="dxa"/>
            <w:shd w:val="clear" w:color="auto" w:fill="auto"/>
            <w:vAlign w:val="center"/>
          </w:tcPr>
          <w:p w14:paraId="5DCB6DF9">
            <w:pPr>
              <w:widowControl/>
              <w:rPr>
                <w:rFonts w:ascii="宋体" w:hAnsi="宋体" w:cs="宋体"/>
                <w:kern w:val="0"/>
                <w:szCs w:val="21"/>
              </w:rPr>
            </w:pPr>
            <w:r>
              <w:rPr>
                <w:rFonts w:hint="eastAsia" w:ascii="宋体" w:hAnsi="宋体" w:cs="宋体"/>
                <w:kern w:val="0"/>
                <w:szCs w:val="21"/>
              </w:rPr>
              <w:t>（3）图书必须是2018年1月1日以后正规出版社出版的图书（以图书版权页显示的出版日期为准），且不能违反教育部关于《中小学课外读物进校园管理办法》要求。</w:t>
            </w:r>
          </w:p>
        </w:tc>
        <w:tc>
          <w:tcPr>
            <w:tcW w:w="462" w:type="dxa"/>
            <w:vMerge w:val="continue"/>
            <w:shd w:val="clear" w:color="auto" w:fill="auto"/>
            <w:vAlign w:val="center"/>
          </w:tcPr>
          <w:p w14:paraId="6046DAF9">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194B636B">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C31B4FE">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19F96C29">
            <w:pPr>
              <w:widowControl/>
              <w:jc w:val="center"/>
              <w:textAlignment w:val="center"/>
              <w:rPr>
                <w:rFonts w:ascii="宋体" w:hAnsi="宋体" w:cs="宋体"/>
                <w:color w:val="000000"/>
                <w:sz w:val="22"/>
                <w:szCs w:val="22"/>
              </w:rPr>
            </w:pPr>
          </w:p>
        </w:tc>
      </w:tr>
      <w:tr w14:paraId="7484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5E2D28CC">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05830B7B">
            <w:pPr>
              <w:widowControl/>
              <w:jc w:val="left"/>
              <w:textAlignment w:val="center"/>
              <w:rPr>
                <w:rFonts w:ascii="宋体" w:hAnsi="宋体" w:cs="宋体"/>
                <w:color w:val="000000"/>
                <w:sz w:val="22"/>
                <w:szCs w:val="22"/>
              </w:rPr>
            </w:pPr>
          </w:p>
        </w:tc>
        <w:tc>
          <w:tcPr>
            <w:tcW w:w="4897" w:type="dxa"/>
            <w:shd w:val="clear" w:color="auto" w:fill="auto"/>
            <w:vAlign w:val="center"/>
          </w:tcPr>
          <w:p w14:paraId="0F5C1A58">
            <w:pPr>
              <w:widowControl/>
              <w:rPr>
                <w:rFonts w:ascii="宋体" w:hAnsi="宋体" w:cs="宋体"/>
                <w:kern w:val="0"/>
                <w:szCs w:val="21"/>
              </w:rPr>
            </w:pPr>
            <w:r>
              <w:rPr>
                <w:rFonts w:hint="eastAsia" w:ascii="宋体" w:hAnsi="宋体" w:cs="宋体"/>
                <w:kern w:val="0"/>
                <w:szCs w:val="21"/>
              </w:rPr>
              <w:t>（4）图书复本量不超过5本。</w:t>
            </w:r>
          </w:p>
        </w:tc>
        <w:tc>
          <w:tcPr>
            <w:tcW w:w="462" w:type="dxa"/>
            <w:vMerge w:val="continue"/>
            <w:shd w:val="clear" w:color="auto" w:fill="auto"/>
            <w:vAlign w:val="center"/>
          </w:tcPr>
          <w:p w14:paraId="5B6B5F55">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41353704">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318C66F3">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72565197">
            <w:pPr>
              <w:widowControl/>
              <w:jc w:val="center"/>
              <w:textAlignment w:val="center"/>
              <w:rPr>
                <w:rFonts w:ascii="宋体" w:hAnsi="宋体" w:cs="宋体"/>
                <w:color w:val="000000"/>
                <w:sz w:val="22"/>
                <w:szCs w:val="22"/>
              </w:rPr>
            </w:pPr>
          </w:p>
        </w:tc>
      </w:tr>
      <w:tr w14:paraId="502E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2CB04745">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01AAF4B7">
            <w:pPr>
              <w:widowControl/>
              <w:jc w:val="left"/>
              <w:textAlignment w:val="center"/>
              <w:rPr>
                <w:rFonts w:ascii="宋体" w:hAnsi="宋体" w:cs="宋体"/>
                <w:color w:val="000000"/>
                <w:sz w:val="22"/>
                <w:szCs w:val="22"/>
              </w:rPr>
            </w:pPr>
          </w:p>
        </w:tc>
        <w:tc>
          <w:tcPr>
            <w:tcW w:w="4897" w:type="dxa"/>
            <w:shd w:val="clear" w:color="auto" w:fill="auto"/>
            <w:vAlign w:val="center"/>
          </w:tcPr>
          <w:p w14:paraId="167AD15F">
            <w:pPr>
              <w:widowControl/>
              <w:rPr>
                <w:rFonts w:ascii="宋体" w:hAnsi="宋体" w:cs="宋体"/>
                <w:kern w:val="0"/>
                <w:szCs w:val="21"/>
              </w:rPr>
            </w:pPr>
            <w:r>
              <w:rPr>
                <w:rFonts w:hint="eastAsia" w:ascii="宋体" w:hAnsi="宋体" w:cs="宋体"/>
                <w:kern w:val="0"/>
                <w:szCs w:val="21"/>
              </w:rPr>
              <w:t>（5）小学图书、中学图书藏书分类比例必须达到下表标准。</w:t>
            </w:r>
          </w:p>
        </w:tc>
        <w:tc>
          <w:tcPr>
            <w:tcW w:w="462" w:type="dxa"/>
            <w:vMerge w:val="continue"/>
            <w:shd w:val="clear" w:color="auto" w:fill="auto"/>
            <w:vAlign w:val="center"/>
          </w:tcPr>
          <w:p w14:paraId="00BEE888">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36EB6AAB">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006803FC">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316D7BAB">
            <w:pPr>
              <w:widowControl/>
              <w:jc w:val="center"/>
              <w:textAlignment w:val="center"/>
              <w:rPr>
                <w:rFonts w:ascii="宋体" w:hAnsi="宋体" w:cs="宋体"/>
                <w:color w:val="000000"/>
                <w:sz w:val="22"/>
                <w:szCs w:val="22"/>
              </w:rPr>
            </w:pPr>
          </w:p>
        </w:tc>
      </w:tr>
      <w:tr w14:paraId="2D35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0" w:hRule="atLeast"/>
        </w:trPr>
        <w:tc>
          <w:tcPr>
            <w:tcW w:w="653" w:type="dxa"/>
            <w:vMerge w:val="continue"/>
            <w:shd w:val="clear" w:color="auto" w:fill="auto"/>
            <w:vAlign w:val="center"/>
          </w:tcPr>
          <w:p w14:paraId="11CA34C3">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1556D736">
            <w:pPr>
              <w:widowControl/>
              <w:jc w:val="left"/>
              <w:textAlignment w:val="center"/>
              <w:rPr>
                <w:rFonts w:ascii="宋体" w:hAnsi="宋体" w:cs="宋体"/>
                <w:color w:val="000000"/>
                <w:sz w:val="22"/>
                <w:szCs w:val="22"/>
              </w:rPr>
            </w:pPr>
          </w:p>
        </w:tc>
        <w:tc>
          <w:tcPr>
            <w:tcW w:w="4897" w:type="dxa"/>
            <w:shd w:val="clear" w:color="auto" w:fill="auto"/>
            <w:vAlign w:val="bottom"/>
          </w:tcPr>
          <w:p w14:paraId="3F8AF933">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66432" behindDoc="0" locked="0" layoutInCell="1" allowOverlap="1">
                  <wp:simplePos x="0" y="0"/>
                  <wp:positionH relativeFrom="column">
                    <wp:posOffset>-38100</wp:posOffset>
                  </wp:positionH>
                  <wp:positionV relativeFrom="paragraph">
                    <wp:posOffset>161925</wp:posOffset>
                  </wp:positionV>
                  <wp:extent cx="3029585" cy="5372100"/>
                  <wp:effectExtent l="0" t="0" r="18415"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029585" cy="5372100"/>
                          </a:xfrm>
                          <a:prstGeom prst="rect">
                            <a:avLst/>
                          </a:prstGeom>
                          <a:noFill/>
                        </pic:spPr>
                      </pic:pic>
                    </a:graphicData>
                  </a:graphic>
                </wp:anchor>
              </w:drawing>
            </w:r>
          </w:p>
          <w:tbl>
            <w:tblPr>
              <w:tblStyle w:val="24"/>
              <w:tblW w:w="0" w:type="auto"/>
              <w:tblCellSpacing w:w="0" w:type="dxa"/>
              <w:tblInd w:w="0" w:type="dxa"/>
              <w:tblLayout w:type="fixed"/>
              <w:tblCellMar>
                <w:top w:w="0" w:type="dxa"/>
                <w:left w:w="0" w:type="dxa"/>
                <w:bottom w:w="0" w:type="dxa"/>
                <w:right w:w="0" w:type="dxa"/>
              </w:tblCellMar>
            </w:tblPr>
            <w:tblGrid>
              <w:gridCol w:w="8840"/>
            </w:tblGrid>
            <w:tr w14:paraId="43E70A63">
              <w:trPr>
                <w:trHeight w:val="8480" w:hRule="atLeast"/>
                <w:tblCellSpacing w:w="0" w:type="dxa"/>
              </w:trPr>
              <w:tc>
                <w:tcPr>
                  <w:tcW w:w="8840" w:type="dxa"/>
                  <w:shd w:val="clear" w:color="auto" w:fill="auto"/>
                  <w:vAlign w:val="center"/>
                </w:tcPr>
                <w:p w14:paraId="5186F769">
                  <w:pPr>
                    <w:widowControl/>
                    <w:rPr>
                      <w:rFonts w:ascii="Calibri" w:hAnsi="Calibri" w:cs="宋体"/>
                      <w:kern w:val="0"/>
                      <w:szCs w:val="21"/>
                    </w:rPr>
                  </w:pPr>
                  <w:r>
                    <w:rPr>
                      <w:rFonts w:ascii="Calibri" w:hAnsi="Calibri" w:cs="宋体"/>
                      <w:kern w:val="0"/>
                      <w:szCs w:val="21"/>
                    </w:rPr>
                    <w:t>　</w:t>
                  </w:r>
                </w:p>
                <w:p w14:paraId="41CE67D6">
                  <w:pPr>
                    <w:widowControl/>
                    <w:rPr>
                      <w:rFonts w:ascii="Calibri" w:hAnsi="Calibri" w:cs="宋体"/>
                      <w:kern w:val="0"/>
                      <w:szCs w:val="21"/>
                    </w:rPr>
                  </w:pPr>
                </w:p>
                <w:p w14:paraId="26725DC7">
                  <w:pPr>
                    <w:widowControl/>
                    <w:rPr>
                      <w:rFonts w:ascii="Calibri" w:hAnsi="Calibri" w:cs="宋体"/>
                      <w:kern w:val="0"/>
                      <w:szCs w:val="21"/>
                    </w:rPr>
                  </w:pPr>
                </w:p>
                <w:p w14:paraId="0C845764">
                  <w:pPr>
                    <w:widowControl/>
                    <w:rPr>
                      <w:rFonts w:ascii="Calibri" w:hAnsi="Calibri" w:cs="宋体"/>
                      <w:kern w:val="0"/>
                      <w:szCs w:val="21"/>
                    </w:rPr>
                  </w:pPr>
                </w:p>
                <w:p w14:paraId="4C193E5E">
                  <w:pPr>
                    <w:widowControl/>
                    <w:rPr>
                      <w:rFonts w:ascii="Calibri" w:hAnsi="Calibri" w:cs="宋体"/>
                      <w:kern w:val="0"/>
                      <w:szCs w:val="21"/>
                    </w:rPr>
                  </w:pPr>
                </w:p>
                <w:p w14:paraId="7F7A67F9">
                  <w:pPr>
                    <w:widowControl/>
                    <w:rPr>
                      <w:rFonts w:ascii="Calibri" w:hAnsi="Calibri" w:cs="宋体"/>
                      <w:kern w:val="0"/>
                      <w:szCs w:val="21"/>
                    </w:rPr>
                  </w:pPr>
                </w:p>
                <w:p w14:paraId="15F3B4C5">
                  <w:pPr>
                    <w:widowControl/>
                    <w:rPr>
                      <w:rFonts w:ascii="Calibri" w:hAnsi="Calibri" w:cs="宋体"/>
                      <w:kern w:val="0"/>
                      <w:szCs w:val="21"/>
                    </w:rPr>
                  </w:pPr>
                </w:p>
                <w:p w14:paraId="416AA00A">
                  <w:pPr>
                    <w:widowControl/>
                    <w:rPr>
                      <w:rFonts w:ascii="Calibri" w:hAnsi="Calibri" w:cs="宋体"/>
                      <w:kern w:val="0"/>
                      <w:szCs w:val="21"/>
                    </w:rPr>
                  </w:pPr>
                </w:p>
                <w:p w14:paraId="328A7B7F">
                  <w:pPr>
                    <w:widowControl/>
                    <w:rPr>
                      <w:rFonts w:ascii="Calibri" w:hAnsi="Calibri" w:cs="宋体"/>
                      <w:kern w:val="0"/>
                      <w:szCs w:val="21"/>
                    </w:rPr>
                  </w:pPr>
                </w:p>
                <w:p w14:paraId="05B08524">
                  <w:pPr>
                    <w:widowControl/>
                    <w:rPr>
                      <w:rFonts w:ascii="Calibri" w:hAnsi="Calibri" w:cs="宋体"/>
                      <w:kern w:val="0"/>
                      <w:szCs w:val="21"/>
                    </w:rPr>
                  </w:pPr>
                </w:p>
                <w:p w14:paraId="5FF06CED">
                  <w:pPr>
                    <w:widowControl/>
                    <w:rPr>
                      <w:rFonts w:ascii="Calibri" w:hAnsi="Calibri" w:cs="宋体"/>
                      <w:kern w:val="0"/>
                      <w:szCs w:val="21"/>
                    </w:rPr>
                  </w:pPr>
                </w:p>
                <w:p w14:paraId="258F9871">
                  <w:pPr>
                    <w:widowControl/>
                    <w:rPr>
                      <w:rFonts w:ascii="Calibri" w:hAnsi="Calibri" w:cs="宋体"/>
                      <w:kern w:val="0"/>
                      <w:szCs w:val="21"/>
                    </w:rPr>
                  </w:pPr>
                </w:p>
                <w:p w14:paraId="10D7E073">
                  <w:pPr>
                    <w:widowControl/>
                    <w:rPr>
                      <w:rFonts w:ascii="Calibri" w:hAnsi="Calibri" w:cs="宋体"/>
                      <w:kern w:val="0"/>
                      <w:szCs w:val="21"/>
                    </w:rPr>
                  </w:pPr>
                </w:p>
                <w:p w14:paraId="44CA5480">
                  <w:pPr>
                    <w:widowControl/>
                    <w:rPr>
                      <w:rFonts w:ascii="Calibri" w:hAnsi="Calibri" w:cs="宋体"/>
                      <w:kern w:val="0"/>
                      <w:szCs w:val="21"/>
                    </w:rPr>
                  </w:pPr>
                </w:p>
                <w:p w14:paraId="2118793C">
                  <w:pPr>
                    <w:widowControl/>
                    <w:rPr>
                      <w:rFonts w:ascii="Calibri" w:hAnsi="Calibri" w:cs="宋体"/>
                      <w:kern w:val="0"/>
                      <w:szCs w:val="21"/>
                    </w:rPr>
                  </w:pPr>
                </w:p>
                <w:p w14:paraId="42EFB841">
                  <w:pPr>
                    <w:widowControl/>
                    <w:rPr>
                      <w:rFonts w:ascii="Calibri" w:hAnsi="Calibri" w:cs="宋体"/>
                      <w:kern w:val="0"/>
                      <w:szCs w:val="21"/>
                    </w:rPr>
                  </w:pPr>
                </w:p>
                <w:p w14:paraId="017C7E11">
                  <w:pPr>
                    <w:widowControl/>
                    <w:rPr>
                      <w:rFonts w:ascii="Calibri" w:hAnsi="Calibri" w:cs="宋体"/>
                      <w:kern w:val="0"/>
                      <w:szCs w:val="21"/>
                    </w:rPr>
                  </w:pPr>
                </w:p>
                <w:p w14:paraId="1FFD0D99">
                  <w:pPr>
                    <w:widowControl/>
                    <w:rPr>
                      <w:rFonts w:ascii="Calibri" w:hAnsi="Calibri" w:cs="宋体"/>
                      <w:kern w:val="0"/>
                      <w:szCs w:val="21"/>
                    </w:rPr>
                  </w:pPr>
                </w:p>
                <w:p w14:paraId="49FF5BA2">
                  <w:pPr>
                    <w:widowControl/>
                    <w:rPr>
                      <w:rFonts w:ascii="Calibri" w:hAnsi="Calibri" w:cs="宋体"/>
                      <w:kern w:val="0"/>
                      <w:szCs w:val="21"/>
                    </w:rPr>
                  </w:pPr>
                </w:p>
                <w:p w14:paraId="646B2BE8">
                  <w:pPr>
                    <w:widowControl/>
                    <w:rPr>
                      <w:rFonts w:ascii="Calibri" w:hAnsi="Calibri" w:cs="宋体"/>
                      <w:kern w:val="0"/>
                      <w:szCs w:val="21"/>
                    </w:rPr>
                  </w:pPr>
                </w:p>
                <w:p w14:paraId="7E80418A">
                  <w:pPr>
                    <w:widowControl/>
                    <w:rPr>
                      <w:rFonts w:ascii="Calibri" w:hAnsi="Calibri" w:cs="宋体"/>
                      <w:kern w:val="0"/>
                      <w:szCs w:val="21"/>
                    </w:rPr>
                  </w:pPr>
                </w:p>
                <w:p w14:paraId="195F384E">
                  <w:pPr>
                    <w:widowControl/>
                    <w:rPr>
                      <w:rFonts w:ascii="Calibri" w:hAnsi="Calibri" w:cs="宋体"/>
                      <w:kern w:val="0"/>
                      <w:szCs w:val="21"/>
                    </w:rPr>
                  </w:pPr>
                </w:p>
                <w:p w14:paraId="74FFD4D6">
                  <w:pPr>
                    <w:widowControl/>
                    <w:rPr>
                      <w:rFonts w:ascii="Calibri" w:hAnsi="Calibri" w:cs="宋体"/>
                      <w:kern w:val="0"/>
                      <w:szCs w:val="21"/>
                    </w:rPr>
                  </w:pPr>
                </w:p>
                <w:p w14:paraId="1595010B">
                  <w:pPr>
                    <w:widowControl/>
                    <w:rPr>
                      <w:rFonts w:ascii="Calibri" w:hAnsi="Calibri" w:cs="宋体"/>
                      <w:kern w:val="0"/>
                      <w:szCs w:val="21"/>
                    </w:rPr>
                  </w:pPr>
                </w:p>
                <w:p w14:paraId="1055BAAC">
                  <w:pPr>
                    <w:widowControl/>
                    <w:rPr>
                      <w:rFonts w:ascii="Calibri" w:hAnsi="Calibri" w:cs="宋体"/>
                      <w:kern w:val="0"/>
                      <w:szCs w:val="21"/>
                    </w:rPr>
                  </w:pPr>
                </w:p>
              </w:tc>
            </w:tr>
          </w:tbl>
          <w:p w14:paraId="118650C2">
            <w:pPr>
              <w:widowControl/>
              <w:jc w:val="left"/>
              <w:rPr>
                <w:rFonts w:ascii="宋体" w:hAnsi="宋体" w:cs="宋体"/>
                <w:kern w:val="0"/>
                <w:sz w:val="22"/>
              </w:rPr>
            </w:pPr>
          </w:p>
        </w:tc>
        <w:tc>
          <w:tcPr>
            <w:tcW w:w="462" w:type="dxa"/>
            <w:vMerge w:val="continue"/>
            <w:shd w:val="clear" w:color="auto" w:fill="auto"/>
            <w:vAlign w:val="center"/>
          </w:tcPr>
          <w:p w14:paraId="68D4DF51">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49881325">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045361CA">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0DDB32B7">
            <w:pPr>
              <w:widowControl/>
              <w:jc w:val="center"/>
              <w:textAlignment w:val="center"/>
              <w:rPr>
                <w:rFonts w:ascii="宋体" w:hAnsi="宋体" w:cs="宋体"/>
                <w:color w:val="000000"/>
                <w:sz w:val="22"/>
                <w:szCs w:val="22"/>
              </w:rPr>
            </w:pPr>
          </w:p>
        </w:tc>
      </w:tr>
      <w:tr w14:paraId="7A53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714BE333">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07580062">
            <w:pPr>
              <w:widowControl/>
              <w:jc w:val="left"/>
              <w:textAlignment w:val="center"/>
              <w:rPr>
                <w:rFonts w:ascii="宋体" w:hAnsi="宋体" w:cs="宋体"/>
                <w:color w:val="000000"/>
                <w:sz w:val="22"/>
                <w:szCs w:val="22"/>
              </w:rPr>
            </w:pPr>
          </w:p>
        </w:tc>
        <w:tc>
          <w:tcPr>
            <w:tcW w:w="4897" w:type="dxa"/>
            <w:shd w:val="clear" w:color="auto" w:fill="auto"/>
            <w:vAlign w:val="center"/>
          </w:tcPr>
          <w:p w14:paraId="561375F5">
            <w:pPr>
              <w:widowControl/>
              <w:rPr>
                <w:rFonts w:ascii="宋体" w:hAnsi="宋体" w:cs="宋体"/>
                <w:kern w:val="0"/>
                <w:szCs w:val="21"/>
              </w:rPr>
            </w:pPr>
            <w:r>
              <w:rPr>
                <w:rFonts w:hint="eastAsia" w:ascii="宋体" w:hAnsi="宋体" w:cs="宋体"/>
                <w:kern w:val="0"/>
                <w:szCs w:val="21"/>
              </w:rPr>
              <w:t>（6）所供图书不得出现“一书多号”的情况；</w:t>
            </w:r>
          </w:p>
        </w:tc>
        <w:tc>
          <w:tcPr>
            <w:tcW w:w="462" w:type="dxa"/>
            <w:vMerge w:val="continue"/>
            <w:shd w:val="clear" w:color="auto" w:fill="auto"/>
            <w:vAlign w:val="center"/>
          </w:tcPr>
          <w:p w14:paraId="43A12759">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186F5807">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290BE18">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05D93F04">
            <w:pPr>
              <w:widowControl/>
              <w:jc w:val="center"/>
              <w:textAlignment w:val="center"/>
              <w:rPr>
                <w:rFonts w:ascii="宋体" w:hAnsi="宋体" w:cs="宋体"/>
                <w:color w:val="000000"/>
                <w:sz w:val="22"/>
                <w:szCs w:val="22"/>
              </w:rPr>
            </w:pPr>
          </w:p>
        </w:tc>
      </w:tr>
      <w:tr w14:paraId="1BA0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6609331D">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09FACF1B">
            <w:pPr>
              <w:widowControl/>
              <w:jc w:val="left"/>
              <w:textAlignment w:val="center"/>
              <w:rPr>
                <w:rFonts w:ascii="宋体" w:hAnsi="宋体" w:cs="宋体"/>
                <w:color w:val="000000"/>
                <w:sz w:val="22"/>
                <w:szCs w:val="22"/>
              </w:rPr>
            </w:pPr>
          </w:p>
        </w:tc>
        <w:tc>
          <w:tcPr>
            <w:tcW w:w="4897" w:type="dxa"/>
            <w:shd w:val="clear" w:color="auto" w:fill="auto"/>
            <w:vAlign w:val="center"/>
          </w:tcPr>
          <w:p w14:paraId="75E8040A">
            <w:pPr>
              <w:widowControl/>
              <w:rPr>
                <w:rFonts w:ascii="宋体" w:hAnsi="宋体" w:cs="宋体"/>
                <w:kern w:val="0"/>
                <w:szCs w:val="21"/>
              </w:rPr>
            </w:pPr>
            <w:r>
              <w:rPr>
                <w:rFonts w:hint="eastAsia" w:ascii="宋体" w:hAnsi="宋体" w:cs="宋体"/>
                <w:kern w:val="0"/>
                <w:szCs w:val="21"/>
              </w:rPr>
              <w:t>（7）所提供现采书目必须全部为全国百佳出版社出版的图书且发行量必须≥5000册。图书品种中需包含安全教育、预防艾滋病、心理健康等书籍。</w:t>
            </w:r>
          </w:p>
        </w:tc>
        <w:tc>
          <w:tcPr>
            <w:tcW w:w="462" w:type="dxa"/>
            <w:vMerge w:val="continue"/>
            <w:shd w:val="clear" w:color="auto" w:fill="auto"/>
            <w:vAlign w:val="center"/>
          </w:tcPr>
          <w:p w14:paraId="60EFED8A">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6F78B55A">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4D21EF5">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0BFA47CB">
            <w:pPr>
              <w:widowControl/>
              <w:jc w:val="center"/>
              <w:textAlignment w:val="center"/>
              <w:rPr>
                <w:rFonts w:ascii="宋体" w:hAnsi="宋体" w:cs="宋体"/>
                <w:color w:val="000000"/>
                <w:sz w:val="22"/>
                <w:szCs w:val="22"/>
              </w:rPr>
            </w:pPr>
          </w:p>
        </w:tc>
      </w:tr>
      <w:tr w14:paraId="22A9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05A59123">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3BBD8E7B">
            <w:pPr>
              <w:widowControl/>
              <w:jc w:val="left"/>
              <w:textAlignment w:val="center"/>
              <w:rPr>
                <w:rFonts w:ascii="宋体" w:hAnsi="宋体" w:cs="宋体"/>
                <w:color w:val="000000"/>
                <w:sz w:val="22"/>
                <w:szCs w:val="22"/>
              </w:rPr>
            </w:pPr>
          </w:p>
        </w:tc>
        <w:tc>
          <w:tcPr>
            <w:tcW w:w="4897" w:type="dxa"/>
            <w:shd w:val="clear" w:color="auto" w:fill="auto"/>
            <w:vAlign w:val="center"/>
          </w:tcPr>
          <w:p w14:paraId="720FE94F">
            <w:pPr>
              <w:widowControl/>
              <w:rPr>
                <w:rFonts w:ascii="宋体" w:hAnsi="宋体" w:cs="宋体"/>
                <w:kern w:val="0"/>
                <w:szCs w:val="21"/>
              </w:rPr>
            </w:pPr>
            <w:r>
              <w:rPr>
                <w:rFonts w:hint="eastAsia" w:ascii="宋体" w:hAnsi="宋体" w:cs="宋体"/>
                <w:kern w:val="0"/>
                <w:szCs w:val="21"/>
              </w:rPr>
              <w:t>（8）书目中图书除现行教育部指导编制的《全国中小学图书馆（室）推荐书目》和自治区教育厅最新审定的《广西中小学图书馆（室）推荐书目》中图书外，其余图书每本码洋价格不得低于25元，每本图书页数不少于200页（页数以图书内容最后一页为准。小学除绘本外每本图书页数不少于 100页）。</w:t>
            </w:r>
          </w:p>
        </w:tc>
        <w:tc>
          <w:tcPr>
            <w:tcW w:w="462" w:type="dxa"/>
            <w:vMerge w:val="continue"/>
            <w:shd w:val="clear" w:color="auto" w:fill="auto"/>
            <w:vAlign w:val="center"/>
          </w:tcPr>
          <w:p w14:paraId="677679BA">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4728C27D">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1BA2129">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5C96DD03">
            <w:pPr>
              <w:widowControl/>
              <w:jc w:val="center"/>
              <w:textAlignment w:val="center"/>
              <w:rPr>
                <w:rFonts w:ascii="宋体" w:hAnsi="宋体" w:cs="宋体"/>
                <w:color w:val="000000"/>
                <w:sz w:val="22"/>
                <w:szCs w:val="22"/>
              </w:rPr>
            </w:pPr>
          </w:p>
        </w:tc>
      </w:tr>
      <w:tr w14:paraId="1929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60B87F50">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20F90B70">
            <w:pPr>
              <w:widowControl/>
              <w:jc w:val="left"/>
              <w:textAlignment w:val="center"/>
              <w:rPr>
                <w:rFonts w:ascii="宋体" w:hAnsi="宋体" w:cs="宋体"/>
                <w:color w:val="000000"/>
                <w:sz w:val="22"/>
                <w:szCs w:val="22"/>
              </w:rPr>
            </w:pPr>
          </w:p>
        </w:tc>
        <w:tc>
          <w:tcPr>
            <w:tcW w:w="4897" w:type="dxa"/>
            <w:shd w:val="clear" w:color="auto" w:fill="auto"/>
            <w:vAlign w:val="center"/>
          </w:tcPr>
          <w:p w14:paraId="0D388655">
            <w:pPr>
              <w:widowControl/>
              <w:rPr>
                <w:rFonts w:ascii="宋体" w:hAnsi="宋体" w:cs="宋体"/>
                <w:kern w:val="0"/>
                <w:szCs w:val="21"/>
              </w:rPr>
            </w:pPr>
            <w:r>
              <w:rPr>
                <w:rFonts w:hint="eastAsia" w:ascii="宋体" w:hAnsi="宋体" w:cs="宋体"/>
                <w:kern w:val="0"/>
                <w:szCs w:val="21"/>
              </w:rPr>
              <w:t>（9）投标人必须在投标文件中提供采购时的书目清单（即投标图书书目，格式见附件1），清单内容包括序号、书名、图书类别、ISBN号、作者、出版社、码洋、出版时间、并标注教育部推荐图书、广西教育厅推荐图书、百佳出版社图书、四色图书等，按图书的五大部类（政治、哲学、社会科学、自然科学、综合类）规整排序。</w:t>
            </w:r>
          </w:p>
        </w:tc>
        <w:tc>
          <w:tcPr>
            <w:tcW w:w="462" w:type="dxa"/>
            <w:vMerge w:val="continue"/>
            <w:shd w:val="clear" w:color="auto" w:fill="auto"/>
            <w:vAlign w:val="center"/>
          </w:tcPr>
          <w:p w14:paraId="4C8618A9">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4F6CE48F">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F8921A3">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6ADC1BF7">
            <w:pPr>
              <w:widowControl/>
              <w:jc w:val="center"/>
              <w:textAlignment w:val="center"/>
              <w:rPr>
                <w:rFonts w:ascii="宋体" w:hAnsi="宋体" w:cs="宋体"/>
                <w:color w:val="000000"/>
                <w:sz w:val="22"/>
                <w:szCs w:val="22"/>
              </w:rPr>
            </w:pPr>
          </w:p>
        </w:tc>
      </w:tr>
      <w:tr w14:paraId="24B1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724F066F">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5CB6C343">
            <w:pPr>
              <w:widowControl/>
              <w:jc w:val="left"/>
              <w:textAlignment w:val="center"/>
              <w:rPr>
                <w:rFonts w:ascii="宋体" w:hAnsi="宋体" w:cs="宋体"/>
                <w:color w:val="000000"/>
                <w:sz w:val="22"/>
                <w:szCs w:val="22"/>
              </w:rPr>
            </w:pPr>
          </w:p>
        </w:tc>
        <w:tc>
          <w:tcPr>
            <w:tcW w:w="4897" w:type="dxa"/>
            <w:shd w:val="clear" w:color="auto" w:fill="auto"/>
            <w:vAlign w:val="center"/>
          </w:tcPr>
          <w:p w14:paraId="6A6DD3C1">
            <w:pPr>
              <w:widowControl/>
              <w:rPr>
                <w:rFonts w:ascii="宋体" w:hAnsi="宋体" w:cs="宋体"/>
                <w:kern w:val="0"/>
                <w:szCs w:val="21"/>
              </w:rPr>
            </w:pPr>
            <w:r>
              <w:rPr>
                <w:rFonts w:hint="eastAsia" w:ascii="宋体" w:hAnsi="宋体" w:cs="宋体"/>
                <w:b/>
                <w:kern w:val="0"/>
                <w:sz w:val="22"/>
              </w:rPr>
              <w:t>▲</w:t>
            </w:r>
            <w:r>
              <w:rPr>
                <w:rFonts w:hint="eastAsia" w:ascii="宋体" w:hAnsi="宋体" w:cs="宋体"/>
                <w:b/>
                <w:color w:val="FF0000"/>
                <w:kern w:val="0"/>
                <w:szCs w:val="21"/>
              </w:rPr>
              <w:t>（10）投标人必须在供货前提供书目清单（格式见附件1）</w:t>
            </w:r>
            <w:r>
              <w:rPr>
                <w:rFonts w:hint="eastAsia" w:ascii="宋体" w:hAnsi="宋体" w:cs="宋体"/>
                <w:b/>
                <w:kern w:val="0"/>
                <w:szCs w:val="21"/>
              </w:rPr>
              <w:t>纸质版和电子版（必须是Excel格式））。</w:t>
            </w:r>
            <w:r>
              <w:rPr>
                <w:rFonts w:hint="eastAsia" w:ascii="宋体" w:hAnsi="宋体" w:cs="宋体"/>
                <w:kern w:val="0"/>
                <w:szCs w:val="21"/>
              </w:rPr>
              <w:t>纸质版包含封面等整齐规范装订成本，封面和骑缝盖投标人公章，一式贰份，由采购人和学校各执一份。</w:t>
            </w:r>
          </w:p>
        </w:tc>
        <w:tc>
          <w:tcPr>
            <w:tcW w:w="462" w:type="dxa"/>
            <w:vMerge w:val="continue"/>
            <w:shd w:val="clear" w:color="auto" w:fill="auto"/>
            <w:noWrap/>
            <w:vAlign w:val="center"/>
          </w:tcPr>
          <w:p w14:paraId="12617AF8">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0B72621">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D3E9601">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750D9248">
            <w:pPr>
              <w:widowControl/>
              <w:jc w:val="center"/>
              <w:textAlignment w:val="center"/>
              <w:rPr>
                <w:rFonts w:ascii="宋体" w:hAnsi="宋体" w:cs="宋体"/>
                <w:color w:val="000000"/>
                <w:sz w:val="22"/>
                <w:szCs w:val="22"/>
              </w:rPr>
            </w:pPr>
          </w:p>
        </w:tc>
      </w:tr>
      <w:tr w14:paraId="0E62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521BE28C">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12CF08B4">
            <w:pPr>
              <w:widowControl/>
              <w:jc w:val="left"/>
              <w:textAlignment w:val="center"/>
              <w:rPr>
                <w:rFonts w:ascii="宋体" w:hAnsi="宋体" w:cs="宋体"/>
                <w:color w:val="000000"/>
                <w:sz w:val="22"/>
                <w:szCs w:val="22"/>
              </w:rPr>
            </w:pPr>
          </w:p>
        </w:tc>
        <w:tc>
          <w:tcPr>
            <w:tcW w:w="4897" w:type="dxa"/>
            <w:shd w:val="clear" w:color="auto" w:fill="auto"/>
            <w:vAlign w:val="center"/>
          </w:tcPr>
          <w:p w14:paraId="2B8D8DD3">
            <w:pPr>
              <w:widowControl/>
              <w:rPr>
                <w:rFonts w:ascii="宋体" w:hAnsi="宋体" w:cs="宋体"/>
                <w:kern w:val="0"/>
                <w:szCs w:val="21"/>
              </w:rPr>
            </w:pPr>
            <w:r>
              <w:rPr>
                <w:rFonts w:hint="eastAsia" w:ascii="宋体" w:hAnsi="宋体" w:cs="宋体"/>
                <w:kern w:val="0"/>
                <w:szCs w:val="21"/>
              </w:rPr>
              <w:t>（11）</w:t>
            </w:r>
            <w:r>
              <w:rPr>
                <w:rFonts w:hint="eastAsia" w:ascii="宋体" w:hAnsi="宋体" w:cs="宋体"/>
                <w:color w:val="FF0000"/>
                <w:kern w:val="0"/>
                <w:szCs w:val="21"/>
              </w:rPr>
              <w:t>投标人要如实填写投标图书书目有关数据统计表（格式见附件2）</w:t>
            </w:r>
            <w:r>
              <w:rPr>
                <w:rFonts w:hint="eastAsia" w:ascii="宋体" w:hAnsi="宋体" w:cs="宋体"/>
                <w:kern w:val="0"/>
                <w:szCs w:val="21"/>
              </w:rPr>
              <w:t>和投标文件中的投标图书书目清单，如果投标人有弄虚作假行为的（包括非2018教育部推荐图书标识为2018年教育部推荐图书，非2019年广西区教育厅推荐图书标识为2019年广西区教育厅推荐图书，非百佳出版社图书标识为百佳出版社图书，以及非四色图书标识为四色图书等），一经查实投标人存在弄虚作假的行为，将上报政府采购监督管理部门，按照相关法律法规进行处罚，一切损失及后果均由投标人承担。</w:t>
            </w:r>
          </w:p>
        </w:tc>
        <w:tc>
          <w:tcPr>
            <w:tcW w:w="462" w:type="dxa"/>
            <w:vMerge w:val="continue"/>
            <w:shd w:val="clear" w:color="auto" w:fill="auto"/>
            <w:vAlign w:val="center"/>
          </w:tcPr>
          <w:p w14:paraId="7086A679">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78AD737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13320F4">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1183F534">
            <w:pPr>
              <w:widowControl/>
              <w:jc w:val="center"/>
              <w:textAlignment w:val="center"/>
              <w:rPr>
                <w:rFonts w:ascii="宋体" w:hAnsi="宋体" w:cs="宋体"/>
                <w:color w:val="000000"/>
                <w:sz w:val="22"/>
                <w:szCs w:val="22"/>
              </w:rPr>
            </w:pPr>
          </w:p>
        </w:tc>
      </w:tr>
      <w:tr w14:paraId="0C82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3" w:type="dxa"/>
            <w:vMerge w:val="continue"/>
            <w:shd w:val="clear" w:color="auto" w:fill="auto"/>
            <w:noWrap/>
            <w:vAlign w:val="center"/>
          </w:tcPr>
          <w:p w14:paraId="74E51D7F">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14A98E6B">
            <w:pPr>
              <w:widowControl/>
              <w:jc w:val="left"/>
              <w:textAlignment w:val="center"/>
              <w:rPr>
                <w:rFonts w:ascii="宋体" w:hAnsi="宋体" w:cs="宋体"/>
                <w:color w:val="000000"/>
                <w:sz w:val="22"/>
                <w:szCs w:val="22"/>
              </w:rPr>
            </w:pPr>
          </w:p>
        </w:tc>
        <w:tc>
          <w:tcPr>
            <w:tcW w:w="4897" w:type="dxa"/>
            <w:shd w:val="clear" w:color="auto" w:fill="auto"/>
            <w:noWrap/>
            <w:vAlign w:val="center"/>
          </w:tcPr>
          <w:p w14:paraId="47C96D52">
            <w:pPr>
              <w:widowControl/>
              <w:rPr>
                <w:rFonts w:ascii="华文楷体" w:hAnsi="华文楷体" w:eastAsia="华文楷体" w:cs="宋体"/>
                <w:b/>
                <w:bCs/>
                <w:kern w:val="0"/>
                <w:szCs w:val="21"/>
              </w:rPr>
            </w:pPr>
            <w:r>
              <w:rPr>
                <w:rFonts w:hint="eastAsia" w:ascii="华文楷体" w:hAnsi="华文楷体" w:eastAsia="华文楷体" w:cs="宋体"/>
                <w:b/>
                <w:bCs/>
                <w:kern w:val="0"/>
                <w:szCs w:val="21"/>
              </w:rPr>
              <w:t>2.图书质量及印刷装订执行标准：</w:t>
            </w:r>
          </w:p>
        </w:tc>
        <w:tc>
          <w:tcPr>
            <w:tcW w:w="462" w:type="dxa"/>
            <w:vMerge w:val="continue"/>
            <w:shd w:val="clear" w:color="auto" w:fill="auto"/>
            <w:noWrap/>
            <w:vAlign w:val="center"/>
          </w:tcPr>
          <w:p w14:paraId="1573C373">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51DD265">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41D2856">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DA13532">
            <w:pPr>
              <w:widowControl/>
              <w:jc w:val="center"/>
              <w:textAlignment w:val="center"/>
              <w:rPr>
                <w:rFonts w:ascii="宋体" w:hAnsi="宋体" w:cs="宋体"/>
                <w:color w:val="000000"/>
                <w:sz w:val="22"/>
                <w:szCs w:val="22"/>
              </w:rPr>
            </w:pPr>
          </w:p>
        </w:tc>
      </w:tr>
      <w:tr w14:paraId="6983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53" w:type="dxa"/>
            <w:vMerge w:val="continue"/>
            <w:shd w:val="clear" w:color="auto" w:fill="auto"/>
            <w:noWrap/>
            <w:vAlign w:val="center"/>
          </w:tcPr>
          <w:p w14:paraId="0ACF9A8C">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59689206">
            <w:pPr>
              <w:widowControl/>
              <w:jc w:val="left"/>
              <w:textAlignment w:val="center"/>
              <w:rPr>
                <w:rFonts w:ascii="宋体" w:hAnsi="宋体" w:cs="宋体"/>
                <w:color w:val="000000"/>
                <w:sz w:val="22"/>
                <w:szCs w:val="22"/>
              </w:rPr>
            </w:pPr>
          </w:p>
        </w:tc>
        <w:tc>
          <w:tcPr>
            <w:tcW w:w="4897" w:type="dxa"/>
            <w:shd w:val="clear" w:color="auto" w:fill="auto"/>
            <w:noWrap/>
            <w:vAlign w:val="center"/>
          </w:tcPr>
          <w:p w14:paraId="1BB6CD9E">
            <w:pPr>
              <w:widowControl/>
              <w:rPr>
                <w:rFonts w:ascii="宋体" w:hAnsi="宋体" w:cs="宋体"/>
                <w:kern w:val="0"/>
                <w:szCs w:val="21"/>
              </w:rPr>
            </w:pPr>
            <w:r>
              <w:rPr>
                <w:rFonts w:hint="eastAsia" w:ascii="宋体" w:hAnsi="宋体" w:cs="宋体"/>
                <w:kern w:val="0"/>
                <w:szCs w:val="21"/>
              </w:rPr>
              <w:t>参照中华人民共和国新闻出版总署令(第26号)《图书质量管理规定》和GB/T18359-2009《中小学教科书图书用纸、印制质量要求和检验方法》等行业标准。</w:t>
            </w:r>
          </w:p>
        </w:tc>
        <w:tc>
          <w:tcPr>
            <w:tcW w:w="462" w:type="dxa"/>
            <w:vMerge w:val="continue"/>
            <w:shd w:val="clear" w:color="auto" w:fill="auto"/>
            <w:noWrap/>
            <w:vAlign w:val="center"/>
          </w:tcPr>
          <w:p w14:paraId="4EFAED48">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B6DB68E">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B011F6F">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51FA17E">
            <w:pPr>
              <w:widowControl/>
              <w:jc w:val="center"/>
              <w:textAlignment w:val="center"/>
              <w:rPr>
                <w:rFonts w:ascii="宋体" w:hAnsi="宋体" w:cs="宋体"/>
                <w:color w:val="000000"/>
                <w:sz w:val="22"/>
                <w:szCs w:val="22"/>
              </w:rPr>
            </w:pPr>
          </w:p>
        </w:tc>
      </w:tr>
      <w:tr w14:paraId="4705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53" w:type="dxa"/>
            <w:vMerge w:val="continue"/>
            <w:shd w:val="clear" w:color="auto" w:fill="auto"/>
            <w:noWrap/>
            <w:vAlign w:val="center"/>
          </w:tcPr>
          <w:p w14:paraId="694DDA25">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6AB6B71F">
            <w:pPr>
              <w:widowControl/>
              <w:jc w:val="left"/>
              <w:textAlignment w:val="center"/>
              <w:rPr>
                <w:rFonts w:ascii="宋体" w:hAnsi="宋体" w:cs="宋体"/>
                <w:color w:val="000000"/>
                <w:sz w:val="22"/>
                <w:szCs w:val="22"/>
              </w:rPr>
            </w:pPr>
          </w:p>
        </w:tc>
        <w:tc>
          <w:tcPr>
            <w:tcW w:w="4897" w:type="dxa"/>
            <w:shd w:val="clear" w:color="auto" w:fill="auto"/>
            <w:vAlign w:val="center"/>
          </w:tcPr>
          <w:p w14:paraId="7E9C1FDC">
            <w:pPr>
              <w:widowControl/>
              <w:rPr>
                <w:rFonts w:ascii="宋体" w:hAnsi="宋体" w:cs="宋体"/>
                <w:kern w:val="0"/>
                <w:szCs w:val="21"/>
              </w:rPr>
            </w:pPr>
            <w:r>
              <w:rPr>
                <w:rFonts w:hint="eastAsia" w:ascii="宋体" w:hAnsi="宋体" w:cs="宋体"/>
                <w:kern w:val="0"/>
                <w:szCs w:val="21"/>
              </w:rPr>
              <w:t>（1）封面印刷：</w:t>
            </w:r>
          </w:p>
        </w:tc>
        <w:tc>
          <w:tcPr>
            <w:tcW w:w="462" w:type="dxa"/>
            <w:vMerge w:val="continue"/>
            <w:shd w:val="clear" w:color="auto" w:fill="auto"/>
            <w:vAlign w:val="center"/>
          </w:tcPr>
          <w:p w14:paraId="467F47F0">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1BF79656">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44F140C">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68C0C9AD">
            <w:pPr>
              <w:widowControl/>
              <w:jc w:val="center"/>
              <w:textAlignment w:val="center"/>
              <w:rPr>
                <w:rFonts w:ascii="宋体" w:hAnsi="宋体" w:cs="宋体"/>
                <w:color w:val="000000"/>
                <w:sz w:val="22"/>
                <w:szCs w:val="22"/>
              </w:rPr>
            </w:pPr>
          </w:p>
        </w:tc>
      </w:tr>
      <w:tr w14:paraId="2CD0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3" w:type="dxa"/>
            <w:vMerge w:val="continue"/>
            <w:shd w:val="clear" w:color="auto" w:fill="auto"/>
            <w:noWrap/>
            <w:vAlign w:val="center"/>
          </w:tcPr>
          <w:p w14:paraId="49E1915E">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6D92AE98">
            <w:pPr>
              <w:widowControl/>
              <w:jc w:val="left"/>
              <w:textAlignment w:val="center"/>
              <w:rPr>
                <w:rFonts w:ascii="宋体" w:hAnsi="宋体" w:cs="宋体"/>
                <w:color w:val="000000"/>
                <w:sz w:val="22"/>
                <w:szCs w:val="22"/>
              </w:rPr>
            </w:pPr>
          </w:p>
        </w:tc>
        <w:tc>
          <w:tcPr>
            <w:tcW w:w="4897" w:type="dxa"/>
            <w:shd w:val="clear" w:color="auto" w:fill="auto"/>
            <w:vAlign w:val="center"/>
          </w:tcPr>
          <w:p w14:paraId="2F40E931">
            <w:pPr>
              <w:widowControl/>
              <w:rPr>
                <w:rFonts w:ascii="宋体" w:hAnsi="宋体" w:cs="宋体"/>
                <w:kern w:val="0"/>
                <w:szCs w:val="21"/>
              </w:rPr>
            </w:pPr>
            <w:r>
              <w:rPr>
                <w:rFonts w:hint="eastAsia" w:ascii="宋体" w:hAnsi="宋体" w:cs="宋体"/>
                <w:kern w:val="0"/>
                <w:szCs w:val="21"/>
              </w:rPr>
              <w:t>套印准确，字图、点、线印迹清楚，不花、不毛、不糊，实地版墨色均匀，无回胶印，背面不脏。</w:t>
            </w:r>
          </w:p>
        </w:tc>
        <w:tc>
          <w:tcPr>
            <w:tcW w:w="462" w:type="dxa"/>
            <w:vMerge w:val="continue"/>
            <w:shd w:val="clear" w:color="auto" w:fill="auto"/>
            <w:vAlign w:val="center"/>
          </w:tcPr>
          <w:p w14:paraId="683ECCE6">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4C477410">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C3C61DA">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6382D271">
            <w:pPr>
              <w:widowControl/>
              <w:jc w:val="center"/>
              <w:textAlignment w:val="center"/>
              <w:rPr>
                <w:rFonts w:ascii="宋体" w:hAnsi="宋体" w:cs="宋体"/>
                <w:color w:val="000000"/>
                <w:sz w:val="22"/>
                <w:szCs w:val="22"/>
              </w:rPr>
            </w:pPr>
          </w:p>
        </w:tc>
      </w:tr>
      <w:tr w14:paraId="2414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53" w:type="dxa"/>
            <w:vMerge w:val="continue"/>
            <w:shd w:val="clear" w:color="auto" w:fill="auto"/>
            <w:noWrap/>
            <w:vAlign w:val="center"/>
          </w:tcPr>
          <w:p w14:paraId="48B8E0BD">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7927DF6">
            <w:pPr>
              <w:widowControl/>
              <w:jc w:val="left"/>
              <w:textAlignment w:val="center"/>
              <w:rPr>
                <w:rFonts w:ascii="宋体" w:hAnsi="宋体" w:cs="宋体"/>
                <w:color w:val="000000"/>
                <w:sz w:val="22"/>
                <w:szCs w:val="22"/>
              </w:rPr>
            </w:pPr>
          </w:p>
        </w:tc>
        <w:tc>
          <w:tcPr>
            <w:tcW w:w="4897" w:type="dxa"/>
            <w:shd w:val="clear" w:color="auto" w:fill="auto"/>
            <w:noWrap/>
            <w:vAlign w:val="center"/>
          </w:tcPr>
          <w:p w14:paraId="49F73543">
            <w:pPr>
              <w:widowControl/>
              <w:rPr>
                <w:rFonts w:ascii="宋体" w:hAnsi="宋体" w:cs="宋体"/>
                <w:kern w:val="0"/>
                <w:szCs w:val="21"/>
              </w:rPr>
            </w:pPr>
            <w:r>
              <w:rPr>
                <w:rFonts w:hint="eastAsia" w:ascii="宋体" w:hAnsi="宋体" w:cs="宋体"/>
                <w:kern w:val="0"/>
                <w:szCs w:val="21"/>
              </w:rPr>
              <w:t>（2）插图印刷：</w:t>
            </w:r>
          </w:p>
        </w:tc>
        <w:tc>
          <w:tcPr>
            <w:tcW w:w="462" w:type="dxa"/>
            <w:vMerge w:val="continue"/>
            <w:shd w:val="clear" w:color="auto" w:fill="auto"/>
            <w:noWrap/>
            <w:vAlign w:val="center"/>
          </w:tcPr>
          <w:p w14:paraId="2BC31E96">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77932C3">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F9D4D9C">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0B753BB">
            <w:pPr>
              <w:widowControl/>
              <w:jc w:val="center"/>
              <w:textAlignment w:val="center"/>
              <w:rPr>
                <w:rFonts w:ascii="宋体" w:hAnsi="宋体" w:cs="宋体"/>
                <w:color w:val="000000"/>
                <w:sz w:val="22"/>
                <w:szCs w:val="22"/>
              </w:rPr>
            </w:pPr>
          </w:p>
        </w:tc>
      </w:tr>
      <w:tr w14:paraId="3597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3" w:type="dxa"/>
            <w:vMerge w:val="continue"/>
            <w:shd w:val="clear" w:color="auto" w:fill="auto"/>
            <w:noWrap/>
            <w:vAlign w:val="center"/>
          </w:tcPr>
          <w:p w14:paraId="2EB97296">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1B6DB63E">
            <w:pPr>
              <w:widowControl/>
              <w:jc w:val="left"/>
              <w:textAlignment w:val="center"/>
              <w:rPr>
                <w:rFonts w:ascii="宋体" w:hAnsi="宋体" w:cs="宋体"/>
                <w:color w:val="000000"/>
                <w:sz w:val="22"/>
                <w:szCs w:val="22"/>
              </w:rPr>
            </w:pPr>
          </w:p>
        </w:tc>
        <w:tc>
          <w:tcPr>
            <w:tcW w:w="4897" w:type="dxa"/>
            <w:shd w:val="clear" w:color="auto" w:fill="auto"/>
            <w:vAlign w:val="center"/>
          </w:tcPr>
          <w:p w14:paraId="5AF52284">
            <w:pPr>
              <w:widowControl/>
              <w:rPr>
                <w:rFonts w:ascii="宋体" w:hAnsi="宋体" w:cs="宋体"/>
                <w:kern w:val="0"/>
                <w:szCs w:val="21"/>
              </w:rPr>
            </w:pPr>
            <w:r>
              <w:rPr>
                <w:rFonts w:hint="eastAsia" w:ascii="宋体" w:hAnsi="宋体" w:cs="宋体"/>
                <w:kern w:val="0"/>
                <w:szCs w:val="21"/>
              </w:rPr>
              <w:t>①套印准确，层次分明，轮廓实，电分制版无浮雕印；</w:t>
            </w:r>
          </w:p>
        </w:tc>
        <w:tc>
          <w:tcPr>
            <w:tcW w:w="462" w:type="dxa"/>
            <w:vMerge w:val="continue"/>
            <w:shd w:val="clear" w:color="auto" w:fill="auto"/>
            <w:vAlign w:val="center"/>
          </w:tcPr>
          <w:p w14:paraId="093A126D">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13E1855D">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4DC6093E">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415D5BCD">
            <w:pPr>
              <w:widowControl/>
              <w:jc w:val="center"/>
              <w:textAlignment w:val="center"/>
              <w:rPr>
                <w:rFonts w:ascii="宋体" w:hAnsi="宋体" w:cs="宋体"/>
                <w:color w:val="000000"/>
                <w:sz w:val="22"/>
                <w:szCs w:val="22"/>
              </w:rPr>
            </w:pPr>
          </w:p>
        </w:tc>
      </w:tr>
      <w:tr w14:paraId="072F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3" w:type="dxa"/>
            <w:vMerge w:val="continue"/>
            <w:shd w:val="clear" w:color="auto" w:fill="auto"/>
            <w:noWrap/>
            <w:vAlign w:val="center"/>
          </w:tcPr>
          <w:p w14:paraId="149011B0">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6033DB6">
            <w:pPr>
              <w:widowControl/>
              <w:jc w:val="left"/>
              <w:textAlignment w:val="center"/>
              <w:rPr>
                <w:rFonts w:ascii="宋体" w:hAnsi="宋体" w:cs="宋体"/>
                <w:color w:val="000000"/>
                <w:sz w:val="22"/>
                <w:szCs w:val="22"/>
              </w:rPr>
            </w:pPr>
          </w:p>
        </w:tc>
        <w:tc>
          <w:tcPr>
            <w:tcW w:w="4897" w:type="dxa"/>
            <w:shd w:val="clear" w:color="auto" w:fill="auto"/>
            <w:vAlign w:val="center"/>
          </w:tcPr>
          <w:p w14:paraId="756378D5">
            <w:pPr>
              <w:widowControl/>
              <w:rPr>
                <w:rFonts w:ascii="宋体" w:hAnsi="宋体" w:cs="宋体"/>
                <w:kern w:val="0"/>
                <w:szCs w:val="21"/>
              </w:rPr>
            </w:pPr>
            <w:r>
              <w:rPr>
                <w:rFonts w:hint="eastAsia" w:ascii="宋体" w:hAnsi="宋体" w:cs="宋体"/>
                <w:kern w:val="0"/>
                <w:szCs w:val="21"/>
              </w:rPr>
              <w:t>②网点清晰饱满，小点不秃，大点光洁不糊，质感好；</w:t>
            </w:r>
          </w:p>
        </w:tc>
        <w:tc>
          <w:tcPr>
            <w:tcW w:w="462" w:type="dxa"/>
            <w:vMerge w:val="continue"/>
            <w:shd w:val="clear" w:color="auto" w:fill="auto"/>
            <w:vAlign w:val="center"/>
          </w:tcPr>
          <w:p w14:paraId="041F7E31">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4738C630">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6817F59A">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7A3610CC">
            <w:pPr>
              <w:widowControl/>
              <w:jc w:val="center"/>
              <w:textAlignment w:val="center"/>
              <w:rPr>
                <w:rFonts w:ascii="宋体" w:hAnsi="宋体" w:cs="宋体"/>
                <w:color w:val="000000"/>
                <w:sz w:val="22"/>
                <w:szCs w:val="22"/>
              </w:rPr>
            </w:pPr>
          </w:p>
        </w:tc>
      </w:tr>
      <w:tr w14:paraId="1C58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414E380D">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0C92994">
            <w:pPr>
              <w:widowControl/>
              <w:jc w:val="left"/>
              <w:textAlignment w:val="center"/>
              <w:rPr>
                <w:rFonts w:ascii="宋体" w:hAnsi="宋体" w:cs="宋体"/>
                <w:color w:val="000000"/>
                <w:sz w:val="22"/>
                <w:szCs w:val="22"/>
              </w:rPr>
            </w:pPr>
          </w:p>
        </w:tc>
        <w:tc>
          <w:tcPr>
            <w:tcW w:w="4897" w:type="dxa"/>
            <w:shd w:val="clear" w:color="auto" w:fill="auto"/>
            <w:vAlign w:val="center"/>
          </w:tcPr>
          <w:p w14:paraId="704D1151">
            <w:pPr>
              <w:widowControl/>
              <w:rPr>
                <w:rFonts w:ascii="宋体" w:hAnsi="宋体" w:cs="宋体"/>
                <w:kern w:val="0"/>
                <w:szCs w:val="21"/>
              </w:rPr>
            </w:pPr>
            <w:r>
              <w:rPr>
                <w:rFonts w:hint="eastAsia" w:ascii="宋体" w:hAnsi="宋体" w:cs="宋体"/>
                <w:kern w:val="0"/>
                <w:szCs w:val="21"/>
              </w:rPr>
              <w:t>③墨色均匀厚实，色彩鲜有光泽，肤色正，接版准确，色调深浅一致；</w:t>
            </w:r>
          </w:p>
        </w:tc>
        <w:tc>
          <w:tcPr>
            <w:tcW w:w="462" w:type="dxa"/>
            <w:vMerge w:val="continue"/>
            <w:shd w:val="clear" w:color="auto" w:fill="auto"/>
            <w:vAlign w:val="center"/>
          </w:tcPr>
          <w:p w14:paraId="579E48AF">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6E574FF1">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26A2BFBF">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4CA2CB24">
            <w:pPr>
              <w:widowControl/>
              <w:jc w:val="center"/>
              <w:textAlignment w:val="center"/>
              <w:rPr>
                <w:rFonts w:ascii="宋体" w:hAnsi="宋体" w:cs="宋体"/>
                <w:color w:val="000000"/>
                <w:sz w:val="22"/>
                <w:szCs w:val="22"/>
              </w:rPr>
            </w:pPr>
          </w:p>
        </w:tc>
      </w:tr>
      <w:tr w14:paraId="68A2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78D9F957">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5D3F6A80">
            <w:pPr>
              <w:widowControl/>
              <w:jc w:val="left"/>
              <w:textAlignment w:val="center"/>
              <w:rPr>
                <w:rFonts w:ascii="宋体" w:hAnsi="宋体" w:cs="宋体"/>
                <w:color w:val="000000"/>
                <w:sz w:val="22"/>
                <w:szCs w:val="22"/>
              </w:rPr>
            </w:pPr>
          </w:p>
        </w:tc>
        <w:tc>
          <w:tcPr>
            <w:tcW w:w="4897" w:type="dxa"/>
            <w:shd w:val="clear" w:color="auto" w:fill="auto"/>
            <w:vAlign w:val="center"/>
          </w:tcPr>
          <w:p w14:paraId="64E59FEB">
            <w:pPr>
              <w:widowControl/>
              <w:rPr>
                <w:rFonts w:ascii="宋体" w:hAnsi="宋体" w:cs="宋体"/>
                <w:kern w:val="0"/>
                <w:szCs w:val="21"/>
              </w:rPr>
            </w:pPr>
            <w:r>
              <w:rPr>
                <w:rFonts w:hint="eastAsia" w:ascii="宋体" w:hAnsi="宋体" w:cs="宋体"/>
                <w:kern w:val="0"/>
                <w:szCs w:val="21"/>
              </w:rPr>
              <w:t>（3）正文印刷：</w:t>
            </w:r>
          </w:p>
        </w:tc>
        <w:tc>
          <w:tcPr>
            <w:tcW w:w="462" w:type="dxa"/>
            <w:vMerge w:val="continue"/>
            <w:shd w:val="clear" w:color="auto" w:fill="auto"/>
            <w:vAlign w:val="center"/>
          </w:tcPr>
          <w:p w14:paraId="5834D808">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7E5086B1">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724C21B1">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6DB58AFE">
            <w:pPr>
              <w:widowControl/>
              <w:jc w:val="center"/>
              <w:textAlignment w:val="center"/>
              <w:rPr>
                <w:rFonts w:ascii="宋体" w:hAnsi="宋体" w:cs="宋体"/>
                <w:color w:val="000000"/>
                <w:sz w:val="22"/>
                <w:szCs w:val="22"/>
              </w:rPr>
            </w:pPr>
          </w:p>
        </w:tc>
      </w:tr>
      <w:tr w14:paraId="7208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3132472C">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0E13328">
            <w:pPr>
              <w:widowControl/>
              <w:jc w:val="left"/>
              <w:textAlignment w:val="center"/>
              <w:rPr>
                <w:rFonts w:ascii="宋体" w:hAnsi="宋体" w:cs="宋体"/>
                <w:color w:val="000000"/>
                <w:sz w:val="22"/>
                <w:szCs w:val="22"/>
              </w:rPr>
            </w:pPr>
          </w:p>
        </w:tc>
        <w:tc>
          <w:tcPr>
            <w:tcW w:w="4897" w:type="dxa"/>
            <w:shd w:val="clear" w:color="auto" w:fill="auto"/>
            <w:vAlign w:val="center"/>
          </w:tcPr>
          <w:p w14:paraId="0A746D03">
            <w:pPr>
              <w:widowControl/>
              <w:rPr>
                <w:rFonts w:ascii="宋体" w:hAnsi="宋体" w:cs="宋体"/>
                <w:kern w:val="0"/>
                <w:szCs w:val="21"/>
              </w:rPr>
            </w:pPr>
            <w:r>
              <w:rPr>
                <w:rFonts w:hint="eastAsia" w:ascii="宋体" w:hAnsi="宋体" w:cs="宋体"/>
                <w:kern w:val="0"/>
                <w:szCs w:val="21"/>
              </w:rPr>
              <w:t>①压力：压力适度，全书前后轻重一致；</w:t>
            </w:r>
          </w:p>
        </w:tc>
        <w:tc>
          <w:tcPr>
            <w:tcW w:w="462" w:type="dxa"/>
            <w:vMerge w:val="continue"/>
            <w:shd w:val="clear" w:color="auto" w:fill="auto"/>
            <w:vAlign w:val="center"/>
          </w:tcPr>
          <w:p w14:paraId="2F86B9B9">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5E8FB96F">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4AC9BF40">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38BAD19E">
            <w:pPr>
              <w:widowControl/>
              <w:jc w:val="center"/>
              <w:textAlignment w:val="center"/>
              <w:rPr>
                <w:rFonts w:ascii="宋体" w:hAnsi="宋体" w:cs="宋体"/>
                <w:color w:val="000000"/>
                <w:sz w:val="22"/>
                <w:szCs w:val="22"/>
              </w:rPr>
            </w:pPr>
          </w:p>
        </w:tc>
      </w:tr>
      <w:tr w14:paraId="0079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482F678A">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5DA4015B">
            <w:pPr>
              <w:widowControl/>
              <w:jc w:val="left"/>
              <w:textAlignment w:val="center"/>
              <w:rPr>
                <w:rFonts w:ascii="宋体" w:hAnsi="宋体" w:cs="宋体"/>
                <w:color w:val="000000"/>
                <w:sz w:val="22"/>
                <w:szCs w:val="22"/>
              </w:rPr>
            </w:pPr>
          </w:p>
        </w:tc>
        <w:tc>
          <w:tcPr>
            <w:tcW w:w="4897" w:type="dxa"/>
            <w:shd w:val="clear" w:color="auto" w:fill="auto"/>
            <w:vAlign w:val="center"/>
          </w:tcPr>
          <w:p w14:paraId="77D4F34C">
            <w:pPr>
              <w:widowControl/>
              <w:rPr>
                <w:rFonts w:ascii="宋体" w:hAnsi="宋体" w:cs="宋体"/>
                <w:kern w:val="0"/>
                <w:szCs w:val="21"/>
              </w:rPr>
            </w:pPr>
            <w:r>
              <w:rPr>
                <w:rFonts w:hint="eastAsia" w:ascii="宋体" w:hAnsi="宋体" w:cs="宋体"/>
                <w:kern w:val="0"/>
                <w:szCs w:val="21"/>
              </w:rPr>
              <w:t>②墨色：全书前后墨色一致，浓淡适度；</w:t>
            </w:r>
          </w:p>
        </w:tc>
        <w:tc>
          <w:tcPr>
            <w:tcW w:w="462" w:type="dxa"/>
            <w:vMerge w:val="continue"/>
            <w:shd w:val="clear" w:color="auto" w:fill="auto"/>
            <w:vAlign w:val="center"/>
          </w:tcPr>
          <w:p w14:paraId="3F869263">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28AAA979">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363441B4">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0DC95974">
            <w:pPr>
              <w:widowControl/>
              <w:jc w:val="center"/>
              <w:textAlignment w:val="center"/>
              <w:rPr>
                <w:rFonts w:ascii="宋体" w:hAnsi="宋体" w:cs="宋体"/>
                <w:color w:val="000000"/>
                <w:sz w:val="22"/>
                <w:szCs w:val="22"/>
              </w:rPr>
            </w:pPr>
          </w:p>
        </w:tc>
      </w:tr>
      <w:tr w14:paraId="5601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50407B70">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54CC471D">
            <w:pPr>
              <w:widowControl/>
              <w:jc w:val="left"/>
              <w:textAlignment w:val="center"/>
              <w:rPr>
                <w:rFonts w:ascii="宋体" w:hAnsi="宋体" w:cs="宋体"/>
                <w:color w:val="000000"/>
                <w:sz w:val="22"/>
                <w:szCs w:val="22"/>
              </w:rPr>
            </w:pPr>
          </w:p>
        </w:tc>
        <w:tc>
          <w:tcPr>
            <w:tcW w:w="4897" w:type="dxa"/>
            <w:shd w:val="clear" w:color="auto" w:fill="auto"/>
            <w:vAlign w:val="center"/>
          </w:tcPr>
          <w:p w14:paraId="3BD0F728">
            <w:pPr>
              <w:widowControl/>
              <w:rPr>
                <w:rFonts w:ascii="宋体" w:hAnsi="宋体" w:cs="宋体"/>
                <w:kern w:val="0"/>
                <w:szCs w:val="21"/>
              </w:rPr>
            </w:pPr>
            <w:r>
              <w:rPr>
                <w:rFonts w:hint="eastAsia" w:ascii="宋体" w:hAnsi="宋体" w:cs="宋体"/>
                <w:kern w:val="0"/>
                <w:szCs w:val="21"/>
              </w:rPr>
              <w:t>③套印：版面端正，正反套印准确；</w:t>
            </w:r>
          </w:p>
        </w:tc>
        <w:tc>
          <w:tcPr>
            <w:tcW w:w="462" w:type="dxa"/>
            <w:vMerge w:val="continue"/>
            <w:shd w:val="clear" w:color="auto" w:fill="auto"/>
            <w:vAlign w:val="center"/>
          </w:tcPr>
          <w:p w14:paraId="5AA68848">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41C70853">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0B972DA6">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41BEF672">
            <w:pPr>
              <w:widowControl/>
              <w:jc w:val="center"/>
              <w:textAlignment w:val="center"/>
              <w:rPr>
                <w:rFonts w:ascii="宋体" w:hAnsi="宋体" w:cs="宋体"/>
                <w:color w:val="000000"/>
                <w:sz w:val="22"/>
                <w:szCs w:val="22"/>
              </w:rPr>
            </w:pPr>
          </w:p>
        </w:tc>
      </w:tr>
      <w:tr w14:paraId="0148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0C3F79CE">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A3085A9">
            <w:pPr>
              <w:widowControl/>
              <w:jc w:val="left"/>
              <w:textAlignment w:val="center"/>
              <w:rPr>
                <w:rFonts w:ascii="宋体" w:hAnsi="宋体" w:cs="宋体"/>
                <w:color w:val="000000"/>
                <w:sz w:val="22"/>
                <w:szCs w:val="22"/>
              </w:rPr>
            </w:pPr>
          </w:p>
        </w:tc>
        <w:tc>
          <w:tcPr>
            <w:tcW w:w="4897" w:type="dxa"/>
            <w:shd w:val="clear" w:color="auto" w:fill="auto"/>
            <w:vAlign w:val="center"/>
          </w:tcPr>
          <w:p w14:paraId="32849C95">
            <w:pPr>
              <w:widowControl/>
              <w:rPr>
                <w:rFonts w:ascii="宋体" w:hAnsi="宋体" w:cs="宋体"/>
                <w:kern w:val="0"/>
                <w:szCs w:val="21"/>
              </w:rPr>
            </w:pPr>
            <w:r>
              <w:rPr>
                <w:rFonts w:hint="eastAsia" w:ascii="宋体" w:hAnsi="宋体" w:cs="宋体"/>
                <w:kern w:val="0"/>
                <w:szCs w:val="21"/>
              </w:rPr>
              <w:t>④文字：文字、标点清晰，笔锋挺秀，无缺笔断划，标题黑实不花，小字不糊不瞎；</w:t>
            </w:r>
          </w:p>
        </w:tc>
        <w:tc>
          <w:tcPr>
            <w:tcW w:w="462" w:type="dxa"/>
            <w:vMerge w:val="continue"/>
            <w:shd w:val="clear" w:color="auto" w:fill="auto"/>
            <w:vAlign w:val="center"/>
          </w:tcPr>
          <w:p w14:paraId="2477C118">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21377BB4">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689174E4">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2F3E3A20">
            <w:pPr>
              <w:widowControl/>
              <w:jc w:val="center"/>
              <w:textAlignment w:val="center"/>
              <w:rPr>
                <w:rFonts w:ascii="宋体" w:hAnsi="宋体" w:cs="宋体"/>
                <w:color w:val="000000"/>
                <w:sz w:val="22"/>
                <w:szCs w:val="22"/>
              </w:rPr>
            </w:pPr>
          </w:p>
        </w:tc>
      </w:tr>
      <w:tr w14:paraId="6261C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5E541AA9">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5B8F9E2F">
            <w:pPr>
              <w:widowControl/>
              <w:jc w:val="left"/>
              <w:textAlignment w:val="center"/>
              <w:rPr>
                <w:rFonts w:ascii="宋体" w:hAnsi="宋体" w:cs="宋体"/>
                <w:color w:val="000000"/>
                <w:sz w:val="22"/>
                <w:szCs w:val="22"/>
              </w:rPr>
            </w:pPr>
          </w:p>
        </w:tc>
        <w:tc>
          <w:tcPr>
            <w:tcW w:w="4897" w:type="dxa"/>
            <w:shd w:val="clear" w:color="auto" w:fill="auto"/>
            <w:vAlign w:val="center"/>
          </w:tcPr>
          <w:p w14:paraId="2FB45FBF">
            <w:pPr>
              <w:widowControl/>
              <w:rPr>
                <w:rFonts w:ascii="宋体" w:hAnsi="宋体" w:cs="宋体"/>
                <w:kern w:val="0"/>
                <w:szCs w:val="21"/>
              </w:rPr>
            </w:pPr>
            <w:r>
              <w:rPr>
                <w:rFonts w:hint="eastAsia" w:ascii="宋体" w:hAnsi="宋体" w:cs="宋体"/>
                <w:kern w:val="0"/>
                <w:szCs w:val="21"/>
              </w:rPr>
              <w:t>⑤其它：书面无脏污、破损，无钉花、野墨；</w:t>
            </w:r>
          </w:p>
        </w:tc>
        <w:tc>
          <w:tcPr>
            <w:tcW w:w="462" w:type="dxa"/>
            <w:vMerge w:val="continue"/>
            <w:shd w:val="clear" w:color="auto" w:fill="auto"/>
            <w:vAlign w:val="center"/>
          </w:tcPr>
          <w:p w14:paraId="35C9E0BA">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1CBF1E35">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6AF69A8A">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11937E52">
            <w:pPr>
              <w:widowControl/>
              <w:jc w:val="center"/>
              <w:textAlignment w:val="center"/>
              <w:rPr>
                <w:rFonts w:ascii="宋体" w:hAnsi="宋体" w:cs="宋体"/>
                <w:color w:val="000000"/>
                <w:sz w:val="22"/>
                <w:szCs w:val="22"/>
              </w:rPr>
            </w:pPr>
          </w:p>
        </w:tc>
      </w:tr>
      <w:tr w14:paraId="3528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5D6A03E8">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4724BB1D">
            <w:pPr>
              <w:widowControl/>
              <w:jc w:val="left"/>
              <w:textAlignment w:val="center"/>
              <w:rPr>
                <w:rFonts w:ascii="宋体" w:hAnsi="宋体" w:cs="宋体"/>
                <w:color w:val="000000"/>
                <w:sz w:val="22"/>
                <w:szCs w:val="22"/>
              </w:rPr>
            </w:pPr>
          </w:p>
        </w:tc>
        <w:tc>
          <w:tcPr>
            <w:tcW w:w="4897" w:type="dxa"/>
            <w:shd w:val="clear" w:color="auto" w:fill="auto"/>
            <w:vAlign w:val="center"/>
          </w:tcPr>
          <w:p w14:paraId="672B2D96">
            <w:pPr>
              <w:widowControl/>
              <w:rPr>
                <w:rFonts w:ascii="宋体" w:hAnsi="宋体" w:cs="宋体"/>
                <w:kern w:val="0"/>
                <w:szCs w:val="21"/>
              </w:rPr>
            </w:pPr>
            <w:r>
              <w:rPr>
                <w:rFonts w:hint="eastAsia" w:ascii="宋体" w:hAnsi="宋体" w:cs="宋体"/>
                <w:kern w:val="0"/>
                <w:szCs w:val="21"/>
              </w:rPr>
              <w:t>（4）装订：</w:t>
            </w:r>
          </w:p>
        </w:tc>
        <w:tc>
          <w:tcPr>
            <w:tcW w:w="462" w:type="dxa"/>
            <w:vMerge w:val="continue"/>
            <w:shd w:val="clear" w:color="auto" w:fill="auto"/>
            <w:vAlign w:val="center"/>
          </w:tcPr>
          <w:p w14:paraId="7E80BC77">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2BCB0D6E">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27CEF387">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49614F38">
            <w:pPr>
              <w:widowControl/>
              <w:jc w:val="center"/>
              <w:textAlignment w:val="center"/>
              <w:rPr>
                <w:rFonts w:ascii="宋体" w:hAnsi="宋体" w:cs="宋体"/>
                <w:color w:val="000000"/>
                <w:sz w:val="22"/>
                <w:szCs w:val="22"/>
              </w:rPr>
            </w:pPr>
          </w:p>
        </w:tc>
      </w:tr>
      <w:tr w14:paraId="25AB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7F3DA3CB">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AC1A4BE">
            <w:pPr>
              <w:widowControl/>
              <w:jc w:val="left"/>
              <w:textAlignment w:val="center"/>
              <w:rPr>
                <w:rFonts w:ascii="宋体" w:hAnsi="宋体" w:cs="宋体"/>
                <w:color w:val="000000"/>
                <w:sz w:val="22"/>
                <w:szCs w:val="22"/>
              </w:rPr>
            </w:pPr>
          </w:p>
        </w:tc>
        <w:tc>
          <w:tcPr>
            <w:tcW w:w="4897" w:type="dxa"/>
            <w:shd w:val="clear" w:color="auto" w:fill="auto"/>
            <w:vAlign w:val="center"/>
          </w:tcPr>
          <w:p w14:paraId="71DA12EB">
            <w:pPr>
              <w:widowControl/>
              <w:rPr>
                <w:rFonts w:ascii="宋体" w:hAnsi="宋体" w:cs="宋体"/>
                <w:kern w:val="0"/>
                <w:szCs w:val="21"/>
              </w:rPr>
            </w:pPr>
            <w:r>
              <w:rPr>
                <w:rFonts w:hint="eastAsia" w:ascii="宋体" w:hAnsi="宋体" w:cs="宋体"/>
                <w:kern w:val="0"/>
                <w:szCs w:val="21"/>
              </w:rPr>
              <w:t>①开本尺寸符合设计要求，套书规格一致，成品裁切方正，无明显刀花，无连接页、折角、破头；</w:t>
            </w:r>
          </w:p>
        </w:tc>
        <w:tc>
          <w:tcPr>
            <w:tcW w:w="462" w:type="dxa"/>
            <w:vMerge w:val="continue"/>
            <w:shd w:val="clear" w:color="auto" w:fill="auto"/>
            <w:vAlign w:val="center"/>
          </w:tcPr>
          <w:p w14:paraId="5614B1FD">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72FD110C">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7183E6E7">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6C3E1B55">
            <w:pPr>
              <w:widowControl/>
              <w:jc w:val="center"/>
              <w:textAlignment w:val="center"/>
              <w:rPr>
                <w:rFonts w:ascii="宋体" w:hAnsi="宋体" w:cs="宋体"/>
                <w:color w:val="000000"/>
                <w:sz w:val="22"/>
                <w:szCs w:val="22"/>
              </w:rPr>
            </w:pPr>
          </w:p>
        </w:tc>
      </w:tr>
      <w:tr w14:paraId="5960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41BF4CA7">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62EC6C8C">
            <w:pPr>
              <w:widowControl/>
              <w:jc w:val="left"/>
              <w:textAlignment w:val="center"/>
              <w:rPr>
                <w:rFonts w:ascii="宋体" w:hAnsi="宋体" w:cs="宋体"/>
                <w:color w:val="000000"/>
                <w:sz w:val="22"/>
                <w:szCs w:val="22"/>
              </w:rPr>
            </w:pPr>
          </w:p>
        </w:tc>
        <w:tc>
          <w:tcPr>
            <w:tcW w:w="4897" w:type="dxa"/>
            <w:shd w:val="clear" w:color="auto" w:fill="auto"/>
            <w:vAlign w:val="center"/>
          </w:tcPr>
          <w:p w14:paraId="230D1472">
            <w:pPr>
              <w:widowControl/>
              <w:rPr>
                <w:rFonts w:ascii="宋体" w:hAnsi="宋体" w:cs="宋体"/>
                <w:kern w:val="0"/>
                <w:szCs w:val="21"/>
              </w:rPr>
            </w:pPr>
            <w:r>
              <w:rPr>
                <w:rFonts w:hint="eastAsia" w:ascii="宋体" w:hAnsi="宋体" w:cs="宋体"/>
                <w:kern w:val="0"/>
                <w:szCs w:val="21"/>
              </w:rPr>
              <w:t>②书背平整，无空背、起泡、明显皱折，书脊字居中，封面齐色，边框要色正；</w:t>
            </w:r>
          </w:p>
        </w:tc>
        <w:tc>
          <w:tcPr>
            <w:tcW w:w="462" w:type="dxa"/>
            <w:vMerge w:val="continue"/>
            <w:shd w:val="clear" w:color="auto" w:fill="auto"/>
            <w:vAlign w:val="center"/>
          </w:tcPr>
          <w:p w14:paraId="47D62E3C">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7EB87EF2">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06EB113D">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03010670">
            <w:pPr>
              <w:widowControl/>
              <w:jc w:val="center"/>
              <w:textAlignment w:val="center"/>
              <w:rPr>
                <w:rFonts w:ascii="宋体" w:hAnsi="宋体" w:cs="宋体"/>
                <w:color w:val="000000"/>
                <w:sz w:val="22"/>
                <w:szCs w:val="22"/>
              </w:rPr>
            </w:pPr>
          </w:p>
        </w:tc>
      </w:tr>
      <w:tr w14:paraId="5AB0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6D44753B">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65246A6">
            <w:pPr>
              <w:widowControl/>
              <w:jc w:val="left"/>
              <w:textAlignment w:val="center"/>
              <w:rPr>
                <w:rFonts w:ascii="宋体" w:hAnsi="宋体" w:cs="宋体"/>
                <w:color w:val="000000"/>
                <w:sz w:val="22"/>
                <w:szCs w:val="22"/>
              </w:rPr>
            </w:pPr>
          </w:p>
        </w:tc>
        <w:tc>
          <w:tcPr>
            <w:tcW w:w="4897" w:type="dxa"/>
            <w:shd w:val="clear" w:color="auto" w:fill="auto"/>
            <w:vAlign w:val="center"/>
          </w:tcPr>
          <w:p w14:paraId="4D6D5600">
            <w:pPr>
              <w:widowControl/>
              <w:rPr>
                <w:rFonts w:ascii="宋体" w:hAnsi="宋体" w:cs="宋体"/>
                <w:kern w:val="0"/>
                <w:szCs w:val="21"/>
              </w:rPr>
            </w:pPr>
            <w:r>
              <w:rPr>
                <w:rFonts w:hint="eastAsia" w:ascii="宋体" w:hAnsi="宋体" w:cs="宋体"/>
                <w:kern w:val="0"/>
                <w:szCs w:val="21"/>
              </w:rPr>
              <w:t>③全书页码折正，书面平服，无皱折(八字折等)；</w:t>
            </w:r>
          </w:p>
        </w:tc>
        <w:tc>
          <w:tcPr>
            <w:tcW w:w="462" w:type="dxa"/>
            <w:vMerge w:val="continue"/>
            <w:shd w:val="clear" w:color="auto" w:fill="auto"/>
            <w:vAlign w:val="center"/>
          </w:tcPr>
          <w:p w14:paraId="7689160A">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041F67E3">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43E11275">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2C8DE5AD">
            <w:pPr>
              <w:widowControl/>
              <w:jc w:val="center"/>
              <w:textAlignment w:val="center"/>
              <w:rPr>
                <w:rFonts w:ascii="宋体" w:hAnsi="宋体" w:cs="宋体"/>
                <w:color w:val="000000"/>
                <w:sz w:val="22"/>
                <w:szCs w:val="22"/>
              </w:rPr>
            </w:pPr>
          </w:p>
        </w:tc>
      </w:tr>
      <w:tr w14:paraId="3E1F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4FED45B3">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5C97B745">
            <w:pPr>
              <w:widowControl/>
              <w:jc w:val="left"/>
              <w:textAlignment w:val="center"/>
              <w:rPr>
                <w:rFonts w:ascii="宋体" w:hAnsi="宋体" w:cs="宋体"/>
                <w:color w:val="000000"/>
                <w:sz w:val="22"/>
                <w:szCs w:val="22"/>
              </w:rPr>
            </w:pPr>
          </w:p>
        </w:tc>
        <w:tc>
          <w:tcPr>
            <w:tcW w:w="4897" w:type="dxa"/>
            <w:shd w:val="clear" w:color="auto" w:fill="auto"/>
            <w:vAlign w:val="center"/>
          </w:tcPr>
          <w:p w14:paraId="435ECAB3">
            <w:pPr>
              <w:widowControl/>
              <w:rPr>
                <w:rFonts w:ascii="宋体" w:hAnsi="宋体" w:cs="宋体"/>
                <w:kern w:val="0"/>
                <w:szCs w:val="21"/>
              </w:rPr>
            </w:pPr>
            <w:r>
              <w:rPr>
                <w:rFonts w:hint="eastAsia" w:ascii="宋体" w:hAnsi="宋体" w:cs="宋体"/>
                <w:kern w:val="0"/>
                <w:szCs w:val="21"/>
              </w:rPr>
              <w:t>④骑马钉、平钉的钉脚不翘，无断丝、凸肚，钉距匀称，坚实牢固易翻不脱页；</w:t>
            </w:r>
          </w:p>
        </w:tc>
        <w:tc>
          <w:tcPr>
            <w:tcW w:w="462" w:type="dxa"/>
            <w:vMerge w:val="continue"/>
            <w:shd w:val="clear" w:color="auto" w:fill="auto"/>
            <w:vAlign w:val="center"/>
          </w:tcPr>
          <w:p w14:paraId="26931FCD">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7537CF17">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79109A77">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0D02C3D7">
            <w:pPr>
              <w:widowControl/>
              <w:jc w:val="center"/>
              <w:textAlignment w:val="center"/>
              <w:rPr>
                <w:rFonts w:ascii="宋体" w:hAnsi="宋体" w:cs="宋体"/>
                <w:color w:val="000000"/>
                <w:sz w:val="22"/>
                <w:szCs w:val="22"/>
              </w:rPr>
            </w:pPr>
          </w:p>
        </w:tc>
      </w:tr>
      <w:tr w14:paraId="6A12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63E01B25">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277E38EE">
            <w:pPr>
              <w:widowControl/>
              <w:jc w:val="left"/>
              <w:textAlignment w:val="center"/>
              <w:rPr>
                <w:rFonts w:ascii="宋体" w:hAnsi="宋体" w:cs="宋体"/>
                <w:color w:val="000000"/>
                <w:sz w:val="22"/>
                <w:szCs w:val="22"/>
              </w:rPr>
            </w:pPr>
          </w:p>
        </w:tc>
        <w:tc>
          <w:tcPr>
            <w:tcW w:w="4897" w:type="dxa"/>
            <w:shd w:val="clear" w:color="auto" w:fill="auto"/>
            <w:vAlign w:val="center"/>
          </w:tcPr>
          <w:p w14:paraId="305AB7D0">
            <w:pPr>
              <w:widowControl/>
              <w:rPr>
                <w:rFonts w:ascii="宋体" w:hAnsi="宋体" w:cs="宋体"/>
                <w:kern w:val="0"/>
                <w:szCs w:val="21"/>
              </w:rPr>
            </w:pPr>
            <w:r>
              <w:rPr>
                <w:rFonts w:hint="eastAsia" w:ascii="宋体" w:hAnsi="宋体" w:cs="宋体"/>
                <w:kern w:val="0"/>
                <w:szCs w:val="21"/>
              </w:rPr>
              <w:t>⑤其它：书页整洁，无脏污、破页、野胶。</w:t>
            </w:r>
          </w:p>
        </w:tc>
        <w:tc>
          <w:tcPr>
            <w:tcW w:w="462" w:type="dxa"/>
            <w:vMerge w:val="continue"/>
            <w:shd w:val="clear" w:color="auto" w:fill="auto"/>
            <w:vAlign w:val="center"/>
          </w:tcPr>
          <w:p w14:paraId="234A66A1">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784FED93">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2D5A1E5C">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754B6FEF">
            <w:pPr>
              <w:widowControl/>
              <w:jc w:val="center"/>
              <w:textAlignment w:val="center"/>
              <w:rPr>
                <w:rFonts w:ascii="宋体" w:hAnsi="宋体" w:cs="宋体"/>
                <w:color w:val="000000"/>
                <w:sz w:val="22"/>
                <w:szCs w:val="22"/>
              </w:rPr>
            </w:pPr>
          </w:p>
        </w:tc>
      </w:tr>
      <w:tr w14:paraId="386D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517EFA6F">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0F5A5D61">
            <w:pPr>
              <w:widowControl/>
              <w:jc w:val="left"/>
              <w:textAlignment w:val="center"/>
              <w:rPr>
                <w:rFonts w:ascii="宋体" w:hAnsi="宋体" w:cs="宋体"/>
                <w:color w:val="000000"/>
                <w:sz w:val="22"/>
                <w:szCs w:val="22"/>
              </w:rPr>
            </w:pPr>
          </w:p>
        </w:tc>
        <w:tc>
          <w:tcPr>
            <w:tcW w:w="4897" w:type="dxa"/>
            <w:shd w:val="clear" w:color="auto" w:fill="auto"/>
            <w:vAlign w:val="center"/>
          </w:tcPr>
          <w:p w14:paraId="18BCF8AE">
            <w:pPr>
              <w:widowControl/>
              <w:rPr>
                <w:rFonts w:ascii="宋体" w:hAnsi="宋体" w:cs="宋体"/>
                <w:kern w:val="0"/>
                <w:szCs w:val="21"/>
              </w:rPr>
            </w:pPr>
            <w:r>
              <w:rPr>
                <w:rFonts w:hint="eastAsia" w:ascii="宋体" w:hAnsi="宋体" w:cs="宋体"/>
                <w:kern w:val="0"/>
                <w:sz w:val="22"/>
              </w:rPr>
              <w:t>▲</w:t>
            </w:r>
            <w:r>
              <w:rPr>
                <w:rFonts w:hint="eastAsia" w:ascii="华文楷体" w:hAnsi="华文楷体" w:eastAsia="华文楷体" w:cs="宋体"/>
                <w:b/>
                <w:bCs/>
                <w:kern w:val="0"/>
                <w:szCs w:val="21"/>
              </w:rPr>
              <w:t>3.出版要求：</w:t>
            </w:r>
            <w:r>
              <w:rPr>
                <w:rFonts w:hint="eastAsia" w:ascii="宋体" w:hAnsi="宋体" w:cs="宋体"/>
                <w:kern w:val="0"/>
                <w:szCs w:val="21"/>
              </w:rPr>
              <w:t>必须是国内正规出版社出版或印刷的精品图书，其内容必须符合学生认知水平和阅读水平，要求思想健康，符合新课改要求，适合于教育教学、教研和师生课外阅读需要的各类图书，不接受国外进口图书。</w:t>
            </w:r>
          </w:p>
        </w:tc>
        <w:tc>
          <w:tcPr>
            <w:tcW w:w="462" w:type="dxa"/>
            <w:vMerge w:val="continue"/>
            <w:shd w:val="clear" w:color="auto" w:fill="auto"/>
            <w:vAlign w:val="center"/>
          </w:tcPr>
          <w:p w14:paraId="249CE5A8">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32232B95">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0A4BCCE6">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190037E6">
            <w:pPr>
              <w:widowControl/>
              <w:jc w:val="center"/>
              <w:textAlignment w:val="center"/>
              <w:rPr>
                <w:rFonts w:ascii="宋体" w:hAnsi="宋体" w:cs="宋体"/>
                <w:color w:val="000000"/>
                <w:sz w:val="22"/>
                <w:szCs w:val="22"/>
              </w:rPr>
            </w:pPr>
          </w:p>
        </w:tc>
      </w:tr>
      <w:tr w14:paraId="5D5C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3" w:type="dxa"/>
            <w:vMerge w:val="continue"/>
            <w:shd w:val="clear" w:color="auto" w:fill="auto"/>
            <w:vAlign w:val="center"/>
          </w:tcPr>
          <w:p w14:paraId="4EE5AC3E">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5C0D95CC">
            <w:pPr>
              <w:widowControl/>
              <w:jc w:val="left"/>
              <w:textAlignment w:val="center"/>
              <w:rPr>
                <w:rFonts w:ascii="宋体" w:hAnsi="宋体" w:cs="宋体"/>
                <w:color w:val="000000"/>
                <w:sz w:val="22"/>
                <w:szCs w:val="22"/>
              </w:rPr>
            </w:pPr>
          </w:p>
        </w:tc>
        <w:tc>
          <w:tcPr>
            <w:tcW w:w="4897" w:type="dxa"/>
            <w:shd w:val="clear" w:color="auto" w:fill="auto"/>
            <w:vAlign w:val="center"/>
          </w:tcPr>
          <w:p w14:paraId="103893B2">
            <w:pPr>
              <w:widowControl/>
              <w:rPr>
                <w:rFonts w:ascii="宋体" w:hAnsi="宋体" w:cs="宋体"/>
                <w:kern w:val="0"/>
                <w:szCs w:val="21"/>
              </w:rPr>
            </w:pPr>
            <w:r>
              <w:rPr>
                <w:rFonts w:hint="eastAsia" w:ascii="宋体" w:hAnsi="宋体" w:cs="宋体"/>
                <w:kern w:val="0"/>
                <w:sz w:val="22"/>
              </w:rPr>
              <w:t>▲</w:t>
            </w:r>
            <w:r>
              <w:rPr>
                <w:rFonts w:hint="eastAsia" w:ascii="华文楷体" w:hAnsi="华文楷体" w:eastAsia="华文楷体" w:cs="宋体"/>
                <w:b/>
                <w:bCs/>
                <w:kern w:val="0"/>
                <w:szCs w:val="21"/>
              </w:rPr>
              <w:t>4.版权要求：</w:t>
            </w:r>
            <w:r>
              <w:rPr>
                <w:rFonts w:hint="eastAsia" w:ascii="宋体" w:hAnsi="宋体" w:cs="宋体"/>
                <w:kern w:val="0"/>
                <w:szCs w:val="21"/>
              </w:rPr>
              <w:t>投标的所有图书均为正版发行，出版手续齐全，无知识产权、版权纠纷。中标供应商必须保证所供图书为正版图书，若是盗版书或是因版权的纠纷由中标供应商负全部责任，并承担由此造成的一切后果及相应的经济和法律责任。投标时必须提交与图书版权相关的承诺书（加盖投标人公章，格式自拟）。</w:t>
            </w:r>
          </w:p>
        </w:tc>
        <w:tc>
          <w:tcPr>
            <w:tcW w:w="462" w:type="dxa"/>
            <w:vMerge w:val="continue"/>
            <w:shd w:val="clear" w:color="auto" w:fill="auto"/>
            <w:vAlign w:val="center"/>
          </w:tcPr>
          <w:p w14:paraId="6586CC4F">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7F58D8D3">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0E830699">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53A0DD71">
            <w:pPr>
              <w:widowControl/>
              <w:jc w:val="center"/>
              <w:textAlignment w:val="center"/>
              <w:rPr>
                <w:rFonts w:ascii="宋体" w:hAnsi="宋体" w:cs="宋体"/>
                <w:color w:val="000000"/>
                <w:sz w:val="22"/>
                <w:szCs w:val="22"/>
              </w:rPr>
            </w:pPr>
          </w:p>
        </w:tc>
      </w:tr>
      <w:tr w14:paraId="0BD5A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3F59DA9">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0AE25D2">
            <w:pPr>
              <w:widowControl/>
              <w:jc w:val="left"/>
              <w:textAlignment w:val="center"/>
              <w:rPr>
                <w:rFonts w:ascii="宋体" w:hAnsi="宋体" w:cs="宋体"/>
                <w:color w:val="000000"/>
                <w:sz w:val="22"/>
                <w:szCs w:val="22"/>
              </w:rPr>
            </w:pPr>
          </w:p>
        </w:tc>
        <w:tc>
          <w:tcPr>
            <w:tcW w:w="4897" w:type="dxa"/>
            <w:shd w:val="clear" w:color="auto" w:fill="auto"/>
            <w:vAlign w:val="center"/>
          </w:tcPr>
          <w:p w14:paraId="63EDE9CA">
            <w:pPr>
              <w:widowControl/>
              <w:rPr>
                <w:rFonts w:ascii="华文楷体" w:hAnsi="华文楷体" w:eastAsia="华文楷体" w:cs="宋体"/>
                <w:b/>
                <w:bCs/>
                <w:kern w:val="0"/>
                <w:szCs w:val="21"/>
              </w:rPr>
            </w:pPr>
            <w:r>
              <w:rPr>
                <w:rFonts w:hint="eastAsia" w:ascii="宋体" w:hAnsi="宋体" w:cs="宋体"/>
                <w:kern w:val="0"/>
                <w:sz w:val="22"/>
              </w:rPr>
              <w:t>▲</w:t>
            </w:r>
            <w:r>
              <w:rPr>
                <w:rFonts w:hint="eastAsia" w:ascii="华文楷体" w:hAnsi="华文楷体" w:eastAsia="华文楷体" w:cs="宋体"/>
                <w:b/>
                <w:bCs/>
                <w:kern w:val="0"/>
                <w:szCs w:val="21"/>
              </w:rPr>
              <w:t>5.抽样检测：</w:t>
            </w:r>
          </w:p>
          <w:p w14:paraId="392ED801">
            <w:pPr>
              <w:widowControl/>
              <w:rPr>
                <w:rFonts w:ascii="宋体" w:hAnsi="宋体" w:cs="宋体"/>
                <w:b/>
                <w:color w:val="FF0000"/>
                <w:kern w:val="0"/>
                <w:szCs w:val="21"/>
              </w:rPr>
            </w:pPr>
            <w:r>
              <w:rPr>
                <w:rFonts w:hint="eastAsia" w:ascii="宋体" w:hAnsi="宋体" w:cs="宋体"/>
                <w:b/>
                <w:color w:val="FF0000"/>
                <w:kern w:val="0"/>
                <w:szCs w:val="21"/>
              </w:rPr>
              <w:t>5.</w:t>
            </w:r>
            <w:r>
              <w:rPr>
                <w:rFonts w:ascii="宋体" w:hAnsi="宋体" w:cs="宋体"/>
                <w:b/>
                <w:color w:val="FF0000"/>
                <w:kern w:val="0"/>
                <w:szCs w:val="21"/>
              </w:rPr>
              <w:t>1实际供货前，中标方</w:t>
            </w:r>
            <w:r>
              <w:rPr>
                <w:rFonts w:hint="eastAsia" w:ascii="宋体" w:hAnsi="宋体" w:cs="宋体"/>
                <w:b/>
                <w:color w:val="FF0000"/>
                <w:kern w:val="0"/>
                <w:szCs w:val="21"/>
              </w:rPr>
              <w:t>须</w:t>
            </w:r>
            <w:r>
              <w:rPr>
                <w:rFonts w:ascii="宋体" w:hAnsi="宋体" w:cs="宋体"/>
                <w:b/>
                <w:color w:val="FF0000"/>
                <w:kern w:val="0"/>
                <w:szCs w:val="21"/>
              </w:rPr>
              <w:t>将</w:t>
            </w:r>
            <w:r>
              <w:rPr>
                <w:rFonts w:hint="eastAsia" w:ascii="宋体" w:hAnsi="宋体" w:cs="宋体"/>
                <w:b/>
                <w:color w:val="FF0000"/>
                <w:kern w:val="0"/>
                <w:szCs w:val="21"/>
              </w:rPr>
              <w:t>书目清单电子版（必须是Excel格式）提供给学校，由学校从书目中选择不少于10套图书进行审查，重点审查图书内容是符合教育部制定的《中小学生课外读物进校园管理办法》要求，特别是是否存在《中小学生课外读物进校园管理办法》所列十二种“不得推荐或选用为中小学生课外读物”类图书，发现存在问题的，中标供应商无条件负责更换。</w:t>
            </w:r>
          </w:p>
          <w:p w14:paraId="55216E3C">
            <w:pPr>
              <w:widowControl/>
              <w:rPr>
                <w:rFonts w:ascii="宋体" w:hAnsi="宋体" w:cs="宋体"/>
                <w:b/>
                <w:kern w:val="0"/>
                <w:szCs w:val="21"/>
              </w:rPr>
            </w:pPr>
            <w:r>
              <w:rPr>
                <w:rFonts w:hint="eastAsia" w:ascii="宋体" w:hAnsi="宋体" w:cs="宋体"/>
                <w:b/>
                <w:color w:val="FF0000"/>
                <w:kern w:val="0"/>
                <w:szCs w:val="21"/>
              </w:rPr>
              <w:t>5.2采购人可随机抽样对供货图书进行ISBN号的检测，一旦发现盗版图书，将立即取消中标供应商供书资格并追加违约责任和损失赔偿，同时上报相关监督管理部门并给予相应的经济处罚。经验收后，若仍发现质量不合格的图书，中标供应商须予以退换。</w:t>
            </w:r>
          </w:p>
        </w:tc>
        <w:tc>
          <w:tcPr>
            <w:tcW w:w="462" w:type="dxa"/>
            <w:vMerge w:val="continue"/>
            <w:shd w:val="clear" w:color="auto" w:fill="auto"/>
            <w:noWrap/>
            <w:vAlign w:val="center"/>
          </w:tcPr>
          <w:p w14:paraId="7E8EE5C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B114E3E">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1F389A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6F47914">
            <w:pPr>
              <w:widowControl/>
              <w:jc w:val="center"/>
              <w:textAlignment w:val="center"/>
              <w:rPr>
                <w:rFonts w:ascii="宋体" w:hAnsi="宋体" w:cs="宋体"/>
                <w:color w:val="000000"/>
                <w:sz w:val="22"/>
                <w:szCs w:val="22"/>
              </w:rPr>
            </w:pPr>
          </w:p>
        </w:tc>
      </w:tr>
      <w:tr w14:paraId="2310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F03F086">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52F12AD">
            <w:pPr>
              <w:widowControl/>
              <w:jc w:val="left"/>
              <w:textAlignment w:val="center"/>
              <w:rPr>
                <w:rFonts w:ascii="宋体" w:hAnsi="宋体" w:cs="宋体"/>
                <w:color w:val="000000"/>
                <w:sz w:val="22"/>
                <w:szCs w:val="22"/>
              </w:rPr>
            </w:pPr>
          </w:p>
        </w:tc>
        <w:tc>
          <w:tcPr>
            <w:tcW w:w="4897" w:type="dxa"/>
            <w:shd w:val="clear" w:color="auto" w:fill="auto"/>
            <w:vAlign w:val="center"/>
          </w:tcPr>
          <w:p w14:paraId="29EC7A6C">
            <w:pPr>
              <w:widowControl/>
              <w:rPr>
                <w:rFonts w:ascii="宋体" w:hAnsi="宋体" w:cs="宋体"/>
                <w:kern w:val="0"/>
                <w:szCs w:val="21"/>
              </w:rPr>
            </w:pPr>
            <w:r>
              <w:rPr>
                <w:rFonts w:hint="eastAsia" w:ascii="华文楷体" w:hAnsi="华文楷体" w:eastAsia="华文楷体" w:cs="宋体"/>
                <w:b/>
                <w:bCs/>
                <w:kern w:val="0"/>
                <w:szCs w:val="21"/>
              </w:rPr>
              <w:t>6.图书加工与上架要求：</w:t>
            </w:r>
            <w:r>
              <w:rPr>
                <w:rFonts w:hint="eastAsia" w:ascii="宋体" w:hAnsi="宋体" w:cs="宋体"/>
                <w:kern w:val="0"/>
                <w:szCs w:val="21"/>
              </w:rPr>
              <w:t>中标供应商必须为本次采购的图书免费提供加工上架服务，加工费和材料费均由中标供应商承担，详细要求如下：</w:t>
            </w:r>
          </w:p>
        </w:tc>
        <w:tc>
          <w:tcPr>
            <w:tcW w:w="462" w:type="dxa"/>
            <w:vMerge w:val="continue"/>
            <w:shd w:val="clear" w:color="auto" w:fill="auto"/>
            <w:noWrap/>
            <w:vAlign w:val="center"/>
          </w:tcPr>
          <w:p w14:paraId="7021599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A763C2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4EED021">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8B356A8">
            <w:pPr>
              <w:widowControl/>
              <w:jc w:val="center"/>
              <w:textAlignment w:val="center"/>
              <w:rPr>
                <w:rFonts w:ascii="宋体" w:hAnsi="宋体" w:cs="宋体"/>
                <w:color w:val="000000"/>
                <w:sz w:val="22"/>
                <w:szCs w:val="22"/>
              </w:rPr>
            </w:pPr>
          </w:p>
        </w:tc>
      </w:tr>
      <w:tr w14:paraId="0718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3A49FDF">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1D9608C1">
            <w:pPr>
              <w:widowControl/>
              <w:jc w:val="left"/>
              <w:textAlignment w:val="center"/>
              <w:rPr>
                <w:rFonts w:ascii="宋体" w:hAnsi="宋体" w:cs="宋体"/>
                <w:color w:val="000000"/>
                <w:sz w:val="22"/>
                <w:szCs w:val="22"/>
              </w:rPr>
            </w:pPr>
          </w:p>
        </w:tc>
        <w:tc>
          <w:tcPr>
            <w:tcW w:w="4897" w:type="dxa"/>
            <w:shd w:val="clear" w:color="auto" w:fill="auto"/>
            <w:vAlign w:val="center"/>
          </w:tcPr>
          <w:p w14:paraId="1FDA8651">
            <w:pPr>
              <w:widowControl/>
              <w:rPr>
                <w:rFonts w:ascii="宋体" w:hAnsi="宋体" w:cs="宋体"/>
                <w:kern w:val="0"/>
                <w:szCs w:val="21"/>
              </w:rPr>
            </w:pPr>
            <w:r>
              <w:rPr>
                <w:rFonts w:hint="eastAsia" w:ascii="宋体" w:hAnsi="宋体" w:cs="宋体"/>
                <w:kern w:val="0"/>
                <w:szCs w:val="21"/>
              </w:rPr>
              <w:t>（1）图书编目著录、标引、分类</w:t>
            </w:r>
          </w:p>
        </w:tc>
        <w:tc>
          <w:tcPr>
            <w:tcW w:w="462" w:type="dxa"/>
            <w:vMerge w:val="continue"/>
            <w:shd w:val="clear" w:color="auto" w:fill="auto"/>
            <w:noWrap/>
            <w:vAlign w:val="center"/>
          </w:tcPr>
          <w:p w14:paraId="1D5F9FB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87F754A">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CC3861A">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3FC74C8">
            <w:pPr>
              <w:widowControl/>
              <w:jc w:val="center"/>
              <w:textAlignment w:val="center"/>
              <w:rPr>
                <w:rFonts w:ascii="宋体" w:hAnsi="宋体" w:cs="宋体"/>
                <w:color w:val="000000"/>
                <w:sz w:val="22"/>
                <w:szCs w:val="22"/>
              </w:rPr>
            </w:pPr>
          </w:p>
        </w:tc>
      </w:tr>
      <w:tr w14:paraId="6D01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DAD9D41">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6876BA4D">
            <w:pPr>
              <w:widowControl/>
              <w:jc w:val="left"/>
              <w:textAlignment w:val="center"/>
              <w:rPr>
                <w:rFonts w:ascii="宋体" w:hAnsi="宋体" w:cs="宋体"/>
                <w:color w:val="000000"/>
                <w:sz w:val="22"/>
                <w:szCs w:val="22"/>
              </w:rPr>
            </w:pPr>
          </w:p>
        </w:tc>
        <w:tc>
          <w:tcPr>
            <w:tcW w:w="4897" w:type="dxa"/>
            <w:shd w:val="clear" w:color="auto" w:fill="auto"/>
            <w:vAlign w:val="center"/>
          </w:tcPr>
          <w:p w14:paraId="2DD60732">
            <w:pPr>
              <w:widowControl/>
              <w:rPr>
                <w:rFonts w:ascii="宋体" w:hAnsi="宋体" w:cs="宋体"/>
                <w:kern w:val="0"/>
                <w:szCs w:val="21"/>
              </w:rPr>
            </w:pPr>
            <w:r>
              <w:rPr>
                <w:rFonts w:hint="eastAsia" w:ascii="宋体" w:hAnsi="宋体" w:cs="宋体"/>
                <w:kern w:val="0"/>
                <w:szCs w:val="21"/>
              </w:rPr>
              <w:t>编目录入：严格按照《国际标准书目著录（ISBD）》和《中国文献著录标准（GB3792）》进行录入，必须完整的提供图书的实际信息，将ISBN、作品语种、正题名、副题名、并列提名、丛书提名、分辑提名、卷册总价、卷册说明、主要责任者及国别年代、责任方式、出版年月、出版社、页码、尺寸、价格、分类号、索书号、装帧、版次、主题词等与国家机读目录格式对应输入到图书文献管理系统中。加工后的图书目录数据必须与南宁市中小学图书馆管理云平台中的数据相兼容。</w:t>
            </w:r>
          </w:p>
        </w:tc>
        <w:tc>
          <w:tcPr>
            <w:tcW w:w="462" w:type="dxa"/>
            <w:vMerge w:val="continue"/>
            <w:shd w:val="clear" w:color="auto" w:fill="auto"/>
            <w:noWrap/>
            <w:vAlign w:val="center"/>
          </w:tcPr>
          <w:p w14:paraId="06DEE03C">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F4D13D2">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AFE37B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5ABDB1E">
            <w:pPr>
              <w:widowControl/>
              <w:jc w:val="center"/>
              <w:textAlignment w:val="center"/>
              <w:rPr>
                <w:rFonts w:ascii="宋体" w:hAnsi="宋体" w:cs="宋体"/>
                <w:color w:val="000000"/>
                <w:sz w:val="22"/>
                <w:szCs w:val="22"/>
              </w:rPr>
            </w:pPr>
          </w:p>
        </w:tc>
      </w:tr>
      <w:tr w14:paraId="7AD7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D4F2D64">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618D3DB4">
            <w:pPr>
              <w:widowControl/>
              <w:jc w:val="left"/>
              <w:textAlignment w:val="center"/>
              <w:rPr>
                <w:rFonts w:ascii="宋体" w:hAnsi="宋体" w:cs="宋体"/>
                <w:color w:val="000000"/>
                <w:sz w:val="22"/>
                <w:szCs w:val="22"/>
              </w:rPr>
            </w:pPr>
          </w:p>
        </w:tc>
        <w:tc>
          <w:tcPr>
            <w:tcW w:w="4897" w:type="dxa"/>
            <w:shd w:val="clear" w:color="auto" w:fill="auto"/>
            <w:vAlign w:val="center"/>
          </w:tcPr>
          <w:p w14:paraId="0284FD48">
            <w:pPr>
              <w:widowControl/>
              <w:rPr>
                <w:rFonts w:ascii="宋体" w:hAnsi="宋体" w:cs="宋体"/>
                <w:kern w:val="0"/>
                <w:szCs w:val="21"/>
              </w:rPr>
            </w:pPr>
            <w:r>
              <w:rPr>
                <w:rFonts w:hint="eastAsia" w:ascii="宋体" w:hAnsi="宋体" w:cs="宋体"/>
                <w:kern w:val="0"/>
                <w:szCs w:val="21"/>
              </w:rPr>
              <w:t>（2）物理加工：</w:t>
            </w:r>
          </w:p>
        </w:tc>
        <w:tc>
          <w:tcPr>
            <w:tcW w:w="462" w:type="dxa"/>
            <w:vMerge w:val="continue"/>
            <w:shd w:val="clear" w:color="auto" w:fill="auto"/>
            <w:noWrap/>
            <w:vAlign w:val="center"/>
          </w:tcPr>
          <w:p w14:paraId="42F5734C">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D54F0AB">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EA1BA99">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D803754">
            <w:pPr>
              <w:widowControl/>
              <w:jc w:val="center"/>
              <w:textAlignment w:val="center"/>
              <w:rPr>
                <w:rFonts w:ascii="宋体" w:hAnsi="宋体" w:cs="宋体"/>
                <w:color w:val="000000"/>
                <w:sz w:val="22"/>
                <w:szCs w:val="22"/>
              </w:rPr>
            </w:pPr>
          </w:p>
        </w:tc>
      </w:tr>
      <w:tr w14:paraId="1A07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60D4A6B">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36ECCE9A">
            <w:pPr>
              <w:widowControl/>
              <w:jc w:val="left"/>
              <w:textAlignment w:val="center"/>
              <w:rPr>
                <w:rFonts w:ascii="宋体" w:hAnsi="宋体" w:cs="宋体"/>
                <w:color w:val="000000"/>
                <w:sz w:val="22"/>
                <w:szCs w:val="22"/>
              </w:rPr>
            </w:pPr>
          </w:p>
        </w:tc>
        <w:tc>
          <w:tcPr>
            <w:tcW w:w="4897" w:type="dxa"/>
            <w:shd w:val="clear" w:color="auto" w:fill="auto"/>
            <w:vAlign w:val="center"/>
          </w:tcPr>
          <w:p w14:paraId="35BEBAB8">
            <w:pPr>
              <w:widowControl/>
              <w:rPr>
                <w:rFonts w:ascii="宋体" w:hAnsi="宋体" w:cs="宋体"/>
                <w:kern w:val="0"/>
                <w:szCs w:val="21"/>
              </w:rPr>
            </w:pPr>
            <w:r>
              <w:rPr>
                <w:rFonts w:hint="eastAsia" w:ascii="宋体" w:hAnsi="宋体" w:cs="宋体"/>
                <w:kern w:val="0"/>
                <w:szCs w:val="21"/>
              </w:rPr>
              <w:t>采用统一规格的书标、磁条、书标保护膜、条形码、馆藏章，排架规则、粘贴位置、加工标准等均要统一规范。</w:t>
            </w:r>
          </w:p>
        </w:tc>
        <w:tc>
          <w:tcPr>
            <w:tcW w:w="462" w:type="dxa"/>
            <w:vMerge w:val="continue"/>
            <w:shd w:val="clear" w:color="auto" w:fill="auto"/>
            <w:noWrap/>
            <w:vAlign w:val="center"/>
          </w:tcPr>
          <w:p w14:paraId="710DF756">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FD69DEC">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27752DF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5723925">
            <w:pPr>
              <w:widowControl/>
              <w:jc w:val="center"/>
              <w:textAlignment w:val="center"/>
              <w:rPr>
                <w:rFonts w:ascii="宋体" w:hAnsi="宋体" w:cs="宋体"/>
                <w:color w:val="000000"/>
                <w:sz w:val="22"/>
                <w:szCs w:val="22"/>
              </w:rPr>
            </w:pPr>
          </w:p>
        </w:tc>
      </w:tr>
      <w:tr w14:paraId="4A90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125A430">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3C188833">
            <w:pPr>
              <w:widowControl/>
              <w:jc w:val="left"/>
              <w:textAlignment w:val="center"/>
              <w:rPr>
                <w:rFonts w:ascii="宋体" w:hAnsi="宋体" w:cs="宋体"/>
                <w:color w:val="000000"/>
                <w:sz w:val="22"/>
                <w:szCs w:val="22"/>
              </w:rPr>
            </w:pPr>
          </w:p>
        </w:tc>
        <w:tc>
          <w:tcPr>
            <w:tcW w:w="4897" w:type="dxa"/>
            <w:shd w:val="clear" w:color="auto" w:fill="auto"/>
            <w:vAlign w:val="center"/>
          </w:tcPr>
          <w:p w14:paraId="142DE04D">
            <w:pPr>
              <w:widowControl/>
              <w:rPr>
                <w:rFonts w:ascii="宋体" w:hAnsi="宋体" w:cs="宋体"/>
                <w:kern w:val="0"/>
                <w:szCs w:val="21"/>
              </w:rPr>
            </w:pPr>
            <w:r>
              <w:rPr>
                <w:rFonts w:hint="eastAsia" w:ascii="宋体" w:hAnsi="宋体" w:cs="宋体"/>
                <w:kern w:val="0"/>
                <w:szCs w:val="21"/>
              </w:rPr>
              <w:t>①防盗磁条：每册图书加贴一根16cm的磁条，450页以上粘贴两条磁条。</w:t>
            </w:r>
          </w:p>
        </w:tc>
        <w:tc>
          <w:tcPr>
            <w:tcW w:w="462" w:type="dxa"/>
            <w:vMerge w:val="continue"/>
            <w:shd w:val="clear" w:color="auto" w:fill="auto"/>
            <w:noWrap/>
            <w:vAlign w:val="center"/>
          </w:tcPr>
          <w:p w14:paraId="3F02A04C">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2CC5188">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360CB0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3590E8D">
            <w:pPr>
              <w:widowControl/>
              <w:jc w:val="center"/>
              <w:textAlignment w:val="center"/>
              <w:rPr>
                <w:rFonts w:ascii="宋体" w:hAnsi="宋体" w:cs="宋体"/>
                <w:color w:val="000000"/>
                <w:sz w:val="22"/>
                <w:szCs w:val="22"/>
              </w:rPr>
            </w:pPr>
          </w:p>
        </w:tc>
      </w:tr>
      <w:tr w14:paraId="4A75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4C01AEB">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28D55E59">
            <w:pPr>
              <w:widowControl/>
              <w:jc w:val="left"/>
              <w:textAlignment w:val="center"/>
              <w:rPr>
                <w:rFonts w:ascii="宋体" w:hAnsi="宋体" w:cs="宋体"/>
                <w:color w:val="000000"/>
                <w:sz w:val="22"/>
                <w:szCs w:val="22"/>
              </w:rPr>
            </w:pPr>
          </w:p>
        </w:tc>
        <w:tc>
          <w:tcPr>
            <w:tcW w:w="4897" w:type="dxa"/>
            <w:shd w:val="clear" w:color="auto" w:fill="auto"/>
            <w:vAlign w:val="center"/>
          </w:tcPr>
          <w:p w14:paraId="1C913FEB">
            <w:pPr>
              <w:widowControl/>
              <w:rPr>
                <w:rFonts w:ascii="宋体" w:hAnsi="宋体" w:cs="宋体"/>
                <w:kern w:val="0"/>
                <w:szCs w:val="21"/>
              </w:rPr>
            </w:pPr>
            <w:r>
              <w:rPr>
                <w:rFonts w:hint="eastAsia" w:ascii="宋体" w:hAnsi="宋体" w:cs="宋体"/>
                <w:kern w:val="0"/>
                <w:szCs w:val="21"/>
              </w:rPr>
              <w:t>②馆藏章：给每册图书加盖馆藏章不少于三处：书名页、书口骑缝及图书尾页处，或按学校要求盖章；</w:t>
            </w:r>
          </w:p>
        </w:tc>
        <w:tc>
          <w:tcPr>
            <w:tcW w:w="462" w:type="dxa"/>
            <w:vMerge w:val="continue"/>
            <w:shd w:val="clear" w:color="auto" w:fill="auto"/>
            <w:noWrap/>
            <w:vAlign w:val="center"/>
          </w:tcPr>
          <w:p w14:paraId="0B4DEE1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7B2D7E5">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3113E3D">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78D8007">
            <w:pPr>
              <w:widowControl/>
              <w:jc w:val="center"/>
              <w:textAlignment w:val="center"/>
              <w:rPr>
                <w:rFonts w:ascii="宋体" w:hAnsi="宋体" w:cs="宋体"/>
                <w:color w:val="000000"/>
                <w:sz w:val="22"/>
                <w:szCs w:val="22"/>
              </w:rPr>
            </w:pPr>
          </w:p>
        </w:tc>
      </w:tr>
      <w:tr w14:paraId="1416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5D144AC">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84434DB">
            <w:pPr>
              <w:widowControl/>
              <w:jc w:val="left"/>
              <w:textAlignment w:val="center"/>
              <w:rPr>
                <w:rFonts w:ascii="宋体" w:hAnsi="宋体" w:cs="宋体"/>
                <w:color w:val="000000"/>
                <w:sz w:val="22"/>
                <w:szCs w:val="22"/>
              </w:rPr>
            </w:pPr>
          </w:p>
        </w:tc>
        <w:tc>
          <w:tcPr>
            <w:tcW w:w="4897" w:type="dxa"/>
            <w:shd w:val="clear" w:color="auto" w:fill="auto"/>
            <w:vAlign w:val="center"/>
          </w:tcPr>
          <w:p w14:paraId="0BAC7C25">
            <w:pPr>
              <w:widowControl/>
              <w:rPr>
                <w:rFonts w:ascii="宋体" w:hAnsi="宋体" w:cs="宋体"/>
                <w:kern w:val="0"/>
                <w:szCs w:val="21"/>
              </w:rPr>
            </w:pPr>
            <w:r>
              <w:rPr>
                <w:rFonts w:hint="eastAsia" w:ascii="宋体" w:hAnsi="宋体" w:cs="宋体"/>
                <w:kern w:val="0"/>
                <w:szCs w:val="21"/>
              </w:rPr>
              <w:t>③书标和书标保护膜：每册图书粘贴1枚书标，书标起贴位置在书脊下方2.5厘米处；同时需在书标上加贴专用书标保护膜（非胶带），保护膜要求完全覆盖书标。</w:t>
            </w:r>
          </w:p>
        </w:tc>
        <w:tc>
          <w:tcPr>
            <w:tcW w:w="462" w:type="dxa"/>
            <w:vMerge w:val="continue"/>
            <w:shd w:val="clear" w:color="auto" w:fill="auto"/>
            <w:noWrap/>
            <w:vAlign w:val="center"/>
          </w:tcPr>
          <w:p w14:paraId="73234EF6">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C992410">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A09347C">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E2F3524">
            <w:pPr>
              <w:widowControl/>
              <w:jc w:val="center"/>
              <w:textAlignment w:val="center"/>
              <w:rPr>
                <w:rFonts w:ascii="宋体" w:hAnsi="宋体" w:cs="宋体"/>
                <w:color w:val="000000"/>
                <w:sz w:val="22"/>
                <w:szCs w:val="22"/>
              </w:rPr>
            </w:pPr>
          </w:p>
        </w:tc>
      </w:tr>
      <w:tr w14:paraId="2D95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C590183">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3D9BD189">
            <w:pPr>
              <w:widowControl/>
              <w:jc w:val="left"/>
              <w:textAlignment w:val="center"/>
              <w:rPr>
                <w:rFonts w:ascii="宋体" w:hAnsi="宋体" w:cs="宋体"/>
                <w:color w:val="000000"/>
                <w:sz w:val="22"/>
                <w:szCs w:val="22"/>
              </w:rPr>
            </w:pPr>
          </w:p>
        </w:tc>
        <w:tc>
          <w:tcPr>
            <w:tcW w:w="4897" w:type="dxa"/>
            <w:shd w:val="clear" w:color="auto" w:fill="auto"/>
            <w:vAlign w:val="center"/>
          </w:tcPr>
          <w:p w14:paraId="1DC25188">
            <w:pPr>
              <w:widowControl/>
              <w:rPr>
                <w:rFonts w:ascii="宋体" w:hAnsi="宋体" w:cs="宋体"/>
                <w:kern w:val="0"/>
                <w:szCs w:val="21"/>
              </w:rPr>
            </w:pPr>
            <w:r>
              <w:rPr>
                <w:rFonts w:hint="eastAsia" w:ascii="宋体" w:hAnsi="宋体" w:cs="宋体"/>
                <w:kern w:val="0"/>
                <w:szCs w:val="21"/>
              </w:rPr>
              <w:t>④条形码：每册图书粘贴条形码1枚，条形码上要求打印项目学校的名称，粘贴位置一般在书名页上方天头中间，如有特殊情况无法粘贴规定位置，可按适宜位置粘贴。</w:t>
            </w:r>
          </w:p>
        </w:tc>
        <w:tc>
          <w:tcPr>
            <w:tcW w:w="462" w:type="dxa"/>
            <w:vMerge w:val="continue"/>
            <w:shd w:val="clear" w:color="auto" w:fill="auto"/>
            <w:noWrap/>
            <w:vAlign w:val="center"/>
          </w:tcPr>
          <w:p w14:paraId="42BEA34D">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68B931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396DC8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D980F72">
            <w:pPr>
              <w:widowControl/>
              <w:jc w:val="center"/>
              <w:textAlignment w:val="center"/>
              <w:rPr>
                <w:rFonts w:ascii="宋体" w:hAnsi="宋体" w:cs="宋体"/>
                <w:color w:val="000000"/>
                <w:sz w:val="22"/>
                <w:szCs w:val="22"/>
              </w:rPr>
            </w:pPr>
          </w:p>
        </w:tc>
      </w:tr>
      <w:tr w14:paraId="6934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AE0BB81">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A861C33">
            <w:pPr>
              <w:widowControl/>
              <w:jc w:val="left"/>
              <w:textAlignment w:val="center"/>
              <w:rPr>
                <w:rFonts w:ascii="宋体" w:hAnsi="宋体" w:cs="宋体"/>
                <w:color w:val="000000"/>
                <w:sz w:val="22"/>
                <w:szCs w:val="22"/>
              </w:rPr>
            </w:pPr>
          </w:p>
        </w:tc>
        <w:tc>
          <w:tcPr>
            <w:tcW w:w="4897" w:type="dxa"/>
            <w:shd w:val="clear" w:color="auto" w:fill="auto"/>
            <w:vAlign w:val="center"/>
          </w:tcPr>
          <w:p w14:paraId="05F4D6A7">
            <w:pPr>
              <w:widowControl/>
              <w:rPr>
                <w:rFonts w:ascii="宋体" w:hAnsi="宋体" w:cs="宋体"/>
                <w:kern w:val="0"/>
                <w:szCs w:val="21"/>
              </w:rPr>
            </w:pPr>
            <w:r>
              <w:rPr>
                <w:rFonts w:hint="eastAsia" w:ascii="宋体" w:hAnsi="宋体" w:cs="宋体"/>
                <w:kern w:val="0"/>
                <w:szCs w:val="21"/>
              </w:rPr>
              <w:t>⑤排架：按图书分类号和种次号进行3级排架，排架要准确，并粘贴每个图书架的架标。</w:t>
            </w:r>
          </w:p>
        </w:tc>
        <w:tc>
          <w:tcPr>
            <w:tcW w:w="462" w:type="dxa"/>
            <w:vMerge w:val="continue"/>
            <w:shd w:val="clear" w:color="auto" w:fill="auto"/>
            <w:noWrap/>
            <w:vAlign w:val="center"/>
          </w:tcPr>
          <w:p w14:paraId="1CDB7D8B">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B6BEBCE">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641FB0D">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C490AED">
            <w:pPr>
              <w:widowControl/>
              <w:jc w:val="center"/>
              <w:textAlignment w:val="center"/>
              <w:rPr>
                <w:rFonts w:ascii="宋体" w:hAnsi="宋体" w:cs="宋体"/>
                <w:color w:val="000000"/>
                <w:sz w:val="22"/>
                <w:szCs w:val="22"/>
              </w:rPr>
            </w:pPr>
          </w:p>
        </w:tc>
      </w:tr>
      <w:tr w14:paraId="4551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BAE2C86">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3EEDEFB">
            <w:pPr>
              <w:widowControl/>
              <w:jc w:val="left"/>
              <w:textAlignment w:val="center"/>
              <w:rPr>
                <w:rFonts w:ascii="宋体" w:hAnsi="宋体" w:cs="宋体"/>
                <w:color w:val="000000"/>
                <w:sz w:val="22"/>
                <w:szCs w:val="22"/>
              </w:rPr>
            </w:pPr>
          </w:p>
        </w:tc>
        <w:tc>
          <w:tcPr>
            <w:tcW w:w="4897" w:type="dxa"/>
            <w:shd w:val="clear" w:color="auto" w:fill="auto"/>
            <w:vAlign w:val="center"/>
          </w:tcPr>
          <w:p w14:paraId="0DED15E8">
            <w:pPr>
              <w:widowControl/>
              <w:rPr>
                <w:rFonts w:ascii="宋体" w:hAnsi="宋体" w:cs="宋体"/>
                <w:kern w:val="0"/>
                <w:szCs w:val="21"/>
              </w:rPr>
            </w:pPr>
            <w:r>
              <w:rPr>
                <w:rFonts w:hint="eastAsia" w:ascii="宋体" w:hAnsi="宋体" w:cs="宋体"/>
                <w:kern w:val="0"/>
                <w:szCs w:val="21"/>
              </w:rPr>
              <w:t>⑥图书分类准确，没有明显错误。图书的分类要求按分类工具书《中国图书馆分类法（未成年人图书馆版）（第四版）》或《中国图书馆分类法（第五版）》进行分类。</w:t>
            </w:r>
          </w:p>
        </w:tc>
        <w:tc>
          <w:tcPr>
            <w:tcW w:w="462" w:type="dxa"/>
            <w:vMerge w:val="continue"/>
            <w:shd w:val="clear" w:color="auto" w:fill="auto"/>
            <w:noWrap/>
            <w:vAlign w:val="center"/>
          </w:tcPr>
          <w:p w14:paraId="5B6E2D23">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CC678F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51BB974">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3A67E8B">
            <w:pPr>
              <w:widowControl/>
              <w:jc w:val="center"/>
              <w:textAlignment w:val="center"/>
              <w:rPr>
                <w:rFonts w:ascii="宋体" w:hAnsi="宋体" w:cs="宋体"/>
                <w:color w:val="000000"/>
                <w:sz w:val="22"/>
                <w:szCs w:val="22"/>
              </w:rPr>
            </w:pPr>
          </w:p>
        </w:tc>
      </w:tr>
      <w:tr w14:paraId="3DE9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EFA6F28">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48873D34">
            <w:pPr>
              <w:widowControl/>
              <w:jc w:val="left"/>
              <w:textAlignment w:val="center"/>
              <w:rPr>
                <w:rFonts w:ascii="宋体" w:hAnsi="宋体" w:cs="宋体"/>
                <w:color w:val="000000"/>
                <w:sz w:val="22"/>
                <w:szCs w:val="22"/>
              </w:rPr>
            </w:pPr>
          </w:p>
        </w:tc>
        <w:tc>
          <w:tcPr>
            <w:tcW w:w="4897" w:type="dxa"/>
            <w:shd w:val="clear" w:color="auto" w:fill="auto"/>
            <w:vAlign w:val="center"/>
          </w:tcPr>
          <w:p w14:paraId="0743CE68">
            <w:pPr>
              <w:widowControl/>
              <w:rPr>
                <w:rFonts w:ascii="宋体" w:hAnsi="宋体" w:cs="宋体"/>
                <w:kern w:val="0"/>
                <w:szCs w:val="21"/>
              </w:rPr>
            </w:pPr>
            <w:r>
              <w:rPr>
                <w:rFonts w:hint="eastAsia" w:ascii="宋体" w:hAnsi="宋体" w:cs="宋体"/>
                <w:color w:val="FF0000"/>
                <w:kern w:val="0"/>
                <w:szCs w:val="21"/>
              </w:rPr>
              <w:t>⑦图书加工完毕中标供应商应出具图书加工合格证明（见附件3）</w:t>
            </w:r>
            <w:r>
              <w:rPr>
                <w:rFonts w:hint="eastAsia" w:ascii="宋体" w:hAnsi="宋体" w:cs="宋体"/>
                <w:kern w:val="0"/>
                <w:szCs w:val="21"/>
              </w:rPr>
              <w:t>，图书加工合格证明收集齐全后装订成册交给采购人，方能提请验收。</w:t>
            </w:r>
          </w:p>
        </w:tc>
        <w:tc>
          <w:tcPr>
            <w:tcW w:w="462" w:type="dxa"/>
            <w:vMerge w:val="continue"/>
            <w:shd w:val="clear" w:color="auto" w:fill="auto"/>
            <w:noWrap/>
            <w:vAlign w:val="center"/>
          </w:tcPr>
          <w:p w14:paraId="4F522F71">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EF2DCB7">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60A2A1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EFD13B0">
            <w:pPr>
              <w:widowControl/>
              <w:jc w:val="center"/>
              <w:textAlignment w:val="center"/>
              <w:rPr>
                <w:rFonts w:ascii="宋体" w:hAnsi="宋体" w:cs="宋体"/>
                <w:color w:val="000000"/>
                <w:sz w:val="22"/>
                <w:szCs w:val="22"/>
              </w:rPr>
            </w:pPr>
          </w:p>
        </w:tc>
      </w:tr>
      <w:tr w14:paraId="0B35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27BD0E6">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309D70E">
            <w:pPr>
              <w:widowControl/>
              <w:jc w:val="left"/>
              <w:textAlignment w:val="center"/>
              <w:rPr>
                <w:rFonts w:ascii="宋体" w:hAnsi="宋体" w:cs="宋体"/>
                <w:color w:val="000000"/>
                <w:sz w:val="22"/>
                <w:szCs w:val="22"/>
              </w:rPr>
            </w:pPr>
          </w:p>
        </w:tc>
        <w:tc>
          <w:tcPr>
            <w:tcW w:w="4897" w:type="dxa"/>
            <w:shd w:val="clear" w:color="auto" w:fill="auto"/>
            <w:vAlign w:val="center"/>
          </w:tcPr>
          <w:p w14:paraId="3B8C0336">
            <w:pPr>
              <w:widowControl/>
              <w:rPr>
                <w:rFonts w:ascii="宋体" w:hAnsi="宋体" w:cs="宋体"/>
                <w:kern w:val="0"/>
                <w:szCs w:val="21"/>
              </w:rPr>
            </w:pPr>
            <w:r>
              <w:rPr>
                <w:rFonts w:hint="eastAsia" w:ascii="华文楷体" w:hAnsi="华文楷体" w:eastAsia="华文楷体" w:cs="宋体"/>
                <w:b/>
                <w:bCs/>
                <w:kern w:val="0"/>
                <w:szCs w:val="21"/>
              </w:rPr>
              <w:t>7.培训要求：</w:t>
            </w:r>
            <w:r>
              <w:rPr>
                <w:rFonts w:hint="eastAsia" w:ascii="宋体" w:hAnsi="宋体" w:cs="宋体"/>
                <w:kern w:val="0"/>
                <w:szCs w:val="21"/>
              </w:rPr>
              <w:t>免费培训学校图书管理员，培训主要内容为：利用南宁市中小学图书馆管理云平台对图书编目数据进行数据链接的使用和维护知识，并在最终验收前提供已培训的证明。</w:t>
            </w:r>
          </w:p>
        </w:tc>
        <w:tc>
          <w:tcPr>
            <w:tcW w:w="462" w:type="dxa"/>
            <w:vMerge w:val="continue"/>
            <w:shd w:val="clear" w:color="auto" w:fill="auto"/>
            <w:noWrap/>
            <w:vAlign w:val="center"/>
          </w:tcPr>
          <w:p w14:paraId="05640144">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8914E97">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2980DC3C">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F8DBA6B">
            <w:pPr>
              <w:widowControl/>
              <w:jc w:val="center"/>
              <w:textAlignment w:val="center"/>
              <w:rPr>
                <w:rFonts w:ascii="宋体" w:hAnsi="宋体" w:cs="宋体"/>
                <w:color w:val="000000"/>
                <w:sz w:val="22"/>
                <w:szCs w:val="22"/>
              </w:rPr>
            </w:pPr>
          </w:p>
        </w:tc>
      </w:tr>
      <w:tr w14:paraId="6871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F5A9E4E">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277DCD7">
            <w:pPr>
              <w:widowControl/>
              <w:jc w:val="left"/>
              <w:textAlignment w:val="center"/>
              <w:rPr>
                <w:rFonts w:ascii="宋体" w:hAnsi="宋体" w:cs="宋体"/>
                <w:color w:val="000000"/>
                <w:sz w:val="22"/>
                <w:szCs w:val="22"/>
              </w:rPr>
            </w:pPr>
          </w:p>
        </w:tc>
        <w:tc>
          <w:tcPr>
            <w:tcW w:w="4897" w:type="dxa"/>
            <w:shd w:val="clear" w:color="auto" w:fill="auto"/>
            <w:vAlign w:val="center"/>
          </w:tcPr>
          <w:p w14:paraId="7B602162">
            <w:pPr>
              <w:widowControl/>
              <w:rPr>
                <w:rFonts w:ascii="宋体" w:hAnsi="宋体" w:cs="宋体"/>
                <w:kern w:val="0"/>
                <w:szCs w:val="21"/>
              </w:rPr>
            </w:pPr>
            <w:r>
              <w:rPr>
                <w:rFonts w:hint="eastAsia" w:ascii="宋体" w:hAnsi="宋体" w:cs="宋体"/>
                <w:color w:val="FF0000"/>
                <w:kern w:val="0"/>
                <w:sz w:val="22"/>
              </w:rPr>
              <w:t>▲</w:t>
            </w:r>
            <w:r>
              <w:rPr>
                <w:rFonts w:hint="eastAsia" w:ascii="华文楷体" w:hAnsi="华文楷体" w:eastAsia="华文楷体" w:cs="宋体"/>
                <w:b/>
                <w:bCs/>
                <w:color w:val="FF0000"/>
                <w:kern w:val="0"/>
                <w:szCs w:val="21"/>
              </w:rPr>
              <w:t>8.资质要求：</w:t>
            </w:r>
            <w:r>
              <w:rPr>
                <w:rFonts w:hint="eastAsia" w:ascii="宋体" w:hAnsi="宋体" w:cs="宋体"/>
                <w:color w:val="FF0000"/>
                <w:kern w:val="0"/>
                <w:szCs w:val="21"/>
              </w:rPr>
              <w:t>投标人必须具有新闻出版管理部门颁发有效的《中华人民共和国出版物发行许可证》或《中华人民共和国出版物经营许可证》（投标时、供货时均须提供许可证复印件并加盖投标人公章）</w:t>
            </w:r>
          </w:p>
        </w:tc>
        <w:tc>
          <w:tcPr>
            <w:tcW w:w="462" w:type="dxa"/>
            <w:vMerge w:val="continue"/>
            <w:shd w:val="clear" w:color="auto" w:fill="auto"/>
            <w:noWrap/>
            <w:vAlign w:val="center"/>
          </w:tcPr>
          <w:p w14:paraId="31EDA16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456403F">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BEB511A">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D9356B2">
            <w:pPr>
              <w:widowControl/>
              <w:jc w:val="center"/>
              <w:textAlignment w:val="center"/>
              <w:rPr>
                <w:rFonts w:ascii="宋体" w:hAnsi="宋体" w:cs="宋体"/>
                <w:color w:val="000000"/>
                <w:sz w:val="22"/>
                <w:szCs w:val="22"/>
              </w:rPr>
            </w:pPr>
          </w:p>
        </w:tc>
      </w:tr>
      <w:tr w14:paraId="38E2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D3C352C">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39D0DDAF">
            <w:pPr>
              <w:widowControl/>
              <w:jc w:val="left"/>
              <w:textAlignment w:val="center"/>
              <w:rPr>
                <w:rFonts w:ascii="宋体" w:hAnsi="宋体" w:cs="宋体"/>
                <w:color w:val="000000"/>
                <w:sz w:val="22"/>
                <w:szCs w:val="22"/>
              </w:rPr>
            </w:pPr>
          </w:p>
        </w:tc>
        <w:tc>
          <w:tcPr>
            <w:tcW w:w="4897" w:type="dxa"/>
            <w:shd w:val="clear" w:color="auto" w:fill="auto"/>
            <w:vAlign w:val="center"/>
          </w:tcPr>
          <w:p w14:paraId="1CD5506D">
            <w:pPr>
              <w:widowControl/>
              <w:rPr>
                <w:rFonts w:ascii="宋体" w:hAnsi="宋体" w:cs="宋体"/>
                <w:kern w:val="0"/>
                <w:sz w:val="22"/>
              </w:rPr>
            </w:pPr>
            <w:r>
              <w:rPr>
                <w:rFonts w:hint="eastAsia" w:ascii="宋体" w:hAnsi="宋体" w:cs="宋体"/>
                <w:kern w:val="0"/>
                <w:sz w:val="22"/>
              </w:rPr>
              <w:t>　</w:t>
            </w:r>
          </w:p>
        </w:tc>
        <w:tc>
          <w:tcPr>
            <w:tcW w:w="462" w:type="dxa"/>
            <w:vMerge w:val="continue"/>
            <w:shd w:val="clear" w:color="auto" w:fill="auto"/>
            <w:noWrap/>
            <w:vAlign w:val="center"/>
          </w:tcPr>
          <w:p w14:paraId="3E7B34DF">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7A82F9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2A36B93B">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06CCC33">
            <w:pPr>
              <w:widowControl/>
              <w:jc w:val="center"/>
              <w:textAlignment w:val="center"/>
              <w:rPr>
                <w:rFonts w:ascii="宋体" w:hAnsi="宋体" w:cs="宋体"/>
                <w:color w:val="000000"/>
                <w:sz w:val="22"/>
                <w:szCs w:val="22"/>
              </w:rPr>
            </w:pPr>
          </w:p>
        </w:tc>
      </w:tr>
      <w:tr w14:paraId="4CBC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5D915E2">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4296467">
            <w:pPr>
              <w:widowControl/>
              <w:jc w:val="left"/>
              <w:textAlignment w:val="center"/>
              <w:rPr>
                <w:rFonts w:ascii="宋体" w:hAnsi="宋体" w:cs="宋体"/>
                <w:color w:val="000000"/>
                <w:sz w:val="22"/>
                <w:szCs w:val="22"/>
              </w:rPr>
            </w:pPr>
          </w:p>
        </w:tc>
        <w:tc>
          <w:tcPr>
            <w:tcW w:w="4897" w:type="dxa"/>
            <w:shd w:val="clear" w:color="auto" w:fill="auto"/>
            <w:vAlign w:val="center"/>
          </w:tcPr>
          <w:p w14:paraId="52FDB36F">
            <w:pPr>
              <w:widowControl/>
              <w:rPr>
                <w:rFonts w:ascii="黑体" w:hAnsi="黑体" w:eastAsia="黑体" w:cs="宋体"/>
                <w:kern w:val="0"/>
                <w:szCs w:val="21"/>
              </w:rPr>
            </w:pPr>
            <w:r>
              <w:rPr>
                <w:rFonts w:hint="eastAsia" w:ascii="黑体" w:hAnsi="黑体" w:eastAsia="黑体" w:cs="宋体"/>
                <w:kern w:val="0"/>
                <w:szCs w:val="21"/>
              </w:rPr>
              <w:t>二、书架要求（每组一主架三副架，每架能放置约500册图书，约60架，实际以能满足学校图书全部上架为准，最多不超过本批次图书所需要的书架数量。）</w:t>
            </w:r>
          </w:p>
        </w:tc>
        <w:tc>
          <w:tcPr>
            <w:tcW w:w="462" w:type="dxa"/>
            <w:vMerge w:val="continue"/>
            <w:shd w:val="clear" w:color="auto" w:fill="auto"/>
            <w:noWrap/>
            <w:vAlign w:val="center"/>
          </w:tcPr>
          <w:p w14:paraId="69D9985E">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BB72F5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D9F99E9">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EE044CF">
            <w:pPr>
              <w:widowControl/>
              <w:jc w:val="center"/>
              <w:textAlignment w:val="center"/>
              <w:rPr>
                <w:rFonts w:ascii="宋体" w:hAnsi="宋体" w:cs="宋体"/>
                <w:color w:val="000000"/>
                <w:sz w:val="22"/>
                <w:szCs w:val="22"/>
              </w:rPr>
            </w:pPr>
          </w:p>
        </w:tc>
      </w:tr>
      <w:tr w14:paraId="15BF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1A53168">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965630E">
            <w:pPr>
              <w:widowControl/>
              <w:jc w:val="left"/>
              <w:textAlignment w:val="center"/>
              <w:rPr>
                <w:rFonts w:ascii="宋体" w:hAnsi="宋体" w:cs="宋体"/>
                <w:color w:val="000000"/>
                <w:sz w:val="22"/>
                <w:szCs w:val="22"/>
              </w:rPr>
            </w:pPr>
          </w:p>
        </w:tc>
        <w:tc>
          <w:tcPr>
            <w:tcW w:w="4897" w:type="dxa"/>
            <w:shd w:val="clear" w:color="auto" w:fill="auto"/>
            <w:vAlign w:val="center"/>
          </w:tcPr>
          <w:p w14:paraId="71960F16">
            <w:pPr>
              <w:widowControl/>
              <w:rPr>
                <w:rFonts w:ascii="宋体" w:hAnsi="宋体" w:cs="宋体"/>
                <w:kern w:val="0"/>
                <w:szCs w:val="21"/>
              </w:rPr>
            </w:pPr>
            <w:r>
              <w:rPr>
                <w:rFonts w:hint="eastAsia" w:ascii="宋体" w:hAnsi="宋体" w:cs="宋体"/>
                <w:kern w:val="0"/>
                <w:szCs w:val="21"/>
              </w:rPr>
              <w:t>1、规格：900mm（长）×450mm（宽）×2000mm（高），双柱双面，全钢结构六层。</w:t>
            </w:r>
          </w:p>
        </w:tc>
        <w:tc>
          <w:tcPr>
            <w:tcW w:w="462" w:type="dxa"/>
            <w:vMerge w:val="continue"/>
            <w:shd w:val="clear" w:color="auto" w:fill="auto"/>
            <w:noWrap/>
            <w:vAlign w:val="center"/>
          </w:tcPr>
          <w:p w14:paraId="24CDBAA0">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37D5AE1">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B14198A">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D24BEFD">
            <w:pPr>
              <w:widowControl/>
              <w:jc w:val="center"/>
              <w:textAlignment w:val="center"/>
              <w:rPr>
                <w:rFonts w:ascii="宋体" w:hAnsi="宋体" w:cs="宋体"/>
                <w:color w:val="000000"/>
                <w:sz w:val="22"/>
                <w:szCs w:val="22"/>
              </w:rPr>
            </w:pPr>
          </w:p>
        </w:tc>
      </w:tr>
      <w:tr w14:paraId="7CAA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B214B9B">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475E7A69">
            <w:pPr>
              <w:widowControl/>
              <w:jc w:val="left"/>
              <w:textAlignment w:val="center"/>
              <w:rPr>
                <w:rFonts w:ascii="宋体" w:hAnsi="宋体" w:cs="宋体"/>
                <w:color w:val="000000"/>
                <w:sz w:val="22"/>
                <w:szCs w:val="22"/>
              </w:rPr>
            </w:pPr>
          </w:p>
        </w:tc>
        <w:tc>
          <w:tcPr>
            <w:tcW w:w="4897" w:type="dxa"/>
            <w:shd w:val="clear" w:color="auto" w:fill="auto"/>
            <w:vAlign w:val="center"/>
          </w:tcPr>
          <w:p w14:paraId="0E8AE6CA">
            <w:pPr>
              <w:widowControl/>
              <w:rPr>
                <w:rFonts w:ascii="宋体" w:hAnsi="宋体" w:cs="宋体"/>
                <w:kern w:val="0"/>
                <w:szCs w:val="21"/>
              </w:rPr>
            </w:pPr>
            <w:r>
              <w:rPr>
                <w:rFonts w:hint="eastAsia" w:ascii="宋体" w:hAnsi="宋体" w:cs="宋体"/>
                <w:kern w:val="0"/>
                <w:szCs w:val="21"/>
              </w:rPr>
              <w:t>2、材质及制作要求：</w:t>
            </w:r>
          </w:p>
        </w:tc>
        <w:tc>
          <w:tcPr>
            <w:tcW w:w="462" w:type="dxa"/>
            <w:vMerge w:val="continue"/>
            <w:shd w:val="clear" w:color="auto" w:fill="auto"/>
            <w:noWrap/>
            <w:vAlign w:val="center"/>
          </w:tcPr>
          <w:p w14:paraId="01C4824B">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AC71F7B">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40FA04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684B89C">
            <w:pPr>
              <w:widowControl/>
              <w:jc w:val="center"/>
              <w:textAlignment w:val="center"/>
              <w:rPr>
                <w:rFonts w:ascii="宋体" w:hAnsi="宋体" w:cs="宋体"/>
                <w:color w:val="000000"/>
                <w:sz w:val="22"/>
                <w:szCs w:val="22"/>
              </w:rPr>
            </w:pPr>
          </w:p>
        </w:tc>
      </w:tr>
      <w:tr w14:paraId="04CD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53AB394">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80812CC">
            <w:pPr>
              <w:widowControl/>
              <w:jc w:val="left"/>
              <w:textAlignment w:val="center"/>
              <w:rPr>
                <w:rFonts w:ascii="宋体" w:hAnsi="宋体" w:cs="宋体"/>
                <w:color w:val="000000"/>
                <w:sz w:val="22"/>
                <w:szCs w:val="22"/>
              </w:rPr>
            </w:pPr>
          </w:p>
        </w:tc>
        <w:tc>
          <w:tcPr>
            <w:tcW w:w="4897" w:type="dxa"/>
            <w:shd w:val="clear" w:color="auto" w:fill="auto"/>
            <w:vAlign w:val="center"/>
          </w:tcPr>
          <w:p w14:paraId="68C61ABC">
            <w:pPr>
              <w:widowControl/>
              <w:rPr>
                <w:rFonts w:ascii="宋体" w:hAnsi="宋体" w:cs="宋体"/>
                <w:kern w:val="0"/>
                <w:szCs w:val="21"/>
              </w:rPr>
            </w:pPr>
            <w:r>
              <w:rPr>
                <w:rFonts w:hint="eastAsia" w:ascii="宋体" w:hAnsi="宋体" w:cs="宋体"/>
                <w:kern w:val="0"/>
                <w:szCs w:val="21"/>
              </w:rPr>
              <w:t>（1）单个或多个组合，组装采用国标镀镍螺栓连接，螺帽采用圆形安全螺帽，各活动插接结构完成后结构面保持平整；</w:t>
            </w:r>
          </w:p>
        </w:tc>
        <w:tc>
          <w:tcPr>
            <w:tcW w:w="462" w:type="dxa"/>
            <w:vMerge w:val="continue"/>
            <w:shd w:val="clear" w:color="auto" w:fill="auto"/>
            <w:noWrap/>
            <w:vAlign w:val="center"/>
          </w:tcPr>
          <w:p w14:paraId="12FC9D9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036E7BA">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56488AF">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CDC91AC">
            <w:pPr>
              <w:widowControl/>
              <w:jc w:val="center"/>
              <w:textAlignment w:val="center"/>
              <w:rPr>
                <w:rFonts w:ascii="宋体" w:hAnsi="宋体" w:cs="宋体"/>
                <w:color w:val="000000"/>
                <w:sz w:val="22"/>
                <w:szCs w:val="22"/>
              </w:rPr>
            </w:pPr>
          </w:p>
        </w:tc>
      </w:tr>
      <w:tr w14:paraId="1254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DFD75CC">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F9CEBE7">
            <w:pPr>
              <w:widowControl/>
              <w:jc w:val="left"/>
              <w:textAlignment w:val="center"/>
              <w:rPr>
                <w:rFonts w:ascii="宋体" w:hAnsi="宋体" w:cs="宋体"/>
                <w:color w:val="000000"/>
                <w:sz w:val="22"/>
                <w:szCs w:val="22"/>
              </w:rPr>
            </w:pPr>
          </w:p>
        </w:tc>
        <w:tc>
          <w:tcPr>
            <w:tcW w:w="4897" w:type="dxa"/>
            <w:shd w:val="clear" w:color="auto" w:fill="auto"/>
            <w:vAlign w:val="center"/>
          </w:tcPr>
          <w:p w14:paraId="1212B9C3">
            <w:pPr>
              <w:widowControl/>
              <w:rPr>
                <w:rFonts w:ascii="宋体" w:hAnsi="宋体" w:cs="宋体"/>
                <w:kern w:val="0"/>
                <w:szCs w:val="21"/>
              </w:rPr>
            </w:pPr>
            <w:r>
              <w:rPr>
                <w:rFonts w:hint="eastAsia" w:ascii="宋体" w:hAnsi="宋体" w:cs="宋体"/>
                <w:kern w:val="0"/>
                <w:szCs w:val="21"/>
              </w:rPr>
              <w:t>（2）国标优质冷轧钢板材，立柱≥1.2 ㎜，层板≥0.8mm，挂板≥0.8mm，侧板≥1mm，底架≥1.2 ㎜。</w:t>
            </w:r>
          </w:p>
        </w:tc>
        <w:tc>
          <w:tcPr>
            <w:tcW w:w="462" w:type="dxa"/>
            <w:vMerge w:val="continue"/>
            <w:shd w:val="clear" w:color="auto" w:fill="auto"/>
            <w:noWrap/>
            <w:vAlign w:val="center"/>
          </w:tcPr>
          <w:p w14:paraId="736D343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F785182">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5DBBF1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A3DDD05">
            <w:pPr>
              <w:widowControl/>
              <w:jc w:val="center"/>
              <w:textAlignment w:val="center"/>
              <w:rPr>
                <w:rFonts w:ascii="宋体" w:hAnsi="宋体" w:cs="宋体"/>
                <w:color w:val="000000"/>
                <w:sz w:val="22"/>
                <w:szCs w:val="22"/>
              </w:rPr>
            </w:pPr>
          </w:p>
        </w:tc>
      </w:tr>
      <w:tr w14:paraId="1E0E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F2BC5D2">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D50EED2">
            <w:pPr>
              <w:widowControl/>
              <w:jc w:val="left"/>
              <w:textAlignment w:val="center"/>
              <w:rPr>
                <w:rFonts w:ascii="宋体" w:hAnsi="宋体" w:cs="宋体"/>
                <w:color w:val="000000"/>
                <w:sz w:val="22"/>
                <w:szCs w:val="22"/>
              </w:rPr>
            </w:pPr>
          </w:p>
        </w:tc>
        <w:tc>
          <w:tcPr>
            <w:tcW w:w="4897" w:type="dxa"/>
            <w:shd w:val="clear" w:color="auto" w:fill="auto"/>
            <w:vAlign w:val="center"/>
          </w:tcPr>
          <w:p w14:paraId="14E6A67D">
            <w:pPr>
              <w:widowControl/>
              <w:rPr>
                <w:rFonts w:ascii="宋体" w:hAnsi="宋体" w:cs="宋体"/>
                <w:kern w:val="0"/>
                <w:szCs w:val="21"/>
              </w:rPr>
            </w:pPr>
            <w:r>
              <w:rPr>
                <w:rFonts w:hint="eastAsia" w:ascii="宋体" w:hAnsi="宋体" w:cs="宋体"/>
                <w:kern w:val="0"/>
                <w:szCs w:val="21"/>
              </w:rPr>
              <w:t>（3）所有结构柱、板均有加强筋，其中立柱加强筋数量≥2 条，架体结构稳定，不易变形，不易摇晃，满足承重要求；</w:t>
            </w:r>
          </w:p>
        </w:tc>
        <w:tc>
          <w:tcPr>
            <w:tcW w:w="462" w:type="dxa"/>
            <w:vMerge w:val="continue"/>
            <w:shd w:val="clear" w:color="auto" w:fill="auto"/>
            <w:noWrap/>
            <w:vAlign w:val="center"/>
          </w:tcPr>
          <w:p w14:paraId="6F8DC5B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CE752E1">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1634134">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7C93BF7">
            <w:pPr>
              <w:widowControl/>
              <w:jc w:val="center"/>
              <w:textAlignment w:val="center"/>
              <w:rPr>
                <w:rFonts w:ascii="宋体" w:hAnsi="宋体" w:cs="宋体"/>
                <w:color w:val="000000"/>
                <w:sz w:val="22"/>
                <w:szCs w:val="22"/>
              </w:rPr>
            </w:pPr>
          </w:p>
        </w:tc>
      </w:tr>
      <w:tr w14:paraId="50D8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EB75E1F">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BA27CA3">
            <w:pPr>
              <w:widowControl/>
              <w:jc w:val="left"/>
              <w:textAlignment w:val="center"/>
              <w:rPr>
                <w:rFonts w:ascii="宋体" w:hAnsi="宋体" w:cs="宋体"/>
                <w:color w:val="000000"/>
                <w:sz w:val="22"/>
                <w:szCs w:val="22"/>
              </w:rPr>
            </w:pPr>
          </w:p>
        </w:tc>
        <w:tc>
          <w:tcPr>
            <w:tcW w:w="4897" w:type="dxa"/>
            <w:shd w:val="clear" w:color="auto" w:fill="auto"/>
            <w:vAlign w:val="center"/>
          </w:tcPr>
          <w:p w14:paraId="23946DF5">
            <w:pPr>
              <w:widowControl/>
              <w:rPr>
                <w:rFonts w:ascii="宋体" w:hAnsi="宋体" w:cs="宋体"/>
                <w:kern w:val="0"/>
                <w:szCs w:val="21"/>
              </w:rPr>
            </w:pPr>
            <w:r>
              <w:rPr>
                <w:rFonts w:hint="eastAsia" w:ascii="宋体" w:hAnsi="宋体" w:cs="宋体"/>
                <w:kern w:val="0"/>
                <w:szCs w:val="21"/>
              </w:rPr>
              <w:t>（4）表面采用静电喷塑技术，喷塑前进行除锈、磷化处理，涂层附着力、不会出现脱漆、褪色现象，强度符合国家相关要求。表面材料无毒副作用，对人体和环境无害，无异味。</w:t>
            </w:r>
          </w:p>
        </w:tc>
        <w:tc>
          <w:tcPr>
            <w:tcW w:w="462" w:type="dxa"/>
            <w:vMerge w:val="continue"/>
            <w:shd w:val="clear" w:color="auto" w:fill="auto"/>
            <w:noWrap/>
            <w:vAlign w:val="center"/>
          </w:tcPr>
          <w:p w14:paraId="104B037C">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8D1575B">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2111774">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4BD6500">
            <w:pPr>
              <w:widowControl/>
              <w:jc w:val="center"/>
              <w:textAlignment w:val="center"/>
              <w:rPr>
                <w:rFonts w:ascii="宋体" w:hAnsi="宋体" w:cs="宋体"/>
                <w:color w:val="000000"/>
                <w:sz w:val="22"/>
                <w:szCs w:val="22"/>
              </w:rPr>
            </w:pPr>
          </w:p>
        </w:tc>
      </w:tr>
      <w:tr w14:paraId="227D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1F698E2">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C53C78F">
            <w:pPr>
              <w:widowControl/>
              <w:jc w:val="left"/>
              <w:textAlignment w:val="center"/>
              <w:rPr>
                <w:rFonts w:ascii="宋体" w:hAnsi="宋体" w:cs="宋体"/>
                <w:color w:val="000000"/>
                <w:sz w:val="22"/>
                <w:szCs w:val="22"/>
              </w:rPr>
            </w:pPr>
          </w:p>
        </w:tc>
        <w:tc>
          <w:tcPr>
            <w:tcW w:w="4897" w:type="dxa"/>
            <w:shd w:val="clear" w:color="auto" w:fill="auto"/>
            <w:vAlign w:val="center"/>
          </w:tcPr>
          <w:p w14:paraId="051B67EF">
            <w:pPr>
              <w:widowControl/>
              <w:rPr>
                <w:rFonts w:ascii="宋体" w:hAnsi="宋体" w:cs="宋体"/>
                <w:kern w:val="0"/>
                <w:szCs w:val="21"/>
              </w:rPr>
            </w:pPr>
            <w:r>
              <w:rPr>
                <w:rFonts w:hint="eastAsia" w:ascii="宋体" w:hAnsi="宋体" w:cs="宋体"/>
                <w:kern w:val="0"/>
                <w:szCs w:val="21"/>
              </w:rPr>
              <w:t>（5）颜色：灰白色</w:t>
            </w:r>
          </w:p>
        </w:tc>
        <w:tc>
          <w:tcPr>
            <w:tcW w:w="462" w:type="dxa"/>
            <w:vMerge w:val="continue"/>
            <w:shd w:val="clear" w:color="auto" w:fill="auto"/>
            <w:noWrap/>
            <w:vAlign w:val="center"/>
          </w:tcPr>
          <w:p w14:paraId="076EEB08">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53B560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05FB591">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2C5348C">
            <w:pPr>
              <w:widowControl/>
              <w:jc w:val="center"/>
              <w:textAlignment w:val="center"/>
              <w:rPr>
                <w:rFonts w:ascii="宋体" w:hAnsi="宋体" w:cs="宋体"/>
                <w:color w:val="000000"/>
                <w:sz w:val="22"/>
                <w:szCs w:val="22"/>
              </w:rPr>
            </w:pPr>
          </w:p>
        </w:tc>
      </w:tr>
      <w:tr w14:paraId="0BBCA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B5D259F">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4F792DF6">
            <w:pPr>
              <w:widowControl/>
              <w:jc w:val="left"/>
              <w:textAlignment w:val="center"/>
              <w:rPr>
                <w:rFonts w:ascii="宋体" w:hAnsi="宋体" w:cs="宋体"/>
                <w:color w:val="000000"/>
                <w:sz w:val="22"/>
                <w:szCs w:val="22"/>
              </w:rPr>
            </w:pPr>
          </w:p>
        </w:tc>
        <w:tc>
          <w:tcPr>
            <w:tcW w:w="4897" w:type="dxa"/>
            <w:shd w:val="clear" w:color="auto" w:fill="auto"/>
            <w:vAlign w:val="center"/>
          </w:tcPr>
          <w:p w14:paraId="76E5111A">
            <w:pPr>
              <w:widowControl/>
              <w:rPr>
                <w:rFonts w:ascii="宋体" w:hAnsi="宋体" w:cs="宋体"/>
                <w:kern w:val="0"/>
                <w:szCs w:val="21"/>
              </w:rPr>
            </w:pPr>
            <w:r>
              <w:rPr>
                <w:rFonts w:hint="eastAsia" w:ascii="宋体" w:hAnsi="宋体" w:cs="宋体"/>
                <w:kern w:val="0"/>
                <w:szCs w:val="21"/>
              </w:rPr>
              <w:t>（6）选用质量符合国家标准GB/T700-2006《碳素结构钢》要求的优质钢材，不使用出现孔洞、缺口、开裂、尖角、裂缝、叠缝、腐蚀、离层、结疤、氧化皮等影响产品结构强度、外观和安全的材料。</w:t>
            </w:r>
          </w:p>
        </w:tc>
        <w:tc>
          <w:tcPr>
            <w:tcW w:w="462" w:type="dxa"/>
            <w:vMerge w:val="continue"/>
            <w:shd w:val="clear" w:color="auto" w:fill="auto"/>
            <w:noWrap/>
            <w:vAlign w:val="center"/>
          </w:tcPr>
          <w:p w14:paraId="4CCE1160">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87D5E5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C9876D0">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012C92E">
            <w:pPr>
              <w:widowControl/>
              <w:jc w:val="center"/>
              <w:textAlignment w:val="center"/>
              <w:rPr>
                <w:rFonts w:ascii="宋体" w:hAnsi="宋体" w:cs="宋体"/>
                <w:color w:val="000000"/>
                <w:sz w:val="22"/>
                <w:szCs w:val="22"/>
              </w:rPr>
            </w:pPr>
          </w:p>
        </w:tc>
      </w:tr>
      <w:tr w14:paraId="5028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F205E03">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7C37DA4">
            <w:pPr>
              <w:widowControl/>
              <w:jc w:val="left"/>
              <w:textAlignment w:val="center"/>
              <w:rPr>
                <w:rFonts w:ascii="宋体" w:hAnsi="宋体" w:cs="宋体"/>
                <w:color w:val="000000"/>
                <w:sz w:val="22"/>
                <w:szCs w:val="22"/>
              </w:rPr>
            </w:pPr>
          </w:p>
        </w:tc>
        <w:tc>
          <w:tcPr>
            <w:tcW w:w="4897" w:type="dxa"/>
            <w:shd w:val="clear" w:color="auto" w:fill="auto"/>
            <w:vAlign w:val="center"/>
          </w:tcPr>
          <w:p w14:paraId="21B7F3A4">
            <w:pPr>
              <w:widowControl/>
              <w:rPr>
                <w:rFonts w:ascii="宋体" w:hAnsi="宋体" w:cs="宋体"/>
                <w:kern w:val="0"/>
                <w:szCs w:val="21"/>
              </w:rPr>
            </w:pPr>
            <w:r>
              <w:rPr>
                <w:rFonts w:hint="eastAsia" w:ascii="宋体" w:hAnsi="宋体" w:cs="宋体"/>
                <w:kern w:val="0"/>
                <w:szCs w:val="21"/>
              </w:rPr>
              <w:t>3、</w:t>
            </w:r>
            <w:r>
              <w:rPr>
                <w:rFonts w:hint="eastAsia" w:ascii="宋体" w:hAnsi="宋体" w:cs="宋体"/>
                <w:kern w:val="0"/>
                <w:sz w:val="22"/>
              </w:rPr>
              <w:t>▲</w:t>
            </w:r>
            <w:r>
              <w:rPr>
                <w:rFonts w:hint="eastAsia" w:ascii="宋体" w:hAnsi="宋体" w:cs="宋体"/>
                <w:kern w:val="0"/>
                <w:szCs w:val="21"/>
              </w:rPr>
              <w:t>其他要求</w:t>
            </w:r>
          </w:p>
        </w:tc>
        <w:tc>
          <w:tcPr>
            <w:tcW w:w="462" w:type="dxa"/>
            <w:vMerge w:val="continue"/>
            <w:shd w:val="clear" w:color="auto" w:fill="auto"/>
            <w:noWrap/>
            <w:vAlign w:val="center"/>
          </w:tcPr>
          <w:p w14:paraId="290AA62F">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896171E">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1019CA9">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5E3D32A">
            <w:pPr>
              <w:widowControl/>
              <w:jc w:val="center"/>
              <w:textAlignment w:val="center"/>
              <w:rPr>
                <w:rFonts w:ascii="宋体" w:hAnsi="宋体" w:cs="宋体"/>
                <w:color w:val="000000"/>
                <w:sz w:val="22"/>
                <w:szCs w:val="22"/>
              </w:rPr>
            </w:pPr>
          </w:p>
        </w:tc>
      </w:tr>
      <w:tr w14:paraId="5D63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897E7D7">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6A5F95A">
            <w:pPr>
              <w:widowControl/>
              <w:jc w:val="left"/>
              <w:textAlignment w:val="center"/>
              <w:rPr>
                <w:rFonts w:ascii="宋体" w:hAnsi="宋体" w:cs="宋体"/>
                <w:color w:val="000000"/>
                <w:sz w:val="22"/>
                <w:szCs w:val="22"/>
              </w:rPr>
            </w:pPr>
          </w:p>
        </w:tc>
        <w:tc>
          <w:tcPr>
            <w:tcW w:w="4897" w:type="dxa"/>
            <w:shd w:val="clear" w:color="auto" w:fill="auto"/>
            <w:vAlign w:val="center"/>
          </w:tcPr>
          <w:p w14:paraId="285BA7CC">
            <w:pPr>
              <w:widowControl/>
              <w:rPr>
                <w:rFonts w:ascii="宋体" w:hAnsi="宋体" w:cs="宋体"/>
                <w:kern w:val="0"/>
                <w:szCs w:val="21"/>
              </w:rPr>
            </w:pPr>
            <w:r>
              <w:rPr>
                <w:rFonts w:hint="eastAsia" w:ascii="宋体" w:hAnsi="宋体" w:cs="宋体"/>
                <w:kern w:val="0"/>
                <w:szCs w:val="21"/>
              </w:rPr>
              <w:t>（1）投标时提供具有相应资质的第三方检测机构出具的图书架检测报告复印件，报告内容包含：外观、力学性能等，否则投标无效。</w:t>
            </w:r>
          </w:p>
        </w:tc>
        <w:tc>
          <w:tcPr>
            <w:tcW w:w="462" w:type="dxa"/>
            <w:vMerge w:val="continue"/>
            <w:shd w:val="clear" w:color="auto" w:fill="auto"/>
            <w:noWrap/>
            <w:vAlign w:val="center"/>
          </w:tcPr>
          <w:p w14:paraId="5F40F621">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A2F3298">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FB4CC8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6184D89">
            <w:pPr>
              <w:widowControl/>
              <w:jc w:val="center"/>
              <w:textAlignment w:val="center"/>
              <w:rPr>
                <w:rFonts w:ascii="宋体" w:hAnsi="宋体" w:cs="宋体"/>
                <w:color w:val="000000"/>
                <w:sz w:val="22"/>
                <w:szCs w:val="22"/>
              </w:rPr>
            </w:pPr>
          </w:p>
        </w:tc>
      </w:tr>
      <w:tr w14:paraId="1474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6AC2EF3">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691F253">
            <w:pPr>
              <w:widowControl/>
              <w:jc w:val="left"/>
              <w:textAlignment w:val="center"/>
              <w:rPr>
                <w:rFonts w:ascii="宋体" w:hAnsi="宋体" w:cs="宋体"/>
                <w:color w:val="000000"/>
                <w:sz w:val="22"/>
                <w:szCs w:val="22"/>
              </w:rPr>
            </w:pPr>
          </w:p>
        </w:tc>
        <w:tc>
          <w:tcPr>
            <w:tcW w:w="4897" w:type="dxa"/>
            <w:shd w:val="clear" w:color="auto" w:fill="auto"/>
            <w:vAlign w:val="center"/>
          </w:tcPr>
          <w:p w14:paraId="380A3005">
            <w:pPr>
              <w:widowControl/>
              <w:rPr>
                <w:rFonts w:ascii="宋体" w:hAnsi="宋体" w:cs="宋体"/>
                <w:kern w:val="0"/>
                <w:szCs w:val="21"/>
              </w:rPr>
            </w:pPr>
            <w:r>
              <w:rPr>
                <w:rFonts w:hint="eastAsia" w:ascii="宋体" w:hAnsi="宋体" w:cs="宋体"/>
                <w:kern w:val="0"/>
                <w:szCs w:val="21"/>
              </w:rPr>
              <w:t>（2）投标时提供具有相应资质的第三方检测机构出具的塑粉检测报告复印件，报告内容包含：重金属含量（铅、汞、铬、镉等），否则投标无效。</w:t>
            </w:r>
          </w:p>
        </w:tc>
        <w:tc>
          <w:tcPr>
            <w:tcW w:w="462" w:type="dxa"/>
            <w:vMerge w:val="continue"/>
            <w:shd w:val="clear" w:color="auto" w:fill="auto"/>
            <w:noWrap/>
            <w:vAlign w:val="center"/>
          </w:tcPr>
          <w:p w14:paraId="79E10FCC">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A27F91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A8C14D0">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B075C82">
            <w:pPr>
              <w:widowControl/>
              <w:jc w:val="center"/>
              <w:textAlignment w:val="center"/>
              <w:rPr>
                <w:rFonts w:ascii="宋体" w:hAnsi="宋体" w:cs="宋体"/>
                <w:color w:val="000000"/>
                <w:sz w:val="22"/>
                <w:szCs w:val="22"/>
              </w:rPr>
            </w:pPr>
          </w:p>
        </w:tc>
      </w:tr>
      <w:tr w14:paraId="1BAF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EC073AE">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822B9F9">
            <w:pPr>
              <w:widowControl/>
              <w:jc w:val="left"/>
              <w:textAlignment w:val="center"/>
              <w:rPr>
                <w:rFonts w:ascii="宋体" w:hAnsi="宋体" w:cs="宋体"/>
                <w:color w:val="000000"/>
                <w:sz w:val="22"/>
                <w:szCs w:val="22"/>
              </w:rPr>
            </w:pPr>
          </w:p>
        </w:tc>
        <w:tc>
          <w:tcPr>
            <w:tcW w:w="4897" w:type="dxa"/>
            <w:shd w:val="clear" w:color="auto" w:fill="auto"/>
            <w:vAlign w:val="center"/>
          </w:tcPr>
          <w:p w14:paraId="07453E2E">
            <w:pPr>
              <w:widowControl/>
              <w:rPr>
                <w:rFonts w:ascii="黑体" w:hAnsi="黑体" w:eastAsia="黑体" w:cs="宋体"/>
                <w:kern w:val="0"/>
                <w:szCs w:val="21"/>
              </w:rPr>
            </w:pPr>
            <w:r>
              <w:rPr>
                <w:rFonts w:hint="eastAsia" w:ascii="黑体" w:hAnsi="黑体" w:eastAsia="黑体" w:cs="宋体"/>
                <w:kern w:val="0"/>
                <w:szCs w:val="21"/>
              </w:rPr>
              <w:t>三、图书管理设备3套（每个校区1套）</w:t>
            </w:r>
          </w:p>
        </w:tc>
        <w:tc>
          <w:tcPr>
            <w:tcW w:w="462" w:type="dxa"/>
            <w:vMerge w:val="continue"/>
            <w:shd w:val="clear" w:color="auto" w:fill="auto"/>
            <w:noWrap/>
            <w:vAlign w:val="center"/>
          </w:tcPr>
          <w:p w14:paraId="066F317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2C8A7DF">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6DCFE7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71AD6CD">
            <w:pPr>
              <w:widowControl/>
              <w:jc w:val="center"/>
              <w:textAlignment w:val="center"/>
              <w:rPr>
                <w:rFonts w:ascii="宋体" w:hAnsi="宋体" w:cs="宋体"/>
                <w:color w:val="000000"/>
                <w:sz w:val="22"/>
                <w:szCs w:val="22"/>
              </w:rPr>
            </w:pPr>
          </w:p>
        </w:tc>
      </w:tr>
      <w:tr w14:paraId="5831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C3C262E">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A918309">
            <w:pPr>
              <w:widowControl/>
              <w:jc w:val="left"/>
              <w:textAlignment w:val="center"/>
              <w:rPr>
                <w:rFonts w:ascii="宋体" w:hAnsi="宋体" w:cs="宋体"/>
                <w:color w:val="000000"/>
                <w:sz w:val="22"/>
                <w:szCs w:val="22"/>
              </w:rPr>
            </w:pPr>
          </w:p>
        </w:tc>
        <w:tc>
          <w:tcPr>
            <w:tcW w:w="4897" w:type="dxa"/>
            <w:shd w:val="clear" w:color="auto" w:fill="auto"/>
            <w:vAlign w:val="center"/>
          </w:tcPr>
          <w:p w14:paraId="5B5CBF51">
            <w:pPr>
              <w:widowControl/>
              <w:rPr>
                <w:rFonts w:ascii="华文楷体" w:hAnsi="华文楷体" w:eastAsia="华文楷体" w:cs="宋体"/>
                <w:b/>
                <w:bCs/>
                <w:kern w:val="0"/>
                <w:szCs w:val="21"/>
              </w:rPr>
            </w:pPr>
            <w:r>
              <w:rPr>
                <w:rFonts w:hint="eastAsia" w:ascii="华文楷体" w:hAnsi="华文楷体" w:eastAsia="华文楷体" w:cs="宋体"/>
                <w:b/>
                <w:bCs/>
                <w:kern w:val="0"/>
                <w:szCs w:val="21"/>
              </w:rPr>
              <w:t>1、管理电脑</w:t>
            </w:r>
          </w:p>
        </w:tc>
        <w:tc>
          <w:tcPr>
            <w:tcW w:w="462" w:type="dxa"/>
            <w:vMerge w:val="continue"/>
            <w:shd w:val="clear" w:color="auto" w:fill="auto"/>
            <w:noWrap/>
            <w:vAlign w:val="center"/>
          </w:tcPr>
          <w:p w14:paraId="10247878">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22E589A">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2709F0F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36D6E6C">
            <w:pPr>
              <w:widowControl/>
              <w:jc w:val="center"/>
              <w:textAlignment w:val="center"/>
              <w:rPr>
                <w:rFonts w:ascii="宋体" w:hAnsi="宋体" w:cs="宋体"/>
                <w:color w:val="000000"/>
                <w:sz w:val="22"/>
                <w:szCs w:val="22"/>
              </w:rPr>
            </w:pPr>
          </w:p>
        </w:tc>
      </w:tr>
      <w:tr w14:paraId="340B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0F96EBE">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4C1A20C7">
            <w:pPr>
              <w:widowControl/>
              <w:jc w:val="left"/>
              <w:textAlignment w:val="center"/>
              <w:rPr>
                <w:rFonts w:ascii="宋体" w:hAnsi="宋体" w:cs="宋体"/>
                <w:color w:val="000000"/>
                <w:sz w:val="22"/>
                <w:szCs w:val="22"/>
              </w:rPr>
            </w:pPr>
          </w:p>
        </w:tc>
        <w:tc>
          <w:tcPr>
            <w:tcW w:w="4897" w:type="dxa"/>
            <w:shd w:val="clear" w:color="auto" w:fill="auto"/>
            <w:vAlign w:val="center"/>
          </w:tcPr>
          <w:p w14:paraId="21683D26">
            <w:pPr>
              <w:widowControl/>
              <w:rPr>
                <w:rFonts w:ascii="宋体" w:hAnsi="宋体" w:cs="宋体"/>
                <w:kern w:val="0"/>
                <w:szCs w:val="21"/>
              </w:rPr>
            </w:pPr>
            <w:r>
              <w:rPr>
                <w:rFonts w:hint="eastAsia" w:ascii="宋体" w:hAnsi="宋体" w:cs="宋体"/>
                <w:kern w:val="0"/>
                <w:szCs w:val="21"/>
              </w:rPr>
              <w:t>（1）处理器：因特尔酷睿 Intel i5-9500系列处理器或以上；</w:t>
            </w:r>
          </w:p>
        </w:tc>
        <w:tc>
          <w:tcPr>
            <w:tcW w:w="462" w:type="dxa"/>
            <w:vMerge w:val="continue"/>
            <w:shd w:val="clear" w:color="auto" w:fill="auto"/>
            <w:noWrap/>
            <w:vAlign w:val="center"/>
          </w:tcPr>
          <w:p w14:paraId="36FE9FE4">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148B36F">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D189FB6">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4B3E2A7">
            <w:pPr>
              <w:widowControl/>
              <w:jc w:val="center"/>
              <w:textAlignment w:val="center"/>
              <w:rPr>
                <w:rFonts w:ascii="宋体" w:hAnsi="宋体" w:cs="宋体"/>
                <w:color w:val="000000"/>
                <w:sz w:val="22"/>
                <w:szCs w:val="22"/>
              </w:rPr>
            </w:pPr>
          </w:p>
        </w:tc>
      </w:tr>
      <w:tr w14:paraId="04AC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A51F8D3">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5C39151">
            <w:pPr>
              <w:widowControl/>
              <w:jc w:val="left"/>
              <w:textAlignment w:val="center"/>
              <w:rPr>
                <w:rFonts w:ascii="宋体" w:hAnsi="宋体" w:cs="宋体"/>
                <w:color w:val="000000"/>
                <w:sz w:val="22"/>
                <w:szCs w:val="22"/>
              </w:rPr>
            </w:pPr>
          </w:p>
        </w:tc>
        <w:tc>
          <w:tcPr>
            <w:tcW w:w="4897" w:type="dxa"/>
            <w:shd w:val="clear" w:color="auto" w:fill="auto"/>
            <w:vAlign w:val="center"/>
          </w:tcPr>
          <w:p w14:paraId="5AAAA205">
            <w:pPr>
              <w:widowControl/>
              <w:rPr>
                <w:rFonts w:ascii="宋体" w:hAnsi="宋体" w:cs="宋体"/>
                <w:kern w:val="0"/>
                <w:szCs w:val="21"/>
              </w:rPr>
            </w:pPr>
            <w:r>
              <w:rPr>
                <w:rFonts w:hint="eastAsia" w:ascii="宋体" w:hAnsi="宋体" w:cs="宋体"/>
                <w:kern w:val="0"/>
                <w:szCs w:val="21"/>
              </w:rPr>
              <w:t>（2）主板：Intel B 360系列或以上芯片组，不支持H、Q系列主板；</w:t>
            </w:r>
          </w:p>
        </w:tc>
        <w:tc>
          <w:tcPr>
            <w:tcW w:w="462" w:type="dxa"/>
            <w:vMerge w:val="continue"/>
            <w:shd w:val="clear" w:color="auto" w:fill="auto"/>
            <w:noWrap/>
            <w:vAlign w:val="center"/>
          </w:tcPr>
          <w:p w14:paraId="5F169299">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002F04C">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BC938A1">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18E21A0">
            <w:pPr>
              <w:widowControl/>
              <w:jc w:val="center"/>
              <w:textAlignment w:val="center"/>
              <w:rPr>
                <w:rFonts w:ascii="宋体" w:hAnsi="宋体" w:cs="宋体"/>
                <w:color w:val="000000"/>
                <w:sz w:val="22"/>
                <w:szCs w:val="22"/>
              </w:rPr>
            </w:pPr>
          </w:p>
        </w:tc>
      </w:tr>
      <w:tr w14:paraId="5AA2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5510C02">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41469586">
            <w:pPr>
              <w:widowControl/>
              <w:jc w:val="left"/>
              <w:textAlignment w:val="center"/>
              <w:rPr>
                <w:rFonts w:ascii="宋体" w:hAnsi="宋体" w:cs="宋体"/>
                <w:color w:val="000000"/>
                <w:sz w:val="22"/>
                <w:szCs w:val="22"/>
              </w:rPr>
            </w:pPr>
          </w:p>
        </w:tc>
        <w:tc>
          <w:tcPr>
            <w:tcW w:w="4897" w:type="dxa"/>
            <w:shd w:val="clear" w:color="auto" w:fill="auto"/>
            <w:vAlign w:val="center"/>
          </w:tcPr>
          <w:p w14:paraId="4BE305A1">
            <w:pPr>
              <w:widowControl/>
              <w:rPr>
                <w:rFonts w:ascii="宋体" w:hAnsi="宋体" w:cs="宋体"/>
                <w:kern w:val="0"/>
                <w:szCs w:val="21"/>
              </w:rPr>
            </w:pPr>
            <w:r>
              <w:rPr>
                <w:rFonts w:hint="eastAsia" w:ascii="宋体" w:hAnsi="宋体" w:cs="宋体"/>
                <w:kern w:val="0"/>
                <w:szCs w:val="21"/>
              </w:rPr>
              <w:t>（3）内存：≥8G DDR4；</w:t>
            </w:r>
          </w:p>
        </w:tc>
        <w:tc>
          <w:tcPr>
            <w:tcW w:w="462" w:type="dxa"/>
            <w:vMerge w:val="continue"/>
            <w:shd w:val="clear" w:color="auto" w:fill="auto"/>
            <w:noWrap/>
            <w:vAlign w:val="center"/>
          </w:tcPr>
          <w:p w14:paraId="5F5BC40F">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E7D53BB">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9021670">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0237093">
            <w:pPr>
              <w:widowControl/>
              <w:jc w:val="center"/>
              <w:textAlignment w:val="center"/>
              <w:rPr>
                <w:rFonts w:ascii="宋体" w:hAnsi="宋体" w:cs="宋体"/>
                <w:color w:val="000000"/>
                <w:sz w:val="22"/>
                <w:szCs w:val="22"/>
              </w:rPr>
            </w:pPr>
          </w:p>
        </w:tc>
      </w:tr>
      <w:tr w14:paraId="6B0D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70187D9">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0C55478">
            <w:pPr>
              <w:widowControl/>
              <w:jc w:val="left"/>
              <w:textAlignment w:val="center"/>
              <w:rPr>
                <w:rFonts w:ascii="宋体" w:hAnsi="宋体" w:cs="宋体"/>
                <w:color w:val="000000"/>
                <w:sz w:val="22"/>
                <w:szCs w:val="22"/>
              </w:rPr>
            </w:pPr>
          </w:p>
        </w:tc>
        <w:tc>
          <w:tcPr>
            <w:tcW w:w="4897" w:type="dxa"/>
            <w:shd w:val="clear" w:color="auto" w:fill="auto"/>
            <w:vAlign w:val="center"/>
          </w:tcPr>
          <w:p w14:paraId="2D4641C2">
            <w:pPr>
              <w:widowControl/>
              <w:rPr>
                <w:rFonts w:ascii="宋体" w:hAnsi="宋体" w:cs="宋体"/>
                <w:kern w:val="0"/>
                <w:szCs w:val="21"/>
              </w:rPr>
            </w:pPr>
            <w:r>
              <w:rPr>
                <w:rFonts w:hint="eastAsia" w:ascii="宋体" w:hAnsi="宋体" w:cs="宋体"/>
                <w:kern w:val="0"/>
                <w:szCs w:val="21"/>
              </w:rPr>
              <w:t>（4）显卡：集成显卡，支持分屏显示不同内容；</w:t>
            </w:r>
          </w:p>
        </w:tc>
        <w:tc>
          <w:tcPr>
            <w:tcW w:w="462" w:type="dxa"/>
            <w:vMerge w:val="continue"/>
            <w:shd w:val="clear" w:color="auto" w:fill="auto"/>
            <w:noWrap/>
            <w:vAlign w:val="center"/>
          </w:tcPr>
          <w:p w14:paraId="7B5571DC">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7FE0E15">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86EEEF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2D1F0BE">
            <w:pPr>
              <w:widowControl/>
              <w:jc w:val="center"/>
              <w:textAlignment w:val="center"/>
              <w:rPr>
                <w:rFonts w:ascii="宋体" w:hAnsi="宋体" w:cs="宋体"/>
                <w:color w:val="000000"/>
                <w:sz w:val="22"/>
                <w:szCs w:val="22"/>
              </w:rPr>
            </w:pPr>
          </w:p>
        </w:tc>
      </w:tr>
      <w:tr w14:paraId="5AE3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BCD5EB8">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0B7B228">
            <w:pPr>
              <w:widowControl/>
              <w:jc w:val="left"/>
              <w:textAlignment w:val="center"/>
              <w:rPr>
                <w:rFonts w:ascii="宋体" w:hAnsi="宋体" w:cs="宋体"/>
                <w:color w:val="000000"/>
                <w:sz w:val="22"/>
                <w:szCs w:val="22"/>
              </w:rPr>
            </w:pPr>
          </w:p>
        </w:tc>
        <w:tc>
          <w:tcPr>
            <w:tcW w:w="4897" w:type="dxa"/>
            <w:shd w:val="clear" w:color="auto" w:fill="auto"/>
            <w:vAlign w:val="center"/>
          </w:tcPr>
          <w:p w14:paraId="723A5F00">
            <w:pPr>
              <w:widowControl/>
              <w:rPr>
                <w:rFonts w:ascii="宋体" w:hAnsi="宋体" w:cs="宋体"/>
                <w:kern w:val="0"/>
                <w:szCs w:val="21"/>
              </w:rPr>
            </w:pPr>
            <w:r>
              <w:rPr>
                <w:rFonts w:hint="eastAsia" w:ascii="宋体" w:hAnsi="宋体" w:cs="宋体"/>
                <w:kern w:val="0"/>
                <w:szCs w:val="21"/>
              </w:rPr>
              <w:t>（5）声卡：集成声卡（前置双接口，包含一个耳麦二合一接口）；</w:t>
            </w:r>
          </w:p>
        </w:tc>
        <w:tc>
          <w:tcPr>
            <w:tcW w:w="462" w:type="dxa"/>
            <w:vMerge w:val="continue"/>
            <w:shd w:val="clear" w:color="auto" w:fill="auto"/>
            <w:noWrap/>
            <w:vAlign w:val="center"/>
          </w:tcPr>
          <w:p w14:paraId="445B853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612D03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ACADF7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3ECB4DE">
            <w:pPr>
              <w:widowControl/>
              <w:jc w:val="center"/>
              <w:textAlignment w:val="center"/>
              <w:rPr>
                <w:rFonts w:ascii="宋体" w:hAnsi="宋体" w:cs="宋体"/>
                <w:color w:val="000000"/>
                <w:sz w:val="22"/>
                <w:szCs w:val="22"/>
              </w:rPr>
            </w:pPr>
          </w:p>
        </w:tc>
      </w:tr>
      <w:tr w14:paraId="0F03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BD1595B">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95DE24E">
            <w:pPr>
              <w:widowControl/>
              <w:jc w:val="left"/>
              <w:textAlignment w:val="center"/>
              <w:rPr>
                <w:rFonts w:ascii="宋体" w:hAnsi="宋体" w:cs="宋体"/>
                <w:color w:val="000000"/>
                <w:sz w:val="22"/>
                <w:szCs w:val="22"/>
              </w:rPr>
            </w:pPr>
          </w:p>
        </w:tc>
        <w:tc>
          <w:tcPr>
            <w:tcW w:w="4897" w:type="dxa"/>
            <w:shd w:val="clear" w:color="auto" w:fill="auto"/>
            <w:vAlign w:val="center"/>
          </w:tcPr>
          <w:p w14:paraId="01BFBA0F">
            <w:pPr>
              <w:widowControl/>
              <w:rPr>
                <w:rFonts w:ascii="宋体" w:hAnsi="宋体" w:cs="宋体"/>
                <w:kern w:val="0"/>
                <w:szCs w:val="21"/>
              </w:rPr>
            </w:pPr>
            <w:r>
              <w:rPr>
                <w:rFonts w:hint="eastAsia" w:ascii="宋体" w:hAnsi="宋体" w:cs="宋体"/>
                <w:kern w:val="0"/>
                <w:szCs w:val="21"/>
              </w:rPr>
              <w:t>（6）硬盘：≥1000G  SATA3 7200rpm 硬盘，；</w:t>
            </w:r>
          </w:p>
        </w:tc>
        <w:tc>
          <w:tcPr>
            <w:tcW w:w="462" w:type="dxa"/>
            <w:vMerge w:val="continue"/>
            <w:shd w:val="clear" w:color="auto" w:fill="auto"/>
            <w:noWrap/>
            <w:vAlign w:val="center"/>
          </w:tcPr>
          <w:p w14:paraId="33517E4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8657548">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7512AB1">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FDF927C">
            <w:pPr>
              <w:widowControl/>
              <w:jc w:val="center"/>
              <w:textAlignment w:val="center"/>
              <w:rPr>
                <w:rFonts w:ascii="宋体" w:hAnsi="宋体" w:cs="宋体"/>
                <w:color w:val="000000"/>
                <w:sz w:val="22"/>
                <w:szCs w:val="22"/>
              </w:rPr>
            </w:pPr>
          </w:p>
        </w:tc>
      </w:tr>
      <w:tr w14:paraId="13F1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0C7EFBFF">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E960BEC">
            <w:pPr>
              <w:widowControl/>
              <w:jc w:val="left"/>
              <w:textAlignment w:val="center"/>
              <w:rPr>
                <w:rFonts w:ascii="宋体" w:hAnsi="宋体" w:cs="宋体"/>
                <w:color w:val="000000"/>
                <w:sz w:val="22"/>
                <w:szCs w:val="22"/>
              </w:rPr>
            </w:pPr>
          </w:p>
        </w:tc>
        <w:tc>
          <w:tcPr>
            <w:tcW w:w="4897" w:type="dxa"/>
            <w:shd w:val="clear" w:color="auto" w:fill="auto"/>
            <w:vAlign w:val="center"/>
          </w:tcPr>
          <w:p w14:paraId="5D5455F8">
            <w:pPr>
              <w:widowControl/>
              <w:rPr>
                <w:rFonts w:ascii="宋体" w:hAnsi="宋体" w:cs="宋体"/>
                <w:kern w:val="0"/>
                <w:szCs w:val="21"/>
              </w:rPr>
            </w:pPr>
            <w:r>
              <w:rPr>
                <w:rFonts w:hint="eastAsia" w:ascii="宋体" w:hAnsi="宋体" w:cs="宋体"/>
                <w:kern w:val="0"/>
                <w:szCs w:val="21"/>
              </w:rPr>
              <w:t>（7）网卡：集成10/100/1000M以太网卡；</w:t>
            </w:r>
          </w:p>
        </w:tc>
        <w:tc>
          <w:tcPr>
            <w:tcW w:w="462" w:type="dxa"/>
            <w:vMerge w:val="continue"/>
            <w:shd w:val="clear" w:color="auto" w:fill="auto"/>
            <w:noWrap/>
            <w:vAlign w:val="center"/>
          </w:tcPr>
          <w:p w14:paraId="0772E10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D2FFD38">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5123D3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7C321B9">
            <w:pPr>
              <w:widowControl/>
              <w:jc w:val="center"/>
              <w:textAlignment w:val="center"/>
              <w:rPr>
                <w:rFonts w:ascii="宋体" w:hAnsi="宋体" w:cs="宋体"/>
                <w:color w:val="000000"/>
                <w:sz w:val="22"/>
                <w:szCs w:val="22"/>
              </w:rPr>
            </w:pPr>
          </w:p>
        </w:tc>
      </w:tr>
      <w:tr w14:paraId="6936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785D335">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4046B6D">
            <w:pPr>
              <w:widowControl/>
              <w:jc w:val="left"/>
              <w:textAlignment w:val="center"/>
              <w:rPr>
                <w:rFonts w:ascii="宋体" w:hAnsi="宋体" w:cs="宋体"/>
                <w:color w:val="000000"/>
                <w:sz w:val="22"/>
                <w:szCs w:val="22"/>
              </w:rPr>
            </w:pPr>
          </w:p>
        </w:tc>
        <w:tc>
          <w:tcPr>
            <w:tcW w:w="4897" w:type="dxa"/>
            <w:shd w:val="clear" w:color="auto" w:fill="auto"/>
            <w:vAlign w:val="center"/>
          </w:tcPr>
          <w:p w14:paraId="5899FFE6">
            <w:pPr>
              <w:widowControl/>
              <w:rPr>
                <w:rFonts w:ascii="宋体" w:hAnsi="宋体" w:cs="宋体"/>
                <w:kern w:val="0"/>
                <w:szCs w:val="21"/>
              </w:rPr>
            </w:pPr>
            <w:r>
              <w:rPr>
                <w:rFonts w:hint="eastAsia" w:ascii="宋体" w:hAnsi="宋体" w:cs="宋体"/>
                <w:kern w:val="0"/>
                <w:szCs w:val="21"/>
              </w:rPr>
              <w:t>（8）显示器: ≥21.5寸WLED显示器，分辨率1920x1080，屏幕比例16：9</w:t>
            </w:r>
          </w:p>
        </w:tc>
        <w:tc>
          <w:tcPr>
            <w:tcW w:w="462" w:type="dxa"/>
            <w:vMerge w:val="continue"/>
            <w:shd w:val="clear" w:color="auto" w:fill="auto"/>
            <w:noWrap/>
            <w:vAlign w:val="center"/>
          </w:tcPr>
          <w:p w14:paraId="26FB0973">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7A65407">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2F23C74">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205F28C">
            <w:pPr>
              <w:widowControl/>
              <w:jc w:val="center"/>
              <w:textAlignment w:val="center"/>
              <w:rPr>
                <w:rFonts w:ascii="宋体" w:hAnsi="宋体" w:cs="宋体"/>
                <w:color w:val="000000"/>
                <w:sz w:val="22"/>
                <w:szCs w:val="22"/>
              </w:rPr>
            </w:pPr>
          </w:p>
        </w:tc>
      </w:tr>
      <w:tr w14:paraId="2EB5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90FD337">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F26E182">
            <w:pPr>
              <w:widowControl/>
              <w:jc w:val="left"/>
              <w:textAlignment w:val="center"/>
              <w:rPr>
                <w:rFonts w:ascii="宋体" w:hAnsi="宋体" w:cs="宋体"/>
                <w:color w:val="000000"/>
                <w:sz w:val="22"/>
                <w:szCs w:val="22"/>
              </w:rPr>
            </w:pPr>
          </w:p>
        </w:tc>
        <w:tc>
          <w:tcPr>
            <w:tcW w:w="4897" w:type="dxa"/>
            <w:shd w:val="clear" w:color="auto" w:fill="auto"/>
            <w:vAlign w:val="center"/>
          </w:tcPr>
          <w:p w14:paraId="41A6343C">
            <w:pPr>
              <w:widowControl/>
              <w:rPr>
                <w:rFonts w:ascii="华文楷体" w:hAnsi="华文楷体" w:eastAsia="华文楷体" w:cs="宋体"/>
                <w:b/>
                <w:bCs/>
                <w:kern w:val="0"/>
                <w:szCs w:val="21"/>
              </w:rPr>
            </w:pPr>
            <w:r>
              <w:rPr>
                <w:rFonts w:hint="eastAsia" w:ascii="华文楷体" w:hAnsi="华文楷体" w:eastAsia="华文楷体" w:cs="宋体"/>
                <w:b/>
                <w:bCs/>
                <w:kern w:val="0"/>
                <w:szCs w:val="21"/>
              </w:rPr>
              <w:t>2、终端杀毒防护软件</w:t>
            </w:r>
          </w:p>
        </w:tc>
        <w:tc>
          <w:tcPr>
            <w:tcW w:w="462" w:type="dxa"/>
            <w:vMerge w:val="continue"/>
            <w:shd w:val="clear" w:color="auto" w:fill="auto"/>
            <w:noWrap/>
            <w:vAlign w:val="center"/>
          </w:tcPr>
          <w:p w14:paraId="202EACF4">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9ADC73C">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AC12448">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E99D60B">
            <w:pPr>
              <w:widowControl/>
              <w:jc w:val="center"/>
              <w:textAlignment w:val="center"/>
              <w:rPr>
                <w:rFonts w:ascii="宋体" w:hAnsi="宋体" w:cs="宋体"/>
                <w:color w:val="000000"/>
                <w:sz w:val="22"/>
                <w:szCs w:val="22"/>
              </w:rPr>
            </w:pPr>
          </w:p>
        </w:tc>
      </w:tr>
      <w:tr w14:paraId="2CF3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7EA253E">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CA3ACE3">
            <w:pPr>
              <w:widowControl/>
              <w:jc w:val="left"/>
              <w:textAlignment w:val="center"/>
              <w:rPr>
                <w:rFonts w:ascii="宋体" w:hAnsi="宋体" w:cs="宋体"/>
                <w:color w:val="000000"/>
                <w:sz w:val="22"/>
                <w:szCs w:val="22"/>
              </w:rPr>
            </w:pPr>
          </w:p>
        </w:tc>
        <w:tc>
          <w:tcPr>
            <w:tcW w:w="4897" w:type="dxa"/>
            <w:shd w:val="clear" w:color="auto" w:fill="auto"/>
            <w:vAlign w:val="center"/>
          </w:tcPr>
          <w:p w14:paraId="5E2C79EC">
            <w:pPr>
              <w:widowControl/>
              <w:rPr>
                <w:rFonts w:ascii="宋体" w:hAnsi="宋体" w:cs="宋体"/>
                <w:kern w:val="0"/>
                <w:szCs w:val="21"/>
              </w:rPr>
            </w:pPr>
            <w:r>
              <w:rPr>
                <w:rFonts w:hint="eastAsia" w:ascii="宋体" w:hAnsi="宋体" w:cs="宋体"/>
                <w:kern w:val="0"/>
                <w:szCs w:val="21"/>
              </w:rPr>
              <w:t>2.1、产品可以纯软件交付，包含管理控制中心软件及终端客户端软件，其中管理控制中心可云化部署；</w:t>
            </w:r>
          </w:p>
        </w:tc>
        <w:tc>
          <w:tcPr>
            <w:tcW w:w="462" w:type="dxa"/>
            <w:vMerge w:val="continue"/>
            <w:shd w:val="clear" w:color="auto" w:fill="auto"/>
            <w:noWrap/>
            <w:vAlign w:val="center"/>
          </w:tcPr>
          <w:p w14:paraId="6B4E3D81">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39A77D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7F48E9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C0EC04D">
            <w:pPr>
              <w:widowControl/>
              <w:jc w:val="center"/>
              <w:textAlignment w:val="center"/>
              <w:rPr>
                <w:rFonts w:ascii="宋体" w:hAnsi="宋体" w:cs="宋体"/>
                <w:color w:val="000000"/>
                <w:sz w:val="22"/>
                <w:szCs w:val="22"/>
              </w:rPr>
            </w:pPr>
          </w:p>
        </w:tc>
      </w:tr>
      <w:tr w14:paraId="1645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6A83DF4">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F5D7583">
            <w:pPr>
              <w:widowControl/>
              <w:jc w:val="left"/>
              <w:textAlignment w:val="center"/>
              <w:rPr>
                <w:rFonts w:ascii="宋体" w:hAnsi="宋体" w:cs="宋体"/>
                <w:color w:val="000000"/>
                <w:sz w:val="22"/>
                <w:szCs w:val="22"/>
              </w:rPr>
            </w:pPr>
          </w:p>
        </w:tc>
        <w:tc>
          <w:tcPr>
            <w:tcW w:w="4897" w:type="dxa"/>
            <w:shd w:val="clear" w:color="auto" w:fill="auto"/>
            <w:vAlign w:val="center"/>
          </w:tcPr>
          <w:p w14:paraId="5F71DB16">
            <w:pPr>
              <w:widowControl/>
              <w:rPr>
                <w:rFonts w:ascii="宋体" w:hAnsi="宋体" w:cs="宋体"/>
                <w:kern w:val="0"/>
                <w:szCs w:val="21"/>
              </w:rPr>
            </w:pPr>
            <w:r>
              <w:rPr>
                <w:rFonts w:hint="eastAsia" w:ascii="宋体" w:hAnsi="宋体" w:cs="宋体"/>
                <w:kern w:val="0"/>
                <w:szCs w:val="21"/>
              </w:rPr>
              <w:t>2.2、</w:t>
            </w:r>
            <w:r>
              <w:rPr>
                <w:rFonts w:hint="eastAsia" w:ascii="宋体" w:hAnsi="宋体" w:cs="宋体"/>
                <w:kern w:val="0"/>
                <w:sz w:val="22"/>
              </w:rPr>
              <w:t>▲</w:t>
            </w:r>
            <w:r>
              <w:rPr>
                <w:rFonts w:hint="eastAsia" w:ascii="宋体" w:hAnsi="宋体" w:cs="宋体"/>
                <w:kern w:val="0"/>
                <w:szCs w:val="21"/>
              </w:rPr>
              <w:t>支持以安全策略模板方式对指定终端组快速部署安全策略，安全策略模板支持默认模板和自定义模板；（投标时需提供产品截图证明）</w:t>
            </w:r>
          </w:p>
        </w:tc>
        <w:tc>
          <w:tcPr>
            <w:tcW w:w="462" w:type="dxa"/>
            <w:vMerge w:val="continue"/>
            <w:shd w:val="clear" w:color="auto" w:fill="auto"/>
            <w:noWrap/>
            <w:vAlign w:val="center"/>
          </w:tcPr>
          <w:p w14:paraId="2DEEB32F">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95CE3E6">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B9FAF8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81D474C">
            <w:pPr>
              <w:widowControl/>
              <w:jc w:val="center"/>
              <w:textAlignment w:val="center"/>
              <w:rPr>
                <w:rFonts w:ascii="宋体" w:hAnsi="宋体" w:cs="宋体"/>
                <w:color w:val="000000"/>
                <w:sz w:val="22"/>
                <w:szCs w:val="22"/>
              </w:rPr>
            </w:pPr>
          </w:p>
        </w:tc>
      </w:tr>
      <w:tr w14:paraId="1FD4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5220A54">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35F31D85">
            <w:pPr>
              <w:widowControl/>
              <w:jc w:val="left"/>
              <w:textAlignment w:val="center"/>
              <w:rPr>
                <w:rFonts w:ascii="宋体" w:hAnsi="宋体" w:cs="宋体"/>
                <w:color w:val="000000"/>
                <w:sz w:val="22"/>
                <w:szCs w:val="22"/>
              </w:rPr>
            </w:pPr>
          </w:p>
        </w:tc>
        <w:tc>
          <w:tcPr>
            <w:tcW w:w="4897" w:type="dxa"/>
            <w:shd w:val="clear" w:color="auto" w:fill="auto"/>
            <w:vAlign w:val="center"/>
          </w:tcPr>
          <w:p w14:paraId="4AC04B76">
            <w:pPr>
              <w:widowControl/>
              <w:rPr>
                <w:rFonts w:ascii="宋体" w:hAnsi="宋体" w:cs="宋体"/>
                <w:kern w:val="0"/>
                <w:szCs w:val="21"/>
              </w:rPr>
            </w:pPr>
            <w:r>
              <w:rPr>
                <w:rFonts w:hint="eastAsia" w:ascii="宋体" w:hAnsi="宋体" w:cs="宋体"/>
                <w:kern w:val="0"/>
                <w:szCs w:val="21"/>
              </w:rPr>
              <w:t>2.3、支持安全策略一体化配置，通过一条策略即可实现不同安全功能的配置，包括：终端病毒查杀的文件扫描配置、文件实时监控的参数配置、WebShell检测和威胁处置方式、暴力破解的威胁处置方式和Windows白名单信任目录；</w:t>
            </w:r>
          </w:p>
        </w:tc>
        <w:tc>
          <w:tcPr>
            <w:tcW w:w="462" w:type="dxa"/>
            <w:vMerge w:val="continue"/>
            <w:shd w:val="clear" w:color="auto" w:fill="auto"/>
            <w:noWrap/>
            <w:vAlign w:val="center"/>
          </w:tcPr>
          <w:p w14:paraId="4E1BC708">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AAF5D98">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4A641F8">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93DB850">
            <w:pPr>
              <w:widowControl/>
              <w:jc w:val="center"/>
              <w:textAlignment w:val="center"/>
              <w:rPr>
                <w:rFonts w:ascii="宋体" w:hAnsi="宋体" w:cs="宋体"/>
                <w:color w:val="000000"/>
                <w:sz w:val="22"/>
                <w:szCs w:val="22"/>
              </w:rPr>
            </w:pPr>
          </w:p>
        </w:tc>
      </w:tr>
      <w:tr w14:paraId="3F70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A2A696A">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81AD789">
            <w:pPr>
              <w:widowControl/>
              <w:jc w:val="left"/>
              <w:textAlignment w:val="center"/>
              <w:rPr>
                <w:rFonts w:ascii="宋体" w:hAnsi="宋体" w:cs="宋体"/>
                <w:color w:val="000000"/>
                <w:sz w:val="22"/>
                <w:szCs w:val="22"/>
              </w:rPr>
            </w:pPr>
          </w:p>
        </w:tc>
        <w:tc>
          <w:tcPr>
            <w:tcW w:w="4897" w:type="dxa"/>
            <w:shd w:val="clear" w:color="auto" w:fill="auto"/>
            <w:vAlign w:val="center"/>
          </w:tcPr>
          <w:p w14:paraId="08CB55F3">
            <w:pPr>
              <w:widowControl/>
              <w:rPr>
                <w:rFonts w:ascii="宋体" w:hAnsi="宋体" w:cs="宋体"/>
                <w:kern w:val="0"/>
                <w:szCs w:val="21"/>
              </w:rPr>
            </w:pPr>
            <w:r>
              <w:rPr>
                <w:rFonts w:hint="eastAsia" w:ascii="宋体" w:hAnsi="宋体" w:cs="宋体"/>
                <w:kern w:val="0"/>
                <w:szCs w:val="21"/>
              </w:rPr>
              <w:t>2.4、支持对主机账号信息进行梳理，可按照“7天”、“30天”展示登录历史，了解账号风险，包括是否存在隐藏账号、弱密码账号、可疑root权限账号、长期未使用账号、半夜登录、多IP登录等，并可以将存在风险账号的主机列表导出</w:t>
            </w:r>
          </w:p>
        </w:tc>
        <w:tc>
          <w:tcPr>
            <w:tcW w:w="462" w:type="dxa"/>
            <w:vMerge w:val="continue"/>
            <w:shd w:val="clear" w:color="auto" w:fill="auto"/>
            <w:noWrap/>
            <w:vAlign w:val="center"/>
          </w:tcPr>
          <w:p w14:paraId="7BAD0113">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70F1FC7">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A42E218">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2E89386">
            <w:pPr>
              <w:widowControl/>
              <w:jc w:val="center"/>
              <w:textAlignment w:val="center"/>
              <w:rPr>
                <w:rFonts w:ascii="宋体" w:hAnsi="宋体" w:cs="宋体"/>
                <w:color w:val="000000"/>
                <w:sz w:val="22"/>
                <w:szCs w:val="22"/>
              </w:rPr>
            </w:pPr>
          </w:p>
        </w:tc>
      </w:tr>
      <w:tr w14:paraId="105E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775F3FB">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31DD540">
            <w:pPr>
              <w:widowControl/>
              <w:jc w:val="left"/>
              <w:textAlignment w:val="center"/>
              <w:rPr>
                <w:rFonts w:ascii="宋体" w:hAnsi="宋体" w:cs="宋体"/>
                <w:color w:val="000000"/>
                <w:sz w:val="22"/>
                <w:szCs w:val="22"/>
              </w:rPr>
            </w:pPr>
          </w:p>
        </w:tc>
        <w:tc>
          <w:tcPr>
            <w:tcW w:w="4897" w:type="dxa"/>
            <w:shd w:val="clear" w:color="auto" w:fill="auto"/>
            <w:vAlign w:val="center"/>
          </w:tcPr>
          <w:p w14:paraId="0A8AD5C4">
            <w:pPr>
              <w:widowControl/>
              <w:rPr>
                <w:rFonts w:ascii="宋体" w:hAnsi="宋体" w:cs="宋体"/>
                <w:kern w:val="0"/>
                <w:szCs w:val="21"/>
              </w:rPr>
            </w:pPr>
            <w:r>
              <w:rPr>
                <w:rFonts w:hint="eastAsia" w:ascii="宋体" w:hAnsi="宋体" w:cs="宋体"/>
                <w:kern w:val="0"/>
                <w:szCs w:val="21"/>
              </w:rPr>
              <w:t>2.5、</w:t>
            </w:r>
            <w:r>
              <w:rPr>
                <w:rFonts w:hint="eastAsia" w:ascii="宋体" w:hAnsi="宋体" w:cs="宋体"/>
                <w:kern w:val="0"/>
                <w:sz w:val="22"/>
              </w:rPr>
              <w:t>▲</w:t>
            </w:r>
            <w:r>
              <w:rPr>
                <w:rFonts w:hint="eastAsia" w:ascii="宋体" w:hAnsi="宋体" w:cs="宋体"/>
                <w:kern w:val="0"/>
                <w:szCs w:val="21"/>
              </w:rPr>
              <w:t>支持跳转链接至云端安全威胁响应系统，针对已发生的病毒的基本信息，影响分析（客户情况、影响行业、区域分布）、威胁分析和处理建议等（投标时需提供产品截图证明）</w:t>
            </w:r>
          </w:p>
        </w:tc>
        <w:tc>
          <w:tcPr>
            <w:tcW w:w="462" w:type="dxa"/>
            <w:vMerge w:val="continue"/>
            <w:shd w:val="clear" w:color="auto" w:fill="auto"/>
            <w:noWrap/>
            <w:vAlign w:val="center"/>
          </w:tcPr>
          <w:p w14:paraId="0B3767B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791C093">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D95A7FC">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15A4D8E">
            <w:pPr>
              <w:widowControl/>
              <w:jc w:val="center"/>
              <w:textAlignment w:val="center"/>
              <w:rPr>
                <w:rFonts w:ascii="宋体" w:hAnsi="宋体" w:cs="宋体"/>
                <w:color w:val="000000"/>
                <w:sz w:val="22"/>
                <w:szCs w:val="22"/>
              </w:rPr>
            </w:pPr>
          </w:p>
        </w:tc>
      </w:tr>
      <w:tr w14:paraId="1DED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07000410">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6A89B87">
            <w:pPr>
              <w:widowControl/>
              <w:jc w:val="left"/>
              <w:textAlignment w:val="center"/>
              <w:rPr>
                <w:rFonts w:ascii="宋体" w:hAnsi="宋体" w:cs="宋体"/>
                <w:color w:val="000000"/>
                <w:sz w:val="22"/>
                <w:szCs w:val="22"/>
              </w:rPr>
            </w:pPr>
          </w:p>
        </w:tc>
        <w:tc>
          <w:tcPr>
            <w:tcW w:w="4897" w:type="dxa"/>
            <w:shd w:val="clear" w:color="auto" w:fill="auto"/>
            <w:vAlign w:val="center"/>
          </w:tcPr>
          <w:p w14:paraId="2D6348FC">
            <w:pPr>
              <w:widowControl/>
              <w:rPr>
                <w:rFonts w:ascii="宋体" w:hAnsi="宋体" w:cs="宋体"/>
                <w:kern w:val="0"/>
                <w:szCs w:val="21"/>
              </w:rPr>
            </w:pPr>
            <w:r>
              <w:rPr>
                <w:rFonts w:hint="eastAsia" w:ascii="宋体" w:hAnsi="宋体" w:cs="宋体"/>
                <w:kern w:val="0"/>
                <w:szCs w:val="21"/>
              </w:rPr>
              <w:t>2.6、支持导出针对全网终端的终端风险报告，从整体分析全网安全状况，快速了解业务和网络的安全风险，提供安全规划建设建议</w:t>
            </w:r>
          </w:p>
        </w:tc>
        <w:tc>
          <w:tcPr>
            <w:tcW w:w="462" w:type="dxa"/>
            <w:vMerge w:val="continue"/>
            <w:shd w:val="clear" w:color="auto" w:fill="auto"/>
            <w:noWrap/>
            <w:vAlign w:val="center"/>
          </w:tcPr>
          <w:p w14:paraId="54F3B533">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47B5493">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2A684639">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D5AC2BC">
            <w:pPr>
              <w:widowControl/>
              <w:jc w:val="center"/>
              <w:textAlignment w:val="center"/>
              <w:rPr>
                <w:rFonts w:ascii="宋体" w:hAnsi="宋体" w:cs="宋体"/>
                <w:color w:val="000000"/>
                <w:sz w:val="22"/>
                <w:szCs w:val="22"/>
              </w:rPr>
            </w:pPr>
          </w:p>
        </w:tc>
      </w:tr>
      <w:tr w14:paraId="2E64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DFFF1F1">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EF17D6C">
            <w:pPr>
              <w:widowControl/>
              <w:jc w:val="left"/>
              <w:textAlignment w:val="center"/>
              <w:rPr>
                <w:rFonts w:ascii="宋体" w:hAnsi="宋体" w:cs="宋体"/>
                <w:color w:val="000000"/>
                <w:sz w:val="22"/>
                <w:szCs w:val="22"/>
              </w:rPr>
            </w:pPr>
          </w:p>
        </w:tc>
        <w:tc>
          <w:tcPr>
            <w:tcW w:w="4897" w:type="dxa"/>
            <w:shd w:val="clear" w:color="auto" w:fill="auto"/>
            <w:vAlign w:val="center"/>
          </w:tcPr>
          <w:p w14:paraId="31656E07">
            <w:pPr>
              <w:widowControl/>
              <w:rPr>
                <w:rFonts w:ascii="宋体" w:hAnsi="宋体" w:cs="宋体"/>
                <w:kern w:val="0"/>
                <w:szCs w:val="21"/>
              </w:rPr>
            </w:pPr>
            <w:r>
              <w:rPr>
                <w:rFonts w:hint="eastAsia" w:ascii="宋体" w:hAnsi="宋体" w:cs="宋体"/>
                <w:kern w:val="0"/>
                <w:szCs w:val="21"/>
              </w:rPr>
              <w:t>2.7、具备基于本地缓存信誉检测与全网信誉检测，构建企业全网信誉库的检测引擎，做到企业内网一台威胁，全网感知并进行针对性查杀，支持处置病毒时选择是否在其它终端上同步处置有效提升查杀效率，减少终端资源开销</w:t>
            </w:r>
          </w:p>
        </w:tc>
        <w:tc>
          <w:tcPr>
            <w:tcW w:w="462" w:type="dxa"/>
            <w:vMerge w:val="continue"/>
            <w:shd w:val="clear" w:color="auto" w:fill="auto"/>
            <w:noWrap/>
            <w:vAlign w:val="center"/>
          </w:tcPr>
          <w:p w14:paraId="1B3ADB8F">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C05CEB2">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5D76306">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2FEA748">
            <w:pPr>
              <w:widowControl/>
              <w:jc w:val="center"/>
              <w:textAlignment w:val="center"/>
              <w:rPr>
                <w:rFonts w:ascii="宋体" w:hAnsi="宋体" w:cs="宋体"/>
                <w:color w:val="000000"/>
                <w:sz w:val="22"/>
                <w:szCs w:val="22"/>
              </w:rPr>
            </w:pPr>
          </w:p>
        </w:tc>
      </w:tr>
      <w:tr w14:paraId="6B75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CE913C2">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4A7EC1D">
            <w:pPr>
              <w:widowControl/>
              <w:jc w:val="left"/>
              <w:textAlignment w:val="center"/>
              <w:rPr>
                <w:rFonts w:ascii="宋体" w:hAnsi="宋体" w:cs="宋体"/>
                <w:color w:val="000000"/>
                <w:sz w:val="22"/>
                <w:szCs w:val="22"/>
              </w:rPr>
            </w:pPr>
          </w:p>
        </w:tc>
        <w:tc>
          <w:tcPr>
            <w:tcW w:w="4897" w:type="dxa"/>
            <w:shd w:val="clear" w:color="auto" w:fill="auto"/>
            <w:vAlign w:val="center"/>
          </w:tcPr>
          <w:p w14:paraId="691A114A">
            <w:pPr>
              <w:widowControl/>
              <w:rPr>
                <w:rFonts w:ascii="宋体" w:hAnsi="宋体" w:cs="宋体"/>
                <w:kern w:val="0"/>
                <w:szCs w:val="21"/>
              </w:rPr>
            </w:pPr>
            <w:r>
              <w:rPr>
                <w:rFonts w:hint="eastAsia" w:ascii="宋体" w:hAnsi="宋体" w:cs="宋体"/>
                <w:kern w:val="0"/>
                <w:szCs w:val="21"/>
              </w:rPr>
              <w:t>2.8、支持本地查杀缓存，具备二级缓存机制：终端侧使用全盘文件缓存，加速本地二次扫描速度，减少对本地虚拟化环境的资源消耗；管理平台侧使用全网文件缓存，加速云查杀速度，减少通过互联网进行云查杀的带宽消耗。</w:t>
            </w:r>
          </w:p>
        </w:tc>
        <w:tc>
          <w:tcPr>
            <w:tcW w:w="462" w:type="dxa"/>
            <w:vMerge w:val="continue"/>
            <w:shd w:val="clear" w:color="auto" w:fill="auto"/>
            <w:noWrap/>
            <w:vAlign w:val="center"/>
          </w:tcPr>
          <w:p w14:paraId="28162E5C">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5FD372A">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E3A4BDC">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D7CE54D">
            <w:pPr>
              <w:widowControl/>
              <w:jc w:val="center"/>
              <w:textAlignment w:val="center"/>
              <w:rPr>
                <w:rFonts w:ascii="宋体" w:hAnsi="宋体" w:cs="宋体"/>
                <w:color w:val="000000"/>
                <w:sz w:val="22"/>
                <w:szCs w:val="22"/>
              </w:rPr>
            </w:pPr>
          </w:p>
        </w:tc>
      </w:tr>
      <w:tr w14:paraId="7249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B5BC48C">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A8FF19F">
            <w:pPr>
              <w:widowControl/>
              <w:jc w:val="left"/>
              <w:textAlignment w:val="center"/>
              <w:rPr>
                <w:rFonts w:ascii="宋体" w:hAnsi="宋体" w:cs="宋体"/>
                <w:color w:val="000000"/>
                <w:sz w:val="22"/>
                <w:szCs w:val="22"/>
              </w:rPr>
            </w:pPr>
          </w:p>
        </w:tc>
        <w:tc>
          <w:tcPr>
            <w:tcW w:w="4897" w:type="dxa"/>
            <w:shd w:val="clear" w:color="auto" w:fill="auto"/>
            <w:vAlign w:val="center"/>
          </w:tcPr>
          <w:p w14:paraId="6F353487">
            <w:pPr>
              <w:widowControl/>
              <w:rPr>
                <w:rFonts w:ascii="宋体" w:hAnsi="宋体" w:cs="宋体"/>
                <w:kern w:val="0"/>
                <w:szCs w:val="21"/>
              </w:rPr>
            </w:pPr>
            <w:r>
              <w:rPr>
                <w:rFonts w:hint="eastAsia" w:ascii="宋体" w:hAnsi="宋体" w:cs="宋体"/>
                <w:kern w:val="0"/>
                <w:szCs w:val="21"/>
              </w:rPr>
              <w:t>2.9、</w:t>
            </w:r>
            <w:r>
              <w:rPr>
                <w:rFonts w:hint="eastAsia" w:ascii="宋体" w:hAnsi="宋体" w:cs="宋体"/>
                <w:kern w:val="0"/>
                <w:sz w:val="22"/>
              </w:rPr>
              <w:t>▲</w:t>
            </w:r>
            <w:r>
              <w:rPr>
                <w:rFonts w:hint="eastAsia" w:ascii="宋体" w:hAnsi="宋体" w:cs="宋体"/>
                <w:kern w:val="0"/>
                <w:szCs w:val="21"/>
              </w:rPr>
              <w:t>支持禁止黑客工具启动，包含：冰刃、xuetr、ProcessHacker、PCHunter、火绒剑、Mimikatz的自启动，可以防止黑客攻击</w:t>
            </w:r>
          </w:p>
        </w:tc>
        <w:tc>
          <w:tcPr>
            <w:tcW w:w="462" w:type="dxa"/>
            <w:vMerge w:val="continue"/>
            <w:shd w:val="clear" w:color="auto" w:fill="auto"/>
            <w:noWrap/>
            <w:vAlign w:val="center"/>
          </w:tcPr>
          <w:p w14:paraId="672D2217">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981C0B8">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1CB300F">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AFF616D">
            <w:pPr>
              <w:widowControl/>
              <w:jc w:val="center"/>
              <w:textAlignment w:val="center"/>
              <w:rPr>
                <w:rFonts w:ascii="宋体" w:hAnsi="宋体" w:cs="宋体"/>
                <w:color w:val="000000"/>
                <w:sz w:val="22"/>
                <w:szCs w:val="22"/>
              </w:rPr>
            </w:pPr>
          </w:p>
        </w:tc>
      </w:tr>
      <w:tr w14:paraId="0466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06B4EC25">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5D40E3F">
            <w:pPr>
              <w:widowControl/>
              <w:jc w:val="left"/>
              <w:textAlignment w:val="center"/>
              <w:rPr>
                <w:rFonts w:ascii="宋体" w:hAnsi="宋体" w:cs="宋体"/>
                <w:color w:val="000000"/>
                <w:sz w:val="22"/>
                <w:szCs w:val="22"/>
              </w:rPr>
            </w:pPr>
          </w:p>
        </w:tc>
        <w:tc>
          <w:tcPr>
            <w:tcW w:w="4897" w:type="dxa"/>
            <w:shd w:val="clear" w:color="auto" w:fill="auto"/>
            <w:vAlign w:val="center"/>
          </w:tcPr>
          <w:p w14:paraId="133379AE">
            <w:pPr>
              <w:widowControl/>
              <w:rPr>
                <w:rFonts w:ascii="宋体" w:hAnsi="宋体" w:cs="宋体"/>
                <w:kern w:val="0"/>
                <w:szCs w:val="21"/>
              </w:rPr>
            </w:pPr>
            <w:r>
              <w:rPr>
                <w:rFonts w:hint="eastAsia" w:ascii="宋体" w:hAnsi="宋体" w:cs="宋体"/>
                <w:kern w:val="0"/>
                <w:szCs w:val="21"/>
              </w:rPr>
              <w:t>2.10、文件实时监控的驱动技术需通过微软WHQL徽标认证（Microsoft Windows Hardware Quality Lab），以保证系统稳定性及兼容性</w:t>
            </w:r>
          </w:p>
        </w:tc>
        <w:tc>
          <w:tcPr>
            <w:tcW w:w="462" w:type="dxa"/>
            <w:vMerge w:val="continue"/>
            <w:shd w:val="clear" w:color="auto" w:fill="auto"/>
            <w:noWrap/>
            <w:vAlign w:val="center"/>
          </w:tcPr>
          <w:p w14:paraId="38CFC62D">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5F28E82">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551C2C2">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CA9426C">
            <w:pPr>
              <w:widowControl/>
              <w:jc w:val="center"/>
              <w:textAlignment w:val="center"/>
              <w:rPr>
                <w:rFonts w:ascii="宋体" w:hAnsi="宋体" w:cs="宋体"/>
                <w:color w:val="000000"/>
                <w:sz w:val="22"/>
                <w:szCs w:val="22"/>
              </w:rPr>
            </w:pPr>
          </w:p>
        </w:tc>
      </w:tr>
      <w:tr w14:paraId="7F9C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D0E8DEB">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26751EE">
            <w:pPr>
              <w:widowControl/>
              <w:jc w:val="left"/>
              <w:textAlignment w:val="center"/>
              <w:rPr>
                <w:rFonts w:ascii="宋体" w:hAnsi="宋体" w:cs="宋体"/>
                <w:color w:val="000000"/>
                <w:sz w:val="22"/>
                <w:szCs w:val="22"/>
              </w:rPr>
            </w:pPr>
          </w:p>
        </w:tc>
        <w:tc>
          <w:tcPr>
            <w:tcW w:w="4897" w:type="dxa"/>
            <w:shd w:val="clear" w:color="auto" w:fill="auto"/>
            <w:vAlign w:val="center"/>
          </w:tcPr>
          <w:p w14:paraId="20BEDDF8">
            <w:pPr>
              <w:widowControl/>
              <w:rPr>
                <w:rFonts w:ascii="宋体" w:hAnsi="宋体" w:cs="宋体"/>
                <w:kern w:val="0"/>
                <w:szCs w:val="21"/>
              </w:rPr>
            </w:pPr>
            <w:r>
              <w:rPr>
                <w:rFonts w:hint="eastAsia" w:ascii="宋体" w:hAnsi="宋体" w:cs="宋体"/>
                <w:kern w:val="0"/>
                <w:szCs w:val="21"/>
              </w:rPr>
              <w:t>2.11、支持对服务器重要目录进行权限控制，仅允许配置的可信进程操作该目录并提供配置指引</w:t>
            </w:r>
          </w:p>
        </w:tc>
        <w:tc>
          <w:tcPr>
            <w:tcW w:w="462" w:type="dxa"/>
            <w:vMerge w:val="continue"/>
            <w:shd w:val="clear" w:color="auto" w:fill="auto"/>
            <w:noWrap/>
            <w:vAlign w:val="center"/>
          </w:tcPr>
          <w:p w14:paraId="55564A0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A62238A">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1FA45CA">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9543C5D">
            <w:pPr>
              <w:widowControl/>
              <w:jc w:val="center"/>
              <w:textAlignment w:val="center"/>
              <w:rPr>
                <w:rFonts w:ascii="宋体" w:hAnsi="宋体" w:cs="宋体"/>
                <w:color w:val="000000"/>
                <w:sz w:val="22"/>
                <w:szCs w:val="22"/>
              </w:rPr>
            </w:pPr>
          </w:p>
        </w:tc>
      </w:tr>
      <w:tr w14:paraId="533A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09E80EB">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4BC475A3">
            <w:pPr>
              <w:widowControl/>
              <w:jc w:val="left"/>
              <w:textAlignment w:val="center"/>
              <w:rPr>
                <w:rFonts w:ascii="宋体" w:hAnsi="宋体" w:cs="宋体"/>
                <w:color w:val="000000"/>
                <w:sz w:val="22"/>
                <w:szCs w:val="22"/>
              </w:rPr>
            </w:pPr>
          </w:p>
        </w:tc>
        <w:tc>
          <w:tcPr>
            <w:tcW w:w="4897" w:type="dxa"/>
            <w:shd w:val="clear" w:color="auto" w:fill="auto"/>
            <w:vAlign w:val="center"/>
          </w:tcPr>
          <w:p w14:paraId="4AE1C5E1">
            <w:pPr>
              <w:widowControl/>
              <w:rPr>
                <w:rFonts w:ascii="宋体" w:hAnsi="宋体" w:cs="宋体"/>
                <w:kern w:val="0"/>
                <w:szCs w:val="21"/>
              </w:rPr>
            </w:pPr>
            <w:r>
              <w:rPr>
                <w:rFonts w:hint="eastAsia" w:ascii="宋体" w:hAnsi="宋体" w:cs="宋体"/>
                <w:kern w:val="0"/>
                <w:szCs w:val="21"/>
              </w:rPr>
              <w:t>2.12、提供基于可信鉴定方式的进程防护方式，通过人工智能自学习建立可信进程名单，阻断非可信进程的运行并提供配置指引</w:t>
            </w:r>
          </w:p>
        </w:tc>
        <w:tc>
          <w:tcPr>
            <w:tcW w:w="462" w:type="dxa"/>
            <w:vMerge w:val="continue"/>
            <w:shd w:val="clear" w:color="auto" w:fill="auto"/>
            <w:noWrap/>
            <w:vAlign w:val="center"/>
          </w:tcPr>
          <w:p w14:paraId="5271368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C44F70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CC5FDF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2ADDE6E">
            <w:pPr>
              <w:widowControl/>
              <w:jc w:val="center"/>
              <w:textAlignment w:val="center"/>
              <w:rPr>
                <w:rFonts w:ascii="宋体" w:hAnsi="宋体" w:cs="宋体"/>
                <w:color w:val="000000"/>
                <w:sz w:val="22"/>
                <w:szCs w:val="22"/>
              </w:rPr>
            </w:pPr>
          </w:p>
        </w:tc>
      </w:tr>
      <w:tr w14:paraId="5FF5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4572D23">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F6B51C8">
            <w:pPr>
              <w:widowControl/>
              <w:jc w:val="left"/>
              <w:textAlignment w:val="center"/>
              <w:rPr>
                <w:rFonts w:ascii="宋体" w:hAnsi="宋体" w:cs="宋体"/>
                <w:color w:val="000000"/>
                <w:sz w:val="22"/>
                <w:szCs w:val="22"/>
              </w:rPr>
            </w:pPr>
          </w:p>
        </w:tc>
        <w:tc>
          <w:tcPr>
            <w:tcW w:w="4897" w:type="dxa"/>
            <w:shd w:val="clear" w:color="auto" w:fill="auto"/>
            <w:vAlign w:val="center"/>
          </w:tcPr>
          <w:p w14:paraId="032D5D19">
            <w:pPr>
              <w:widowControl/>
              <w:rPr>
                <w:rFonts w:ascii="宋体" w:hAnsi="宋体" w:cs="宋体"/>
                <w:kern w:val="0"/>
                <w:szCs w:val="21"/>
              </w:rPr>
            </w:pPr>
            <w:r>
              <w:rPr>
                <w:rFonts w:hint="eastAsia" w:ascii="宋体" w:hAnsi="宋体" w:cs="宋体"/>
                <w:kern w:val="0"/>
                <w:szCs w:val="21"/>
              </w:rPr>
              <w:t>2.13、</w:t>
            </w:r>
            <w:r>
              <w:rPr>
                <w:rFonts w:hint="eastAsia" w:ascii="宋体" w:hAnsi="宋体" w:cs="宋体"/>
                <w:kern w:val="0"/>
                <w:sz w:val="22"/>
              </w:rPr>
              <w:t>▲</w:t>
            </w:r>
            <w:r>
              <w:rPr>
                <w:rFonts w:hint="eastAsia" w:ascii="宋体" w:hAnsi="宋体" w:cs="宋体"/>
                <w:kern w:val="0"/>
                <w:szCs w:val="21"/>
              </w:rPr>
              <w:t>支持监控诱饵文件，诱饵文件可被实时监控，当勒索病毒对该文件进行修改或加密操作时进行拦截（投标时需提供产品截图证明）</w:t>
            </w:r>
          </w:p>
        </w:tc>
        <w:tc>
          <w:tcPr>
            <w:tcW w:w="462" w:type="dxa"/>
            <w:vMerge w:val="continue"/>
            <w:shd w:val="clear" w:color="auto" w:fill="auto"/>
            <w:noWrap/>
            <w:vAlign w:val="center"/>
          </w:tcPr>
          <w:p w14:paraId="7E5929DF">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DA84D25">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CA45C0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86B85B5">
            <w:pPr>
              <w:widowControl/>
              <w:jc w:val="center"/>
              <w:textAlignment w:val="center"/>
              <w:rPr>
                <w:rFonts w:ascii="宋体" w:hAnsi="宋体" w:cs="宋体"/>
                <w:color w:val="000000"/>
                <w:sz w:val="22"/>
                <w:szCs w:val="22"/>
              </w:rPr>
            </w:pPr>
          </w:p>
        </w:tc>
      </w:tr>
      <w:tr w14:paraId="5C47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171ECEC">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A9B0268">
            <w:pPr>
              <w:widowControl/>
              <w:jc w:val="left"/>
              <w:textAlignment w:val="center"/>
              <w:rPr>
                <w:rFonts w:ascii="宋体" w:hAnsi="宋体" w:cs="宋体"/>
                <w:color w:val="000000"/>
                <w:sz w:val="22"/>
                <w:szCs w:val="22"/>
              </w:rPr>
            </w:pPr>
          </w:p>
        </w:tc>
        <w:tc>
          <w:tcPr>
            <w:tcW w:w="4897" w:type="dxa"/>
            <w:shd w:val="clear" w:color="auto" w:fill="auto"/>
            <w:vAlign w:val="center"/>
          </w:tcPr>
          <w:p w14:paraId="57B84677">
            <w:pPr>
              <w:widowControl/>
              <w:rPr>
                <w:rFonts w:ascii="宋体" w:hAnsi="宋体" w:cs="宋体"/>
                <w:kern w:val="0"/>
                <w:szCs w:val="21"/>
              </w:rPr>
            </w:pPr>
            <w:r>
              <w:rPr>
                <w:rFonts w:hint="eastAsia" w:ascii="宋体" w:hAnsi="宋体" w:cs="宋体"/>
                <w:kern w:val="0"/>
                <w:szCs w:val="21"/>
              </w:rPr>
              <w:t>2.14、一键式操作对指定终端/终端组进行合规性检查，包括身份鉴别、访问控制、安全审计、剩余信息保护、入侵防范、恶意代码防范，对不合规的检查项提供设置建议，并可视化展示终端的基线合规检查结果</w:t>
            </w:r>
          </w:p>
        </w:tc>
        <w:tc>
          <w:tcPr>
            <w:tcW w:w="462" w:type="dxa"/>
            <w:vMerge w:val="continue"/>
            <w:shd w:val="clear" w:color="auto" w:fill="auto"/>
            <w:noWrap/>
            <w:vAlign w:val="center"/>
          </w:tcPr>
          <w:p w14:paraId="537438A4">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CADDD9F">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251BE1C6">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9B12792">
            <w:pPr>
              <w:widowControl/>
              <w:jc w:val="center"/>
              <w:textAlignment w:val="center"/>
              <w:rPr>
                <w:rFonts w:ascii="宋体" w:hAnsi="宋体" w:cs="宋体"/>
                <w:color w:val="000000"/>
                <w:sz w:val="22"/>
                <w:szCs w:val="22"/>
              </w:rPr>
            </w:pPr>
          </w:p>
        </w:tc>
      </w:tr>
      <w:tr w14:paraId="0FDF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C70443D">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9F6B7D9">
            <w:pPr>
              <w:widowControl/>
              <w:jc w:val="left"/>
              <w:textAlignment w:val="center"/>
              <w:rPr>
                <w:rFonts w:ascii="宋体" w:hAnsi="宋体" w:cs="宋体"/>
                <w:color w:val="000000"/>
                <w:sz w:val="22"/>
                <w:szCs w:val="22"/>
              </w:rPr>
            </w:pPr>
          </w:p>
        </w:tc>
        <w:tc>
          <w:tcPr>
            <w:tcW w:w="4897" w:type="dxa"/>
            <w:shd w:val="clear" w:color="auto" w:fill="auto"/>
            <w:vAlign w:val="center"/>
          </w:tcPr>
          <w:p w14:paraId="58F7B195">
            <w:pPr>
              <w:widowControl/>
              <w:rPr>
                <w:rFonts w:ascii="宋体" w:hAnsi="宋体" w:cs="宋体"/>
                <w:kern w:val="0"/>
                <w:szCs w:val="21"/>
              </w:rPr>
            </w:pPr>
            <w:r>
              <w:rPr>
                <w:rFonts w:hint="eastAsia" w:ascii="宋体" w:hAnsi="宋体" w:cs="宋体"/>
                <w:kern w:val="0"/>
                <w:szCs w:val="21"/>
              </w:rPr>
              <w:t>2.15、</w:t>
            </w:r>
            <w:r>
              <w:rPr>
                <w:rFonts w:hint="eastAsia" w:ascii="宋体" w:hAnsi="宋体" w:cs="宋体"/>
                <w:kern w:val="0"/>
                <w:sz w:val="22"/>
              </w:rPr>
              <w:t>▲</w:t>
            </w:r>
            <w:r>
              <w:rPr>
                <w:rFonts w:hint="eastAsia" w:ascii="宋体" w:hAnsi="宋体" w:cs="宋体"/>
                <w:kern w:val="0"/>
                <w:szCs w:val="21"/>
              </w:rPr>
              <w:t>构建全网文件信誉库，当一台终端发现某一病毒文件，全网可进行感知并进行针对性查杀，支持处置病毒时选择是否在其它终端上同步处置（投标时需提供产品截图证明）</w:t>
            </w:r>
          </w:p>
        </w:tc>
        <w:tc>
          <w:tcPr>
            <w:tcW w:w="462" w:type="dxa"/>
            <w:vMerge w:val="continue"/>
            <w:shd w:val="clear" w:color="auto" w:fill="auto"/>
            <w:noWrap/>
            <w:vAlign w:val="center"/>
          </w:tcPr>
          <w:p w14:paraId="31649259">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A4F256A">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95B3F7B">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C9F21C8">
            <w:pPr>
              <w:widowControl/>
              <w:jc w:val="center"/>
              <w:textAlignment w:val="center"/>
              <w:rPr>
                <w:rFonts w:ascii="宋体" w:hAnsi="宋体" w:cs="宋体"/>
                <w:color w:val="000000"/>
                <w:sz w:val="22"/>
                <w:szCs w:val="22"/>
              </w:rPr>
            </w:pPr>
          </w:p>
        </w:tc>
      </w:tr>
      <w:tr w14:paraId="3D52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927E14D">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9FB0ADC">
            <w:pPr>
              <w:widowControl/>
              <w:jc w:val="left"/>
              <w:textAlignment w:val="center"/>
              <w:rPr>
                <w:rFonts w:ascii="宋体" w:hAnsi="宋体" w:cs="宋体"/>
                <w:color w:val="000000"/>
                <w:sz w:val="22"/>
                <w:szCs w:val="22"/>
              </w:rPr>
            </w:pPr>
          </w:p>
        </w:tc>
        <w:tc>
          <w:tcPr>
            <w:tcW w:w="4897" w:type="dxa"/>
            <w:shd w:val="clear" w:color="auto" w:fill="auto"/>
            <w:vAlign w:val="center"/>
          </w:tcPr>
          <w:p w14:paraId="1EDC6321">
            <w:pPr>
              <w:widowControl/>
              <w:rPr>
                <w:rFonts w:ascii="宋体" w:hAnsi="宋体" w:cs="宋体"/>
                <w:kern w:val="0"/>
                <w:szCs w:val="21"/>
              </w:rPr>
            </w:pPr>
            <w:r>
              <w:rPr>
                <w:rFonts w:hint="eastAsia" w:ascii="宋体" w:hAnsi="宋体" w:cs="宋体"/>
                <w:kern w:val="0"/>
                <w:szCs w:val="21"/>
              </w:rPr>
              <w:t>3、配备扫描枪一把，满足本次所采购的产品需求</w:t>
            </w:r>
          </w:p>
        </w:tc>
        <w:tc>
          <w:tcPr>
            <w:tcW w:w="462" w:type="dxa"/>
            <w:vMerge w:val="continue"/>
            <w:shd w:val="clear" w:color="auto" w:fill="auto"/>
            <w:noWrap/>
            <w:vAlign w:val="center"/>
          </w:tcPr>
          <w:p w14:paraId="07D3AE3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ECF9440">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C77496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74781FA">
            <w:pPr>
              <w:widowControl/>
              <w:jc w:val="center"/>
              <w:textAlignment w:val="center"/>
              <w:rPr>
                <w:rFonts w:ascii="宋体" w:hAnsi="宋体" w:cs="宋体"/>
                <w:color w:val="000000"/>
                <w:sz w:val="22"/>
                <w:szCs w:val="22"/>
              </w:rPr>
            </w:pPr>
          </w:p>
        </w:tc>
      </w:tr>
      <w:tr w14:paraId="6D90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9B92400">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EA6E478">
            <w:pPr>
              <w:widowControl/>
              <w:jc w:val="left"/>
              <w:textAlignment w:val="center"/>
              <w:rPr>
                <w:rFonts w:ascii="宋体" w:hAnsi="宋体" w:cs="宋体"/>
                <w:color w:val="000000"/>
                <w:sz w:val="22"/>
                <w:szCs w:val="22"/>
              </w:rPr>
            </w:pPr>
          </w:p>
        </w:tc>
        <w:tc>
          <w:tcPr>
            <w:tcW w:w="4897" w:type="dxa"/>
            <w:shd w:val="clear" w:color="auto" w:fill="auto"/>
            <w:vAlign w:val="center"/>
          </w:tcPr>
          <w:p w14:paraId="1397D2F2">
            <w:pPr>
              <w:widowControl/>
              <w:rPr>
                <w:rFonts w:ascii="黑体" w:hAnsi="黑体" w:eastAsia="黑体" w:cs="宋体"/>
                <w:kern w:val="0"/>
                <w:szCs w:val="21"/>
              </w:rPr>
            </w:pPr>
            <w:r>
              <w:rPr>
                <w:rFonts w:hint="eastAsia" w:ascii="黑体" w:hAnsi="黑体" w:eastAsia="黑体" w:cs="宋体"/>
                <w:kern w:val="0"/>
                <w:szCs w:val="21"/>
              </w:rPr>
              <w:t>四、云图书馆管理系统：</w:t>
            </w:r>
          </w:p>
        </w:tc>
        <w:tc>
          <w:tcPr>
            <w:tcW w:w="462" w:type="dxa"/>
            <w:vMerge w:val="continue"/>
            <w:shd w:val="clear" w:color="auto" w:fill="auto"/>
            <w:noWrap/>
            <w:vAlign w:val="center"/>
          </w:tcPr>
          <w:p w14:paraId="4284516D">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9348F52">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206B3CF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D0FADF2">
            <w:pPr>
              <w:widowControl/>
              <w:jc w:val="center"/>
              <w:textAlignment w:val="center"/>
              <w:rPr>
                <w:rFonts w:ascii="宋体" w:hAnsi="宋体" w:cs="宋体"/>
                <w:color w:val="000000"/>
                <w:sz w:val="22"/>
                <w:szCs w:val="22"/>
              </w:rPr>
            </w:pPr>
          </w:p>
        </w:tc>
      </w:tr>
      <w:tr w14:paraId="04BA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D45DC8F">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C2B4C11">
            <w:pPr>
              <w:widowControl/>
              <w:jc w:val="left"/>
              <w:textAlignment w:val="center"/>
              <w:rPr>
                <w:rFonts w:ascii="宋体" w:hAnsi="宋体" w:cs="宋体"/>
                <w:color w:val="000000"/>
                <w:sz w:val="22"/>
                <w:szCs w:val="22"/>
              </w:rPr>
            </w:pPr>
          </w:p>
        </w:tc>
        <w:tc>
          <w:tcPr>
            <w:tcW w:w="4897" w:type="dxa"/>
            <w:shd w:val="clear" w:color="auto" w:fill="auto"/>
            <w:vAlign w:val="center"/>
          </w:tcPr>
          <w:p w14:paraId="1411F43B">
            <w:pPr>
              <w:widowControl/>
              <w:rPr>
                <w:rFonts w:ascii="宋体" w:hAnsi="宋体" w:cs="宋体"/>
                <w:kern w:val="0"/>
                <w:szCs w:val="21"/>
              </w:rPr>
            </w:pPr>
            <w:r>
              <w:rPr>
                <w:rFonts w:hint="eastAsia" w:ascii="宋体" w:hAnsi="宋体" w:cs="宋体"/>
                <w:kern w:val="0"/>
                <w:szCs w:val="21"/>
              </w:rPr>
              <w:t>1、免费配送国家图书馆图书书目数据，数据要求符合《中国图书馆分类法（未成年人图书馆版）（第四版）》或《中国图书馆分类法（第五版）》的分类标准，要求数据的配送率达100%，与图书同时配送到馆。并负责做好与接收图书的各中小学图书馆图书管理系统以及南宁市图书管理云平台的数据转换。</w:t>
            </w:r>
          </w:p>
        </w:tc>
        <w:tc>
          <w:tcPr>
            <w:tcW w:w="462" w:type="dxa"/>
            <w:vMerge w:val="continue"/>
            <w:shd w:val="clear" w:color="auto" w:fill="auto"/>
            <w:noWrap/>
            <w:vAlign w:val="center"/>
          </w:tcPr>
          <w:p w14:paraId="0FD33CED">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5D4FA22">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68CC05F">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0BCC412">
            <w:pPr>
              <w:widowControl/>
              <w:jc w:val="center"/>
              <w:textAlignment w:val="center"/>
              <w:rPr>
                <w:rFonts w:ascii="宋体" w:hAnsi="宋体" w:cs="宋体"/>
                <w:color w:val="000000"/>
                <w:sz w:val="22"/>
                <w:szCs w:val="22"/>
              </w:rPr>
            </w:pPr>
          </w:p>
        </w:tc>
      </w:tr>
      <w:tr w14:paraId="2610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08625E38">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40C549E2">
            <w:pPr>
              <w:widowControl/>
              <w:jc w:val="left"/>
              <w:textAlignment w:val="center"/>
              <w:rPr>
                <w:rFonts w:ascii="宋体" w:hAnsi="宋体" w:cs="宋体"/>
                <w:color w:val="000000"/>
                <w:sz w:val="22"/>
                <w:szCs w:val="22"/>
              </w:rPr>
            </w:pPr>
          </w:p>
        </w:tc>
        <w:tc>
          <w:tcPr>
            <w:tcW w:w="4897" w:type="dxa"/>
            <w:shd w:val="clear" w:color="auto" w:fill="auto"/>
            <w:vAlign w:val="center"/>
          </w:tcPr>
          <w:p w14:paraId="6BB03E23">
            <w:pPr>
              <w:widowControl/>
              <w:rPr>
                <w:rFonts w:ascii="宋体" w:hAnsi="宋体" w:cs="宋体"/>
                <w:kern w:val="0"/>
                <w:szCs w:val="21"/>
              </w:rPr>
            </w:pPr>
            <w:r>
              <w:rPr>
                <w:rFonts w:hint="eastAsia" w:ascii="宋体" w:hAnsi="宋体" w:cs="宋体"/>
                <w:kern w:val="0"/>
                <w:szCs w:val="21"/>
              </w:rPr>
              <w:t>2、云图书馆管理系统</w:t>
            </w:r>
          </w:p>
        </w:tc>
        <w:tc>
          <w:tcPr>
            <w:tcW w:w="462" w:type="dxa"/>
            <w:vMerge w:val="continue"/>
            <w:shd w:val="clear" w:color="auto" w:fill="auto"/>
            <w:noWrap/>
            <w:vAlign w:val="center"/>
          </w:tcPr>
          <w:p w14:paraId="634CB927">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167F180">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BA8774B">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8F55023">
            <w:pPr>
              <w:widowControl/>
              <w:jc w:val="center"/>
              <w:textAlignment w:val="center"/>
              <w:rPr>
                <w:rFonts w:ascii="宋体" w:hAnsi="宋体" w:cs="宋体"/>
                <w:color w:val="000000"/>
                <w:sz w:val="22"/>
                <w:szCs w:val="22"/>
              </w:rPr>
            </w:pPr>
          </w:p>
        </w:tc>
      </w:tr>
      <w:tr w14:paraId="6FC9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54F7CFD">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57AE0C2">
            <w:pPr>
              <w:widowControl/>
              <w:jc w:val="left"/>
              <w:textAlignment w:val="center"/>
              <w:rPr>
                <w:rFonts w:ascii="宋体" w:hAnsi="宋体" w:cs="宋体"/>
                <w:color w:val="000000"/>
                <w:sz w:val="22"/>
                <w:szCs w:val="22"/>
              </w:rPr>
            </w:pPr>
          </w:p>
        </w:tc>
        <w:tc>
          <w:tcPr>
            <w:tcW w:w="4897" w:type="dxa"/>
            <w:shd w:val="clear" w:color="auto" w:fill="auto"/>
            <w:vAlign w:val="center"/>
          </w:tcPr>
          <w:p w14:paraId="360D4D11">
            <w:pPr>
              <w:widowControl/>
              <w:rPr>
                <w:rFonts w:ascii="宋体" w:hAnsi="宋体" w:cs="宋体"/>
                <w:kern w:val="0"/>
                <w:szCs w:val="21"/>
              </w:rPr>
            </w:pPr>
            <w:r>
              <w:rPr>
                <w:rFonts w:hint="eastAsia" w:ascii="宋体" w:hAnsi="宋体" w:cs="宋体"/>
                <w:kern w:val="0"/>
                <w:szCs w:val="21"/>
              </w:rPr>
              <w:t>2.1采访管理</w:t>
            </w:r>
          </w:p>
        </w:tc>
        <w:tc>
          <w:tcPr>
            <w:tcW w:w="462" w:type="dxa"/>
            <w:vMerge w:val="continue"/>
            <w:shd w:val="clear" w:color="auto" w:fill="auto"/>
            <w:noWrap/>
            <w:vAlign w:val="center"/>
          </w:tcPr>
          <w:p w14:paraId="37524FCE">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BCC6860">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BCD2336">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7CC9DAB">
            <w:pPr>
              <w:widowControl/>
              <w:jc w:val="center"/>
              <w:textAlignment w:val="center"/>
              <w:rPr>
                <w:rFonts w:ascii="宋体" w:hAnsi="宋体" w:cs="宋体"/>
                <w:color w:val="000000"/>
                <w:sz w:val="22"/>
                <w:szCs w:val="22"/>
              </w:rPr>
            </w:pPr>
          </w:p>
        </w:tc>
      </w:tr>
      <w:tr w14:paraId="03DD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E92A17C">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A49D0C2">
            <w:pPr>
              <w:widowControl/>
              <w:jc w:val="left"/>
              <w:textAlignment w:val="center"/>
              <w:rPr>
                <w:rFonts w:ascii="宋体" w:hAnsi="宋体" w:cs="宋体"/>
                <w:color w:val="000000"/>
                <w:sz w:val="22"/>
                <w:szCs w:val="22"/>
              </w:rPr>
            </w:pPr>
          </w:p>
        </w:tc>
        <w:tc>
          <w:tcPr>
            <w:tcW w:w="4897" w:type="dxa"/>
            <w:shd w:val="clear" w:color="auto" w:fill="auto"/>
            <w:vAlign w:val="center"/>
          </w:tcPr>
          <w:p w14:paraId="7CDAA3F3">
            <w:pPr>
              <w:widowControl/>
              <w:rPr>
                <w:rFonts w:ascii="宋体" w:hAnsi="宋体" w:cs="宋体"/>
                <w:kern w:val="0"/>
                <w:szCs w:val="21"/>
              </w:rPr>
            </w:pPr>
            <w:r>
              <w:rPr>
                <w:rFonts w:hint="eastAsia" w:ascii="宋体" w:hAnsi="宋体" w:cs="宋体"/>
                <w:kern w:val="0"/>
                <w:szCs w:val="21"/>
              </w:rPr>
              <w:t>（1）</w:t>
            </w:r>
            <w:r>
              <w:rPr>
                <w:rFonts w:hint="eastAsia" w:ascii="宋体" w:hAnsi="宋体" w:cs="宋体"/>
                <w:kern w:val="0"/>
                <w:sz w:val="22"/>
              </w:rPr>
              <w:t>▲</w:t>
            </w:r>
            <w:r>
              <w:rPr>
                <w:rFonts w:hint="eastAsia" w:ascii="宋体" w:hAnsi="宋体" w:cs="宋体"/>
                <w:kern w:val="0"/>
                <w:szCs w:val="21"/>
              </w:rPr>
              <w:t>具有智能书单功能，支持根据本校馆藏、核心推荐书目和供应商的供货书单进行智能匹配，自动生成推荐采购书单。</w:t>
            </w:r>
          </w:p>
        </w:tc>
        <w:tc>
          <w:tcPr>
            <w:tcW w:w="462" w:type="dxa"/>
            <w:vMerge w:val="continue"/>
            <w:shd w:val="clear" w:color="auto" w:fill="auto"/>
            <w:noWrap/>
            <w:vAlign w:val="center"/>
          </w:tcPr>
          <w:p w14:paraId="6AD09CAF">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017C5B5">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B088C6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1FEB7C9">
            <w:pPr>
              <w:widowControl/>
              <w:jc w:val="center"/>
              <w:textAlignment w:val="center"/>
              <w:rPr>
                <w:rFonts w:ascii="宋体" w:hAnsi="宋体" w:cs="宋体"/>
                <w:color w:val="000000"/>
                <w:sz w:val="22"/>
                <w:szCs w:val="22"/>
              </w:rPr>
            </w:pPr>
          </w:p>
        </w:tc>
      </w:tr>
      <w:tr w14:paraId="210F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40E356F">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024CDA7">
            <w:pPr>
              <w:widowControl/>
              <w:jc w:val="left"/>
              <w:textAlignment w:val="center"/>
              <w:rPr>
                <w:rFonts w:ascii="宋体" w:hAnsi="宋体" w:cs="宋体"/>
                <w:color w:val="000000"/>
                <w:sz w:val="22"/>
                <w:szCs w:val="22"/>
              </w:rPr>
            </w:pPr>
          </w:p>
        </w:tc>
        <w:tc>
          <w:tcPr>
            <w:tcW w:w="4897" w:type="dxa"/>
            <w:shd w:val="clear" w:color="auto" w:fill="auto"/>
            <w:vAlign w:val="center"/>
          </w:tcPr>
          <w:p w14:paraId="6EF2297A">
            <w:pPr>
              <w:widowControl/>
              <w:rPr>
                <w:rFonts w:ascii="宋体" w:hAnsi="宋体" w:cs="宋体"/>
                <w:kern w:val="0"/>
                <w:szCs w:val="21"/>
              </w:rPr>
            </w:pPr>
            <w:r>
              <w:rPr>
                <w:rFonts w:hint="eastAsia" w:ascii="宋体" w:hAnsi="宋体" w:cs="宋体"/>
                <w:kern w:val="0"/>
                <w:szCs w:val="21"/>
              </w:rPr>
              <w:t>（2）支持批量导入采访书单；</w:t>
            </w:r>
          </w:p>
        </w:tc>
        <w:tc>
          <w:tcPr>
            <w:tcW w:w="462" w:type="dxa"/>
            <w:vMerge w:val="continue"/>
            <w:shd w:val="clear" w:color="auto" w:fill="auto"/>
            <w:noWrap/>
            <w:vAlign w:val="center"/>
          </w:tcPr>
          <w:p w14:paraId="5B2E14CC">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1E0AA1B">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2EA9909">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CFDD632">
            <w:pPr>
              <w:widowControl/>
              <w:jc w:val="center"/>
              <w:textAlignment w:val="center"/>
              <w:rPr>
                <w:rFonts w:ascii="宋体" w:hAnsi="宋体" w:cs="宋体"/>
                <w:color w:val="000000"/>
                <w:sz w:val="22"/>
                <w:szCs w:val="22"/>
              </w:rPr>
            </w:pPr>
          </w:p>
        </w:tc>
      </w:tr>
      <w:tr w14:paraId="2CD4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A6FFA2C">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4DD5429">
            <w:pPr>
              <w:widowControl/>
              <w:jc w:val="left"/>
              <w:textAlignment w:val="center"/>
              <w:rPr>
                <w:rFonts w:ascii="宋体" w:hAnsi="宋体" w:cs="宋体"/>
                <w:color w:val="000000"/>
                <w:sz w:val="22"/>
                <w:szCs w:val="22"/>
              </w:rPr>
            </w:pPr>
          </w:p>
        </w:tc>
        <w:tc>
          <w:tcPr>
            <w:tcW w:w="4897" w:type="dxa"/>
            <w:shd w:val="clear" w:color="auto" w:fill="auto"/>
            <w:vAlign w:val="center"/>
          </w:tcPr>
          <w:p w14:paraId="09F26B23">
            <w:pPr>
              <w:widowControl/>
              <w:rPr>
                <w:rFonts w:ascii="宋体" w:hAnsi="宋体" w:cs="宋体"/>
                <w:kern w:val="0"/>
                <w:szCs w:val="21"/>
              </w:rPr>
            </w:pPr>
            <w:r>
              <w:rPr>
                <w:rFonts w:hint="eastAsia" w:ascii="宋体" w:hAnsi="宋体" w:cs="宋体"/>
                <w:kern w:val="0"/>
                <w:szCs w:val="21"/>
              </w:rPr>
              <w:t xml:space="preserve">（3） </w:t>
            </w:r>
            <w:r>
              <w:rPr>
                <w:rFonts w:hint="eastAsia" w:ascii="宋体" w:hAnsi="宋体" w:cs="宋体"/>
                <w:kern w:val="0"/>
                <w:sz w:val="22"/>
              </w:rPr>
              <w:t>▲</w:t>
            </w:r>
            <w:r>
              <w:rPr>
                <w:rFonts w:hint="eastAsia" w:ascii="宋体" w:hAnsi="宋体" w:cs="宋体"/>
                <w:kern w:val="0"/>
                <w:szCs w:val="21"/>
              </w:rPr>
              <w:t>生成智能书单时，支持用户自己灵活设置参数，包括匹配范围、副本数条件，以及输入采购预算金额、采购总册数等，由系统根据用户参数，自动生成每本书的推荐采购册数。</w:t>
            </w:r>
          </w:p>
        </w:tc>
        <w:tc>
          <w:tcPr>
            <w:tcW w:w="462" w:type="dxa"/>
            <w:vMerge w:val="continue"/>
            <w:shd w:val="clear" w:color="auto" w:fill="auto"/>
            <w:noWrap/>
            <w:vAlign w:val="center"/>
          </w:tcPr>
          <w:p w14:paraId="3404C0B5">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561B2ED">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019F968">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F81ACF2">
            <w:pPr>
              <w:widowControl/>
              <w:jc w:val="center"/>
              <w:textAlignment w:val="center"/>
              <w:rPr>
                <w:rFonts w:ascii="宋体" w:hAnsi="宋体" w:cs="宋体"/>
                <w:color w:val="000000"/>
                <w:sz w:val="22"/>
                <w:szCs w:val="22"/>
              </w:rPr>
            </w:pPr>
          </w:p>
        </w:tc>
      </w:tr>
      <w:tr w14:paraId="56A4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7DE29A9">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0F12C63">
            <w:pPr>
              <w:widowControl/>
              <w:jc w:val="left"/>
              <w:textAlignment w:val="center"/>
              <w:rPr>
                <w:rFonts w:ascii="宋体" w:hAnsi="宋体" w:cs="宋体"/>
                <w:color w:val="000000"/>
                <w:sz w:val="22"/>
                <w:szCs w:val="22"/>
              </w:rPr>
            </w:pPr>
          </w:p>
        </w:tc>
        <w:tc>
          <w:tcPr>
            <w:tcW w:w="4897" w:type="dxa"/>
            <w:shd w:val="clear" w:color="auto" w:fill="auto"/>
            <w:vAlign w:val="center"/>
          </w:tcPr>
          <w:p w14:paraId="5F408C55">
            <w:pPr>
              <w:widowControl/>
              <w:rPr>
                <w:rFonts w:ascii="宋体" w:hAnsi="宋体" w:cs="宋体"/>
                <w:kern w:val="0"/>
                <w:szCs w:val="21"/>
              </w:rPr>
            </w:pPr>
            <w:r>
              <w:rPr>
                <w:rFonts w:hint="eastAsia" w:ascii="宋体" w:hAnsi="宋体" w:cs="宋体"/>
                <w:kern w:val="0"/>
                <w:szCs w:val="21"/>
              </w:rPr>
              <w:t>（4）</w:t>
            </w:r>
            <w:r>
              <w:rPr>
                <w:rFonts w:hint="eastAsia" w:ascii="宋体" w:hAnsi="宋体" w:cs="宋体"/>
                <w:kern w:val="0"/>
                <w:sz w:val="22"/>
              </w:rPr>
              <w:t>▲</w:t>
            </w:r>
            <w:r>
              <w:rPr>
                <w:rFonts w:hint="eastAsia" w:ascii="宋体" w:hAnsi="宋体" w:cs="宋体"/>
                <w:kern w:val="0"/>
                <w:szCs w:val="21"/>
              </w:rPr>
              <w:t>系统可直观的展现根据采访清单实施采购后与采购前的馆藏结构变化情况。</w:t>
            </w:r>
          </w:p>
        </w:tc>
        <w:tc>
          <w:tcPr>
            <w:tcW w:w="462" w:type="dxa"/>
            <w:vMerge w:val="continue"/>
            <w:shd w:val="clear" w:color="auto" w:fill="auto"/>
            <w:noWrap/>
            <w:vAlign w:val="center"/>
          </w:tcPr>
          <w:p w14:paraId="4A5485D3">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79ECD8A">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23FF17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A1F1CE6">
            <w:pPr>
              <w:widowControl/>
              <w:jc w:val="center"/>
              <w:textAlignment w:val="center"/>
              <w:rPr>
                <w:rFonts w:ascii="宋体" w:hAnsi="宋体" w:cs="宋体"/>
                <w:color w:val="000000"/>
                <w:sz w:val="22"/>
                <w:szCs w:val="22"/>
              </w:rPr>
            </w:pPr>
          </w:p>
        </w:tc>
      </w:tr>
      <w:tr w14:paraId="7043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00B5EE7F">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E8B2399">
            <w:pPr>
              <w:widowControl/>
              <w:jc w:val="left"/>
              <w:textAlignment w:val="center"/>
              <w:rPr>
                <w:rFonts w:ascii="宋体" w:hAnsi="宋体" w:cs="宋体"/>
                <w:color w:val="000000"/>
                <w:sz w:val="22"/>
                <w:szCs w:val="22"/>
              </w:rPr>
            </w:pPr>
          </w:p>
        </w:tc>
        <w:tc>
          <w:tcPr>
            <w:tcW w:w="4897" w:type="dxa"/>
            <w:shd w:val="clear" w:color="auto" w:fill="auto"/>
            <w:vAlign w:val="center"/>
          </w:tcPr>
          <w:p w14:paraId="1AE19DE5">
            <w:pPr>
              <w:widowControl/>
              <w:rPr>
                <w:rFonts w:ascii="宋体" w:hAnsi="宋体" w:cs="宋体"/>
                <w:kern w:val="0"/>
                <w:szCs w:val="21"/>
              </w:rPr>
            </w:pPr>
            <w:r>
              <w:rPr>
                <w:rFonts w:hint="eastAsia" w:ascii="宋体" w:hAnsi="宋体" w:cs="宋体"/>
                <w:kern w:val="0"/>
                <w:szCs w:val="21"/>
              </w:rPr>
              <w:t>2.2图书编目</w:t>
            </w:r>
          </w:p>
        </w:tc>
        <w:tc>
          <w:tcPr>
            <w:tcW w:w="462" w:type="dxa"/>
            <w:vMerge w:val="continue"/>
            <w:shd w:val="clear" w:color="auto" w:fill="auto"/>
            <w:noWrap/>
            <w:vAlign w:val="center"/>
          </w:tcPr>
          <w:p w14:paraId="5C731C0D">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70811F6">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BA5F22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8473EDF">
            <w:pPr>
              <w:widowControl/>
              <w:jc w:val="center"/>
              <w:textAlignment w:val="center"/>
              <w:rPr>
                <w:rFonts w:ascii="宋体" w:hAnsi="宋体" w:cs="宋体"/>
                <w:color w:val="000000"/>
                <w:sz w:val="22"/>
                <w:szCs w:val="22"/>
              </w:rPr>
            </w:pPr>
          </w:p>
        </w:tc>
      </w:tr>
      <w:tr w14:paraId="4E3B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3D55E59">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B916BC0">
            <w:pPr>
              <w:widowControl/>
              <w:jc w:val="left"/>
              <w:textAlignment w:val="center"/>
              <w:rPr>
                <w:rFonts w:ascii="宋体" w:hAnsi="宋体" w:cs="宋体"/>
                <w:color w:val="000000"/>
                <w:sz w:val="22"/>
                <w:szCs w:val="22"/>
              </w:rPr>
            </w:pPr>
          </w:p>
        </w:tc>
        <w:tc>
          <w:tcPr>
            <w:tcW w:w="4897" w:type="dxa"/>
            <w:shd w:val="clear" w:color="auto" w:fill="auto"/>
            <w:vAlign w:val="center"/>
          </w:tcPr>
          <w:p w14:paraId="74DF827B">
            <w:pPr>
              <w:widowControl/>
              <w:rPr>
                <w:rFonts w:ascii="宋体" w:hAnsi="宋体" w:cs="宋体"/>
                <w:kern w:val="0"/>
                <w:szCs w:val="21"/>
              </w:rPr>
            </w:pPr>
            <w:r>
              <w:rPr>
                <w:rFonts w:hint="eastAsia" w:ascii="宋体" w:hAnsi="宋体" w:cs="宋体"/>
                <w:kern w:val="0"/>
                <w:szCs w:val="21"/>
              </w:rPr>
              <w:t>（1）</w:t>
            </w:r>
            <w:r>
              <w:rPr>
                <w:rFonts w:hint="eastAsia" w:ascii="宋体" w:hAnsi="宋体" w:cs="宋体"/>
                <w:kern w:val="0"/>
                <w:sz w:val="22"/>
              </w:rPr>
              <w:t>▲</w:t>
            </w:r>
            <w:r>
              <w:rPr>
                <w:rFonts w:hint="eastAsia" w:ascii="宋体" w:hAnsi="宋体" w:cs="宋体"/>
                <w:kern w:val="0"/>
                <w:szCs w:val="21"/>
              </w:rPr>
              <w:t>支持图书联合编目，实现区域范围内学校之间编目信息共建共享；</w:t>
            </w:r>
          </w:p>
        </w:tc>
        <w:tc>
          <w:tcPr>
            <w:tcW w:w="462" w:type="dxa"/>
            <w:vMerge w:val="continue"/>
            <w:shd w:val="clear" w:color="auto" w:fill="auto"/>
            <w:noWrap/>
            <w:vAlign w:val="center"/>
          </w:tcPr>
          <w:p w14:paraId="3D9DB1CE">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5BAEEE5">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F6BB6D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251FBF1">
            <w:pPr>
              <w:widowControl/>
              <w:jc w:val="center"/>
              <w:textAlignment w:val="center"/>
              <w:rPr>
                <w:rFonts w:ascii="宋体" w:hAnsi="宋体" w:cs="宋体"/>
                <w:color w:val="000000"/>
                <w:sz w:val="22"/>
                <w:szCs w:val="22"/>
              </w:rPr>
            </w:pPr>
          </w:p>
        </w:tc>
      </w:tr>
      <w:tr w14:paraId="7DC1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26CCBC3">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32D1CE9C">
            <w:pPr>
              <w:widowControl/>
              <w:jc w:val="left"/>
              <w:textAlignment w:val="center"/>
              <w:rPr>
                <w:rFonts w:ascii="宋体" w:hAnsi="宋体" w:cs="宋体"/>
                <w:color w:val="000000"/>
                <w:sz w:val="22"/>
                <w:szCs w:val="22"/>
              </w:rPr>
            </w:pPr>
          </w:p>
        </w:tc>
        <w:tc>
          <w:tcPr>
            <w:tcW w:w="4897" w:type="dxa"/>
            <w:shd w:val="clear" w:color="auto" w:fill="auto"/>
            <w:vAlign w:val="center"/>
          </w:tcPr>
          <w:p w14:paraId="35EFF730">
            <w:pPr>
              <w:widowControl/>
              <w:rPr>
                <w:rFonts w:ascii="宋体" w:hAnsi="宋体" w:cs="宋体"/>
                <w:kern w:val="0"/>
                <w:szCs w:val="21"/>
              </w:rPr>
            </w:pPr>
            <w:r>
              <w:rPr>
                <w:rFonts w:hint="eastAsia" w:ascii="宋体" w:hAnsi="宋体" w:cs="宋体"/>
                <w:kern w:val="0"/>
                <w:szCs w:val="21"/>
              </w:rPr>
              <w:t>（2）编目标准：遵循国家著录标准和编目规则，编目数据采用中图分类法，支持CNMARC标准格式，并支持用户自定义 CNMARC 字段；</w:t>
            </w:r>
          </w:p>
        </w:tc>
        <w:tc>
          <w:tcPr>
            <w:tcW w:w="462" w:type="dxa"/>
            <w:vMerge w:val="continue"/>
            <w:shd w:val="clear" w:color="auto" w:fill="auto"/>
            <w:noWrap/>
            <w:vAlign w:val="center"/>
          </w:tcPr>
          <w:p w14:paraId="51EAAEF9">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3476BB0">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5FB019F">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97A23EE">
            <w:pPr>
              <w:widowControl/>
              <w:jc w:val="center"/>
              <w:textAlignment w:val="center"/>
              <w:rPr>
                <w:rFonts w:ascii="宋体" w:hAnsi="宋体" w:cs="宋体"/>
                <w:color w:val="000000"/>
                <w:sz w:val="22"/>
                <w:szCs w:val="22"/>
              </w:rPr>
            </w:pPr>
          </w:p>
        </w:tc>
      </w:tr>
      <w:tr w14:paraId="6971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45860D4">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D87A537">
            <w:pPr>
              <w:widowControl/>
              <w:jc w:val="left"/>
              <w:textAlignment w:val="center"/>
              <w:rPr>
                <w:rFonts w:ascii="宋体" w:hAnsi="宋体" w:cs="宋体"/>
                <w:color w:val="000000"/>
                <w:sz w:val="22"/>
                <w:szCs w:val="22"/>
              </w:rPr>
            </w:pPr>
          </w:p>
        </w:tc>
        <w:tc>
          <w:tcPr>
            <w:tcW w:w="4897" w:type="dxa"/>
            <w:shd w:val="clear" w:color="auto" w:fill="auto"/>
            <w:vAlign w:val="center"/>
          </w:tcPr>
          <w:p w14:paraId="57DA2717">
            <w:pPr>
              <w:widowControl/>
              <w:rPr>
                <w:rFonts w:ascii="宋体" w:hAnsi="宋体" w:cs="宋体"/>
                <w:kern w:val="0"/>
                <w:szCs w:val="21"/>
              </w:rPr>
            </w:pPr>
            <w:r>
              <w:rPr>
                <w:rFonts w:hint="eastAsia" w:ascii="宋体" w:hAnsi="宋体" w:cs="宋体"/>
                <w:kern w:val="0"/>
                <w:szCs w:val="21"/>
              </w:rPr>
              <w:t>（3）</w:t>
            </w:r>
            <w:r>
              <w:rPr>
                <w:rFonts w:hint="eastAsia" w:ascii="宋体" w:hAnsi="宋体" w:cs="宋体"/>
                <w:kern w:val="0"/>
                <w:sz w:val="22"/>
              </w:rPr>
              <w:t>▲</w:t>
            </w:r>
            <w:r>
              <w:rPr>
                <w:rFonts w:hint="eastAsia" w:ascii="宋体" w:hAnsi="宋体" w:cs="宋体"/>
                <w:kern w:val="0"/>
                <w:szCs w:val="21"/>
              </w:rPr>
              <w:t>要求内置书目500万册以上，支持内置图书编目库和在线联机编目库，通过扫描图书的 ISBN号即可自动获取图书信息，书目命中率达到90%以上；</w:t>
            </w:r>
          </w:p>
        </w:tc>
        <w:tc>
          <w:tcPr>
            <w:tcW w:w="462" w:type="dxa"/>
            <w:vMerge w:val="continue"/>
            <w:shd w:val="clear" w:color="auto" w:fill="auto"/>
            <w:noWrap/>
            <w:vAlign w:val="center"/>
          </w:tcPr>
          <w:p w14:paraId="671A7DC9">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E587F7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241E738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F42317F">
            <w:pPr>
              <w:widowControl/>
              <w:jc w:val="center"/>
              <w:textAlignment w:val="center"/>
              <w:rPr>
                <w:rFonts w:ascii="宋体" w:hAnsi="宋体" w:cs="宋体"/>
                <w:color w:val="000000"/>
                <w:sz w:val="22"/>
                <w:szCs w:val="22"/>
              </w:rPr>
            </w:pPr>
          </w:p>
        </w:tc>
      </w:tr>
      <w:tr w14:paraId="6C19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7CE6FF3">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5A9A9EC">
            <w:pPr>
              <w:widowControl/>
              <w:jc w:val="left"/>
              <w:textAlignment w:val="center"/>
              <w:rPr>
                <w:rFonts w:ascii="宋体" w:hAnsi="宋体" w:cs="宋体"/>
                <w:color w:val="000000"/>
                <w:sz w:val="22"/>
                <w:szCs w:val="22"/>
              </w:rPr>
            </w:pPr>
          </w:p>
        </w:tc>
        <w:tc>
          <w:tcPr>
            <w:tcW w:w="4897" w:type="dxa"/>
            <w:shd w:val="clear" w:color="auto" w:fill="auto"/>
            <w:vAlign w:val="center"/>
          </w:tcPr>
          <w:p w14:paraId="68E8AB1B">
            <w:pPr>
              <w:widowControl/>
              <w:rPr>
                <w:rFonts w:ascii="宋体" w:hAnsi="宋体" w:cs="宋体"/>
                <w:kern w:val="0"/>
                <w:szCs w:val="21"/>
              </w:rPr>
            </w:pPr>
            <w:r>
              <w:rPr>
                <w:rFonts w:hint="eastAsia" w:ascii="宋体" w:hAnsi="宋体" w:cs="宋体"/>
                <w:kern w:val="0"/>
                <w:szCs w:val="21"/>
              </w:rPr>
              <w:t>（4）</w:t>
            </w:r>
            <w:r>
              <w:rPr>
                <w:rFonts w:hint="eastAsia" w:ascii="宋体" w:hAnsi="宋体" w:cs="宋体"/>
                <w:kern w:val="0"/>
                <w:sz w:val="22"/>
              </w:rPr>
              <w:t>▲</w:t>
            </w:r>
            <w:r>
              <w:rPr>
                <w:rFonts w:hint="eastAsia" w:ascii="宋体" w:hAnsi="宋体" w:cs="宋体"/>
                <w:kern w:val="0"/>
                <w:szCs w:val="21"/>
              </w:rPr>
              <w:t>编目过程实现ISBN号和图书书名的自动查重与数据复制，能够自动生成图书检索词、索书号、种次号，并支持种次号查缺；</w:t>
            </w:r>
          </w:p>
        </w:tc>
        <w:tc>
          <w:tcPr>
            <w:tcW w:w="462" w:type="dxa"/>
            <w:vMerge w:val="continue"/>
            <w:shd w:val="clear" w:color="auto" w:fill="auto"/>
            <w:noWrap/>
            <w:vAlign w:val="center"/>
          </w:tcPr>
          <w:p w14:paraId="40F92BFC">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2194215">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E08E9D0">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6FE7D4C">
            <w:pPr>
              <w:widowControl/>
              <w:jc w:val="center"/>
              <w:textAlignment w:val="center"/>
              <w:rPr>
                <w:rFonts w:ascii="宋体" w:hAnsi="宋体" w:cs="宋体"/>
                <w:color w:val="000000"/>
                <w:sz w:val="22"/>
                <w:szCs w:val="22"/>
              </w:rPr>
            </w:pPr>
          </w:p>
        </w:tc>
      </w:tr>
      <w:tr w14:paraId="153B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BDA6091">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3B76D9E">
            <w:pPr>
              <w:widowControl/>
              <w:jc w:val="left"/>
              <w:textAlignment w:val="center"/>
              <w:rPr>
                <w:rFonts w:ascii="宋体" w:hAnsi="宋体" w:cs="宋体"/>
                <w:color w:val="000000"/>
                <w:sz w:val="22"/>
                <w:szCs w:val="22"/>
              </w:rPr>
            </w:pPr>
          </w:p>
        </w:tc>
        <w:tc>
          <w:tcPr>
            <w:tcW w:w="4897" w:type="dxa"/>
            <w:shd w:val="clear" w:color="auto" w:fill="auto"/>
            <w:vAlign w:val="center"/>
          </w:tcPr>
          <w:p w14:paraId="5EF54985">
            <w:pPr>
              <w:widowControl/>
              <w:rPr>
                <w:rFonts w:ascii="宋体" w:hAnsi="宋体" w:cs="宋体"/>
                <w:kern w:val="0"/>
                <w:szCs w:val="21"/>
              </w:rPr>
            </w:pPr>
            <w:r>
              <w:rPr>
                <w:rFonts w:hint="eastAsia" w:ascii="宋体" w:hAnsi="宋体" w:cs="宋体"/>
                <w:kern w:val="0"/>
                <w:szCs w:val="21"/>
              </w:rPr>
              <w:t>（5）采用“先查书再录入”的编目操作模式，提供ISBN、题名、作者、出版社等多种检索条件；</w:t>
            </w:r>
          </w:p>
        </w:tc>
        <w:tc>
          <w:tcPr>
            <w:tcW w:w="462" w:type="dxa"/>
            <w:vMerge w:val="continue"/>
            <w:shd w:val="clear" w:color="auto" w:fill="auto"/>
            <w:noWrap/>
            <w:vAlign w:val="center"/>
          </w:tcPr>
          <w:p w14:paraId="03126EB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52E8F43">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63AF84D">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F546F39">
            <w:pPr>
              <w:widowControl/>
              <w:jc w:val="center"/>
              <w:textAlignment w:val="center"/>
              <w:rPr>
                <w:rFonts w:ascii="宋体" w:hAnsi="宋体" w:cs="宋体"/>
                <w:color w:val="000000"/>
                <w:sz w:val="22"/>
                <w:szCs w:val="22"/>
              </w:rPr>
            </w:pPr>
          </w:p>
        </w:tc>
      </w:tr>
      <w:tr w14:paraId="2DF9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08CD5B5">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5EF4457">
            <w:pPr>
              <w:widowControl/>
              <w:jc w:val="left"/>
              <w:textAlignment w:val="center"/>
              <w:rPr>
                <w:rFonts w:ascii="宋体" w:hAnsi="宋体" w:cs="宋体"/>
                <w:color w:val="000000"/>
                <w:sz w:val="22"/>
                <w:szCs w:val="22"/>
              </w:rPr>
            </w:pPr>
          </w:p>
        </w:tc>
        <w:tc>
          <w:tcPr>
            <w:tcW w:w="4897" w:type="dxa"/>
            <w:shd w:val="clear" w:color="auto" w:fill="auto"/>
            <w:vAlign w:val="center"/>
          </w:tcPr>
          <w:p w14:paraId="671D914C">
            <w:pPr>
              <w:widowControl/>
              <w:rPr>
                <w:rFonts w:ascii="宋体" w:hAnsi="宋体" w:cs="宋体"/>
                <w:kern w:val="0"/>
                <w:szCs w:val="21"/>
              </w:rPr>
            </w:pPr>
            <w:r>
              <w:rPr>
                <w:rFonts w:hint="eastAsia" w:ascii="宋体" w:hAnsi="宋体" w:cs="宋体"/>
                <w:kern w:val="0"/>
                <w:szCs w:val="21"/>
              </w:rPr>
              <w:t>（6）支持图书书目信息的 EXCEL、MARC等文件格式导入、导出，其中含905典藏字段的MARC数据也可以导入到系统中；</w:t>
            </w:r>
          </w:p>
        </w:tc>
        <w:tc>
          <w:tcPr>
            <w:tcW w:w="462" w:type="dxa"/>
            <w:vMerge w:val="continue"/>
            <w:shd w:val="clear" w:color="auto" w:fill="auto"/>
            <w:noWrap/>
            <w:vAlign w:val="center"/>
          </w:tcPr>
          <w:p w14:paraId="745C0CB0">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A5FB45A">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496904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F29B461">
            <w:pPr>
              <w:widowControl/>
              <w:jc w:val="center"/>
              <w:textAlignment w:val="center"/>
              <w:rPr>
                <w:rFonts w:ascii="宋体" w:hAnsi="宋体" w:cs="宋体"/>
                <w:color w:val="000000"/>
                <w:sz w:val="22"/>
                <w:szCs w:val="22"/>
              </w:rPr>
            </w:pPr>
          </w:p>
        </w:tc>
      </w:tr>
      <w:tr w14:paraId="7FCD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5A435FD">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7B81B4D">
            <w:pPr>
              <w:widowControl/>
              <w:jc w:val="left"/>
              <w:textAlignment w:val="center"/>
              <w:rPr>
                <w:rFonts w:ascii="宋体" w:hAnsi="宋体" w:cs="宋体"/>
                <w:color w:val="000000"/>
                <w:sz w:val="22"/>
                <w:szCs w:val="22"/>
              </w:rPr>
            </w:pPr>
          </w:p>
        </w:tc>
        <w:tc>
          <w:tcPr>
            <w:tcW w:w="4897" w:type="dxa"/>
            <w:shd w:val="clear" w:color="auto" w:fill="auto"/>
            <w:vAlign w:val="center"/>
          </w:tcPr>
          <w:p w14:paraId="1CFC447F">
            <w:pPr>
              <w:widowControl/>
              <w:rPr>
                <w:rFonts w:ascii="宋体" w:hAnsi="宋体" w:cs="宋体"/>
                <w:kern w:val="0"/>
                <w:szCs w:val="21"/>
              </w:rPr>
            </w:pPr>
            <w:r>
              <w:rPr>
                <w:rFonts w:hint="eastAsia" w:ascii="宋体" w:hAnsi="宋体" w:cs="宋体"/>
                <w:kern w:val="0"/>
                <w:szCs w:val="21"/>
              </w:rPr>
              <w:t>（7）提供书标打印功能，按作者、题名、出版社、ISBN、入库日期、批次等条件提取书标，也可以直接按分类段、条码段，实现批量打印；</w:t>
            </w:r>
          </w:p>
        </w:tc>
        <w:tc>
          <w:tcPr>
            <w:tcW w:w="462" w:type="dxa"/>
            <w:vMerge w:val="continue"/>
            <w:shd w:val="clear" w:color="auto" w:fill="auto"/>
            <w:noWrap/>
            <w:vAlign w:val="center"/>
          </w:tcPr>
          <w:p w14:paraId="14DC88B7">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B75A061">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A96A98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0F20598">
            <w:pPr>
              <w:widowControl/>
              <w:jc w:val="center"/>
              <w:textAlignment w:val="center"/>
              <w:rPr>
                <w:rFonts w:ascii="宋体" w:hAnsi="宋体" w:cs="宋体"/>
                <w:color w:val="000000"/>
                <w:sz w:val="22"/>
                <w:szCs w:val="22"/>
              </w:rPr>
            </w:pPr>
          </w:p>
        </w:tc>
      </w:tr>
      <w:tr w14:paraId="4BA5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06EE2304">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8C1F264">
            <w:pPr>
              <w:widowControl/>
              <w:jc w:val="left"/>
              <w:textAlignment w:val="center"/>
              <w:rPr>
                <w:rFonts w:ascii="宋体" w:hAnsi="宋体" w:cs="宋体"/>
                <w:color w:val="000000"/>
                <w:sz w:val="22"/>
                <w:szCs w:val="22"/>
              </w:rPr>
            </w:pPr>
          </w:p>
        </w:tc>
        <w:tc>
          <w:tcPr>
            <w:tcW w:w="4897" w:type="dxa"/>
            <w:shd w:val="clear" w:color="auto" w:fill="auto"/>
            <w:vAlign w:val="center"/>
          </w:tcPr>
          <w:p w14:paraId="437CF165">
            <w:pPr>
              <w:widowControl/>
              <w:rPr>
                <w:rFonts w:ascii="宋体" w:hAnsi="宋体" w:cs="宋体"/>
                <w:kern w:val="0"/>
                <w:szCs w:val="21"/>
              </w:rPr>
            </w:pPr>
            <w:r>
              <w:rPr>
                <w:rFonts w:hint="eastAsia" w:ascii="宋体" w:hAnsi="宋体" w:cs="宋体"/>
                <w:kern w:val="0"/>
                <w:szCs w:val="21"/>
              </w:rPr>
              <w:t>（8）支持图书馆藏信息的EXCLE文件格式导入。</w:t>
            </w:r>
          </w:p>
        </w:tc>
        <w:tc>
          <w:tcPr>
            <w:tcW w:w="462" w:type="dxa"/>
            <w:vMerge w:val="continue"/>
            <w:shd w:val="clear" w:color="auto" w:fill="auto"/>
            <w:noWrap/>
            <w:vAlign w:val="center"/>
          </w:tcPr>
          <w:p w14:paraId="2B458E54">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671EFCE">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C0969A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027383D">
            <w:pPr>
              <w:widowControl/>
              <w:jc w:val="center"/>
              <w:textAlignment w:val="center"/>
              <w:rPr>
                <w:rFonts w:ascii="宋体" w:hAnsi="宋体" w:cs="宋体"/>
                <w:color w:val="000000"/>
                <w:sz w:val="22"/>
                <w:szCs w:val="22"/>
              </w:rPr>
            </w:pPr>
          </w:p>
        </w:tc>
      </w:tr>
      <w:tr w14:paraId="60CA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9BCE1ED">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E340069">
            <w:pPr>
              <w:widowControl/>
              <w:jc w:val="left"/>
              <w:textAlignment w:val="center"/>
              <w:rPr>
                <w:rFonts w:ascii="宋体" w:hAnsi="宋体" w:cs="宋体"/>
                <w:color w:val="000000"/>
                <w:sz w:val="22"/>
                <w:szCs w:val="22"/>
              </w:rPr>
            </w:pPr>
          </w:p>
        </w:tc>
        <w:tc>
          <w:tcPr>
            <w:tcW w:w="4897" w:type="dxa"/>
            <w:shd w:val="clear" w:color="auto" w:fill="auto"/>
            <w:vAlign w:val="center"/>
          </w:tcPr>
          <w:p w14:paraId="2C00A8A4">
            <w:pPr>
              <w:widowControl/>
              <w:rPr>
                <w:rFonts w:ascii="宋体" w:hAnsi="宋体" w:cs="宋体"/>
                <w:kern w:val="0"/>
                <w:szCs w:val="21"/>
              </w:rPr>
            </w:pPr>
            <w:r>
              <w:rPr>
                <w:rFonts w:hint="eastAsia" w:ascii="宋体" w:hAnsi="宋体" w:cs="宋体"/>
                <w:kern w:val="0"/>
                <w:szCs w:val="21"/>
              </w:rPr>
              <w:t>2.3图书典藏</w:t>
            </w:r>
          </w:p>
        </w:tc>
        <w:tc>
          <w:tcPr>
            <w:tcW w:w="462" w:type="dxa"/>
            <w:vMerge w:val="continue"/>
            <w:shd w:val="clear" w:color="auto" w:fill="auto"/>
            <w:noWrap/>
            <w:vAlign w:val="center"/>
          </w:tcPr>
          <w:p w14:paraId="30527605">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6865A82">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B4B0C0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918A051">
            <w:pPr>
              <w:widowControl/>
              <w:jc w:val="center"/>
              <w:textAlignment w:val="center"/>
              <w:rPr>
                <w:rFonts w:ascii="宋体" w:hAnsi="宋体" w:cs="宋体"/>
                <w:color w:val="000000"/>
                <w:sz w:val="22"/>
                <w:szCs w:val="22"/>
              </w:rPr>
            </w:pPr>
          </w:p>
        </w:tc>
      </w:tr>
      <w:tr w14:paraId="57EE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4D95450">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08470EF">
            <w:pPr>
              <w:widowControl/>
              <w:jc w:val="left"/>
              <w:textAlignment w:val="center"/>
              <w:rPr>
                <w:rFonts w:ascii="宋体" w:hAnsi="宋体" w:cs="宋体"/>
                <w:color w:val="000000"/>
                <w:sz w:val="22"/>
                <w:szCs w:val="22"/>
              </w:rPr>
            </w:pPr>
          </w:p>
        </w:tc>
        <w:tc>
          <w:tcPr>
            <w:tcW w:w="4897" w:type="dxa"/>
            <w:shd w:val="clear" w:color="auto" w:fill="auto"/>
            <w:vAlign w:val="center"/>
          </w:tcPr>
          <w:p w14:paraId="73ED3B91">
            <w:pPr>
              <w:widowControl/>
              <w:rPr>
                <w:rFonts w:ascii="宋体" w:hAnsi="宋体" w:cs="宋体"/>
                <w:kern w:val="0"/>
                <w:szCs w:val="21"/>
              </w:rPr>
            </w:pPr>
            <w:r>
              <w:rPr>
                <w:rFonts w:hint="eastAsia" w:ascii="宋体" w:hAnsi="宋体" w:cs="宋体"/>
                <w:kern w:val="0"/>
                <w:szCs w:val="21"/>
              </w:rPr>
              <w:t>（1）</w:t>
            </w:r>
            <w:r>
              <w:rPr>
                <w:rFonts w:hint="eastAsia" w:ascii="宋体" w:hAnsi="宋体" w:cs="宋体"/>
                <w:kern w:val="0"/>
                <w:sz w:val="22"/>
              </w:rPr>
              <w:t>▲</w:t>
            </w:r>
            <w:r>
              <w:rPr>
                <w:rFonts w:hint="eastAsia" w:ascii="宋体" w:hAnsi="宋体" w:cs="宋体"/>
                <w:kern w:val="0"/>
                <w:szCs w:val="21"/>
              </w:rPr>
              <w:t>支持典藏书目信息灵活检索，提供对条码编号、索书号、馆藏地、在馆状态、ISBN、题名、著者、出版社、分类号等信息查看；</w:t>
            </w:r>
          </w:p>
        </w:tc>
        <w:tc>
          <w:tcPr>
            <w:tcW w:w="462" w:type="dxa"/>
            <w:vMerge w:val="continue"/>
            <w:shd w:val="clear" w:color="auto" w:fill="auto"/>
            <w:noWrap/>
            <w:vAlign w:val="center"/>
          </w:tcPr>
          <w:p w14:paraId="6F131319">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9D0A157">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3CA58CD">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4BD9446">
            <w:pPr>
              <w:widowControl/>
              <w:jc w:val="center"/>
              <w:textAlignment w:val="center"/>
              <w:rPr>
                <w:rFonts w:ascii="宋体" w:hAnsi="宋体" w:cs="宋体"/>
                <w:color w:val="000000"/>
                <w:sz w:val="22"/>
                <w:szCs w:val="22"/>
              </w:rPr>
            </w:pPr>
          </w:p>
        </w:tc>
      </w:tr>
      <w:tr w14:paraId="076B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A083924">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8851A21">
            <w:pPr>
              <w:widowControl/>
              <w:jc w:val="left"/>
              <w:textAlignment w:val="center"/>
              <w:rPr>
                <w:rFonts w:ascii="宋体" w:hAnsi="宋体" w:cs="宋体"/>
                <w:color w:val="000000"/>
                <w:sz w:val="22"/>
                <w:szCs w:val="22"/>
              </w:rPr>
            </w:pPr>
          </w:p>
        </w:tc>
        <w:tc>
          <w:tcPr>
            <w:tcW w:w="4897" w:type="dxa"/>
            <w:shd w:val="clear" w:color="auto" w:fill="auto"/>
            <w:vAlign w:val="center"/>
          </w:tcPr>
          <w:p w14:paraId="05484E17">
            <w:pPr>
              <w:widowControl/>
              <w:rPr>
                <w:rFonts w:ascii="宋体" w:hAnsi="宋体" w:cs="宋体"/>
                <w:kern w:val="0"/>
                <w:szCs w:val="21"/>
              </w:rPr>
            </w:pPr>
            <w:r>
              <w:rPr>
                <w:rFonts w:hint="eastAsia" w:ascii="宋体" w:hAnsi="宋体" w:cs="宋体"/>
                <w:kern w:val="0"/>
                <w:szCs w:val="21"/>
              </w:rPr>
              <w:t>（2）</w:t>
            </w:r>
            <w:r>
              <w:rPr>
                <w:rFonts w:hint="eastAsia" w:ascii="宋体" w:hAnsi="宋体" w:cs="宋体"/>
                <w:kern w:val="0"/>
                <w:sz w:val="22"/>
              </w:rPr>
              <w:t>▲</w:t>
            </w:r>
            <w:r>
              <w:rPr>
                <w:rFonts w:hint="eastAsia" w:ascii="宋体" w:hAnsi="宋体" w:cs="宋体"/>
                <w:kern w:val="0"/>
                <w:szCs w:val="21"/>
              </w:rPr>
              <w:t>具有图书剔旧功能：将图书转移至剔旧库，可按入库日期、出版时间进行批量剔旧，剔旧后的图书能进行报废操作；</w:t>
            </w:r>
          </w:p>
        </w:tc>
        <w:tc>
          <w:tcPr>
            <w:tcW w:w="462" w:type="dxa"/>
            <w:vMerge w:val="continue"/>
            <w:shd w:val="clear" w:color="auto" w:fill="auto"/>
            <w:noWrap/>
            <w:vAlign w:val="center"/>
          </w:tcPr>
          <w:p w14:paraId="41E883A0">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00E5E9B">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2500CBF">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405A3DA">
            <w:pPr>
              <w:widowControl/>
              <w:jc w:val="center"/>
              <w:textAlignment w:val="center"/>
              <w:rPr>
                <w:rFonts w:ascii="宋体" w:hAnsi="宋体" w:cs="宋体"/>
                <w:color w:val="000000"/>
                <w:sz w:val="22"/>
                <w:szCs w:val="22"/>
              </w:rPr>
            </w:pPr>
          </w:p>
        </w:tc>
      </w:tr>
      <w:tr w14:paraId="6BC0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5D83377">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23B401D">
            <w:pPr>
              <w:widowControl/>
              <w:jc w:val="left"/>
              <w:textAlignment w:val="center"/>
              <w:rPr>
                <w:rFonts w:ascii="宋体" w:hAnsi="宋体" w:cs="宋体"/>
                <w:color w:val="000000"/>
                <w:sz w:val="22"/>
                <w:szCs w:val="22"/>
              </w:rPr>
            </w:pPr>
          </w:p>
        </w:tc>
        <w:tc>
          <w:tcPr>
            <w:tcW w:w="4897" w:type="dxa"/>
            <w:shd w:val="clear" w:color="auto" w:fill="auto"/>
            <w:vAlign w:val="center"/>
          </w:tcPr>
          <w:p w14:paraId="061750E3">
            <w:pPr>
              <w:widowControl/>
              <w:rPr>
                <w:rFonts w:ascii="宋体" w:hAnsi="宋体" w:cs="宋体"/>
                <w:kern w:val="0"/>
                <w:szCs w:val="21"/>
              </w:rPr>
            </w:pPr>
            <w:r>
              <w:rPr>
                <w:rFonts w:hint="eastAsia" w:ascii="宋体" w:hAnsi="宋体" w:cs="宋体"/>
                <w:kern w:val="0"/>
                <w:szCs w:val="21"/>
              </w:rPr>
              <w:t>（3）具有库室调配功能，将图书重新分配馆藏地点；</w:t>
            </w:r>
          </w:p>
        </w:tc>
        <w:tc>
          <w:tcPr>
            <w:tcW w:w="462" w:type="dxa"/>
            <w:vMerge w:val="continue"/>
            <w:shd w:val="clear" w:color="auto" w:fill="auto"/>
            <w:noWrap/>
            <w:vAlign w:val="center"/>
          </w:tcPr>
          <w:p w14:paraId="4786B85B">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65B5520">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8DD6CD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1A54121">
            <w:pPr>
              <w:widowControl/>
              <w:jc w:val="center"/>
              <w:textAlignment w:val="center"/>
              <w:rPr>
                <w:rFonts w:ascii="宋体" w:hAnsi="宋体" w:cs="宋体"/>
                <w:color w:val="000000"/>
                <w:sz w:val="22"/>
                <w:szCs w:val="22"/>
              </w:rPr>
            </w:pPr>
          </w:p>
        </w:tc>
      </w:tr>
      <w:tr w14:paraId="5555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653" w:type="dxa"/>
            <w:vMerge w:val="continue"/>
            <w:shd w:val="clear" w:color="auto" w:fill="auto"/>
            <w:noWrap/>
            <w:vAlign w:val="center"/>
          </w:tcPr>
          <w:p w14:paraId="53AFAEA7">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5CC1E9A">
            <w:pPr>
              <w:widowControl/>
              <w:jc w:val="left"/>
              <w:textAlignment w:val="center"/>
              <w:rPr>
                <w:rFonts w:ascii="宋体" w:hAnsi="宋体" w:cs="宋体"/>
                <w:color w:val="000000"/>
                <w:sz w:val="22"/>
                <w:szCs w:val="22"/>
              </w:rPr>
            </w:pPr>
          </w:p>
        </w:tc>
        <w:tc>
          <w:tcPr>
            <w:tcW w:w="4897" w:type="dxa"/>
            <w:shd w:val="clear" w:color="auto" w:fill="auto"/>
            <w:vAlign w:val="center"/>
          </w:tcPr>
          <w:p w14:paraId="52BEBCEE">
            <w:pPr>
              <w:widowControl/>
              <w:rPr>
                <w:rFonts w:ascii="宋体" w:hAnsi="宋体" w:cs="宋体"/>
                <w:kern w:val="0"/>
                <w:szCs w:val="21"/>
              </w:rPr>
            </w:pPr>
            <w:r>
              <w:rPr>
                <w:rFonts w:hint="eastAsia" w:ascii="宋体" w:hAnsi="宋体" w:cs="宋体"/>
                <w:kern w:val="0"/>
                <w:szCs w:val="21"/>
              </w:rPr>
              <w:t>（4）支持多馆藏地，支持馆藏地的新增维护；</w:t>
            </w:r>
          </w:p>
        </w:tc>
        <w:tc>
          <w:tcPr>
            <w:tcW w:w="462" w:type="dxa"/>
            <w:vMerge w:val="continue"/>
            <w:shd w:val="clear" w:color="auto" w:fill="auto"/>
            <w:noWrap/>
            <w:vAlign w:val="center"/>
          </w:tcPr>
          <w:p w14:paraId="7A62DF2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E17120A">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61BD8AF">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5547D40">
            <w:pPr>
              <w:widowControl/>
              <w:jc w:val="center"/>
              <w:textAlignment w:val="center"/>
              <w:rPr>
                <w:rFonts w:ascii="宋体" w:hAnsi="宋体" w:cs="宋体"/>
                <w:color w:val="000000"/>
                <w:sz w:val="22"/>
                <w:szCs w:val="22"/>
              </w:rPr>
            </w:pPr>
          </w:p>
        </w:tc>
      </w:tr>
      <w:tr w14:paraId="6C41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C3D17C3">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EC58E59">
            <w:pPr>
              <w:widowControl/>
              <w:jc w:val="left"/>
              <w:textAlignment w:val="center"/>
              <w:rPr>
                <w:rFonts w:ascii="宋体" w:hAnsi="宋体" w:cs="宋体"/>
                <w:color w:val="000000"/>
                <w:sz w:val="22"/>
                <w:szCs w:val="22"/>
              </w:rPr>
            </w:pPr>
          </w:p>
        </w:tc>
        <w:tc>
          <w:tcPr>
            <w:tcW w:w="4897" w:type="dxa"/>
            <w:shd w:val="clear" w:color="auto" w:fill="auto"/>
            <w:vAlign w:val="center"/>
          </w:tcPr>
          <w:p w14:paraId="6BF2C57F">
            <w:pPr>
              <w:widowControl/>
              <w:rPr>
                <w:rFonts w:ascii="宋体" w:hAnsi="宋体" w:cs="宋体"/>
                <w:kern w:val="0"/>
                <w:szCs w:val="21"/>
              </w:rPr>
            </w:pPr>
            <w:r>
              <w:rPr>
                <w:rFonts w:hint="eastAsia" w:ascii="宋体" w:hAnsi="宋体" w:cs="宋体"/>
                <w:kern w:val="0"/>
                <w:szCs w:val="21"/>
              </w:rPr>
              <w:t>（5）</w:t>
            </w:r>
            <w:r>
              <w:rPr>
                <w:rFonts w:hint="eastAsia" w:ascii="宋体" w:hAnsi="宋体" w:cs="宋体"/>
                <w:kern w:val="0"/>
                <w:sz w:val="22"/>
              </w:rPr>
              <w:t>▲</w:t>
            </w:r>
            <w:r>
              <w:rPr>
                <w:rFonts w:hint="eastAsia" w:ascii="宋体" w:hAnsi="宋体" w:cs="宋体"/>
                <w:kern w:val="0"/>
                <w:szCs w:val="21"/>
              </w:rPr>
              <w:t>具有馆藏数据统计功能，包含复本统计、藏书结构分布、藏书分类统计等。</w:t>
            </w:r>
          </w:p>
        </w:tc>
        <w:tc>
          <w:tcPr>
            <w:tcW w:w="462" w:type="dxa"/>
            <w:vMerge w:val="continue"/>
            <w:shd w:val="clear" w:color="auto" w:fill="auto"/>
            <w:noWrap/>
            <w:vAlign w:val="center"/>
          </w:tcPr>
          <w:p w14:paraId="5B8F78D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A1AE87B">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5558881">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D62A431">
            <w:pPr>
              <w:widowControl/>
              <w:jc w:val="center"/>
              <w:textAlignment w:val="center"/>
              <w:rPr>
                <w:rFonts w:ascii="宋体" w:hAnsi="宋体" w:cs="宋体"/>
                <w:color w:val="000000"/>
                <w:sz w:val="22"/>
                <w:szCs w:val="22"/>
              </w:rPr>
            </w:pPr>
          </w:p>
        </w:tc>
      </w:tr>
      <w:tr w14:paraId="03D3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F4E3886">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6DB31B0">
            <w:pPr>
              <w:widowControl/>
              <w:jc w:val="left"/>
              <w:textAlignment w:val="center"/>
              <w:rPr>
                <w:rFonts w:ascii="宋体" w:hAnsi="宋体" w:cs="宋体"/>
                <w:color w:val="000000"/>
                <w:sz w:val="22"/>
                <w:szCs w:val="22"/>
              </w:rPr>
            </w:pPr>
          </w:p>
        </w:tc>
        <w:tc>
          <w:tcPr>
            <w:tcW w:w="4897" w:type="dxa"/>
            <w:shd w:val="clear" w:color="auto" w:fill="auto"/>
            <w:vAlign w:val="center"/>
          </w:tcPr>
          <w:p w14:paraId="020E11F2">
            <w:pPr>
              <w:widowControl/>
              <w:rPr>
                <w:rFonts w:ascii="宋体" w:hAnsi="宋体" w:cs="宋体"/>
                <w:kern w:val="0"/>
                <w:szCs w:val="21"/>
              </w:rPr>
            </w:pPr>
            <w:r>
              <w:rPr>
                <w:rFonts w:hint="eastAsia" w:ascii="宋体" w:hAnsi="宋体" w:cs="宋体"/>
                <w:kern w:val="0"/>
                <w:szCs w:val="21"/>
              </w:rPr>
              <w:t>2.4流通管理</w:t>
            </w:r>
          </w:p>
        </w:tc>
        <w:tc>
          <w:tcPr>
            <w:tcW w:w="462" w:type="dxa"/>
            <w:vMerge w:val="continue"/>
            <w:shd w:val="clear" w:color="auto" w:fill="auto"/>
            <w:noWrap/>
            <w:vAlign w:val="center"/>
          </w:tcPr>
          <w:p w14:paraId="70D31EB1">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E4D6BD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2B2E9AC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5F49A63">
            <w:pPr>
              <w:widowControl/>
              <w:jc w:val="center"/>
              <w:textAlignment w:val="center"/>
              <w:rPr>
                <w:rFonts w:ascii="宋体" w:hAnsi="宋体" w:cs="宋体"/>
                <w:color w:val="000000"/>
                <w:sz w:val="22"/>
                <w:szCs w:val="22"/>
              </w:rPr>
            </w:pPr>
          </w:p>
        </w:tc>
      </w:tr>
      <w:tr w14:paraId="28C2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7412109">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489D3820">
            <w:pPr>
              <w:widowControl/>
              <w:jc w:val="left"/>
              <w:textAlignment w:val="center"/>
              <w:rPr>
                <w:rFonts w:ascii="宋体" w:hAnsi="宋体" w:cs="宋体"/>
                <w:color w:val="000000"/>
                <w:sz w:val="22"/>
                <w:szCs w:val="22"/>
              </w:rPr>
            </w:pPr>
          </w:p>
        </w:tc>
        <w:tc>
          <w:tcPr>
            <w:tcW w:w="4897" w:type="dxa"/>
            <w:shd w:val="clear" w:color="auto" w:fill="auto"/>
            <w:vAlign w:val="center"/>
          </w:tcPr>
          <w:p w14:paraId="527F0601">
            <w:pPr>
              <w:widowControl/>
              <w:rPr>
                <w:rFonts w:ascii="宋体" w:hAnsi="宋体" w:cs="宋体"/>
                <w:kern w:val="0"/>
                <w:szCs w:val="21"/>
              </w:rPr>
            </w:pPr>
            <w:r>
              <w:rPr>
                <w:rFonts w:hint="eastAsia" w:ascii="宋体" w:hAnsi="宋体" w:cs="宋体"/>
                <w:kern w:val="0"/>
                <w:szCs w:val="21"/>
              </w:rPr>
              <w:t>（1）</w:t>
            </w:r>
            <w:r>
              <w:rPr>
                <w:rFonts w:hint="eastAsia" w:ascii="宋体" w:hAnsi="宋体" w:cs="宋体"/>
                <w:kern w:val="0"/>
                <w:sz w:val="22"/>
              </w:rPr>
              <w:t>▲</w:t>
            </w:r>
            <w:r>
              <w:rPr>
                <w:rFonts w:hint="eastAsia" w:ascii="宋体" w:hAnsi="宋体" w:cs="宋体"/>
                <w:kern w:val="0"/>
                <w:szCs w:val="21"/>
              </w:rPr>
              <w:t>具有借出、归还、续借等基本借阅操作，并支持快捷操作模式，借书只需要扫描读者证和图书条码，还书只需扫描图书条码，同时支持批量续借；</w:t>
            </w:r>
          </w:p>
        </w:tc>
        <w:tc>
          <w:tcPr>
            <w:tcW w:w="462" w:type="dxa"/>
            <w:vMerge w:val="continue"/>
            <w:shd w:val="clear" w:color="auto" w:fill="auto"/>
            <w:noWrap/>
            <w:vAlign w:val="center"/>
          </w:tcPr>
          <w:p w14:paraId="6E164128">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6CE91D7">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DBDDE1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7FEE5CA">
            <w:pPr>
              <w:widowControl/>
              <w:jc w:val="center"/>
              <w:textAlignment w:val="center"/>
              <w:rPr>
                <w:rFonts w:ascii="宋体" w:hAnsi="宋体" w:cs="宋体"/>
                <w:color w:val="000000"/>
                <w:sz w:val="22"/>
                <w:szCs w:val="22"/>
              </w:rPr>
            </w:pPr>
          </w:p>
        </w:tc>
      </w:tr>
      <w:tr w14:paraId="3CD6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D875AAE">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CAE89C6">
            <w:pPr>
              <w:widowControl/>
              <w:jc w:val="left"/>
              <w:textAlignment w:val="center"/>
              <w:rPr>
                <w:rFonts w:ascii="宋体" w:hAnsi="宋体" w:cs="宋体"/>
                <w:color w:val="000000"/>
                <w:sz w:val="22"/>
                <w:szCs w:val="22"/>
              </w:rPr>
            </w:pPr>
          </w:p>
        </w:tc>
        <w:tc>
          <w:tcPr>
            <w:tcW w:w="4897" w:type="dxa"/>
            <w:shd w:val="clear" w:color="auto" w:fill="auto"/>
            <w:vAlign w:val="center"/>
          </w:tcPr>
          <w:p w14:paraId="1EE82C20">
            <w:pPr>
              <w:widowControl/>
              <w:rPr>
                <w:rFonts w:ascii="宋体" w:hAnsi="宋体" w:cs="宋体"/>
                <w:kern w:val="0"/>
                <w:szCs w:val="21"/>
              </w:rPr>
            </w:pPr>
            <w:r>
              <w:rPr>
                <w:rFonts w:hint="eastAsia" w:ascii="宋体" w:hAnsi="宋体" w:cs="宋体"/>
                <w:kern w:val="0"/>
                <w:szCs w:val="21"/>
              </w:rPr>
              <w:t>（2）</w:t>
            </w:r>
            <w:r>
              <w:rPr>
                <w:rFonts w:hint="eastAsia" w:ascii="宋体" w:hAnsi="宋体" w:cs="宋体"/>
                <w:kern w:val="0"/>
                <w:sz w:val="22"/>
              </w:rPr>
              <w:t>▲</w:t>
            </w:r>
            <w:r>
              <w:rPr>
                <w:rFonts w:hint="eastAsia" w:ascii="宋体" w:hAnsi="宋体" w:cs="宋体"/>
                <w:kern w:val="0"/>
                <w:szCs w:val="21"/>
              </w:rPr>
              <w:t>提供网上预约/预借处理功能，处理读者网上的预约/预借申请；</w:t>
            </w:r>
          </w:p>
        </w:tc>
        <w:tc>
          <w:tcPr>
            <w:tcW w:w="462" w:type="dxa"/>
            <w:vMerge w:val="continue"/>
            <w:shd w:val="clear" w:color="auto" w:fill="auto"/>
            <w:noWrap/>
            <w:vAlign w:val="center"/>
          </w:tcPr>
          <w:p w14:paraId="4BF18E2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CE68546">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293768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E36869C">
            <w:pPr>
              <w:widowControl/>
              <w:jc w:val="center"/>
              <w:textAlignment w:val="center"/>
              <w:rPr>
                <w:rFonts w:ascii="宋体" w:hAnsi="宋体" w:cs="宋体"/>
                <w:color w:val="000000"/>
                <w:sz w:val="22"/>
                <w:szCs w:val="22"/>
              </w:rPr>
            </w:pPr>
          </w:p>
        </w:tc>
      </w:tr>
      <w:tr w14:paraId="2682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D747D51">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8F84D51">
            <w:pPr>
              <w:widowControl/>
              <w:jc w:val="left"/>
              <w:textAlignment w:val="center"/>
              <w:rPr>
                <w:rFonts w:ascii="宋体" w:hAnsi="宋体" w:cs="宋体"/>
                <w:color w:val="000000"/>
                <w:sz w:val="22"/>
                <w:szCs w:val="22"/>
              </w:rPr>
            </w:pPr>
          </w:p>
        </w:tc>
        <w:tc>
          <w:tcPr>
            <w:tcW w:w="4897" w:type="dxa"/>
            <w:shd w:val="clear" w:color="auto" w:fill="auto"/>
            <w:vAlign w:val="center"/>
          </w:tcPr>
          <w:p w14:paraId="08BADB72">
            <w:pPr>
              <w:widowControl/>
              <w:rPr>
                <w:rFonts w:ascii="宋体" w:hAnsi="宋体" w:cs="宋体"/>
                <w:kern w:val="0"/>
                <w:szCs w:val="21"/>
              </w:rPr>
            </w:pPr>
            <w:r>
              <w:rPr>
                <w:rFonts w:hint="eastAsia" w:ascii="宋体" w:hAnsi="宋体" w:cs="宋体"/>
                <w:kern w:val="0"/>
                <w:szCs w:val="21"/>
              </w:rPr>
              <w:t>（3）</w:t>
            </w:r>
            <w:r>
              <w:rPr>
                <w:rFonts w:hint="eastAsia" w:ascii="宋体" w:hAnsi="宋体" w:cs="宋体"/>
                <w:kern w:val="0"/>
                <w:sz w:val="22"/>
              </w:rPr>
              <w:t>▲</w:t>
            </w:r>
            <w:r>
              <w:rPr>
                <w:rFonts w:hint="eastAsia" w:ascii="宋体" w:hAnsi="宋体" w:cs="宋体"/>
                <w:kern w:val="0"/>
                <w:szCs w:val="21"/>
              </w:rPr>
              <w:t>支持系统自动进行超期催还，催还消息自动发送到读者空间，超期清单可导出excel；</w:t>
            </w:r>
          </w:p>
        </w:tc>
        <w:tc>
          <w:tcPr>
            <w:tcW w:w="462" w:type="dxa"/>
            <w:vMerge w:val="continue"/>
            <w:shd w:val="clear" w:color="auto" w:fill="auto"/>
            <w:noWrap/>
            <w:vAlign w:val="center"/>
          </w:tcPr>
          <w:p w14:paraId="03814EAD">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2B4076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F8D025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F9F8A1C">
            <w:pPr>
              <w:widowControl/>
              <w:jc w:val="center"/>
              <w:textAlignment w:val="center"/>
              <w:rPr>
                <w:rFonts w:ascii="宋体" w:hAnsi="宋体" w:cs="宋体"/>
                <w:color w:val="000000"/>
                <w:sz w:val="22"/>
                <w:szCs w:val="22"/>
              </w:rPr>
            </w:pPr>
          </w:p>
        </w:tc>
      </w:tr>
      <w:tr w14:paraId="73D0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07B9D97">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1598A83">
            <w:pPr>
              <w:widowControl/>
              <w:jc w:val="left"/>
              <w:textAlignment w:val="center"/>
              <w:rPr>
                <w:rFonts w:ascii="宋体" w:hAnsi="宋体" w:cs="宋体"/>
                <w:color w:val="000000"/>
                <w:sz w:val="22"/>
                <w:szCs w:val="22"/>
              </w:rPr>
            </w:pPr>
          </w:p>
        </w:tc>
        <w:tc>
          <w:tcPr>
            <w:tcW w:w="4897" w:type="dxa"/>
            <w:shd w:val="clear" w:color="auto" w:fill="auto"/>
            <w:vAlign w:val="center"/>
          </w:tcPr>
          <w:p w14:paraId="7323A9B7">
            <w:pPr>
              <w:widowControl/>
              <w:rPr>
                <w:rFonts w:ascii="宋体" w:hAnsi="宋体" w:cs="宋体"/>
                <w:kern w:val="0"/>
                <w:szCs w:val="21"/>
              </w:rPr>
            </w:pPr>
            <w:r>
              <w:rPr>
                <w:rFonts w:hint="eastAsia" w:ascii="宋体" w:hAnsi="宋体" w:cs="宋体"/>
                <w:kern w:val="0"/>
                <w:szCs w:val="21"/>
              </w:rPr>
              <w:t>（4）</w:t>
            </w:r>
            <w:r>
              <w:rPr>
                <w:rFonts w:hint="eastAsia" w:ascii="宋体" w:hAnsi="宋体" w:cs="宋体"/>
                <w:kern w:val="0"/>
                <w:sz w:val="22"/>
              </w:rPr>
              <w:t>▲</w:t>
            </w:r>
            <w:r>
              <w:rPr>
                <w:rFonts w:hint="eastAsia" w:ascii="宋体" w:hAnsi="宋体" w:cs="宋体"/>
                <w:kern w:val="0"/>
                <w:szCs w:val="21"/>
              </w:rPr>
              <w:t>支持扫描枪和人工两种方式获取读者信息和书籍信息进行借还等管理；</w:t>
            </w:r>
          </w:p>
        </w:tc>
        <w:tc>
          <w:tcPr>
            <w:tcW w:w="462" w:type="dxa"/>
            <w:vMerge w:val="continue"/>
            <w:shd w:val="clear" w:color="auto" w:fill="auto"/>
            <w:noWrap/>
            <w:vAlign w:val="center"/>
          </w:tcPr>
          <w:p w14:paraId="3A32C16D">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8333476">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F705FB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515E3CD">
            <w:pPr>
              <w:widowControl/>
              <w:jc w:val="center"/>
              <w:textAlignment w:val="center"/>
              <w:rPr>
                <w:rFonts w:ascii="宋体" w:hAnsi="宋体" w:cs="宋体"/>
                <w:color w:val="000000"/>
                <w:sz w:val="22"/>
                <w:szCs w:val="22"/>
              </w:rPr>
            </w:pPr>
          </w:p>
        </w:tc>
      </w:tr>
      <w:tr w14:paraId="5211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2EC6FEE">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338EC086">
            <w:pPr>
              <w:widowControl/>
              <w:jc w:val="left"/>
              <w:textAlignment w:val="center"/>
              <w:rPr>
                <w:rFonts w:ascii="宋体" w:hAnsi="宋体" w:cs="宋体"/>
                <w:color w:val="000000"/>
                <w:sz w:val="22"/>
                <w:szCs w:val="22"/>
              </w:rPr>
            </w:pPr>
          </w:p>
        </w:tc>
        <w:tc>
          <w:tcPr>
            <w:tcW w:w="4897" w:type="dxa"/>
            <w:shd w:val="clear" w:color="auto" w:fill="auto"/>
            <w:vAlign w:val="center"/>
          </w:tcPr>
          <w:p w14:paraId="067C9DF7">
            <w:pPr>
              <w:widowControl/>
              <w:rPr>
                <w:rFonts w:ascii="宋体" w:hAnsi="宋体" w:cs="宋体"/>
                <w:kern w:val="0"/>
                <w:szCs w:val="21"/>
              </w:rPr>
            </w:pPr>
            <w:r>
              <w:rPr>
                <w:rFonts w:hint="eastAsia" w:ascii="宋体" w:hAnsi="宋体" w:cs="宋体"/>
                <w:kern w:val="0"/>
                <w:szCs w:val="21"/>
              </w:rPr>
              <w:t>（5）可对某类书刊进行出借权限设置；</w:t>
            </w:r>
          </w:p>
        </w:tc>
        <w:tc>
          <w:tcPr>
            <w:tcW w:w="462" w:type="dxa"/>
            <w:vMerge w:val="continue"/>
            <w:shd w:val="clear" w:color="auto" w:fill="auto"/>
            <w:noWrap/>
            <w:vAlign w:val="center"/>
          </w:tcPr>
          <w:p w14:paraId="75C4B291">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6035A77">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9B24F64">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89C5FBB">
            <w:pPr>
              <w:widowControl/>
              <w:jc w:val="center"/>
              <w:textAlignment w:val="center"/>
              <w:rPr>
                <w:rFonts w:ascii="宋体" w:hAnsi="宋体" w:cs="宋体"/>
                <w:color w:val="000000"/>
                <w:sz w:val="22"/>
                <w:szCs w:val="22"/>
              </w:rPr>
            </w:pPr>
          </w:p>
        </w:tc>
      </w:tr>
      <w:tr w14:paraId="7773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01FB411A">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EFD4150">
            <w:pPr>
              <w:widowControl/>
              <w:jc w:val="left"/>
              <w:textAlignment w:val="center"/>
              <w:rPr>
                <w:rFonts w:ascii="宋体" w:hAnsi="宋体" w:cs="宋体"/>
                <w:color w:val="000000"/>
                <w:sz w:val="22"/>
                <w:szCs w:val="22"/>
              </w:rPr>
            </w:pPr>
          </w:p>
        </w:tc>
        <w:tc>
          <w:tcPr>
            <w:tcW w:w="4897" w:type="dxa"/>
            <w:shd w:val="clear" w:color="auto" w:fill="auto"/>
            <w:vAlign w:val="center"/>
          </w:tcPr>
          <w:p w14:paraId="74BF5CC0">
            <w:pPr>
              <w:widowControl/>
              <w:rPr>
                <w:rFonts w:ascii="宋体" w:hAnsi="宋体" w:cs="宋体"/>
                <w:kern w:val="0"/>
                <w:szCs w:val="21"/>
              </w:rPr>
            </w:pPr>
            <w:r>
              <w:rPr>
                <w:rFonts w:hint="eastAsia" w:ascii="宋体" w:hAnsi="宋体" w:cs="宋体"/>
                <w:kern w:val="0"/>
                <w:szCs w:val="21"/>
              </w:rPr>
              <w:t>（6）支持流通统计分析，包括文献流通统计、读者借阅统计、阅览统计、流通率统计，文献借阅排行、读者借阅排行、组织借阅排行。</w:t>
            </w:r>
          </w:p>
        </w:tc>
        <w:tc>
          <w:tcPr>
            <w:tcW w:w="462" w:type="dxa"/>
            <w:vMerge w:val="continue"/>
            <w:shd w:val="clear" w:color="auto" w:fill="auto"/>
            <w:noWrap/>
            <w:vAlign w:val="center"/>
          </w:tcPr>
          <w:p w14:paraId="6C56158D">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D85C05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F3024F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506F864">
            <w:pPr>
              <w:widowControl/>
              <w:jc w:val="center"/>
              <w:textAlignment w:val="center"/>
              <w:rPr>
                <w:rFonts w:ascii="宋体" w:hAnsi="宋体" w:cs="宋体"/>
                <w:color w:val="000000"/>
                <w:sz w:val="22"/>
                <w:szCs w:val="22"/>
              </w:rPr>
            </w:pPr>
          </w:p>
        </w:tc>
      </w:tr>
      <w:tr w14:paraId="1F1A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196A68F">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B8085E6">
            <w:pPr>
              <w:widowControl/>
              <w:jc w:val="left"/>
              <w:textAlignment w:val="center"/>
              <w:rPr>
                <w:rFonts w:ascii="宋体" w:hAnsi="宋体" w:cs="宋体"/>
                <w:color w:val="000000"/>
                <w:sz w:val="22"/>
                <w:szCs w:val="22"/>
              </w:rPr>
            </w:pPr>
          </w:p>
        </w:tc>
        <w:tc>
          <w:tcPr>
            <w:tcW w:w="4897" w:type="dxa"/>
            <w:shd w:val="clear" w:color="auto" w:fill="auto"/>
            <w:vAlign w:val="center"/>
          </w:tcPr>
          <w:p w14:paraId="0C9DD37A">
            <w:pPr>
              <w:widowControl/>
              <w:rPr>
                <w:rFonts w:ascii="宋体" w:hAnsi="宋体" w:cs="宋体"/>
                <w:kern w:val="0"/>
                <w:szCs w:val="21"/>
              </w:rPr>
            </w:pPr>
            <w:r>
              <w:rPr>
                <w:rFonts w:hint="eastAsia" w:ascii="宋体" w:hAnsi="宋体" w:cs="宋体"/>
                <w:kern w:val="0"/>
                <w:szCs w:val="21"/>
              </w:rPr>
              <w:t>2.5期刊管理</w:t>
            </w:r>
          </w:p>
        </w:tc>
        <w:tc>
          <w:tcPr>
            <w:tcW w:w="462" w:type="dxa"/>
            <w:vMerge w:val="continue"/>
            <w:shd w:val="clear" w:color="auto" w:fill="auto"/>
            <w:noWrap/>
            <w:vAlign w:val="center"/>
          </w:tcPr>
          <w:p w14:paraId="1DC699CF">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7074D4C">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E2D582B">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C9C3141">
            <w:pPr>
              <w:widowControl/>
              <w:jc w:val="center"/>
              <w:textAlignment w:val="center"/>
              <w:rPr>
                <w:rFonts w:ascii="宋体" w:hAnsi="宋体" w:cs="宋体"/>
                <w:color w:val="000000"/>
                <w:sz w:val="22"/>
                <w:szCs w:val="22"/>
              </w:rPr>
            </w:pPr>
          </w:p>
        </w:tc>
      </w:tr>
      <w:tr w14:paraId="1CB4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0871F17">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AC09BA1">
            <w:pPr>
              <w:widowControl/>
              <w:jc w:val="left"/>
              <w:textAlignment w:val="center"/>
              <w:rPr>
                <w:rFonts w:ascii="宋体" w:hAnsi="宋体" w:cs="宋体"/>
                <w:color w:val="000000"/>
                <w:sz w:val="22"/>
                <w:szCs w:val="22"/>
              </w:rPr>
            </w:pPr>
          </w:p>
        </w:tc>
        <w:tc>
          <w:tcPr>
            <w:tcW w:w="4897" w:type="dxa"/>
            <w:shd w:val="clear" w:color="auto" w:fill="auto"/>
            <w:vAlign w:val="center"/>
          </w:tcPr>
          <w:p w14:paraId="7A1F6D5D">
            <w:pPr>
              <w:widowControl/>
              <w:rPr>
                <w:rFonts w:ascii="宋体" w:hAnsi="宋体" w:cs="宋体"/>
                <w:kern w:val="0"/>
                <w:szCs w:val="21"/>
              </w:rPr>
            </w:pPr>
            <w:r>
              <w:rPr>
                <w:rFonts w:hint="eastAsia" w:ascii="宋体" w:hAnsi="宋体" w:cs="宋体"/>
                <w:kern w:val="0"/>
                <w:szCs w:val="21"/>
              </w:rPr>
              <w:t>（1）</w:t>
            </w:r>
            <w:r>
              <w:rPr>
                <w:rFonts w:hint="eastAsia" w:ascii="宋体" w:hAnsi="宋体" w:cs="宋体"/>
                <w:kern w:val="0"/>
                <w:sz w:val="22"/>
              </w:rPr>
              <w:t>▲</w:t>
            </w:r>
            <w:r>
              <w:rPr>
                <w:rFonts w:hint="eastAsia" w:ascii="宋体" w:hAnsi="宋体" w:cs="宋体"/>
                <w:kern w:val="0"/>
                <w:szCs w:val="21"/>
              </w:rPr>
              <w:t>具有完整的期刊管理功能，包括期刊编目、现刊记到、期刊合订、过刊装订、过刊借阅等功能；</w:t>
            </w:r>
          </w:p>
        </w:tc>
        <w:tc>
          <w:tcPr>
            <w:tcW w:w="462" w:type="dxa"/>
            <w:vMerge w:val="continue"/>
            <w:shd w:val="clear" w:color="auto" w:fill="auto"/>
            <w:noWrap/>
            <w:vAlign w:val="center"/>
          </w:tcPr>
          <w:p w14:paraId="22B38EFC">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D81194F">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CB4DBA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15B0AA8">
            <w:pPr>
              <w:widowControl/>
              <w:jc w:val="center"/>
              <w:textAlignment w:val="center"/>
              <w:rPr>
                <w:rFonts w:ascii="宋体" w:hAnsi="宋体" w:cs="宋体"/>
                <w:color w:val="000000"/>
                <w:sz w:val="22"/>
                <w:szCs w:val="22"/>
              </w:rPr>
            </w:pPr>
          </w:p>
        </w:tc>
      </w:tr>
      <w:tr w14:paraId="1F26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5B7531D">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4FC53B7">
            <w:pPr>
              <w:widowControl/>
              <w:jc w:val="left"/>
              <w:textAlignment w:val="center"/>
              <w:rPr>
                <w:rFonts w:ascii="宋体" w:hAnsi="宋体" w:cs="宋体"/>
                <w:color w:val="000000"/>
                <w:sz w:val="22"/>
                <w:szCs w:val="22"/>
              </w:rPr>
            </w:pPr>
          </w:p>
        </w:tc>
        <w:tc>
          <w:tcPr>
            <w:tcW w:w="4897" w:type="dxa"/>
            <w:shd w:val="clear" w:color="auto" w:fill="auto"/>
            <w:vAlign w:val="center"/>
          </w:tcPr>
          <w:p w14:paraId="0F248347">
            <w:pPr>
              <w:widowControl/>
              <w:rPr>
                <w:rFonts w:ascii="宋体" w:hAnsi="宋体" w:cs="宋体"/>
                <w:kern w:val="0"/>
                <w:szCs w:val="21"/>
              </w:rPr>
            </w:pPr>
            <w:r>
              <w:rPr>
                <w:rFonts w:hint="eastAsia" w:ascii="宋体" w:hAnsi="宋体" w:cs="宋体"/>
                <w:kern w:val="0"/>
                <w:szCs w:val="21"/>
              </w:rPr>
              <w:t>（2）期刊编目遵循国家著录标准和编目规则，编目数据采用中图分类法（第5版），支持CNMARC标准格式；</w:t>
            </w:r>
          </w:p>
        </w:tc>
        <w:tc>
          <w:tcPr>
            <w:tcW w:w="462" w:type="dxa"/>
            <w:vMerge w:val="continue"/>
            <w:shd w:val="clear" w:color="auto" w:fill="auto"/>
            <w:noWrap/>
            <w:vAlign w:val="center"/>
          </w:tcPr>
          <w:p w14:paraId="06CCEE9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EE91E38">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039399D">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E640BD6">
            <w:pPr>
              <w:widowControl/>
              <w:jc w:val="center"/>
              <w:textAlignment w:val="center"/>
              <w:rPr>
                <w:rFonts w:ascii="宋体" w:hAnsi="宋体" w:cs="宋体"/>
                <w:color w:val="000000"/>
                <w:sz w:val="22"/>
                <w:szCs w:val="22"/>
              </w:rPr>
            </w:pPr>
          </w:p>
        </w:tc>
      </w:tr>
      <w:tr w14:paraId="73D3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FD4AC67">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CE6ADCF">
            <w:pPr>
              <w:widowControl/>
              <w:jc w:val="left"/>
              <w:textAlignment w:val="center"/>
              <w:rPr>
                <w:rFonts w:ascii="宋体" w:hAnsi="宋体" w:cs="宋体"/>
                <w:color w:val="000000"/>
                <w:sz w:val="22"/>
                <w:szCs w:val="22"/>
              </w:rPr>
            </w:pPr>
          </w:p>
        </w:tc>
        <w:tc>
          <w:tcPr>
            <w:tcW w:w="4897" w:type="dxa"/>
            <w:shd w:val="clear" w:color="auto" w:fill="auto"/>
            <w:vAlign w:val="center"/>
          </w:tcPr>
          <w:p w14:paraId="08A68F22">
            <w:pPr>
              <w:widowControl/>
              <w:rPr>
                <w:rFonts w:ascii="宋体" w:hAnsi="宋体" w:cs="宋体"/>
                <w:kern w:val="0"/>
                <w:szCs w:val="21"/>
              </w:rPr>
            </w:pPr>
            <w:r>
              <w:rPr>
                <w:rFonts w:hint="eastAsia" w:ascii="宋体" w:hAnsi="宋体" w:cs="宋体"/>
                <w:kern w:val="0"/>
                <w:szCs w:val="21"/>
              </w:rPr>
              <w:t>（3）</w:t>
            </w:r>
            <w:r>
              <w:rPr>
                <w:rFonts w:hint="eastAsia" w:ascii="宋体" w:hAnsi="宋体" w:cs="宋体"/>
                <w:kern w:val="0"/>
                <w:sz w:val="22"/>
              </w:rPr>
              <w:t>▲</w:t>
            </w:r>
            <w:r>
              <w:rPr>
                <w:rFonts w:hint="eastAsia" w:ascii="宋体" w:hAnsi="宋体" w:cs="宋体"/>
                <w:kern w:val="0"/>
                <w:szCs w:val="21"/>
              </w:rPr>
              <w:t>支持区域范围内学校之间期刊编目信息共建共享；</w:t>
            </w:r>
          </w:p>
        </w:tc>
        <w:tc>
          <w:tcPr>
            <w:tcW w:w="462" w:type="dxa"/>
            <w:vMerge w:val="continue"/>
            <w:shd w:val="clear" w:color="auto" w:fill="auto"/>
            <w:noWrap/>
            <w:vAlign w:val="center"/>
          </w:tcPr>
          <w:p w14:paraId="78CDAFE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5E2966D">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0B19529">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7B41D44">
            <w:pPr>
              <w:widowControl/>
              <w:jc w:val="center"/>
              <w:textAlignment w:val="center"/>
              <w:rPr>
                <w:rFonts w:ascii="宋体" w:hAnsi="宋体" w:cs="宋体"/>
                <w:color w:val="000000"/>
                <w:sz w:val="22"/>
                <w:szCs w:val="22"/>
              </w:rPr>
            </w:pPr>
          </w:p>
        </w:tc>
      </w:tr>
      <w:tr w14:paraId="1AA8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0FDF9D18">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09A6395">
            <w:pPr>
              <w:widowControl/>
              <w:jc w:val="left"/>
              <w:textAlignment w:val="center"/>
              <w:rPr>
                <w:rFonts w:ascii="宋体" w:hAnsi="宋体" w:cs="宋体"/>
                <w:color w:val="000000"/>
                <w:sz w:val="22"/>
                <w:szCs w:val="22"/>
              </w:rPr>
            </w:pPr>
          </w:p>
        </w:tc>
        <w:tc>
          <w:tcPr>
            <w:tcW w:w="4897" w:type="dxa"/>
            <w:shd w:val="clear" w:color="auto" w:fill="auto"/>
            <w:vAlign w:val="center"/>
          </w:tcPr>
          <w:p w14:paraId="0DEB1802">
            <w:pPr>
              <w:widowControl/>
              <w:rPr>
                <w:rFonts w:ascii="宋体" w:hAnsi="宋体" w:cs="宋体"/>
                <w:kern w:val="0"/>
                <w:szCs w:val="21"/>
              </w:rPr>
            </w:pPr>
            <w:r>
              <w:rPr>
                <w:rFonts w:hint="eastAsia" w:ascii="宋体" w:hAnsi="宋体" w:cs="宋体"/>
                <w:kern w:val="0"/>
                <w:szCs w:val="21"/>
              </w:rPr>
              <w:t>（4）支持内置期刊编目库和在线联机编目库，只需输入期刊题名即可自动获取期刊信息，如题名、分类号、作者、价格、出版社、邮发代号等；</w:t>
            </w:r>
          </w:p>
        </w:tc>
        <w:tc>
          <w:tcPr>
            <w:tcW w:w="462" w:type="dxa"/>
            <w:vMerge w:val="continue"/>
            <w:shd w:val="clear" w:color="auto" w:fill="auto"/>
            <w:noWrap/>
            <w:vAlign w:val="center"/>
          </w:tcPr>
          <w:p w14:paraId="0F04C624">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5321C82">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2E7C815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97BBA54">
            <w:pPr>
              <w:widowControl/>
              <w:jc w:val="center"/>
              <w:textAlignment w:val="center"/>
              <w:rPr>
                <w:rFonts w:ascii="宋体" w:hAnsi="宋体" w:cs="宋体"/>
                <w:color w:val="000000"/>
                <w:sz w:val="22"/>
                <w:szCs w:val="22"/>
              </w:rPr>
            </w:pPr>
          </w:p>
        </w:tc>
      </w:tr>
      <w:tr w14:paraId="53C5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DA549D2">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90DC1ED">
            <w:pPr>
              <w:widowControl/>
              <w:jc w:val="left"/>
              <w:textAlignment w:val="center"/>
              <w:rPr>
                <w:rFonts w:ascii="宋体" w:hAnsi="宋体" w:cs="宋体"/>
                <w:color w:val="000000"/>
                <w:sz w:val="22"/>
                <w:szCs w:val="22"/>
              </w:rPr>
            </w:pPr>
          </w:p>
        </w:tc>
        <w:tc>
          <w:tcPr>
            <w:tcW w:w="4897" w:type="dxa"/>
            <w:shd w:val="clear" w:color="auto" w:fill="auto"/>
            <w:vAlign w:val="center"/>
          </w:tcPr>
          <w:p w14:paraId="6FD56342">
            <w:pPr>
              <w:widowControl/>
              <w:rPr>
                <w:rFonts w:ascii="宋体" w:hAnsi="宋体" w:cs="宋体"/>
                <w:kern w:val="0"/>
                <w:szCs w:val="21"/>
              </w:rPr>
            </w:pPr>
            <w:r>
              <w:rPr>
                <w:rFonts w:hint="eastAsia" w:ascii="宋体" w:hAnsi="宋体" w:cs="宋体"/>
                <w:kern w:val="0"/>
                <w:szCs w:val="21"/>
              </w:rPr>
              <w:t>（5）</w:t>
            </w:r>
            <w:r>
              <w:rPr>
                <w:rFonts w:hint="eastAsia" w:ascii="宋体" w:hAnsi="宋体" w:cs="宋体"/>
                <w:kern w:val="0"/>
                <w:sz w:val="22"/>
              </w:rPr>
              <w:t>▲</w:t>
            </w:r>
            <w:r>
              <w:rPr>
                <w:rFonts w:hint="eastAsia" w:ascii="宋体" w:hAnsi="宋体" w:cs="宋体"/>
                <w:kern w:val="0"/>
                <w:szCs w:val="21"/>
              </w:rPr>
              <w:t>编目过程实现题名的自动查重与数据复制；</w:t>
            </w:r>
          </w:p>
        </w:tc>
        <w:tc>
          <w:tcPr>
            <w:tcW w:w="462" w:type="dxa"/>
            <w:vMerge w:val="continue"/>
            <w:shd w:val="clear" w:color="auto" w:fill="auto"/>
            <w:noWrap/>
            <w:vAlign w:val="center"/>
          </w:tcPr>
          <w:p w14:paraId="684DC3B9">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A5A8E0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F06E1F4">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61737D0">
            <w:pPr>
              <w:widowControl/>
              <w:jc w:val="center"/>
              <w:textAlignment w:val="center"/>
              <w:rPr>
                <w:rFonts w:ascii="宋体" w:hAnsi="宋体" w:cs="宋体"/>
                <w:color w:val="000000"/>
                <w:sz w:val="22"/>
                <w:szCs w:val="22"/>
              </w:rPr>
            </w:pPr>
          </w:p>
        </w:tc>
      </w:tr>
      <w:tr w14:paraId="3192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9E3879D">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38D66535">
            <w:pPr>
              <w:widowControl/>
              <w:jc w:val="left"/>
              <w:textAlignment w:val="center"/>
              <w:rPr>
                <w:rFonts w:ascii="宋体" w:hAnsi="宋体" w:cs="宋体"/>
                <w:color w:val="000000"/>
                <w:sz w:val="22"/>
                <w:szCs w:val="22"/>
              </w:rPr>
            </w:pPr>
          </w:p>
        </w:tc>
        <w:tc>
          <w:tcPr>
            <w:tcW w:w="4897" w:type="dxa"/>
            <w:shd w:val="clear" w:color="auto" w:fill="auto"/>
            <w:vAlign w:val="center"/>
          </w:tcPr>
          <w:p w14:paraId="13F56D8F">
            <w:pPr>
              <w:widowControl/>
              <w:rPr>
                <w:rFonts w:ascii="宋体" w:hAnsi="宋体" w:cs="宋体"/>
                <w:kern w:val="0"/>
                <w:szCs w:val="21"/>
              </w:rPr>
            </w:pPr>
            <w:r>
              <w:rPr>
                <w:rFonts w:hint="eastAsia" w:ascii="宋体" w:hAnsi="宋体" w:cs="宋体"/>
                <w:kern w:val="0"/>
                <w:szCs w:val="21"/>
              </w:rPr>
              <w:t>（6）提供书标打印功能，按题名、出版社、ISSN、统一刊号、入库日期等条件提取书标，也可以直接按分类段、条码段，实现批量打印；</w:t>
            </w:r>
          </w:p>
        </w:tc>
        <w:tc>
          <w:tcPr>
            <w:tcW w:w="462" w:type="dxa"/>
            <w:vMerge w:val="continue"/>
            <w:shd w:val="clear" w:color="auto" w:fill="auto"/>
            <w:noWrap/>
            <w:vAlign w:val="center"/>
          </w:tcPr>
          <w:p w14:paraId="4978CF7B">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ABC74EE">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ADEA0BB">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9C910B4">
            <w:pPr>
              <w:widowControl/>
              <w:jc w:val="center"/>
              <w:textAlignment w:val="center"/>
              <w:rPr>
                <w:rFonts w:ascii="宋体" w:hAnsi="宋体" w:cs="宋体"/>
                <w:color w:val="000000"/>
                <w:sz w:val="22"/>
                <w:szCs w:val="22"/>
              </w:rPr>
            </w:pPr>
          </w:p>
        </w:tc>
      </w:tr>
      <w:tr w14:paraId="7099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660E891">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EC7020E">
            <w:pPr>
              <w:widowControl/>
              <w:jc w:val="left"/>
              <w:textAlignment w:val="center"/>
              <w:rPr>
                <w:rFonts w:ascii="宋体" w:hAnsi="宋体" w:cs="宋体"/>
                <w:color w:val="000000"/>
                <w:sz w:val="22"/>
                <w:szCs w:val="22"/>
              </w:rPr>
            </w:pPr>
          </w:p>
        </w:tc>
        <w:tc>
          <w:tcPr>
            <w:tcW w:w="4897" w:type="dxa"/>
            <w:shd w:val="clear" w:color="auto" w:fill="auto"/>
            <w:vAlign w:val="center"/>
          </w:tcPr>
          <w:p w14:paraId="23A6A4D6">
            <w:pPr>
              <w:widowControl/>
              <w:rPr>
                <w:rFonts w:ascii="宋体" w:hAnsi="宋体" w:cs="宋体"/>
                <w:kern w:val="0"/>
                <w:szCs w:val="21"/>
              </w:rPr>
            </w:pPr>
            <w:r>
              <w:rPr>
                <w:rFonts w:hint="eastAsia" w:ascii="宋体" w:hAnsi="宋体" w:cs="宋体"/>
                <w:kern w:val="0"/>
                <w:szCs w:val="21"/>
              </w:rPr>
              <w:t>（7）提供两种管理方式，满足合订本回溯入库和新刊编目入库；</w:t>
            </w:r>
          </w:p>
        </w:tc>
        <w:tc>
          <w:tcPr>
            <w:tcW w:w="462" w:type="dxa"/>
            <w:vMerge w:val="continue"/>
            <w:shd w:val="clear" w:color="auto" w:fill="auto"/>
            <w:noWrap/>
            <w:vAlign w:val="center"/>
          </w:tcPr>
          <w:p w14:paraId="4B0E5FBD">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17B9FC5">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EACEE54">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B3FFB56">
            <w:pPr>
              <w:widowControl/>
              <w:jc w:val="center"/>
              <w:textAlignment w:val="center"/>
              <w:rPr>
                <w:rFonts w:ascii="宋体" w:hAnsi="宋体" w:cs="宋体"/>
                <w:color w:val="000000"/>
                <w:sz w:val="22"/>
                <w:szCs w:val="22"/>
              </w:rPr>
            </w:pPr>
          </w:p>
        </w:tc>
      </w:tr>
      <w:tr w14:paraId="42E79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BB7F6A9">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3B7EA935">
            <w:pPr>
              <w:widowControl/>
              <w:jc w:val="left"/>
              <w:textAlignment w:val="center"/>
              <w:rPr>
                <w:rFonts w:ascii="宋体" w:hAnsi="宋体" w:cs="宋体"/>
                <w:color w:val="000000"/>
                <w:sz w:val="22"/>
                <w:szCs w:val="22"/>
              </w:rPr>
            </w:pPr>
          </w:p>
        </w:tc>
        <w:tc>
          <w:tcPr>
            <w:tcW w:w="4897" w:type="dxa"/>
            <w:shd w:val="clear" w:color="auto" w:fill="auto"/>
            <w:vAlign w:val="center"/>
          </w:tcPr>
          <w:p w14:paraId="052E1ABE">
            <w:pPr>
              <w:widowControl/>
              <w:rPr>
                <w:rFonts w:ascii="宋体" w:hAnsi="宋体" w:cs="宋体"/>
                <w:kern w:val="0"/>
                <w:szCs w:val="21"/>
              </w:rPr>
            </w:pPr>
            <w:r>
              <w:rPr>
                <w:rFonts w:hint="eastAsia" w:ascii="宋体" w:hAnsi="宋体" w:cs="宋体"/>
                <w:kern w:val="0"/>
                <w:szCs w:val="21"/>
              </w:rPr>
              <w:t>（8）提供期刊的借阅管理，可满足学校过刊的借和还。</w:t>
            </w:r>
          </w:p>
        </w:tc>
        <w:tc>
          <w:tcPr>
            <w:tcW w:w="462" w:type="dxa"/>
            <w:vMerge w:val="continue"/>
            <w:shd w:val="clear" w:color="auto" w:fill="auto"/>
            <w:noWrap/>
            <w:vAlign w:val="center"/>
          </w:tcPr>
          <w:p w14:paraId="54C49F3F">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61E24E2">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D79A248">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E537620">
            <w:pPr>
              <w:widowControl/>
              <w:jc w:val="center"/>
              <w:textAlignment w:val="center"/>
              <w:rPr>
                <w:rFonts w:ascii="宋体" w:hAnsi="宋体" w:cs="宋体"/>
                <w:color w:val="000000"/>
                <w:sz w:val="22"/>
                <w:szCs w:val="22"/>
              </w:rPr>
            </w:pPr>
          </w:p>
        </w:tc>
      </w:tr>
      <w:tr w14:paraId="4AC0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AC74E92">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B1E044A">
            <w:pPr>
              <w:widowControl/>
              <w:jc w:val="left"/>
              <w:textAlignment w:val="center"/>
              <w:rPr>
                <w:rFonts w:ascii="宋体" w:hAnsi="宋体" w:cs="宋体"/>
                <w:color w:val="000000"/>
                <w:sz w:val="22"/>
                <w:szCs w:val="22"/>
              </w:rPr>
            </w:pPr>
          </w:p>
        </w:tc>
        <w:tc>
          <w:tcPr>
            <w:tcW w:w="4897" w:type="dxa"/>
            <w:shd w:val="clear" w:color="auto" w:fill="auto"/>
            <w:vAlign w:val="center"/>
          </w:tcPr>
          <w:p w14:paraId="29976F23">
            <w:pPr>
              <w:widowControl/>
              <w:rPr>
                <w:rFonts w:ascii="宋体" w:hAnsi="宋体" w:cs="宋体"/>
                <w:kern w:val="0"/>
                <w:szCs w:val="21"/>
              </w:rPr>
            </w:pPr>
            <w:r>
              <w:rPr>
                <w:rFonts w:hint="eastAsia" w:ascii="宋体" w:hAnsi="宋体" w:cs="宋体"/>
                <w:kern w:val="0"/>
                <w:szCs w:val="21"/>
              </w:rPr>
              <w:t>2.6读者管理</w:t>
            </w:r>
          </w:p>
        </w:tc>
        <w:tc>
          <w:tcPr>
            <w:tcW w:w="462" w:type="dxa"/>
            <w:vMerge w:val="continue"/>
            <w:shd w:val="clear" w:color="auto" w:fill="auto"/>
            <w:noWrap/>
            <w:vAlign w:val="center"/>
          </w:tcPr>
          <w:p w14:paraId="318F6CE7">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651B5EE">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7BD476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368E906">
            <w:pPr>
              <w:widowControl/>
              <w:jc w:val="center"/>
              <w:textAlignment w:val="center"/>
              <w:rPr>
                <w:rFonts w:ascii="宋体" w:hAnsi="宋体" w:cs="宋体"/>
                <w:color w:val="000000"/>
                <w:sz w:val="22"/>
                <w:szCs w:val="22"/>
              </w:rPr>
            </w:pPr>
          </w:p>
        </w:tc>
      </w:tr>
      <w:tr w14:paraId="0FAE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1D383C8">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3A736BE5">
            <w:pPr>
              <w:widowControl/>
              <w:jc w:val="left"/>
              <w:textAlignment w:val="center"/>
              <w:rPr>
                <w:rFonts w:ascii="宋体" w:hAnsi="宋体" w:cs="宋体"/>
                <w:color w:val="000000"/>
                <w:sz w:val="22"/>
                <w:szCs w:val="22"/>
              </w:rPr>
            </w:pPr>
          </w:p>
        </w:tc>
        <w:tc>
          <w:tcPr>
            <w:tcW w:w="4897" w:type="dxa"/>
            <w:shd w:val="clear" w:color="auto" w:fill="auto"/>
            <w:vAlign w:val="center"/>
          </w:tcPr>
          <w:p w14:paraId="78FEFAAB">
            <w:pPr>
              <w:widowControl/>
              <w:rPr>
                <w:rFonts w:ascii="宋体" w:hAnsi="宋体" w:cs="宋体"/>
                <w:kern w:val="0"/>
                <w:szCs w:val="21"/>
              </w:rPr>
            </w:pPr>
            <w:r>
              <w:rPr>
                <w:rFonts w:hint="eastAsia" w:ascii="宋体" w:hAnsi="宋体" w:cs="宋体"/>
                <w:kern w:val="0"/>
                <w:szCs w:val="21"/>
              </w:rPr>
              <w:t>（1）</w:t>
            </w:r>
            <w:r>
              <w:rPr>
                <w:rFonts w:hint="eastAsia" w:ascii="宋体" w:hAnsi="宋体" w:cs="宋体"/>
                <w:kern w:val="0"/>
                <w:sz w:val="22"/>
              </w:rPr>
              <w:t>▲</w:t>
            </w:r>
            <w:r>
              <w:rPr>
                <w:rFonts w:hint="eastAsia" w:ascii="宋体" w:hAnsi="宋体" w:cs="宋体"/>
                <w:kern w:val="0"/>
                <w:szCs w:val="21"/>
              </w:rPr>
              <w:t>支持读者管理和读者证卡事务管理，实现“人卡分离”；</w:t>
            </w:r>
          </w:p>
        </w:tc>
        <w:tc>
          <w:tcPr>
            <w:tcW w:w="462" w:type="dxa"/>
            <w:vMerge w:val="continue"/>
            <w:shd w:val="clear" w:color="auto" w:fill="auto"/>
            <w:noWrap/>
            <w:vAlign w:val="center"/>
          </w:tcPr>
          <w:p w14:paraId="68E36116">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61089A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37D540F">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A0EAA7A">
            <w:pPr>
              <w:widowControl/>
              <w:jc w:val="center"/>
              <w:textAlignment w:val="center"/>
              <w:rPr>
                <w:rFonts w:ascii="宋体" w:hAnsi="宋体" w:cs="宋体"/>
                <w:color w:val="000000"/>
                <w:sz w:val="22"/>
                <w:szCs w:val="22"/>
              </w:rPr>
            </w:pPr>
          </w:p>
        </w:tc>
      </w:tr>
      <w:tr w14:paraId="57CC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20F5A9A">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213AB9F">
            <w:pPr>
              <w:widowControl/>
              <w:jc w:val="left"/>
              <w:textAlignment w:val="center"/>
              <w:rPr>
                <w:rFonts w:ascii="宋体" w:hAnsi="宋体" w:cs="宋体"/>
                <w:color w:val="000000"/>
                <w:sz w:val="22"/>
                <w:szCs w:val="22"/>
              </w:rPr>
            </w:pPr>
          </w:p>
        </w:tc>
        <w:tc>
          <w:tcPr>
            <w:tcW w:w="4897" w:type="dxa"/>
            <w:shd w:val="clear" w:color="auto" w:fill="auto"/>
            <w:vAlign w:val="center"/>
          </w:tcPr>
          <w:p w14:paraId="27ABDF42">
            <w:pPr>
              <w:widowControl/>
              <w:rPr>
                <w:rFonts w:ascii="宋体" w:hAnsi="宋体" w:cs="宋体"/>
                <w:kern w:val="0"/>
                <w:szCs w:val="21"/>
              </w:rPr>
            </w:pPr>
            <w:r>
              <w:rPr>
                <w:rFonts w:hint="eastAsia" w:ascii="宋体" w:hAnsi="宋体" w:cs="宋体"/>
                <w:kern w:val="0"/>
                <w:szCs w:val="21"/>
              </w:rPr>
              <w:t>（2）读者证支持启用、挂失、注销/恢复、删除、换证、续期等操作；</w:t>
            </w:r>
          </w:p>
        </w:tc>
        <w:tc>
          <w:tcPr>
            <w:tcW w:w="462" w:type="dxa"/>
            <w:vMerge w:val="continue"/>
            <w:shd w:val="clear" w:color="auto" w:fill="auto"/>
            <w:noWrap/>
            <w:vAlign w:val="center"/>
          </w:tcPr>
          <w:p w14:paraId="07A0C16B">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D28E290">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4888D18">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599C94D">
            <w:pPr>
              <w:widowControl/>
              <w:jc w:val="center"/>
              <w:textAlignment w:val="center"/>
              <w:rPr>
                <w:rFonts w:ascii="宋体" w:hAnsi="宋体" w:cs="宋体"/>
                <w:color w:val="000000"/>
                <w:sz w:val="22"/>
                <w:szCs w:val="22"/>
              </w:rPr>
            </w:pPr>
          </w:p>
        </w:tc>
      </w:tr>
      <w:tr w14:paraId="61D1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D0809BE">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86AADE5">
            <w:pPr>
              <w:widowControl/>
              <w:jc w:val="left"/>
              <w:textAlignment w:val="center"/>
              <w:rPr>
                <w:rFonts w:ascii="宋体" w:hAnsi="宋体" w:cs="宋体"/>
                <w:color w:val="000000"/>
                <w:sz w:val="22"/>
                <w:szCs w:val="22"/>
              </w:rPr>
            </w:pPr>
          </w:p>
        </w:tc>
        <w:tc>
          <w:tcPr>
            <w:tcW w:w="4897" w:type="dxa"/>
            <w:shd w:val="clear" w:color="auto" w:fill="auto"/>
            <w:vAlign w:val="center"/>
          </w:tcPr>
          <w:p w14:paraId="4F9DE4EF">
            <w:pPr>
              <w:widowControl/>
              <w:rPr>
                <w:rFonts w:ascii="宋体" w:hAnsi="宋体" w:cs="宋体"/>
                <w:kern w:val="0"/>
                <w:szCs w:val="21"/>
              </w:rPr>
            </w:pPr>
            <w:r>
              <w:rPr>
                <w:rFonts w:hint="eastAsia" w:ascii="宋体" w:hAnsi="宋体" w:cs="宋体"/>
                <w:kern w:val="0"/>
                <w:szCs w:val="21"/>
              </w:rPr>
              <w:t>（3）支持按读者类型设置读者借阅权限；</w:t>
            </w:r>
          </w:p>
        </w:tc>
        <w:tc>
          <w:tcPr>
            <w:tcW w:w="462" w:type="dxa"/>
            <w:vMerge w:val="continue"/>
            <w:shd w:val="clear" w:color="auto" w:fill="auto"/>
            <w:noWrap/>
            <w:vAlign w:val="center"/>
          </w:tcPr>
          <w:p w14:paraId="77648E3F">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7B1F687">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14B8BC2">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A3D6ED7">
            <w:pPr>
              <w:widowControl/>
              <w:jc w:val="center"/>
              <w:textAlignment w:val="center"/>
              <w:rPr>
                <w:rFonts w:ascii="宋体" w:hAnsi="宋体" w:cs="宋体"/>
                <w:color w:val="000000"/>
                <w:sz w:val="22"/>
                <w:szCs w:val="22"/>
              </w:rPr>
            </w:pPr>
          </w:p>
        </w:tc>
      </w:tr>
      <w:tr w14:paraId="4D69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DA50D55">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4FFD55B6">
            <w:pPr>
              <w:widowControl/>
              <w:jc w:val="left"/>
              <w:textAlignment w:val="center"/>
              <w:rPr>
                <w:rFonts w:ascii="宋体" w:hAnsi="宋体" w:cs="宋体"/>
                <w:color w:val="000000"/>
                <w:sz w:val="22"/>
                <w:szCs w:val="22"/>
              </w:rPr>
            </w:pPr>
          </w:p>
        </w:tc>
        <w:tc>
          <w:tcPr>
            <w:tcW w:w="4897" w:type="dxa"/>
            <w:shd w:val="clear" w:color="auto" w:fill="auto"/>
            <w:vAlign w:val="center"/>
          </w:tcPr>
          <w:p w14:paraId="44CE0D2B">
            <w:pPr>
              <w:widowControl/>
              <w:rPr>
                <w:rFonts w:ascii="宋体" w:hAnsi="宋体" w:cs="宋体"/>
                <w:kern w:val="0"/>
                <w:szCs w:val="21"/>
              </w:rPr>
            </w:pPr>
            <w:r>
              <w:rPr>
                <w:rFonts w:hint="eastAsia" w:ascii="宋体" w:hAnsi="宋体" w:cs="宋体"/>
                <w:kern w:val="0"/>
                <w:szCs w:val="21"/>
              </w:rPr>
              <w:t>（4）读者类型支持学生、教师、班级、其他几种类型；</w:t>
            </w:r>
          </w:p>
        </w:tc>
        <w:tc>
          <w:tcPr>
            <w:tcW w:w="462" w:type="dxa"/>
            <w:vMerge w:val="continue"/>
            <w:shd w:val="clear" w:color="auto" w:fill="auto"/>
            <w:noWrap/>
            <w:vAlign w:val="center"/>
          </w:tcPr>
          <w:p w14:paraId="2FDC1399">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8E89A6B">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E78B96F">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86ECADC">
            <w:pPr>
              <w:widowControl/>
              <w:jc w:val="center"/>
              <w:textAlignment w:val="center"/>
              <w:rPr>
                <w:rFonts w:ascii="宋体" w:hAnsi="宋体" w:cs="宋体"/>
                <w:color w:val="000000"/>
                <w:sz w:val="22"/>
                <w:szCs w:val="22"/>
              </w:rPr>
            </w:pPr>
          </w:p>
        </w:tc>
      </w:tr>
      <w:tr w14:paraId="1CDF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E3D492A">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02CAA9E">
            <w:pPr>
              <w:widowControl/>
              <w:jc w:val="left"/>
              <w:textAlignment w:val="center"/>
              <w:rPr>
                <w:rFonts w:ascii="宋体" w:hAnsi="宋体" w:cs="宋体"/>
                <w:color w:val="000000"/>
                <w:sz w:val="22"/>
                <w:szCs w:val="22"/>
              </w:rPr>
            </w:pPr>
          </w:p>
        </w:tc>
        <w:tc>
          <w:tcPr>
            <w:tcW w:w="4897" w:type="dxa"/>
            <w:shd w:val="clear" w:color="auto" w:fill="auto"/>
            <w:vAlign w:val="center"/>
          </w:tcPr>
          <w:p w14:paraId="7C9A71D8">
            <w:pPr>
              <w:widowControl/>
              <w:rPr>
                <w:rFonts w:ascii="宋体" w:hAnsi="宋体" w:cs="宋体"/>
                <w:kern w:val="0"/>
                <w:szCs w:val="21"/>
              </w:rPr>
            </w:pPr>
            <w:r>
              <w:rPr>
                <w:rFonts w:hint="eastAsia" w:ascii="宋体" w:hAnsi="宋体" w:cs="宋体"/>
                <w:kern w:val="0"/>
                <w:szCs w:val="21"/>
              </w:rPr>
              <w:t>（5）读者权限管理，可设置借阅期限、借阅数量、有效期、预约预借权限、超期权限等；</w:t>
            </w:r>
          </w:p>
        </w:tc>
        <w:tc>
          <w:tcPr>
            <w:tcW w:w="462" w:type="dxa"/>
            <w:vMerge w:val="continue"/>
            <w:shd w:val="clear" w:color="auto" w:fill="auto"/>
            <w:noWrap/>
            <w:vAlign w:val="center"/>
          </w:tcPr>
          <w:p w14:paraId="4C0E74D0">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1A4277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18A697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5FC5896">
            <w:pPr>
              <w:widowControl/>
              <w:jc w:val="center"/>
              <w:textAlignment w:val="center"/>
              <w:rPr>
                <w:rFonts w:ascii="宋体" w:hAnsi="宋体" w:cs="宋体"/>
                <w:color w:val="000000"/>
                <w:sz w:val="22"/>
                <w:szCs w:val="22"/>
              </w:rPr>
            </w:pPr>
          </w:p>
        </w:tc>
      </w:tr>
      <w:tr w14:paraId="062B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00F8D11">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FA38BAF">
            <w:pPr>
              <w:widowControl/>
              <w:jc w:val="left"/>
              <w:textAlignment w:val="center"/>
              <w:rPr>
                <w:rFonts w:ascii="宋体" w:hAnsi="宋体" w:cs="宋体"/>
                <w:color w:val="000000"/>
                <w:sz w:val="22"/>
                <w:szCs w:val="22"/>
              </w:rPr>
            </w:pPr>
          </w:p>
        </w:tc>
        <w:tc>
          <w:tcPr>
            <w:tcW w:w="4897" w:type="dxa"/>
            <w:shd w:val="clear" w:color="auto" w:fill="auto"/>
            <w:vAlign w:val="center"/>
          </w:tcPr>
          <w:p w14:paraId="30328F7E">
            <w:pPr>
              <w:widowControl/>
              <w:rPr>
                <w:rFonts w:ascii="宋体" w:hAnsi="宋体" w:cs="宋体"/>
                <w:kern w:val="0"/>
                <w:szCs w:val="21"/>
              </w:rPr>
            </w:pPr>
            <w:r>
              <w:rPr>
                <w:rFonts w:hint="eastAsia" w:ascii="宋体" w:hAnsi="宋体" w:cs="宋体"/>
                <w:kern w:val="0"/>
                <w:szCs w:val="21"/>
              </w:rPr>
              <w:t>（6）</w:t>
            </w:r>
            <w:r>
              <w:rPr>
                <w:rFonts w:hint="eastAsia" w:ascii="宋体" w:hAnsi="宋体" w:cs="宋体"/>
                <w:kern w:val="0"/>
                <w:sz w:val="22"/>
              </w:rPr>
              <w:t>▲</w:t>
            </w:r>
            <w:r>
              <w:rPr>
                <w:rFonts w:hint="eastAsia" w:ascii="宋体" w:hAnsi="宋体" w:cs="宋体"/>
                <w:kern w:val="0"/>
                <w:szCs w:val="21"/>
              </w:rPr>
              <w:t>支持现成读者数据的导入，数据格式为 EXCEL格式，支持导入时反写读者组织信息；</w:t>
            </w:r>
          </w:p>
        </w:tc>
        <w:tc>
          <w:tcPr>
            <w:tcW w:w="462" w:type="dxa"/>
            <w:vMerge w:val="continue"/>
            <w:shd w:val="clear" w:color="auto" w:fill="auto"/>
            <w:noWrap/>
            <w:vAlign w:val="center"/>
          </w:tcPr>
          <w:p w14:paraId="1EB7A33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5FDA25E">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E4AAFC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245ADD9">
            <w:pPr>
              <w:widowControl/>
              <w:jc w:val="center"/>
              <w:textAlignment w:val="center"/>
              <w:rPr>
                <w:rFonts w:ascii="宋体" w:hAnsi="宋体" w:cs="宋体"/>
                <w:color w:val="000000"/>
                <w:sz w:val="22"/>
                <w:szCs w:val="22"/>
              </w:rPr>
            </w:pPr>
          </w:p>
        </w:tc>
      </w:tr>
      <w:tr w14:paraId="39A2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0A22E93">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8E18E1A">
            <w:pPr>
              <w:widowControl/>
              <w:jc w:val="left"/>
              <w:textAlignment w:val="center"/>
              <w:rPr>
                <w:rFonts w:ascii="宋体" w:hAnsi="宋体" w:cs="宋体"/>
                <w:color w:val="000000"/>
                <w:sz w:val="22"/>
                <w:szCs w:val="22"/>
              </w:rPr>
            </w:pPr>
          </w:p>
        </w:tc>
        <w:tc>
          <w:tcPr>
            <w:tcW w:w="4897" w:type="dxa"/>
            <w:shd w:val="clear" w:color="auto" w:fill="auto"/>
            <w:vAlign w:val="center"/>
          </w:tcPr>
          <w:p w14:paraId="701546F8">
            <w:pPr>
              <w:widowControl/>
              <w:rPr>
                <w:rFonts w:ascii="宋体" w:hAnsi="宋体" w:cs="宋体"/>
                <w:kern w:val="0"/>
                <w:szCs w:val="21"/>
              </w:rPr>
            </w:pPr>
            <w:r>
              <w:rPr>
                <w:rFonts w:hint="eastAsia" w:ascii="宋体" w:hAnsi="宋体" w:cs="宋体"/>
                <w:kern w:val="0"/>
                <w:szCs w:val="21"/>
              </w:rPr>
              <w:t>（7）读者证支持条码卡、ID 卡两种类型；</w:t>
            </w:r>
          </w:p>
        </w:tc>
        <w:tc>
          <w:tcPr>
            <w:tcW w:w="462" w:type="dxa"/>
            <w:vMerge w:val="continue"/>
            <w:shd w:val="clear" w:color="auto" w:fill="auto"/>
            <w:noWrap/>
            <w:vAlign w:val="center"/>
          </w:tcPr>
          <w:p w14:paraId="7B509BE4">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E796726">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276F73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8F7E894">
            <w:pPr>
              <w:widowControl/>
              <w:jc w:val="center"/>
              <w:textAlignment w:val="center"/>
              <w:rPr>
                <w:rFonts w:ascii="宋体" w:hAnsi="宋体" w:cs="宋体"/>
                <w:color w:val="000000"/>
                <w:sz w:val="22"/>
                <w:szCs w:val="22"/>
              </w:rPr>
            </w:pPr>
          </w:p>
        </w:tc>
      </w:tr>
      <w:tr w14:paraId="0AD9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3983630">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1639D24">
            <w:pPr>
              <w:widowControl/>
              <w:jc w:val="left"/>
              <w:textAlignment w:val="center"/>
              <w:rPr>
                <w:rFonts w:ascii="宋体" w:hAnsi="宋体" w:cs="宋体"/>
                <w:color w:val="000000"/>
                <w:sz w:val="22"/>
                <w:szCs w:val="22"/>
              </w:rPr>
            </w:pPr>
          </w:p>
        </w:tc>
        <w:tc>
          <w:tcPr>
            <w:tcW w:w="4897" w:type="dxa"/>
            <w:shd w:val="clear" w:color="auto" w:fill="auto"/>
            <w:vAlign w:val="center"/>
          </w:tcPr>
          <w:p w14:paraId="05902F6B">
            <w:pPr>
              <w:widowControl/>
              <w:rPr>
                <w:rFonts w:ascii="宋体" w:hAnsi="宋体" w:cs="宋体"/>
                <w:kern w:val="0"/>
                <w:szCs w:val="21"/>
              </w:rPr>
            </w:pPr>
            <w:r>
              <w:rPr>
                <w:rFonts w:hint="eastAsia" w:ascii="宋体" w:hAnsi="宋体" w:cs="宋体"/>
                <w:kern w:val="0"/>
                <w:szCs w:val="21"/>
              </w:rPr>
              <w:t>（8）支持读者组织管理，包括新增、修改、注销、删除等操作。</w:t>
            </w:r>
          </w:p>
        </w:tc>
        <w:tc>
          <w:tcPr>
            <w:tcW w:w="462" w:type="dxa"/>
            <w:vMerge w:val="continue"/>
            <w:shd w:val="clear" w:color="auto" w:fill="auto"/>
            <w:noWrap/>
            <w:vAlign w:val="center"/>
          </w:tcPr>
          <w:p w14:paraId="0777DE56">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C99412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E64C8E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B7B78E4">
            <w:pPr>
              <w:widowControl/>
              <w:jc w:val="center"/>
              <w:textAlignment w:val="center"/>
              <w:rPr>
                <w:rFonts w:ascii="宋体" w:hAnsi="宋体" w:cs="宋体"/>
                <w:color w:val="000000"/>
                <w:sz w:val="22"/>
                <w:szCs w:val="22"/>
              </w:rPr>
            </w:pPr>
          </w:p>
        </w:tc>
      </w:tr>
      <w:tr w14:paraId="7B91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AEE8BB0">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C71B6D5">
            <w:pPr>
              <w:widowControl/>
              <w:jc w:val="left"/>
              <w:textAlignment w:val="center"/>
              <w:rPr>
                <w:rFonts w:ascii="宋体" w:hAnsi="宋体" w:cs="宋体"/>
                <w:color w:val="000000"/>
                <w:sz w:val="22"/>
                <w:szCs w:val="22"/>
              </w:rPr>
            </w:pPr>
          </w:p>
        </w:tc>
        <w:tc>
          <w:tcPr>
            <w:tcW w:w="4897" w:type="dxa"/>
            <w:shd w:val="clear" w:color="auto" w:fill="auto"/>
            <w:vAlign w:val="center"/>
          </w:tcPr>
          <w:p w14:paraId="017FBF55">
            <w:pPr>
              <w:widowControl/>
              <w:rPr>
                <w:rFonts w:ascii="宋体" w:hAnsi="宋体" w:cs="宋体"/>
                <w:kern w:val="0"/>
                <w:szCs w:val="21"/>
              </w:rPr>
            </w:pPr>
            <w:r>
              <w:rPr>
                <w:rFonts w:hint="eastAsia" w:ascii="宋体" w:hAnsi="宋体" w:cs="宋体"/>
                <w:kern w:val="0"/>
                <w:szCs w:val="21"/>
              </w:rPr>
              <w:t>（9）读者证打印:支持打印设置，设置包括到单位名称、字体/字号、证件名称、校徽图片上传等，并支持在线打印。</w:t>
            </w:r>
          </w:p>
        </w:tc>
        <w:tc>
          <w:tcPr>
            <w:tcW w:w="462" w:type="dxa"/>
            <w:vMerge w:val="continue"/>
            <w:shd w:val="clear" w:color="auto" w:fill="auto"/>
            <w:noWrap/>
            <w:vAlign w:val="center"/>
          </w:tcPr>
          <w:p w14:paraId="1CDBCAF7">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7062A38">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28E661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BEE99DB">
            <w:pPr>
              <w:widowControl/>
              <w:jc w:val="center"/>
              <w:textAlignment w:val="center"/>
              <w:rPr>
                <w:rFonts w:ascii="宋体" w:hAnsi="宋体" w:cs="宋体"/>
                <w:color w:val="000000"/>
                <w:sz w:val="22"/>
                <w:szCs w:val="22"/>
              </w:rPr>
            </w:pPr>
          </w:p>
        </w:tc>
      </w:tr>
      <w:tr w14:paraId="5515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0B9791CE">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0C14E72">
            <w:pPr>
              <w:widowControl/>
              <w:jc w:val="left"/>
              <w:textAlignment w:val="center"/>
              <w:rPr>
                <w:rFonts w:ascii="宋体" w:hAnsi="宋体" w:cs="宋体"/>
                <w:color w:val="000000"/>
                <w:sz w:val="22"/>
                <w:szCs w:val="22"/>
              </w:rPr>
            </w:pPr>
          </w:p>
        </w:tc>
        <w:tc>
          <w:tcPr>
            <w:tcW w:w="4897" w:type="dxa"/>
            <w:shd w:val="clear" w:color="auto" w:fill="auto"/>
            <w:vAlign w:val="center"/>
          </w:tcPr>
          <w:p w14:paraId="22EB579D">
            <w:pPr>
              <w:widowControl/>
              <w:rPr>
                <w:rFonts w:ascii="宋体" w:hAnsi="宋体" w:cs="宋体"/>
                <w:kern w:val="0"/>
                <w:szCs w:val="21"/>
              </w:rPr>
            </w:pPr>
            <w:r>
              <w:rPr>
                <w:rFonts w:hint="eastAsia" w:ascii="宋体" w:hAnsi="宋体" w:cs="宋体"/>
                <w:kern w:val="0"/>
                <w:szCs w:val="21"/>
              </w:rPr>
              <w:t>2.7达标评估</w:t>
            </w:r>
          </w:p>
        </w:tc>
        <w:tc>
          <w:tcPr>
            <w:tcW w:w="462" w:type="dxa"/>
            <w:vMerge w:val="continue"/>
            <w:shd w:val="clear" w:color="auto" w:fill="auto"/>
            <w:noWrap/>
            <w:vAlign w:val="center"/>
          </w:tcPr>
          <w:p w14:paraId="398CE09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C91411E">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B7C1F8D">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3D31D3F">
            <w:pPr>
              <w:widowControl/>
              <w:jc w:val="center"/>
              <w:textAlignment w:val="center"/>
              <w:rPr>
                <w:rFonts w:ascii="宋体" w:hAnsi="宋体" w:cs="宋体"/>
                <w:color w:val="000000"/>
                <w:sz w:val="22"/>
                <w:szCs w:val="22"/>
              </w:rPr>
            </w:pPr>
          </w:p>
        </w:tc>
      </w:tr>
      <w:tr w14:paraId="65BD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CF8EB54">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3468B91A">
            <w:pPr>
              <w:widowControl/>
              <w:jc w:val="left"/>
              <w:textAlignment w:val="center"/>
              <w:rPr>
                <w:rFonts w:ascii="宋体" w:hAnsi="宋体" w:cs="宋体"/>
                <w:color w:val="000000"/>
                <w:sz w:val="22"/>
                <w:szCs w:val="22"/>
              </w:rPr>
            </w:pPr>
          </w:p>
        </w:tc>
        <w:tc>
          <w:tcPr>
            <w:tcW w:w="4897" w:type="dxa"/>
            <w:shd w:val="clear" w:color="auto" w:fill="auto"/>
            <w:vAlign w:val="center"/>
          </w:tcPr>
          <w:p w14:paraId="3091EE24">
            <w:pPr>
              <w:widowControl/>
              <w:rPr>
                <w:rFonts w:ascii="宋体" w:hAnsi="宋体" w:cs="宋体"/>
                <w:kern w:val="0"/>
                <w:szCs w:val="21"/>
              </w:rPr>
            </w:pPr>
            <w:r>
              <w:rPr>
                <w:rFonts w:hint="eastAsia" w:ascii="宋体" w:hAnsi="宋体" w:cs="宋体"/>
                <w:kern w:val="0"/>
                <w:szCs w:val="21"/>
              </w:rPr>
              <w:t>（1）</w:t>
            </w:r>
            <w:r>
              <w:rPr>
                <w:rFonts w:hint="eastAsia" w:ascii="宋体" w:hAnsi="宋体" w:cs="宋体"/>
                <w:kern w:val="0"/>
                <w:sz w:val="22"/>
              </w:rPr>
              <w:t>▲</w:t>
            </w:r>
            <w:r>
              <w:rPr>
                <w:rFonts w:hint="eastAsia" w:ascii="宋体" w:hAnsi="宋体" w:cs="宋体"/>
                <w:kern w:val="0"/>
                <w:szCs w:val="21"/>
              </w:rPr>
              <w:t>支持按图书馆藏结构比例进行达标测算，实现按5大类22小类进行馆藏与标准的对比、达标比例。</w:t>
            </w:r>
          </w:p>
        </w:tc>
        <w:tc>
          <w:tcPr>
            <w:tcW w:w="462" w:type="dxa"/>
            <w:vMerge w:val="continue"/>
            <w:shd w:val="clear" w:color="auto" w:fill="auto"/>
            <w:noWrap/>
            <w:vAlign w:val="center"/>
          </w:tcPr>
          <w:p w14:paraId="6969B0CB">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6B0542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599586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6E12109">
            <w:pPr>
              <w:widowControl/>
              <w:jc w:val="center"/>
              <w:textAlignment w:val="center"/>
              <w:rPr>
                <w:rFonts w:ascii="宋体" w:hAnsi="宋体" w:cs="宋体"/>
                <w:color w:val="000000"/>
                <w:sz w:val="22"/>
                <w:szCs w:val="22"/>
              </w:rPr>
            </w:pPr>
          </w:p>
        </w:tc>
      </w:tr>
      <w:tr w14:paraId="5F04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9D6A6B6">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AC65AB4">
            <w:pPr>
              <w:widowControl/>
              <w:jc w:val="left"/>
              <w:textAlignment w:val="center"/>
              <w:rPr>
                <w:rFonts w:ascii="宋体" w:hAnsi="宋体" w:cs="宋体"/>
                <w:color w:val="000000"/>
                <w:sz w:val="22"/>
                <w:szCs w:val="22"/>
              </w:rPr>
            </w:pPr>
          </w:p>
        </w:tc>
        <w:tc>
          <w:tcPr>
            <w:tcW w:w="4897" w:type="dxa"/>
            <w:shd w:val="clear" w:color="auto" w:fill="auto"/>
            <w:vAlign w:val="center"/>
          </w:tcPr>
          <w:p w14:paraId="169262EA">
            <w:pPr>
              <w:widowControl/>
              <w:rPr>
                <w:rFonts w:ascii="宋体" w:hAnsi="宋体" w:cs="宋体"/>
                <w:kern w:val="0"/>
                <w:szCs w:val="21"/>
              </w:rPr>
            </w:pPr>
            <w:r>
              <w:rPr>
                <w:rFonts w:hint="eastAsia" w:ascii="宋体" w:hAnsi="宋体" w:cs="宋体"/>
                <w:kern w:val="0"/>
                <w:szCs w:val="21"/>
              </w:rPr>
              <w:t>（2）</w:t>
            </w:r>
            <w:r>
              <w:rPr>
                <w:rFonts w:hint="eastAsia" w:ascii="宋体" w:hAnsi="宋体" w:cs="宋体"/>
                <w:kern w:val="0"/>
                <w:sz w:val="22"/>
              </w:rPr>
              <w:t>▲</w:t>
            </w:r>
            <w:r>
              <w:rPr>
                <w:rFonts w:hint="eastAsia" w:ascii="宋体" w:hAnsi="宋体" w:cs="宋体"/>
                <w:kern w:val="0"/>
                <w:szCs w:val="21"/>
              </w:rPr>
              <w:t>支持按藏书量进行达标测算，包括生均馆藏册数、报刊种类、工具书种类等指标，提供直观的标准数量与本校馆藏数量的缺口对比。</w:t>
            </w:r>
          </w:p>
        </w:tc>
        <w:tc>
          <w:tcPr>
            <w:tcW w:w="462" w:type="dxa"/>
            <w:vMerge w:val="continue"/>
            <w:shd w:val="clear" w:color="auto" w:fill="auto"/>
            <w:noWrap/>
            <w:vAlign w:val="center"/>
          </w:tcPr>
          <w:p w14:paraId="08E97557">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F474545">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C3970E2">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2AC8203">
            <w:pPr>
              <w:widowControl/>
              <w:jc w:val="center"/>
              <w:textAlignment w:val="center"/>
              <w:rPr>
                <w:rFonts w:ascii="宋体" w:hAnsi="宋体" w:cs="宋体"/>
                <w:color w:val="000000"/>
                <w:sz w:val="22"/>
                <w:szCs w:val="22"/>
              </w:rPr>
            </w:pPr>
          </w:p>
        </w:tc>
      </w:tr>
      <w:tr w14:paraId="2F9C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178E7FE">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668DBA2">
            <w:pPr>
              <w:widowControl/>
              <w:jc w:val="left"/>
              <w:textAlignment w:val="center"/>
              <w:rPr>
                <w:rFonts w:ascii="宋体" w:hAnsi="宋体" w:cs="宋体"/>
                <w:color w:val="000000"/>
                <w:sz w:val="22"/>
                <w:szCs w:val="22"/>
              </w:rPr>
            </w:pPr>
          </w:p>
        </w:tc>
        <w:tc>
          <w:tcPr>
            <w:tcW w:w="4897" w:type="dxa"/>
            <w:shd w:val="clear" w:color="auto" w:fill="auto"/>
            <w:vAlign w:val="center"/>
          </w:tcPr>
          <w:p w14:paraId="1FBE9FF5">
            <w:pPr>
              <w:widowControl/>
              <w:rPr>
                <w:rFonts w:ascii="宋体" w:hAnsi="宋体" w:cs="宋体"/>
                <w:kern w:val="0"/>
                <w:szCs w:val="21"/>
              </w:rPr>
            </w:pPr>
            <w:r>
              <w:rPr>
                <w:rFonts w:hint="eastAsia" w:ascii="宋体" w:hAnsi="宋体" w:cs="宋体"/>
                <w:kern w:val="0"/>
                <w:szCs w:val="21"/>
              </w:rPr>
              <w:t>2.8离线借阅</w:t>
            </w:r>
          </w:p>
        </w:tc>
        <w:tc>
          <w:tcPr>
            <w:tcW w:w="462" w:type="dxa"/>
            <w:vMerge w:val="continue"/>
            <w:shd w:val="clear" w:color="auto" w:fill="auto"/>
            <w:noWrap/>
            <w:vAlign w:val="center"/>
          </w:tcPr>
          <w:p w14:paraId="6F0B4621">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E8E4ECF">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472278D">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A642995">
            <w:pPr>
              <w:widowControl/>
              <w:jc w:val="center"/>
              <w:textAlignment w:val="center"/>
              <w:rPr>
                <w:rFonts w:ascii="宋体" w:hAnsi="宋体" w:cs="宋体"/>
                <w:color w:val="000000"/>
                <w:sz w:val="22"/>
                <w:szCs w:val="22"/>
              </w:rPr>
            </w:pPr>
          </w:p>
        </w:tc>
      </w:tr>
      <w:tr w14:paraId="08EA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36DB04D">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2113371">
            <w:pPr>
              <w:widowControl/>
              <w:jc w:val="left"/>
              <w:textAlignment w:val="center"/>
              <w:rPr>
                <w:rFonts w:ascii="宋体" w:hAnsi="宋体" w:cs="宋体"/>
                <w:color w:val="000000"/>
                <w:sz w:val="22"/>
                <w:szCs w:val="22"/>
              </w:rPr>
            </w:pPr>
          </w:p>
        </w:tc>
        <w:tc>
          <w:tcPr>
            <w:tcW w:w="4897" w:type="dxa"/>
            <w:shd w:val="clear" w:color="auto" w:fill="auto"/>
            <w:vAlign w:val="center"/>
          </w:tcPr>
          <w:p w14:paraId="18EF5C1B">
            <w:pPr>
              <w:widowControl/>
              <w:rPr>
                <w:rFonts w:ascii="宋体" w:hAnsi="宋体" w:cs="宋体"/>
                <w:kern w:val="0"/>
                <w:szCs w:val="21"/>
              </w:rPr>
            </w:pPr>
            <w:r>
              <w:rPr>
                <w:rFonts w:hint="eastAsia" w:ascii="宋体" w:hAnsi="宋体" w:cs="宋体"/>
                <w:kern w:val="0"/>
                <w:szCs w:val="21"/>
              </w:rPr>
              <w:t>（1）</w:t>
            </w:r>
            <w:r>
              <w:rPr>
                <w:rFonts w:hint="eastAsia" w:ascii="宋体" w:hAnsi="宋体" w:cs="宋体"/>
                <w:kern w:val="0"/>
                <w:sz w:val="22"/>
              </w:rPr>
              <w:t>▲</w:t>
            </w:r>
            <w:r>
              <w:rPr>
                <w:rFonts w:hint="eastAsia" w:ascii="宋体" w:hAnsi="宋体" w:cs="宋体"/>
                <w:kern w:val="0"/>
                <w:szCs w:val="21"/>
              </w:rPr>
              <w:t>具有离线借阅功能，支持学校在断网、或者网络不畅以及服务器故障情况下，不影响学校图书馆（市）的基本借阅使用；</w:t>
            </w:r>
          </w:p>
        </w:tc>
        <w:tc>
          <w:tcPr>
            <w:tcW w:w="462" w:type="dxa"/>
            <w:vMerge w:val="continue"/>
            <w:shd w:val="clear" w:color="auto" w:fill="auto"/>
            <w:noWrap/>
            <w:vAlign w:val="center"/>
          </w:tcPr>
          <w:p w14:paraId="31AD3A9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DACC6CF">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853CFE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25B0564">
            <w:pPr>
              <w:widowControl/>
              <w:jc w:val="center"/>
              <w:textAlignment w:val="center"/>
              <w:rPr>
                <w:rFonts w:ascii="宋体" w:hAnsi="宋体" w:cs="宋体"/>
                <w:color w:val="000000"/>
                <w:sz w:val="22"/>
                <w:szCs w:val="22"/>
              </w:rPr>
            </w:pPr>
          </w:p>
        </w:tc>
      </w:tr>
      <w:tr w14:paraId="4832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C91F481">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65DB1E1">
            <w:pPr>
              <w:widowControl/>
              <w:jc w:val="left"/>
              <w:textAlignment w:val="center"/>
              <w:rPr>
                <w:rFonts w:ascii="宋体" w:hAnsi="宋体" w:cs="宋体"/>
                <w:color w:val="000000"/>
                <w:sz w:val="22"/>
                <w:szCs w:val="22"/>
              </w:rPr>
            </w:pPr>
          </w:p>
        </w:tc>
        <w:tc>
          <w:tcPr>
            <w:tcW w:w="4897" w:type="dxa"/>
            <w:shd w:val="clear" w:color="auto" w:fill="auto"/>
            <w:vAlign w:val="center"/>
          </w:tcPr>
          <w:p w14:paraId="037E0DB6">
            <w:pPr>
              <w:widowControl/>
              <w:rPr>
                <w:rFonts w:ascii="宋体" w:hAnsi="宋体" w:cs="宋体"/>
                <w:kern w:val="0"/>
                <w:szCs w:val="21"/>
              </w:rPr>
            </w:pPr>
            <w:r>
              <w:rPr>
                <w:rFonts w:hint="eastAsia" w:ascii="宋体" w:hAnsi="宋体" w:cs="宋体"/>
                <w:kern w:val="0"/>
                <w:szCs w:val="21"/>
              </w:rPr>
              <w:t>（2）离线借阅情况下主要功能包括：馆藏查询、读者查询、借阅、归还、流通记录查询等；</w:t>
            </w:r>
          </w:p>
        </w:tc>
        <w:tc>
          <w:tcPr>
            <w:tcW w:w="462" w:type="dxa"/>
            <w:vMerge w:val="continue"/>
            <w:shd w:val="clear" w:color="auto" w:fill="auto"/>
            <w:noWrap/>
            <w:vAlign w:val="center"/>
          </w:tcPr>
          <w:p w14:paraId="15E0B418">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869C04D">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C034408">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455BC9F">
            <w:pPr>
              <w:widowControl/>
              <w:jc w:val="center"/>
              <w:textAlignment w:val="center"/>
              <w:rPr>
                <w:rFonts w:ascii="宋体" w:hAnsi="宋体" w:cs="宋体"/>
                <w:color w:val="000000"/>
                <w:sz w:val="22"/>
                <w:szCs w:val="22"/>
              </w:rPr>
            </w:pPr>
          </w:p>
        </w:tc>
      </w:tr>
      <w:tr w14:paraId="43F7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4D625DA">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676FC2D">
            <w:pPr>
              <w:widowControl/>
              <w:jc w:val="left"/>
              <w:textAlignment w:val="center"/>
              <w:rPr>
                <w:rFonts w:ascii="宋体" w:hAnsi="宋体" w:cs="宋体"/>
                <w:color w:val="000000"/>
                <w:sz w:val="22"/>
                <w:szCs w:val="22"/>
              </w:rPr>
            </w:pPr>
          </w:p>
        </w:tc>
        <w:tc>
          <w:tcPr>
            <w:tcW w:w="4897" w:type="dxa"/>
            <w:shd w:val="clear" w:color="auto" w:fill="auto"/>
            <w:vAlign w:val="center"/>
          </w:tcPr>
          <w:p w14:paraId="7DB53E55">
            <w:pPr>
              <w:widowControl/>
              <w:rPr>
                <w:rFonts w:ascii="宋体" w:hAnsi="宋体" w:cs="宋体"/>
                <w:kern w:val="0"/>
                <w:szCs w:val="21"/>
              </w:rPr>
            </w:pPr>
            <w:r>
              <w:rPr>
                <w:rFonts w:hint="eastAsia" w:ascii="宋体" w:hAnsi="宋体" w:cs="宋体"/>
                <w:kern w:val="0"/>
                <w:szCs w:val="21"/>
              </w:rPr>
              <w:t>（3）</w:t>
            </w:r>
            <w:r>
              <w:rPr>
                <w:rFonts w:hint="eastAsia" w:ascii="宋体" w:hAnsi="宋体" w:cs="宋体"/>
                <w:kern w:val="0"/>
                <w:sz w:val="22"/>
              </w:rPr>
              <w:t>▲</w:t>
            </w:r>
            <w:r>
              <w:rPr>
                <w:rFonts w:hint="eastAsia" w:ascii="宋体" w:hAnsi="宋体" w:cs="宋体"/>
                <w:kern w:val="0"/>
                <w:szCs w:val="21"/>
              </w:rPr>
              <w:t>网络恢复正常后，自动将离线产生的数据同步到服务器。</w:t>
            </w:r>
          </w:p>
        </w:tc>
        <w:tc>
          <w:tcPr>
            <w:tcW w:w="462" w:type="dxa"/>
            <w:vMerge w:val="continue"/>
            <w:shd w:val="clear" w:color="auto" w:fill="auto"/>
            <w:noWrap/>
            <w:vAlign w:val="center"/>
          </w:tcPr>
          <w:p w14:paraId="2D2549F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A93C27B">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198A72C">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8522F8E">
            <w:pPr>
              <w:widowControl/>
              <w:jc w:val="center"/>
              <w:textAlignment w:val="center"/>
              <w:rPr>
                <w:rFonts w:ascii="宋体" w:hAnsi="宋体" w:cs="宋体"/>
                <w:color w:val="000000"/>
                <w:sz w:val="22"/>
                <w:szCs w:val="22"/>
              </w:rPr>
            </w:pPr>
          </w:p>
        </w:tc>
      </w:tr>
      <w:tr w14:paraId="61B7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EC55E34">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4BBF669">
            <w:pPr>
              <w:widowControl/>
              <w:jc w:val="left"/>
              <w:textAlignment w:val="center"/>
              <w:rPr>
                <w:rFonts w:ascii="宋体" w:hAnsi="宋体" w:cs="宋体"/>
                <w:color w:val="000000"/>
                <w:sz w:val="22"/>
                <w:szCs w:val="22"/>
              </w:rPr>
            </w:pPr>
          </w:p>
        </w:tc>
        <w:tc>
          <w:tcPr>
            <w:tcW w:w="4897" w:type="dxa"/>
            <w:shd w:val="clear" w:color="auto" w:fill="auto"/>
            <w:vAlign w:val="center"/>
          </w:tcPr>
          <w:p w14:paraId="69E90E5B">
            <w:pPr>
              <w:widowControl/>
              <w:rPr>
                <w:rFonts w:ascii="宋体" w:hAnsi="宋体" w:cs="宋体"/>
                <w:kern w:val="0"/>
                <w:szCs w:val="21"/>
              </w:rPr>
            </w:pPr>
            <w:r>
              <w:rPr>
                <w:rFonts w:hint="eastAsia" w:ascii="宋体" w:hAnsi="宋体" w:cs="宋体"/>
                <w:kern w:val="0"/>
                <w:szCs w:val="21"/>
              </w:rPr>
              <w:t>（4）支持按读者类型设置读者借阅权限；</w:t>
            </w:r>
          </w:p>
        </w:tc>
        <w:tc>
          <w:tcPr>
            <w:tcW w:w="462" w:type="dxa"/>
            <w:vMerge w:val="continue"/>
            <w:shd w:val="clear" w:color="auto" w:fill="auto"/>
            <w:noWrap/>
            <w:vAlign w:val="center"/>
          </w:tcPr>
          <w:p w14:paraId="2CD8AEC6">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FB5A31F">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63F90C9">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FA25586">
            <w:pPr>
              <w:widowControl/>
              <w:jc w:val="center"/>
              <w:textAlignment w:val="center"/>
              <w:rPr>
                <w:rFonts w:ascii="宋体" w:hAnsi="宋体" w:cs="宋体"/>
                <w:color w:val="000000"/>
                <w:sz w:val="22"/>
                <w:szCs w:val="22"/>
              </w:rPr>
            </w:pPr>
          </w:p>
        </w:tc>
      </w:tr>
      <w:tr w14:paraId="1A2F6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0AA1521">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7F97A29">
            <w:pPr>
              <w:widowControl/>
              <w:jc w:val="left"/>
              <w:textAlignment w:val="center"/>
              <w:rPr>
                <w:rFonts w:ascii="宋体" w:hAnsi="宋体" w:cs="宋体"/>
                <w:color w:val="000000"/>
                <w:sz w:val="22"/>
                <w:szCs w:val="22"/>
              </w:rPr>
            </w:pPr>
          </w:p>
        </w:tc>
        <w:tc>
          <w:tcPr>
            <w:tcW w:w="4897" w:type="dxa"/>
            <w:shd w:val="clear" w:color="auto" w:fill="auto"/>
            <w:vAlign w:val="center"/>
          </w:tcPr>
          <w:p w14:paraId="38D07BAB">
            <w:pPr>
              <w:widowControl/>
              <w:rPr>
                <w:rFonts w:ascii="黑体" w:hAnsi="黑体" w:eastAsia="黑体" w:cs="宋体"/>
                <w:kern w:val="0"/>
                <w:szCs w:val="21"/>
              </w:rPr>
            </w:pPr>
            <w:r>
              <w:rPr>
                <w:rFonts w:hint="eastAsia" w:ascii="黑体" w:hAnsi="黑体" w:eastAsia="黑体" w:cs="宋体"/>
                <w:kern w:val="0"/>
                <w:szCs w:val="21"/>
              </w:rPr>
              <w:t>五、其它要求</w:t>
            </w:r>
          </w:p>
        </w:tc>
        <w:tc>
          <w:tcPr>
            <w:tcW w:w="462" w:type="dxa"/>
            <w:vMerge w:val="continue"/>
            <w:shd w:val="clear" w:color="auto" w:fill="auto"/>
            <w:noWrap/>
            <w:vAlign w:val="center"/>
          </w:tcPr>
          <w:p w14:paraId="312523DE">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8DDBFD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E153374">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E63EAB1">
            <w:pPr>
              <w:widowControl/>
              <w:jc w:val="center"/>
              <w:textAlignment w:val="center"/>
              <w:rPr>
                <w:rFonts w:ascii="宋体" w:hAnsi="宋体" w:cs="宋体"/>
                <w:color w:val="000000"/>
                <w:sz w:val="22"/>
                <w:szCs w:val="22"/>
              </w:rPr>
            </w:pPr>
          </w:p>
        </w:tc>
      </w:tr>
      <w:tr w14:paraId="360C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72B0CDF">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399997DC">
            <w:pPr>
              <w:widowControl/>
              <w:jc w:val="left"/>
              <w:textAlignment w:val="center"/>
              <w:rPr>
                <w:rFonts w:ascii="宋体" w:hAnsi="宋体" w:cs="宋体"/>
                <w:color w:val="000000"/>
                <w:sz w:val="22"/>
                <w:szCs w:val="22"/>
              </w:rPr>
            </w:pPr>
          </w:p>
        </w:tc>
        <w:tc>
          <w:tcPr>
            <w:tcW w:w="4897" w:type="dxa"/>
            <w:shd w:val="clear" w:color="auto" w:fill="auto"/>
            <w:vAlign w:val="center"/>
          </w:tcPr>
          <w:p w14:paraId="5463AC63">
            <w:pPr>
              <w:widowControl/>
              <w:rPr>
                <w:rFonts w:ascii="宋体" w:hAnsi="宋体" w:cs="宋体"/>
                <w:kern w:val="0"/>
                <w:szCs w:val="21"/>
              </w:rPr>
            </w:pPr>
            <w:r>
              <w:rPr>
                <w:rFonts w:hint="eastAsia" w:ascii="宋体" w:hAnsi="宋体" w:cs="宋体"/>
                <w:kern w:val="0"/>
                <w:szCs w:val="21"/>
              </w:rPr>
              <w:t>1.质量保证期：3年（自最终验收合格之日起计）。</w:t>
            </w:r>
          </w:p>
        </w:tc>
        <w:tc>
          <w:tcPr>
            <w:tcW w:w="462" w:type="dxa"/>
            <w:vMerge w:val="continue"/>
            <w:shd w:val="clear" w:color="auto" w:fill="auto"/>
            <w:noWrap/>
            <w:vAlign w:val="center"/>
          </w:tcPr>
          <w:p w14:paraId="0ED92729">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BC01787">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353626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0F29A0D">
            <w:pPr>
              <w:widowControl/>
              <w:jc w:val="center"/>
              <w:textAlignment w:val="center"/>
              <w:rPr>
                <w:rFonts w:ascii="宋体" w:hAnsi="宋体" w:cs="宋体"/>
                <w:color w:val="000000"/>
                <w:sz w:val="22"/>
                <w:szCs w:val="22"/>
              </w:rPr>
            </w:pPr>
          </w:p>
        </w:tc>
      </w:tr>
      <w:tr w14:paraId="2925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3D49685">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D9F25CA">
            <w:pPr>
              <w:widowControl/>
              <w:jc w:val="left"/>
              <w:textAlignment w:val="center"/>
              <w:rPr>
                <w:rFonts w:ascii="宋体" w:hAnsi="宋体" w:cs="宋体"/>
                <w:color w:val="000000"/>
                <w:sz w:val="22"/>
                <w:szCs w:val="22"/>
              </w:rPr>
            </w:pPr>
          </w:p>
        </w:tc>
        <w:tc>
          <w:tcPr>
            <w:tcW w:w="4897" w:type="dxa"/>
            <w:shd w:val="clear" w:color="auto" w:fill="auto"/>
            <w:vAlign w:val="center"/>
          </w:tcPr>
          <w:p w14:paraId="4D797612">
            <w:pPr>
              <w:widowControl/>
              <w:rPr>
                <w:rFonts w:ascii="宋体" w:hAnsi="宋体" w:cs="宋体"/>
                <w:kern w:val="0"/>
                <w:szCs w:val="21"/>
              </w:rPr>
            </w:pPr>
            <w:r>
              <w:rPr>
                <w:rFonts w:hint="eastAsia" w:ascii="宋体" w:hAnsi="宋体" w:cs="宋体"/>
                <w:kern w:val="0"/>
                <w:szCs w:val="21"/>
              </w:rPr>
              <w:t>2.质保期内，发现图书的质量与合同要求不符，有漏页、缺页、破页，印刷字迹不清等不符合要求的情况（人为因素除外），中标人应负责免费更换。中标人在接到用户通知后24小时内予以答复，28个自然日内免费更换有缺陷的图书。如果中标人在接到通知后28个自然日内没有更换有缺陷的图书，中标人将承担相应的违约责任。</w:t>
            </w:r>
            <w:r>
              <w:rPr>
                <w:rFonts w:hint="eastAsia" w:ascii="宋体" w:hAnsi="宋体" w:cs="宋体"/>
                <w:kern w:val="0"/>
                <w:szCs w:val="21"/>
              </w:rPr>
              <w:br w:type="textWrapping"/>
            </w:r>
            <w:r>
              <w:rPr>
                <w:rFonts w:hint="eastAsia" w:ascii="宋体" w:hAnsi="宋体" w:cs="宋体"/>
                <w:kern w:val="0"/>
                <w:szCs w:val="21"/>
              </w:rPr>
              <w:t>3.订单查重：在订货前，中标人要进行订单查重（本批订单与各校区当前图书馆室藏书书目查重；本批订单互相查重）服务。如发现有重复或图书复本量超过5本的，中标人应及时告知采购人和学校图书馆管理员。在中标人与学校双方确认新书目后及时给予更换，并将更换部分的书目打印一式3份，由学校图书馆室负责人签收，再经校方盖章后，学校、采购人、中标人各存一份。。</w:t>
            </w:r>
          </w:p>
        </w:tc>
        <w:tc>
          <w:tcPr>
            <w:tcW w:w="462" w:type="dxa"/>
            <w:vMerge w:val="continue"/>
            <w:shd w:val="clear" w:color="auto" w:fill="auto"/>
            <w:noWrap/>
            <w:vAlign w:val="center"/>
          </w:tcPr>
          <w:p w14:paraId="47B37983">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B4982C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E2B3DF2">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BF46074">
            <w:pPr>
              <w:widowControl/>
              <w:jc w:val="center"/>
              <w:textAlignment w:val="center"/>
              <w:rPr>
                <w:rFonts w:ascii="宋体" w:hAnsi="宋体" w:cs="宋体"/>
                <w:color w:val="000000"/>
                <w:sz w:val="22"/>
                <w:szCs w:val="22"/>
              </w:rPr>
            </w:pPr>
          </w:p>
        </w:tc>
      </w:tr>
      <w:tr w14:paraId="1DF4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03377E9">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18BDAEC">
            <w:pPr>
              <w:widowControl/>
              <w:jc w:val="left"/>
              <w:textAlignment w:val="center"/>
              <w:rPr>
                <w:rFonts w:ascii="宋体" w:hAnsi="宋体" w:cs="宋体"/>
                <w:color w:val="000000"/>
                <w:sz w:val="22"/>
                <w:szCs w:val="22"/>
              </w:rPr>
            </w:pPr>
          </w:p>
        </w:tc>
        <w:tc>
          <w:tcPr>
            <w:tcW w:w="4897" w:type="dxa"/>
            <w:shd w:val="clear" w:color="auto" w:fill="auto"/>
            <w:vAlign w:val="center"/>
          </w:tcPr>
          <w:p w14:paraId="0D5A48D5">
            <w:pPr>
              <w:widowControl/>
              <w:rPr>
                <w:rFonts w:ascii="宋体" w:hAnsi="宋体" w:cs="宋体"/>
                <w:kern w:val="0"/>
                <w:szCs w:val="21"/>
              </w:rPr>
            </w:pPr>
            <w:r>
              <w:rPr>
                <w:rFonts w:hint="eastAsia" w:ascii="宋体" w:hAnsi="宋体" w:cs="宋体"/>
                <w:kern w:val="0"/>
                <w:szCs w:val="21"/>
              </w:rPr>
              <w:t>4.供货时提供出版社授权书</w:t>
            </w:r>
            <w:r>
              <w:rPr>
                <w:rFonts w:hint="eastAsia" w:ascii="宋体" w:hAnsi="宋体" w:cs="宋体"/>
                <w:color w:val="FF0000"/>
                <w:kern w:val="0"/>
                <w:szCs w:val="21"/>
              </w:rPr>
              <w:t>（格式见“附件4”）</w:t>
            </w:r>
            <w:r>
              <w:rPr>
                <w:rFonts w:hint="eastAsia" w:ascii="宋体" w:hAnsi="宋体" w:cs="宋体"/>
                <w:kern w:val="0"/>
                <w:szCs w:val="21"/>
              </w:rPr>
              <w:t>，以确保所供图书为正版图书。</w:t>
            </w:r>
          </w:p>
        </w:tc>
        <w:tc>
          <w:tcPr>
            <w:tcW w:w="462" w:type="dxa"/>
            <w:vMerge w:val="continue"/>
            <w:shd w:val="clear" w:color="auto" w:fill="auto"/>
            <w:noWrap/>
            <w:vAlign w:val="center"/>
          </w:tcPr>
          <w:p w14:paraId="5BA8D697">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73D3612">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2503AD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AEF0088">
            <w:pPr>
              <w:widowControl/>
              <w:jc w:val="center"/>
              <w:textAlignment w:val="center"/>
              <w:rPr>
                <w:rFonts w:ascii="宋体" w:hAnsi="宋体" w:cs="宋体"/>
                <w:color w:val="000000"/>
                <w:sz w:val="22"/>
                <w:szCs w:val="22"/>
              </w:rPr>
            </w:pPr>
          </w:p>
        </w:tc>
      </w:tr>
      <w:tr w14:paraId="4022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0A844FF">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26BCC92">
            <w:pPr>
              <w:widowControl/>
              <w:jc w:val="left"/>
              <w:textAlignment w:val="center"/>
              <w:rPr>
                <w:rFonts w:ascii="宋体" w:hAnsi="宋体" w:cs="宋体"/>
                <w:color w:val="000000"/>
                <w:sz w:val="22"/>
                <w:szCs w:val="22"/>
              </w:rPr>
            </w:pPr>
          </w:p>
        </w:tc>
        <w:tc>
          <w:tcPr>
            <w:tcW w:w="4897" w:type="dxa"/>
            <w:shd w:val="clear" w:color="auto" w:fill="auto"/>
            <w:vAlign w:val="center"/>
          </w:tcPr>
          <w:p w14:paraId="4C93C006">
            <w:pPr>
              <w:widowControl/>
              <w:rPr>
                <w:rFonts w:ascii="宋体" w:hAnsi="宋体" w:cs="宋体"/>
                <w:kern w:val="0"/>
                <w:szCs w:val="21"/>
              </w:rPr>
            </w:pPr>
            <w:r>
              <w:rPr>
                <w:rFonts w:hint="eastAsia" w:ascii="宋体" w:hAnsi="宋体" w:cs="宋体"/>
                <w:kern w:val="0"/>
                <w:szCs w:val="21"/>
              </w:rPr>
              <w:t>5.采购人认为需要提请相关质监部门介入进行检验鉴定的，质监部门收取的一切费用由中标方承担。</w:t>
            </w:r>
          </w:p>
        </w:tc>
        <w:tc>
          <w:tcPr>
            <w:tcW w:w="462" w:type="dxa"/>
            <w:vMerge w:val="continue"/>
            <w:shd w:val="clear" w:color="auto" w:fill="auto"/>
            <w:noWrap/>
            <w:vAlign w:val="center"/>
          </w:tcPr>
          <w:p w14:paraId="5B3A8ED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08737E1">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E77A82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F7AABEC">
            <w:pPr>
              <w:widowControl/>
              <w:jc w:val="center"/>
              <w:textAlignment w:val="center"/>
              <w:rPr>
                <w:rFonts w:ascii="宋体" w:hAnsi="宋体" w:cs="宋体"/>
                <w:color w:val="000000"/>
                <w:sz w:val="22"/>
                <w:szCs w:val="22"/>
              </w:rPr>
            </w:pPr>
          </w:p>
        </w:tc>
      </w:tr>
      <w:tr w14:paraId="73CD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1" w:hRule="atLeast"/>
        </w:trPr>
        <w:tc>
          <w:tcPr>
            <w:tcW w:w="9945" w:type="dxa"/>
            <w:gridSpan w:val="7"/>
            <w:shd w:val="clear" w:color="auto" w:fill="auto"/>
            <w:vAlign w:val="center"/>
          </w:tcPr>
          <w:tbl>
            <w:tblPr>
              <w:tblStyle w:val="24"/>
              <w:tblW w:w="10082" w:type="dxa"/>
              <w:tblInd w:w="0" w:type="dxa"/>
              <w:tblLayout w:type="fixed"/>
              <w:tblCellMar>
                <w:top w:w="0" w:type="dxa"/>
                <w:left w:w="108" w:type="dxa"/>
                <w:bottom w:w="0" w:type="dxa"/>
                <w:right w:w="108" w:type="dxa"/>
              </w:tblCellMar>
            </w:tblPr>
            <w:tblGrid>
              <w:gridCol w:w="10082"/>
            </w:tblGrid>
            <w:tr w14:paraId="507F8785">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7E4C4EFF">
                  <w:pPr>
                    <w:widowControl/>
                    <w:rPr>
                      <w:rFonts w:ascii="宋体" w:hAnsi="宋体" w:cs="宋体"/>
                      <w:kern w:val="0"/>
                      <w:sz w:val="20"/>
                      <w:szCs w:val="20"/>
                    </w:rPr>
                  </w:pPr>
                  <w:r>
                    <w:rPr>
                      <w:rFonts w:hint="eastAsia"/>
                      <w:b/>
                      <w:bCs/>
                    </w:rPr>
                    <w:t>商务条款</w:t>
                  </w:r>
                </w:p>
              </w:tc>
            </w:tr>
            <w:tr w14:paraId="66D67E71">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477ECEF6">
                  <w:pPr>
                    <w:widowControl/>
                    <w:jc w:val="left"/>
                    <w:rPr>
                      <w:rFonts w:ascii="宋体" w:hAnsi="宋体" w:cs="宋体"/>
                      <w:kern w:val="0"/>
                      <w:sz w:val="20"/>
                      <w:szCs w:val="20"/>
                    </w:rPr>
                  </w:pPr>
                  <w:r>
                    <w:rPr>
                      <w:rFonts w:hint="eastAsia"/>
                    </w:rPr>
                    <w:t>▲一、合同签订期：自中标通知书发出之日起5日内。</w:t>
                  </w:r>
                </w:p>
              </w:tc>
            </w:tr>
            <w:tr w14:paraId="01E51008">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4DBDB567">
                  <w:pPr>
                    <w:widowControl/>
                    <w:jc w:val="left"/>
                    <w:rPr>
                      <w:rFonts w:ascii="宋体" w:hAnsi="宋体" w:cs="宋体"/>
                      <w:kern w:val="0"/>
                      <w:sz w:val="20"/>
                      <w:szCs w:val="20"/>
                    </w:rPr>
                  </w:pPr>
                  <w:r>
                    <w:rPr>
                      <w:rFonts w:hint="eastAsia"/>
                    </w:rPr>
                    <w:t>▲二、交货时间：自签订合同之日起30日内完成供货、安装、调试、培训及验收。</w:t>
                  </w:r>
                </w:p>
              </w:tc>
            </w:tr>
            <w:tr w14:paraId="07A82E48">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4BA4ADB1">
                  <w:pPr>
                    <w:widowControl/>
                    <w:jc w:val="left"/>
                    <w:rPr>
                      <w:rFonts w:ascii="宋体" w:hAnsi="宋体" w:cs="宋体"/>
                      <w:kern w:val="0"/>
                      <w:sz w:val="20"/>
                      <w:szCs w:val="20"/>
                    </w:rPr>
                  </w:pPr>
                  <w:r>
                    <w:rPr>
                      <w:rFonts w:hint="eastAsia"/>
                    </w:rPr>
                    <w:t>三、提交货物地点：采购人指定地点。</w:t>
                  </w:r>
                </w:p>
              </w:tc>
            </w:tr>
            <w:tr w14:paraId="6E857C4A">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5A043581">
                  <w:pPr>
                    <w:jc w:val="left"/>
                    <w:rPr>
                      <w:rFonts w:ascii="宋体" w:hAnsi="宋体" w:cs="宋体"/>
                      <w:kern w:val="0"/>
                      <w:sz w:val="20"/>
                      <w:szCs w:val="20"/>
                    </w:rPr>
                  </w:pPr>
                  <w:r>
                    <w:rPr>
                      <w:rFonts w:hint="eastAsia"/>
                    </w:rPr>
                    <w:t>四、交货方式：现场交货。</w:t>
                  </w:r>
                </w:p>
              </w:tc>
            </w:tr>
            <w:tr w14:paraId="69836BEB">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11FE0857">
                  <w:pPr>
                    <w:jc w:val="left"/>
                  </w:pPr>
                  <w:r>
                    <w:rPr>
                      <w:rFonts w:hint="eastAsia"/>
                    </w:rPr>
                    <w:t>▲五、付款方式：本项目无预付款。中标供应商交货安装完毕后，经采购人书面验收合格，并按采购人要求提交项目请款有关资料，在财政部门审批同意用款计划后30日内，支付合同款。如因客观原因造成设备无法正常安装，乙方可在已部分供货的前提下向甲方申请支付项目进度款，甲方根据乙方供货进度并结合当时审批部门有关要求酌情办理进度款支付。</w:t>
                  </w:r>
                </w:p>
                <w:p w14:paraId="5992A2FB">
                  <w:pPr>
                    <w:widowControl/>
                    <w:jc w:val="left"/>
                  </w:pPr>
                </w:p>
              </w:tc>
            </w:tr>
            <w:tr w14:paraId="0A563348">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71D0166C">
                  <w:pPr>
                    <w:jc w:val="left"/>
                  </w:pPr>
                  <w:r>
                    <w:rPr>
                      <w:rFonts w:hint="eastAsia"/>
                    </w:rPr>
                    <w:t xml:space="preserve">六、验收标准、规范： </w:t>
                  </w:r>
                </w:p>
                <w:p w14:paraId="56F91755">
                  <w:pPr>
                    <w:widowControl/>
                    <w:jc w:val="left"/>
                  </w:pPr>
                  <w:r>
                    <w:rPr>
                      <w:rFonts w:hint="eastAsia"/>
                    </w:rPr>
                    <w:t>1.符合合同要求及国家相关标准。</w:t>
                  </w:r>
                </w:p>
                <w:p w14:paraId="2D00F983">
                  <w:pPr>
                    <w:widowControl/>
                    <w:jc w:val="left"/>
                  </w:pPr>
                  <w:r>
                    <w:rPr>
                      <w:rFonts w:hint="eastAsia"/>
                    </w:rPr>
                    <w:t>2.参数配置符合或优于合同要求。</w:t>
                  </w:r>
                </w:p>
                <w:p w14:paraId="1970E412">
                  <w:pPr>
                    <w:widowControl/>
                    <w:jc w:val="left"/>
                  </w:pPr>
                  <w:r>
                    <w:rPr>
                      <w:rFonts w:hint="eastAsia"/>
                    </w:rPr>
                    <w:t>3.中标人提供所招标采购的货物、配套设备、所属装置等有关技术资料作为验收的参考依据。</w:t>
                  </w:r>
                </w:p>
                <w:p w14:paraId="1AEA32F9">
                  <w:pPr>
                    <w:widowControl/>
                    <w:jc w:val="left"/>
                  </w:pPr>
                  <w:r>
                    <w:rPr>
                      <w:rFonts w:hint="eastAsia"/>
                    </w:rPr>
                    <w:t>4.本项目由采购人、设备使用单位联合开展全程监理和验收工作。如验收结果不合格的，须按采购人要求及时整改，因此过程耽误交货时间导致采购人造成损失的，中标人承担由此所造成全部损失。</w:t>
                  </w:r>
                </w:p>
                <w:p w14:paraId="25B24949">
                  <w:pPr>
                    <w:widowControl/>
                    <w:jc w:val="left"/>
                  </w:pPr>
                  <w:r>
                    <w:rPr>
                      <w:rFonts w:hint="eastAsia"/>
                    </w:rPr>
                    <w:t>5.验收所产生的费用由中标人承担。</w:t>
                  </w:r>
                </w:p>
                <w:p w14:paraId="43B22C4B">
                  <w:pPr>
                    <w:widowControl/>
                    <w:jc w:val="left"/>
                  </w:pPr>
                  <w:r>
                    <w:rPr>
                      <w:rFonts w:hint="eastAsia"/>
                    </w:rPr>
                    <w:t>6.在约定的期限内完成本项目开发过程中采购人最终确认的需求，认为可以验收的，中标人以书面方式通知采购人。交付验收前，中标人须对所交付的项目进行功能和运行检测，以确认交付项目符合本项目技术参数要求。</w:t>
                  </w:r>
                </w:p>
                <w:p w14:paraId="255A0A9F">
                  <w:pPr>
                    <w:widowControl/>
                    <w:jc w:val="left"/>
                  </w:pPr>
                  <w:r>
                    <w:rPr>
                      <w:rFonts w:hint="eastAsia"/>
                    </w:rPr>
                    <w:t>7.交付验收应按本项目约定的时间进行，如因采购人的原因而导致不能按时交付，将按延期时间顺延交付时间。</w:t>
                  </w:r>
                </w:p>
              </w:tc>
            </w:tr>
            <w:tr w14:paraId="76B98E88">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27FA0981">
                  <w:pPr>
                    <w:jc w:val="left"/>
                  </w:pPr>
                  <w:r>
                    <w:rPr>
                      <w:rFonts w:hint="eastAsia"/>
                    </w:rPr>
                    <w:t>七、售后服务要求：</w:t>
                  </w:r>
                </w:p>
                <w:p w14:paraId="3E4B641E">
                  <w:pPr>
                    <w:jc w:val="left"/>
                  </w:pPr>
                  <w:r>
                    <w:rPr>
                      <w:rFonts w:hint="eastAsia"/>
                    </w:rPr>
                    <w:t>1. 项目整体质保期1年，个别品目质保期以采购需求一览表、投标产品技术资料表、商务条款偏离表、售后服务承诺等资料中最长的质保期为准。（自提交成果并验收合格之日起计）。</w:t>
                  </w:r>
                </w:p>
                <w:p w14:paraId="6D4CACF6">
                  <w:pPr>
                    <w:jc w:val="left"/>
                  </w:pPr>
                  <w:r>
                    <w:rPr>
                      <w:rFonts w:hint="eastAsia"/>
                    </w:rPr>
                    <w:t>2.响应时间：接到采购人处理问题通知后24小时内到达采购人指定现场，按国家及行业标准对故障进行及时处理；在36小时内不能解决的，供应商须在3个工作日内提供与原设备技术参数要求相同或高于原设备技术参数要求的备用产品，以保证采购人的正常工作。</w:t>
                  </w:r>
                </w:p>
                <w:p w14:paraId="31943FF2">
                  <w:pPr>
                    <w:jc w:val="left"/>
                  </w:pPr>
                  <w:r>
                    <w:rPr>
                      <w:rFonts w:hint="eastAsia"/>
                    </w:rPr>
                    <w:t>3.售后服务技术人员要求：专职/兼职人员。</w:t>
                  </w:r>
                </w:p>
                <w:p w14:paraId="1F65F405">
                  <w:pPr>
                    <w:jc w:val="left"/>
                  </w:pPr>
                  <w:r>
                    <w:rPr>
                      <w:rFonts w:hint="eastAsia"/>
                    </w:rPr>
                    <w:t>4.备品备件要求：中标人随时优惠提供备品备件，优惠提供产品更新、改造服务。</w:t>
                  </w:r>
                </w:p>
                <w:p w14:paraId="254F13C6">
                  <w:pPr>
                    <w:jc w:val="left"/>
                  </w:pPr>
                  <w:r>
                    <w:rPr>
                      <w:rFonts w:hint="eastAsia"/>
                    </w:rPr>
                    <w:t>5.其他：</w:t>
                  </w:r>
                </w:p>
                <w:p w14:paraId="65B64FFF">
                  <w:pPr>
                    <w:jc w:val="left"/>
                  </w:pPr>
                  <w:r>
                    <w:rPr>
                      <w:rFonts w:hint="eastAsia"/>
                    </w:rPr>
                    <w:t>（1）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超过质量保证期的货物，中标人提供终生维修、保养服务，维修时只收部件成本费。</w:t>
                  </w:r>
                </w:p>
                <w:p w14:paraId="1E27C4E7">
                  <w:pPr>
                    <w:jc w:val="left"/>
                    <w:rPr>
                      <w:rFonts w:ascii="宋体" w:hAnsi="宋体" w:cs="宋体"/>
                      <w:kern w:val="0"/>
                      <w:sz w:val="20"/>
                      <w:szCs w:val="20"/>
                    </w:rPr>
                  </w:pPr>
                  <w:r>
                    <w:rPr>
                      <w:rFonts w:hint="eastAsia"/>
                    </w:rPr>
                    <w:t>（2）中标人根据售后服务方案开展回访、设备保养等工作后，5个工作日内向采购人提供书面巡检报告、售后情况记录汇总表和售后情况记录表（PDF版1份，纸质版1份，PDF版和纸质版须使用方签字并加盖公章）。格式自拟。</w:t>
                  </w:r>
                </w:p>
              </w:tc>
            </w:tr>
            <w:tr w14:paraId="45EF75C8">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479DF596">
                  <w:pPr>
                    <w:jc w:val="left"/>
                  </w:pPr>
                  <w:r>
                    <w:rPr>
                      <w:rFonts w:hint="eastAsia"/>
                    </w:rPr>
                    <w:t>八、其他要求：</w:t>
                  </w:r>
                </w:p>
                <w:p w14:paraId="11E350D7">
                  <w:pPr>
                    <w:jc w:val="left"/>
                  </w:pPr>
                  <w:r>
                    <w:rPr>
                      <w:rFonts w:hint="eastAsia"/>
                    </w:rPr>
                    <w:t>1. 投标方所投设备（货物）产品除满足《货物需求一览表》的技术参数及性能（配置）要求外，还应当符合国家现行的相关安全、环保、使用与保管的标准及规范的规定，应取得通过资质认定的专业检测机构出具的符合相关标准的检测报告。</w:t>
                  </w:r>
                </w:p>
                <w:p w14:paraId="58A0F74F">
                  <w:pPr>
                    <w:jc w:val="left"/>
                  </w:pPr>
                  <w:r>
                    <w:rPr>
                      <w:rFonts w:hint="eastAsia"/>
                    </w:rPr>
                    <w:t>2.凡是进入学校的教学仪器设备产品（含乐器类产品），除必须的实验用化学药品外，不得含有国家明令禁止的有毒材料，各项指标要应符合国家相关安全、环保、使用与保管的标准；乐器、乐器配件以及置于室内的乐器包装物的有害物质限量应符合GB/T28489—2012的要求；体育器材所用的材料、外形和结构设计、主要零部件静负荷能力、稳定性、安全警示要求除应符合相应产品标准外，应分别符合GB19272-2011的5.2、5.3、5.4、5.5、5.6的规定；需要安装的体育器材设施应严格按照相应的国家标准或行业标准要求进行安装，同时应符合GB19272—2011的5.7的规定；单杠、双杠、秋千、肋木、平梯、爬竿、爬绳等涉及上下运动弹跳或可能从空中跌落的器材，其跌落防护应符合GB19272-2011的5.3.3；体育器材的安全使用寿命及疲劳性能、环保要求、表面质量、管理与维护应分别符合GB19272-2011的5.8、5.9、5.10和第8章的规定；器材的标志和使用说明应符合GB19272-2011的7.1、7.1.1、7.1.2、7.1.3的规定。</w:t>
                  </w:r>
                </w:p>
                <w:p w14:paraId="323C7C2C">
                  <w:pPr>
                    <w:jc w:val="left"/>
                  </w:pPr>
                  <w:r>
                    <w:rPr>
                      <w:rFonts w:hint="eastAsia"/>
                    </w:rPr>
                    <w:t>3.本项目中所有计算机或具有计算机功能的信息化设备，必须预装正版操作系统，操作系统软件价格包含在计算机硬件价格中，不单独计算。</w:t>
                  </w:r>
                </w:p>
                <w:p w14:paraId="55748218">
                  <w:pPr>
                    <w:jc w:val="left"/>
                  </w:pPr>
                  <w:r>
                    <w:rPr>
                      <w:rFonts w:hint="eastAsia"/>
                    </w:rPr>
                    <w:t>4.报价必须含以下部分，包括：</w:t>
                  </w:r>
                </w:p>
                <w:p w14:paraId="71AFB1F3">
                  <w:pPr>
                    <w:jc w:val="left"/>
                  </w:pPr>
                  <w:r>
                    <w:rPr>
                      <w:rFonts w:hint="eastAsia"/>
                    </w:rPr>
                    <w:t>（1）货物及标准附件、备品备件、专用工具的价格；</w:t>
                  </w:r>
                </w:p>
                <w:p w14:paraId="7C4AB24E">
                  <w:pPr>
                    <w:jc w:val="left"/>
                  </w:pPr>
                  <w:r>
                    <w:rPr>
                      <w:rFonts w:hint="eastAsia"/>
                    </w:rPr>
                    <w:t>（2）必要的保险费用和各项税金、招标代理服务等费用；</w:t>
                  </w:r>
                </w:p>
                <w:p w14:paraId="58A7646D">
                  <w:pPr>
                    <w:jc w:val="left"/>
                  </w:pPr>
                  <w:r>
                    <w:rPr>
                      <w:rFonts w:hint="eastAsia"/>
                    </w:rPr>
                    <w:t>（3）其他：外购软件费、运输、装卸、施工（安装）、调试、仪器上架及粘贴标签、培训、技术支持、售后服务、更新升级、到现场验收、拆旧等费用，系统安装调试需要的线材、接插件、安装配件、标签等，须满足本项目建设的需要，所需费用含在设备报价中，不单独计费。</w:t>
                  </w:r>
                </w:p>
                <w:p w14:paraId="28C4A0CF">
                  <w:pPr>
                    <w:jc w:val="left"/>
                  </w:pPr>
                  <w:r>
                    <w:rPr>
                      <w:rFonts w:hint="eastAsia"/>
                    </w:rPr>
                    <w:t>5.实施和安装要求：</w:t>
                  </w:r>
                </w:p>
                <w:p w14:paraId="1A59FEAB">
                  <w:pPr>
                    <w:jc w:val="left"/>
                  </w:pPr>
                  <w:r>
                    <w:rPr>
                      <w:rFonts w:hint="eastAsia"/>
                    </w:rPr>
                    <w:t>（1）中标人必须服从采购人现场负责人的指挥，按指定地点进行安装；</w:t>
                  </w:r>
                </w:p>
                <w:p w14:paraId="098B94F4">
                  <w:pPr>
                    <w:jc w:val="left"/>
                  </w:pPr>
                  <w:r>
                    <w:rPr>
                      <w:rFonts w:hint="eastAsia"/>
                    </w:rPr>
                    <w:t>（2）安装过程中的所有安全保障由中标人自行负责；</w:t>
                  </w:r>
                </w:p>
                <w:p w14:paraId="4ADE1C46">
                  <w:pPr>
                    <w:jc w:val="left"/>
                    <w:rPr>
                      <w:rFonts w:ascii="宋体" w:hAnsi="宋体" w:cs="宋体"/>
                      <w:kern w:val="0"/>
                      <w:sz w:val="20"/>
                      <w:szCs w:val="20"/>
                    </w:rPr>
                  </w:pPr>
                  <w:r>
                    <w:rPr>
                      <w:rFonts w:hint="eastAsia"/>
                    </w:rPr>
                    <w:t>（3）严格按投标产品的安装规范要求进行安装，确保安全。</w:t>
                  </w:r>
                </w:p>
              </w:tc>
            </w:tr>
            <w:tr w14:paraId="325F9294">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0E865705">
                  <w:r>
                    <w:rPr>
                      <w:rFonts w:hint="eastAsia"/>
                    </w:rPr>
                    <w:t>九、培训要求</w:t>
                  </w:r>
                </w:p>
                <w:p w14:paraId="52C51ABB">
                  <w:r>
                    <w:rPr>
                      <w:rFonts w:hint="eastAsia"/>
                    </w:rPr>
                    <w:t>▲</w:t>
                  </w:r>
                  <w:r>
                    <w:t>1.在项目实施完成后，中标人免费提供各个软件和硬件系统相关的应用培训，投标文件中提供详细的培训方案。培训前将培训方案报采购人确认后方可开展培训。</w:t>
                  </w:r>
                </w:p>
                <w:p w14:paraId="6E9F4F73">
                  <w:r>
                    <w:t>2.中标人负责本地集中培训场地、培训教材、培训讲师以及培训所需的硬软件环境，为培训人员提供培训用中文培训教材（纸质稿和电子稿）、实习资料和讲义等相关用品。培训地点原则上在校内进行；培训时间由采购人根据需要确定，原则上集中培训至少1天，不少于50人次。培训费用及被培训人员所有费用由中标人负责。</w:t>
                  </w:r>
                </w:p>
                <w:p w14:paraId="70B7CE9C">
                  <w:r>
                    <w:t>3.免费对采购人的管理人员、应用使用人员进行集中培训。通过讲解、学员亲自体验、试用、交流等形式开展培训。确保参与培训人员，能够熟练掌握系统操作流程、各个功能使用方法和应用技巧等，能掌握硬件设备运维和平台应用技巧等。</w:t>
                  </w:r>
                </w:p>
                <w:p w14:paraId="567E1CCC">
                  <w:r>
                    <w:rPr>
                      <w:rFonts w:hint="eastAsia"/>
                    </w:rPr>
                    <w:t>▲</w:t>
                  </w:r>
                  <w:r>
                    <w:t>4.培训结束后5个工作日内，中标人向采购人提供以下培训材料：</w:t>
                  </w:r>
                </w:p>
                <w:p w14:paraId="3F23AE21">
                  <w:r>
                    <w:rPr>
                      <w:rFonts w:hint="eastAsia"/>
                    </w:rPr>
                    <w:t>（</w:t>
                  </w:r>
                  <w:r>
                    <w:t>1）参训学员名单、签到表；</w:t>
                  </w:r>
                </w:p>
                <w:p w14:paraId="56DBF0AB">
                  <w:r>
                    <w:rPr>
                      <w:rFonts w:hint="eastAsia"/>
                    </w:rPr>
                    <w:t>（</w:t>
                  </w:r>
                  <w:r>
                    <w:t>2）培训具体日程安排表；</w:t>
                  </w:r>
                </w:p>
                <w:p w14:paraId="4EACB14D">
                  <w:r>
                    <w:rPr>
                      <w:rFonts w:hint="eastAsia"/>
                    </w:rPr>
                    <w:t>（</w:t>
                  </w:r>
                  <w:r>
                    <w:t>3）培训资料、教材、课件；</w:t>
                  </w:r>
                </w:p>
                <w:p w14:paraId="521AC75D">
                  <w:r>
                    <w:rPr>
                      <w:rFonts w:hint="eastAsia"/>
                    </w:rPr>
                    <w:t>（</w:t>
                  </w:r>
                  <w:r>
                    <w:t>4）培训简报；</w:t>
                  </w:r>
                </w:p>
                <w:p w14:paraId="685F264E">
                  <w:r>
                    <w:rPr>
                      <w:rFonts w:hint="eastAsia"/>
                    </w:rPr>
                    <w:t>（</w:t>
                  </w:r>
                  <w:r>
                    <w:t>5）培训照片（至少五张）；</w:t>
                  </w:r>
                </w:p>
                <w:p w14:paraId="254D7147">
                  <w:r>
                    <w:rPr>
                      <w:rFonts w:hint="eastAsia"/>
                    </w:rPr>
                    <w:t>（</w:t>
                  </w:r>
                  <w:r>
                    <w:t>6）培训项目评价反馈汇总表（受训学校盖章）。</w:t>
                  </w:r>
                </w:p>
                <w:p w14:paraId="26FF7CB2">
                  <w:pPr>
                    <w:jc w:val="left"/>
                  </w:pPr>
                </w:p>
              </w:tc>
            </w:tr>
            <w:tr w14:paraId="32166939">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17871069">
                  <w:pPr>
                    <w:jc w:val="left"/>
                  </w:pPr>
                  <w:r>
                    <w:rPr>
                      <w:rFonts w:hint="eastAsia"/>
                    </w:rPr>
                    <w:t>十、其他说明</w:t>
                  </w:r>
                </w:p>
                <w:p w14:paraId="338D3B0D">
                  <w:pPr>
                    <w:jc w:val="left"/>
                  </w:pPr>
                  <w:r>
                    <w:rPr>
                      <w:rFonts w:hint="eastAsia"/>
                    </w:rPr>
                    <w:t>1、进口产品说明</w:t>
                  </w:r>
                </w:p>
                <w:p w14:paraId="4C1F3052">
                  <w:pPr>
                    <w:jc w:val="left"/>
                  </w:pPr>
                  <w:r>
                    <w:rPr>
                      <w:rFonts w:hint="eastAsia"/>
                    </w:rPr>
                    <w:t>本分标货物不接受进口产品（即通过中国海关报关验放进入中国境内且产自关境外的产品）参与响应，如有进口产品参与投标的，其响应文件作无效处理。</w:t>
                  </w:r>
                </w:p>
                <w:p w14:paraId="638DA862">
                  <w:pPr>
                    <w:jc w:val="left"/>
                  </w:pPr>
                  <w:r>
                    <w:rPr>
                      <w:rFonts w:hint="eastAsia"/>
                    </w:rPr>
                    <w:t>2、与本项目有关的设计图纸、技术规范、文件等附件资料及其获取方式（如有）</w:t>
                  </w:r>
                </w:p>
                <w:p w14:paraId="4C819556">
                  <w:pPr>
                    <w:jc w:val="left"/>
                  </w:pPr>
                  <w:r>
                    <w:rPr>
                      <w:rFonts w:hint="eastAsia"/>
                    </w:rPr>
                    <w:t>文件或者资料名称：无</w:t>
                  </w:r>
                </w:p>
                <w:p w14:paraId="224AE700">
                  <w:pPr>
                    <w:jc w:val="left"/>
                  </w:pPr>
                  <w:r>
                    <w:rPr>
                      <w:rFonts w:hint="eastAsia"/>
                    </w:rPr>
                    <w:t>公布渠道或者获取方式：无</w:t>
                  </w:r>
                </w:p>
                <w:p w14:paraId="2E8CADEA">
                  <w:pPr>
                    <w:jc w:val="left"/>
                  </w:pPr>
                  <w:r>
                    <w:rPr>
                      <w:rFonts w:hint="eastAsia"/>
                    </w:rPr>
                    <w:t>3、核心产品：无</w:t>
                  </w:r>
                </w:p>
                <w:p w14:paraId="65F8A559">
                  <w:pPr>
                    <w:jc w:val="left"/>
                  </w:pPr>
                  <w:r>
                    <w:rPr>
                      <w:rFonts w:hint="eastAsia"/>
                    </w:rPr>
                    <w:t>4、其他</w:t>
                  </w:r>
                </w:p>
                <w:p w14:paraId="0EEC4225">
                  <w:pPr>
                    <w:jc w:val="left"/>
                  </w:pPr>
                  <w:r>
                    <w:rPr>
                      <w:rFonts w:hint="eastAsia"/>
                    </w:rPr>
                    <w:t>（1）不进行演示</w:t>
                  </w:r>
                </w:p>
                <w:p w14:paraId="18B22DC1">
                  <w:pPr>
                    <w:jc w:val="left"/>
                  </w:pPr>
                  <w:r>
                    <w:rPr>
                      <w:rFonts w:hint="eastAsia"/>
                    </w:rPr>
                    <w:t>（2）不要求提供样品</w:t>
                  </w:r>
                </w:p>
                <w:p w14:paraId="06921451">
                  <w:pPr>
                    <w:widowControl/>
                    <w:jc w:val="left"/>
                  </w:pPr>
                </w:p>
                <w:p w14:paraId="2D221AAE">
                  <w:pPr>
                    <w:widowControl/>
                    <w:jc w:val="left"/>
                  </w:pPr>
                </w:p>
                <w:p w14:paraId="106641FB">
                  <w:pPr>
                    <w:widowControl/>
                    <w:jc w:val="left"/>
                  </w:pPr>
                </w:p>
                <w:p w14:paraId="3DFDF993">
                  <w:pPr>
                    <w:widowControl/>
                    <w:jc w:val="left"/>
                  </w:pPr>
                </w:p>
                <w:p w14:paraId="535C4981">
                  <w:pPr>
                    <w:widowControl/>
                    <w:jc w:val="left"/>
                  </w:pPr>
                </w:p>
                <w:p w14:paraId="167CB02F">
                  <w:pPr>
                    <w:pStyle w:val="21"/>
                  </w:pPr>
                </w:p>
                <w:p w14:paraId="487FB824">
                  <w:pPr>
                    <w:widowControl/>
                    <w:jc w:val="left"/>
                  </w:pPr>
                </w:p>
                <w:p w14:paraId="66C81857">
                  <w:pPr>
                    <w:widowControl/>
                    <w:jc w:val="left"/>
                  </w:pPr>
                </w:p>
                <w:p w14:paraId="255AA496">
                  <w:pPr>
                    <w:widowControl/>
                    <w:jc w:val="left"/>
                  </w:pPr>
                </w:p>
                <w:p w14:paraId="13BEB7CA">
                  <w:pPr>
                    <w:pStyle w:val="21"/>
                    <w:jc w:val="both"/>
                  </w:pPr>
                </w:p>
                <w:p w14:paraId="169D7822">
                  <w:pPr>
                    <w:widowControl/>
                    <w:jc w:val="left"/>
                  </w:pPr>
                </w:p>
              </w:tc>
            </w:tr>
          </w:tbl>
          <w:p w14:paraId="54163A74">
            <w:pPr>
              <w:rPr>
                <w:rFonts w:cs="宋体"/>
                <w:kern w:val="0"/>
                <w:sz w:val="22"/>
                <w:szCs w:val="22"/>
                <w:lang w:bidi="ar"/>
              </w:rPr>
            </w:pPr>
          </w:p>
        </w:tc>
      </w:tr>
    </w:tbl>
    <w:p w14:paraId="2882AD58">
      <w:pPr>
        <w:spacing w:line="360" w:lineRule="auto"/>
        <w:rPr>
          <w:rFonts w:ascii="宋体" w:hAnsi="宋体" w:cs="宋体"/>
        </w:rPr>
      </w:pPr>
    </w:p>
    <w:p w14:paraId="3840E19C">
      <w:pPr>
        <w:spacing w:line="360" w:lineRule="auto"/>
        <w:rPr>
          <w:rFonts w:ascii="宋体" w:hAnsi="宋体" w:cs="宋体"/>
        </w:rPr>
      </w:pPr>
    </w:p>
    <w:p w14:paraId="41CDB8F2">
      <w:pPr>
        <w:spacing w:line="360" w:lineRule="auto"/>
        <w:rPr>
          <w:rFonts w:ascii="宋体" w:hAnsi="宋体" w:cs="宋体"/>
        </w:rPr>
      </w:pPr>
    </w:p>
    <w:p w14:paraId="30606EAD">
      <w:pPr>
        <w:spacing w:line="360" w:lineRule="auto"/>
        <w:rPr>
          <w:rFonts w:ascii="宋体" w:hAnsi="宋体" w:cs="宋体"/>
        </w:rPr>
      </w:pPr>
    </w:p>
    <w:p w14:paraId="2C1BF2F1">
      <w:pPr>
        <w:spacing w:line="360" w:lineRule="auto"/>
        <w:rPr>
          <w:rFonts w:ascii="宋体" w:hAnsi="宋体" w:cs="宋体"/>
        </w:rPr>
      </w:pPr>
    </w:p>
    <w:tbl>
      <w:tblPr>
        <w:tblStyle w:val="24"/>
        <w:tblW w:w="10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606"/>
        <w:gridCol w:w="4451"/>
        <w:gridCol w:w="651"/>
        <w:gridCol w:w="490"/>
        <w:gridCol w:w="492"/>
        <w:gridCol w:w="507"/>
        <w:gridCol w:w="492"/>
        <w:gridCol w:w="649"/>
        <w:gridCol w:w="649"/>
        <w:gridCol w:w="657"/>
      </w:tblGrid>
      <w:tr w14:paraId="5FE0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56" w:type="dxa"/>
            <w:gridSpan w:val="7"/>
            <w:shd w:val="clear" w:color="auto" w:fill="auto"/>
            <w:noWrap/>
            <w:vAlign w:val="center"/>
          </w:tcPr>
          <w:p w14:paraId="4743D627">
            <w:pPr>
              <w:widowControl/>
              <w:jc w:val="left"/>
              <w:rPr>
                <w:rFonts w:ascii="宋体" w:hAnsi="宋体" w:cs="宋体"/>
                <w:b/>
                <w:bCs/>
                <w:kern w:val="0"/>
                <w:szCs w:val="21"/>
              </w:rPr>
            </w:pPr>
          </w:p>
          <w:p w14:paraId="107B5E67">
            <w:pPr>
              <w:widowControl/>
              <w:jc w:val="left"/>
              <w:rPr>
                <w:rFonts w:ascii="宋体" w:hAnsi="宋体" w:cs="宋体"/>
                <w:b/>
                <w:bCs/>
                <w:kern w:val="0"/>
                <w:szCs w:val="21"/>
              </w:rPr>
            </w:pPr>
          </w:p>
          <w:p w14:paraId="67E14CCA">
            <w:pPr>
              <w:widowControl/>
              <w:jc w:val="left"/>
              <w:rPr>
                <w:rFonts w:ascii="宋体" w:hAnsi="宋体" w:cs="宋体"/>
                <w:b/>
                <w:bCs/>
                <w:kern w:val="0"/>
                <w:szCs w:val="21"/>
              </w:rPr>
            </w:pPr>
            <w:r>
              <w:rPr>
                <w:rFonts w:hint="eastAsia" w:ascii="宋体" w:hAnsi="宋体" w:cs="宋体"/>
                <w:b/>
                <w:bCs/>
                <w:kern w:val="0"/>
                <w:szCs w:val="21"/>
              </w:rPr>
              <w:t>附件1：投标图书书目（投标时提供）</w:t>
            </w:r>
          </w:p>
        </w:tc>
        <w:tc>
          <w:tcPr>
            <w:tcW w:w="484" w:type="dxa"/>
            <w:shd w:val="clear" w:color="auto" w:fill="auto"/>
            <w:noWrap/>
            <w:vAlign w:val="center"/>
          </w:tcPr>
          <w:p w14:paraId="494BC423">
            <w:pPr>
              <w:widowControl/>
              <w:jc w:val="left"/>
              <w:rPr>
                <w:rFonts w:ascii="宋体" w:hAnsi="宋体" w:cs="宋体"/>
                <w:b/>
                <w:bCs/>
                <w:kern w:val="0"/>
                <w:szCs w:val="21"/>
              </w:rPr>
            </w:pPr>
          </w:p>
        </w:tc>
        <w:tc>
          <w:tcPr>
            <w:tcW w:w="638" w:type="dxa"/>
            <w:shd w:val="clear" w:color="auto" w:fill="auto"/>
            <w:noWrap/>
            <w:vAlign w:val="center"/>
          </w:tcPr>
          <w:p w14:paraId="7AB05BFC">
            <w:pPr>
              <w:widowControl/>
              <w:jc w:val="left"/>
              <w:rPr>
                <w:rFonts w:eastAsia="Times New Roman"/>
                <w:kern w:val="0"/>
                <w:sz w:val="20"/>
                <w:szCs w:val="20"/>
              </w:rPr>
            </w:pPr>
          </w:p>
        </w:tc>
        <w:tc>
          <w:tcPr>
            <w:tcW w:w="638" w:type="dxa"/>
            <w:shd w:val="clear" w:color="auto" w:fill="auto"/>
            <w:noWrap/>
            <w:vAlign w:val="center"/>
          </w:tcPr>
          <w:p w14:paraId="5AC5DA9E">
            <w:pPr>
              <w:widowControl/>
              <w:jc w:val="left"/>
              <w:rPr>
                <w:rFonts w:eastAsia="Times New Roman"/>
                <w:kern w:val="0"/>
                <w:sz w:val="20"/>
                <w:szCs w:val="20"/>
              </w:rPr>
            </w:pPr>
          </w:p>
        </w:tc>
        <w:tc>
          <w:tcPr>
            <w:tcW w:w="646" w:type="dxa"/>
            <w:shd w:val="clear" w:color="auto" w:fill="auto"/>
            <w:noWrap/>
            <w:vAlign w:val="center"/>
          </w:tcPr>
          <w:p w14:paraId="7360B3D7">
            <w:pPr>
              <w:widowControl/>
              <w:jc w:val="left"/>
              <w:rPr>
                <w:rFonts w:eastAsia="Times New Roman"/>
                <w:kern w:val="0"/>
                <w:sz w:val="20"/>
                <w:szCs w:val="20"/>
              </w:rPr>
            </w:pPr>
          </w:p>
        </w:tc>
      </w:tr>
      <w:tr w14:paraId="742D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noWrap/>
            <w:vAlign w:val="center"/>
          </w:tcPr>
          <w:p w14:paraId="373D3ECB">
            <w:pPr>
              <w:widowControl/>
              <w:jc w:val="left"/>
              <w:rPr>
                <w:rFonts w:eastAsia="Times New Roman"/>
                <w:kern w:val="0"/>
                <w:sz w:val="20"/>
                <w:szCs w:val="20"/>
              </w:rPr>
            </w:pPr>
          </w:p>
        </w:tc>
        <w:tc>
          <w:tcPr>
            <w:tcW w:w="596" w:type="dxa"/>
            <w:shd w:val="clear" w:color="auto" w:fill="auto"/>
            <w:noWrap/>
            <w:vAlign w:val="center"/>
          </w:tcPr>
          <w:p w14:paraId="439EB2EF">
            <w:pPr>
              <w:widowControl/>
              <w:rPr>
                <w:rFonts w:eastAsia="Times New Roman"/>
                <w:kern w:val="0"/>
                <w:sz w:val="20"/>
                <w:szCs w:val="20"/>
              </w:rPr>
            </w:pPr>
          </w:p>
        </w:tc>
        <w:tc>
          <w:tcPr>
            <w:tcW w:w="4375" w:type="dxa"/>
            <w:shd w:val="clear" w:color="auto" w:fill="auto"/>
            <w:noWrap/>
            <w:vAlign w:val="center"/>
          </w:tcPr>
          <w:p w14:paraId="3A4355B7">
            <w:pPr>
              <w:widowControl/>
              <w:jc w:val="left"/>
              <w:rPr>
                <w:rFonts w:eastAsia="Times New Roman"/>
                <w:kern w:val="0"/>
                <w:sz w:val="20"/>
                <w:szCs w:val="20"/>
              </w:rPr>
            </w:pPr>
          </w:p>
        </w:tc>
        <w:tc>
          <w:tcPr>
            <w:tcW w:w="640" w:type="dxa"/>
            <w:shd w:val="clear" w:color="auto" w:fill="auto"/>
            <w:noWrap/>
            <w:vAlign w:val="center"/>
          </w:tcPr>
          <w:p w14:paraId="443C0D9F">
            <w:pPr>
              <w:widowControl/>
              <w:jc w:val="left"/>
              <w:rPr>
                <w:rFonts w:eastAsia="Times New Roman"/>
                <w:kern w:val="0"/>
                <w:sz w:val="20"/>
                <w:szCs w:val="20"/>
              </w:rPr>
            </w:pPr>
          </w:p>
        </w:tc>
        <w:tc>
          <w:tcPr>
            <w:tcW w:w="482" w:type="dxa"/>
            <w:shd w:val="clear" w:color="auto" w:fill="auto"/>
            <w:noWrap/>
            <w:vAlign w:val="center"/>
          </w:tcPr>
          <w:p w14:paraId="4EE352D2">
            <w:pPr>
              <w:widowControl/>
              <w:jc w:val="left"/>
              <w:rPr>
                <w:rFonts w:eastAsia="Times New Roman"/>
                <w:kern w:val="0"/>
                <w:sz w:val="20"/>
                <w:szCs w:val="20"/>
              </w:rPr>
            </w:pPr>
          </w:p>
        </w:tc>
        <w:tc>
          <w:tcPr>
            <w:tcW w:w="484" w:type="dxa"/>
            <w:shd w:val="clear" w:color="auto" w:fill="auto"/>
            <w:noWrap/>
            <w:vAlign w:val="center"/>
          </w:tcPr>
          <w:p w14:paraId="01ED15C3">
            <w:pPr>
              <w:widowControl/>
              <w:jc w:val="left"/>
              <w:rPr>
                <w:rFonts w:eastAsia="Times New Roman"/>
                <w:kern w:val="0"/>
                <w:sz w:val="20"/>
                <w:szCs w:val="20"/>
              </w:rPr>
            </w:pPr>
          </w:p>
        </w:tc>
        <w:tc>
          <w:tcPr>
            <w:tcW w:w="498" w:type="dxa"/>
            <w:shd w:val="clear" w:color="auto" w:fill="auto"/>
            <w:noWrap/>
            <w:vAlign w:val="center"/>
          </w:tcPr>
          <w:p w14:paraId="7F689AA6">
            <w:pPr>
              <w:widowControl/>
              <w:jc w:val="left"/>
              <w:rPr>
                <w:rFonts w:eastAsia="Times New Roman"/>
                <w:kern w:val="0"/>
                <w:sz w:val="20"/>
                <w:szCs w:val="20"/>
              </w:rPr>
            </w:pPr>
          </w:p>
        </w:tc>
        <w:tc>
          <w:tcPr>
            <w:tcW w:w="484" w:type="dxa"/>
            <w:shd w:val="clear" w:color="auto" w:fill="auto"/>
            <w:noWrap/>
            <w:vAlign w:val="center"/>
          </w:tcPr>
          <w:p w14:paraId="6B01D714">
            <w:pPr>
              <w:widowControl/>
              <w:jc w:val="left"/>
              <w:rPr>
                <w:rFonts w:eastAsia="Times New Roman"/>
                <w:kern w:val="0"/>
                <w:sz w:val="20"/>
                <w:szCs w:val="20"/>
              </w:rPr>
            </w:pPr>
          </w:p>
        </w:tc>
        <w:tc>
          <w:tcPr>
            <w:tcW w:w="638" w:type="dxa"/>
            <w:shd w:val="clear" w:color="auto" w:fill="auto"/>
            <w:noWrap/>
            <w:vAlign w:val="center"/>
          </w:tcPr>
          <w:p w14:paraId="40A50616">
            <w:pPr>
              <w:widowControl/>
              <w:jc w:val="left"/>
              <w:rPr>
                <w:rFonts w:eastAsia="Times New Roman"/>
                <w:kern w:val="0"/>
                <w:sz w:val="20"/>
                <w:szCs w:val="20"/>
              </w:rPr>
            </w:pPr>
          </w:p>
        </w:tc>
        <w:tc>
          <w:tcPr>
            <w:tcW w:w="638" w:type="dxa"/>
            <w:shd w:val="clear" w:color="auto" w:fill="auto"/>
            <w:noWrap/>
            <w:vAlign w:val="center"/>
          </w:tcPr>
          <w:p w14:paraId="15E76285">
            <w:pPr>
              <w:widowControl/>
              <w:jc w:val="left"/>
              <w:rPr>
                <w:rFonts w:eastAsia="Times New Roman"/>
                <w:kern w:val="0"/>
                <w:sz w:val="20"/>
                <w:szCs w:val="20"/>
              </w:rPr>
            </w:pPr>
          </w:p>
        </w:tc>
        <w:tc>
          <w:tcPr>
            <w:tcW w:w="646" w:type="dxa"/>
            <w:shd w:val="clear" w:color="auto" w:fill="auto"/>
            <w:noWrap/>
            <w:vAlign w:val="center"/>
          </w:tcPr>
          <w:p w14:paraId="68BB4AB3">
            <w:pPr>
              <w:widowControl/>
              <w:jc w:val="left"/>
              <w:rPr>
                <w:rFonts w:eastAsia="Times New Roman"/>
                <w:kern w:val="0"/>
                <w:sz w:val="20"/>
                <w:szCs w:val="20"/>
              </w:rPr>
            </w:pPr>
          </w:p>
        </w:tc>
      </w:tr>
      <w:tr w14:paraId="052F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62" w:type="dxa"/>
            <w:gridSpan w:val="11"/>
            <w:shd w:val="clear" w:color="auto" w:fill="auto"/>
            <w:noWrap/>
            <w:vAlign w:val="center"/>
          </w:tcPr>
          <w:p w14:paraId="182CAE81">
            <w:pPr>
              <w:widowControl/>
              <w:jc w:val="center"/>
              <w:rPr>
                <w:rFonts w:ascii="宋体" w:hAnsi="宋体" w:cs="宋体"/>
                <w:b/>
                <w:bCs/>
                <w:kern w:val="0"/>
                <w:szCs w:val="21"/>
                <w:u w:val="single"/>
              </w:rPr>
            </w:pPr>
            <w:r>
              <w:rPr>
                <w:rFonts w:hint="eastAsia" w:ascii="宋体" w:hAnsi="宋体" w:cs="宋体"/>
                <w:b/>
                <w:bCs/>
                <w:kern w:val="0"/>
                <w:szCs w:val="21"/>
                <w:u w:val="single"/>
              </w:rPr>
              <w:t>（投标人名称）</w:t>
            </w:r>
            <w:r>
              <w:rPr>
                <w:rFonts w:hint="eastAsia" w:ascii="宋体" w:hAnsi="宋体" w:cs="宋体"/>
                <w:b/>
                <w:bCs/>
                <w:kern w:val="0"/>
                <w:szCs w:val="21"/>
              </w:rPr>
              <w:t>投标图书书目</w:t>
            </w:r>
          </w:p>
        </w:tc>
      </w:tr>
      <w:tr w14:paraId="4913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62" w:type="dxa"/>
            <w:gridSpan w:val="11"/>
            <w:shd w:val="clear" w:color="auto" w:fill="auto"/>
            <w:noWrap/>
            <w:vAlign w:val="center"/>
          </w:tcPr>
          <w:p w14:paraId="042636DD">
            <w:pPr>
              <w:widowControl/>
              <w:jc w:val="center"/>
              <w:rPr>
                <w:rFonts w:ascii="宋体" w:hAnsi="宋体" w:cs="宋体"/>
                <w:b/>
                <w:bCs/>
                <w:kern w:val="0"/>
                <w:szCs w:val="21"/>
                <w:u w:val="single"/>
              </w:rPr>
            </w:pPr>
          </w:p>
        </w:tc>
      </w:tr>
      <w:tr w14:paraId="5C55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dxa"/>
            <w:shd w:val="clear" w:color="auto" w:fill="auto"/>
            <w:noWrap/>
            <w:vAlign w:val="center"/>
          </w:tcPr>
          <w:p w14:paraId="08492DCF">
            <w:pPr>
              <w:widowControl/>
              <w:jc w:val="center"/>
              <w:rPr>
                <w:rFonts w:ascii="宋体" w:hAnsi="宋体" w:cs="宋体"/>
                <w:b/>
                <w:bCs/>
                <w:kern w:val="0"/>
                <w:szCs w:val="21"/>
                <w:u w:val="single"/>
              </w:rPr>
            </w:pPr>
          </w:p>
        </w:tc>
        <w:tc>
          <w:tcPr>
            <w:tcW w:w="596" w:type="dxa"/>
            <w:shd w:val="clear" w:color="auto" w:fill="auto"/>
            <w:noWrap/>
            <w:vAlign w:val="center"/>
          </w:tcPr>
          <w:p w14:paraId="7A6F25C1">
            <w:pPr>
              <w:widowControl/>
              <w:rPr>
                <w:rFonts w:eastAsia="Times New Roman"/>
                <w:kern w:val="0"/>
                <w:sz w:val="20"/>
                <w:szCs w:val="20"/>
              </w:rPr>
            </w:pPr>
          </w:p>
        </w:tc>
        <w:tc>
          <w:tcPr>
            <w:tcW w:w="4375" w:type="dxa"/>
            <w:shd w:val="clear" w:color="auto" w:fill="auto"/>
            <w:noWrap/>
            <w:vAlign w:val="center"/>
          </w:tcPr>
          <w:p w14:paraId="150848DD">
            <w:pPr>
              <w:widowControl/>
              <w:jc w:val="left"/>
              <w:rPr>
                <w:rFonts w:eastAsia="Times New Roman"/>
                <w:kern w:val="0"/>
                <w:sz w:val="20"/>
                <w:szCs w:val="20"/>
              </w:rPr>
            </w:pPr>
          </w:p>
        </w:tc>
        <w:tc>
          <w:tcPr>
            <w:tcW w:w="640" w:type="dxa"/>
            <w:shd w:val="clear" w:color="auto" w:fill="auto"/>
            <w:noWrap/>
            <w:vAlign w:val="center"/>
          </w:tcPr>
          <w:p w14:paraId="79E0018D">
            <w:pPr>
              <w:widowControl/>
              <w:jc w:val="left"/>
              <w:rPr>
                <w:rFonts w:eastAsia="Times New Roman"/>
                <w:kern w:val="0"/>
                <w:sz w:val="20"/>
                <w:szCs w:val="20"/>
              </w:rPr>
            </w:pPr>
          </w:p>
        </w:tc>
        <w:tc>
          <w:tcPr>
            <w:tcW w:w="482" w:type="dxa"/>
            <w:shd w:val="clear" w:color="auto" w:fill="auto"/>
            <w:noWrap/>
            <w:vAlign w:val="center"/>
          </w:tcPr>
          <w:p w14:paraId="21A87210">
            <w:pPr>
              <w:widowControl/>
              <w:jc w:val="left"/>
              <w:rPr>
                <w:rFonts w:eastAsia="Times New Roman"/>
                <w:kern w:val="0"/>
                <w:sz w:val="20"/>
                <w:szCs w:val="20"/>
              </w:rPr>
            </w:pPr>
          </w:p>
        </w:tc>
        <w:tc>
          <w:tcPr>
            <w:tcW w:w="484" w:type="dxa"/>
            <w:shd w:val="clear" w:color="auto" w:fill="auto"/>
            <w:noWrap/>
            <w:vAlign w:val="center"/>
          </w:tcPr>
          <w:p w14:paraId="562CA2C2">
            <w:pPr>
              <w:widowControl/>
              <w:jc w:val="left"/>
              <w:rPr>
                <w:rFonts w:eastAsia="Times New Roman"/>
                <w:kern w:val="0"/>
                <w:sz w:val="20"/>
                <w:szCs w:val="20"/>
              </w:rPr>
            </w:pPr>
          </w:p>
        </w:tc>
        <w:tc>
          <w:tcPr>
            <w:tcW w:w="498" w:type="dxa"/>
            <w:shd w:val="clear" w:color="auto" w:fill="auto"/>
            <w:noWrap/>
            <w:vAlign w:val="center"/>
          </w:tcPr>
          <w:p w14:paraId="096CC93E">
            <w:pPr>
              <w:widowControl/>
              <w:jc w:val="left"/>
              <w:rPr>
                <w:rFonts w:eastAsia="Times New Roman"/>
                <w:kern w:val="0"/>
                <w:sz w:val="20"/>
                <w:szCs w:val="20"/>
              </w:rPr>
            </w:pPr>
          </w:p>
        </w:tc>
        <w:tc>
          <w:tcPr>
            <w:tcW w:w="484" w:type="dxa"/>
            <w:shd w:val="clear" w:color="auto" w:fill="auto"/>
            <w:noWrap/>
            <w:vAlign w:val="center"/>
          </w:tcPr>
          <w:p w14:paraId="2D70FE0E">
            <w:pPr>
              <w:widowControl/>
              <w:jc w:val="left"/>
              <w:rPr>
                <w:rFonts w:eastAsia="Times New Roman"/>
                <w:kern w:val="0"/>
                <w:sz w:val="20"/>
                <w:szCs w:val="20"/>
              </w:rPr>
            </w:pPr>
          </w:p>
        </w:tc>
        <w:tc>
          <w:tcPr>
            <w:tcW w:w="638" w:type="dxa"/>
            <w:shd w:val="clear" w:color="auto" w:fill="auto"/>
            <w:noWrap/>
            <w:vAlign w:val="center"/>
          </w:tcPr>
          <w:p w14:paraId="62CF3135">
            <w:pPr>
              <w:widowControl/>
              <w:jc w:val="left"/>
              <w:rPr>
                <w:rFonts w:eastAsia="Times New Roman"/>
                <w:kern w:val="0"/>
                <w:sz w:val="20"/>
                <w:szCs w:val="20"/>
              </w:rPr>
            </w:pPr>
          </w:p>
        </w:tc>
        <w:tc>
          <w:tcPr>
            <w:tcW w:w="638" w:type="dxa"/>
            <w:shd w:val="clear" w:color="auto" w:fill="auto"/>
            <w:noWrap/>
            <w:vAlign w:val="center"/>
          </w:tcPr>
          <w:p w14:paraId="419F9B17">
            <w:pPr>
              <w:widowControl/>
              <w:jc w:val="left"/>
              <w:rPr>
                <w:rFonts w:eastAsia="Times New Roman"/>
                <w:kern w:val="0"/>
                <w:sz w:val="20"/>
                <w:szCs w:val="20"/>
              </w:rPr>
            </w:pPr>
          </w:p>
        </w:tc>
        <w:tc>
          <w:tcPr>
            <w:tcW w:w="646" w:type="dxa"/>
            <w:shd w:val="clear" w:color="auto" w:fill="auto"/>
            <w:noWrap/>
            <w:vAlign w:val="center"/>
          </w:tcPr>
          <w:p w14:paraId="230D9D38">
            <w:pPr>
              <w:widowControl/>
              <w:jc w:val="left"/>
              <w:rPr>
                <w:rFonts w:eastAsia="Times New Roman"/>
                <w:kern w:val="0"/>
                <w:sz w:val="20"/>
                <w:szCs w:val="20"/>
              </w:rPr>
            </w:pPr>
          </w:p>
        </w:tc>
      </w:tr>
      <w:tr w14:paraId="6B72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81" w:type="dxa"/>
            <w:shd w:val="clear" w:color="auto" w:fill="auto"/>
            <w:vAlign w:val="center"/>
          </w:tcPr>
          <w:p w14:paraId="4CD27C2E">
            <w:pPr>
              <w:widowControl/>
              <w:jc w:val="center"/>
              <w:rPr>
                <w:rFonts w:ascii="宋体" w:hAnsi="宋体" w:cs="宋体"/>
                <w:b/>
                <w:bCs/>
                <w:kern w:val="0"/>
                <w:szCs w:val="21"/>
              </w:rPr>
            </w:pPr>
            <w:r>
              <w:rPr>
                <w:rFonts w:hint="eastAsia" w:ascii="宋体" w:hAnsi="宋体" w:cs="宋体"/>
                <w:b/>
                <w:bCs/>
                <w:kern w:val="0"/>
                <w:szCs w:val="21"/>
              </w:rPr>
              <w:t>序</w:t>
            </w:r>
          </w:p>
        </w:tc>
        <w:tc>
          <w:tcPr>
            <w:tcW w:w="596" w:type="dxa"/>
            <w:vMerge w:val="restart"/>
            <w:shd w:val="clear" w:color="auto" w:fill="auto"/>
            <w:vAlign w:val="center"/>
          </w:tcPr>
          <w:p w14:paraId="41F2C90D">
            <w:pPr>
              <w:widowControl/>
              <w:jc w:val="center"/>
              <w:rPr>
                <w:rFonts w:ascii="宋体" w:hAnsi="宋体" w:cs="宋体"/>
                <w:b/>
                <w:bCs/>
                <w:kern w:val="0"/>
                <w:szCs w:val="21"/>
              </w:rPr>
            </w:pPr>
            <w:r>
              <w:rPr>
                <w:rFonts w:hint="eastAsia" w:ascii="宋体" w:hAnsi="宋体" w:cs="宋体"/>
                <w:b/>
                <w:bCs/>
                <w:kern w:val="0"/>
                <w:szCs w:val="21"/>
              </w:rPr>
              <w:t>书名</w:t>
            </w:r>
          </w:p>
        </w:tc>
        <w:tc>
          <w:tcPr>
            <w:tcW w:w="4375" w:type="dxa"/>
            <w:vMerge w:val="restart"/>
            <w:shd w:val="clear" w:color="auto" w:fill="auto"/>
            <w:vAlign w:val="center"/>
          </w:tcPr>
          <w:p w14:paraId="1A17D77C">
            <w:pPr>
              <w:widowControl/>
              <w:jc w:val="center"/>
              <w:rPr>
                <w:rFonts w:ascii="宋体" w:hAnsi="宋体" w:cs="宋体"/>
                <w:b/>
                <w:bCs/>
                <w:kern w:val="0"/>
                <w:szCs w:val="21"/>
              </w:rPr>
            </w:pPr>
            <w:r>
              <w:rPr>
                <w:rFonts w:hint="eastAsia" w:ascii="宋体" w:hAnsi="宋体" w:cs="宋体"/>
                <w:b/>
                <w:bCs/>
                <w:kern w:val="0"/>
                <w:szCs w:val="21"/>
              </w:rPr>
              <w:t>图书类别</w:t>
            </w:r>
          </w:p>
        </w:tc>
        <w:tc>
          <w:tcPr>
            <w:tcW w:w="640" w:type="dxa"/>
            <w:vMerge w:val="restart"/>
            <w:shd w:val="clear" w:color="auto" w:fill="auto"/>
            <w:vAlign w:val="center"/>
          </w:tcPr>
          <w:p w14:paraId="1FB268C5">
            <w:pPr>
              <w:widowControl/>
              <w:jc w:val="center"/>
              <w:rPr>
                <w:rFonts w:ascii="宋体" w:hAnsi="宋体" w:cs="宋体"/>
                <w:b/>
                <w:bCs/>
                <w:kern w:val="0"/>
                <w:szCs w:val="21"/>
              </w:rPr>
            </w:pPr>
            <w:r>
              <w:rPr>
                <w:rFonts w:hint="eastAsia" w:ascii="宋体" w:hAnsi="宋体" w:cs="宋体"/>
                <w:b/>
                <w:bCs/>
                <w:kern w:val="0"/>
                <w:szCs w:val="21"/>
              </w:rPr>
              <w:t>ISBN号</w:t>
            </w:r>
          </w:p>
        </w:tc>
        <w:tc>
          <w:tcPr>
            <w:tcW w:w="482" w:type="dxa"/>
            <w:vMerge w:val="restart"/>
            <w:shd w:val="clear" w:color="auto" w:fill="auto"/>
            <w:vAlign w:val="center"/>
          </w:tcPr>
          <w:p w14:paraId="1A6A144D">
            <w:pPr>
              <w:widowControl/>
              <w:jc w:val="center"/>
              <w:rPr>
                <w:rFonts w:ascii="宋体" w:hAnsi="宋体" w:cs="宋体"/>
                <w:b/>
                <w:bCs/>
                <w:kern w:val="0"/>
                <w:szCs w:val="21"/>
              </w:rPr>
            </w:pPr>
            <w:r>
              <w:rPr>
                <w:rFonts w:hint="eastAsia" w:ascii="宋体" w:hAnsi="宋体" w:cs="宋体"/>
                <w:b/>
                <w:bCs/>
                <w:kern w:val="0"/>
                <w:szCs w:val="21"/>
              </w:rPr>
              <w:t>作者</w:t>
            </w:r>
          </w:p>
        </w:tc>
        <w:tc>
          <w:tcPr>
            <w:tcW w:w="484" w:type="dxa"/>
            <w:vMerge w:val="restart"/>
            <w:shd w:val="clear" w:color="auto" w:fill="auto"/>
            <w:vAlign w:val="center"/>
          </w:tcPr>
          <w:p w14:paraId="7299936E">
            <w:pPr>
              <w:widowControl/>
              <w:jc w:val="center"/>
              <w:rPr>
                <w:rFonts w:ascii="宋体" w:hAnsi="宋体" w:cs="宋体"/>
                <w:b/>
                <w:bCs/>
                <w:kern w:val="0"/>
                <w:szCs w:val="21"/>
              </w:rPr>
            </w:pPr>
            <w:r>
              <w:rPr>
                <w:rFonts w:hint="eastAsia" w:ascii="宋体" w:hAnsi="宋体" w:cs="宋体"/>
                <w:b/>
                <w:bCs/>
                <w:kern w:val="0"/>
                <w:szCs w:val="21"/>
              </w:rPr>
              <w:t>出版社</w:t>
            </w:r>
          </w:p>
        </w:tc>
        <w:tc>
          <w:tcPr>
            <w:tcW w:w="498" w:type="dxa"/>
            <w:vMerge w:val="restart"/>
            <w:shd w:val="clear" w:color="auto" w:fill="auto"/>
            <w:vAlign w:val="center"/>
          </w:tcPr>
          <w:p w14:paraId="08B9CB6A">
            <w:pPr>
              <w:widowControl/>
              <w:jc w:val="center"/>
              <w:rPr>
                <w:rFonts w:ascii="宋体" w:hAnsi="宋体" w:cs="宋体"/>
                <w:b/>
                <w:bCs/>
                <w:kern w:val="0"/>
                <w:szCs w:val="21"/>
              </w:rPr>
            </w:pPr>
            <w:r>
              <w:rPr>
                <w:rFonts w:hint="eastAsia" w:ascii="宋体" w:hAnsi="宋体" w:cs="宋体"/>
                <w:b/>
                <w:bCs/>
                <w:kern w:val="0"/>
                <w:szCs w:val="21"/>
              </w:rPr>
              <w:t>出版时间</w:t>
            </w:r>
          </w:p>
        </w:tc>
        <w:tc>
          <w:tcPr>
            <w:tcW w:w="484" w:type="dxa"/>
            <w:vMerge w:val="restart"/>
            <w:shd w:val="clear" w:color="auto" w:fill="auto"/>
            <w:vAlign w:val="center"/>
          </w:tcPr>
          <w:p w14:paraId="5ABD5D13">
            <w:pPr>
              <w:widowControl/>
              <w:jc w:val="center"/>
              <w:rPr>
                <w:rFonts w:ascii="宋体" w:hAnsi="宋体" w:cs="宋体"/>
                <w:b/>
                <w:bCs/>
                <w:kern w:val="0"/>
                <w:szCs w:val="21"/>
              </w:rPr>
            </w:pPr>
            <w:r>
              <w:rPr>
                <w:rFonts w:hint="eastAsia" w:ascii="宋体" w:hAnsi="宋体" w:cs="宋体"/>
                <w:b/>
                <w:bCs/>
                <w:kern w:val="0"/>
                <w:szCs w:val="21"/>
              </w:rPr>
              <w:t>码洋</w:t>
            </w:r>
          </w:p>
        </w:tc>
        <w:tc>
          <w:tcPr>
            <w:tcW w:w="638" w:type="dxa"/>
            <w:vMerge w:val="restart"/>
            <w:shd w:val="clear" w:color="auto" w:fill="auto"/>
            <w:vAlign w:val="center"/>
          </w:tcPr>
          <w:p w14:paraId="2DA88B41">
            <w:pPr>
              <w:widowControl/>
              <w:jc w:val="center"/>
              <w:rPr>
                <w:rFonts w:ascii="宋体" w:hAnsi="宋体" w:cs="宋体"/>
                <w:b/>
                <w:bCs/>
                <w:kern w:val="0"/>
                <w:szCs w:val="21"/>
              </w:rPr>
            </w:pPr>
            <w:r>
              <w:rPr>
                <w:rFonts w:hint="eastAsia" w:ascii="宋体" w:hAnsi="宋体" w:cs="宋体"/>
                <w:b/>
                <w:bCs/>
                <w:kern w:val="0"/>
                <w:szCs w:val="21"/>
              </w:rPr>
              <w:t>教育部推荐图书和广西教育厅推荐图书  （打√）</w:t>
            </w:r>
          </w:p>
        </w:tc>
        <w:tc>
          <w:tcPr>
            <w:tcW w:w="638" w:type="dxa"/>
            <w:vMerge w:val="restart"/>
            <w:shd w:val="clear" w:color="auto" w:fill="auto"/>
            <w:vAlign w:val="center"/>
          </w:tcPr>
          <w:p w14:paraId="35F2FEED">
            <w:pPr>
              <w:widowControl/>
              <w:jc w:val="center"/>
              <w:rPr>
                <w:rFonts w:ascii="宋体" w:hAnsi="宋体" w:cs="宋体"/>
                <w:b/>
                <w:bCs/>
                <w:kern w:val="0"/>
                <w:szCs w:val="21"/>
              </w:rPr>
            </w:pPr>
            <w:r>
              <w:rPr>
                <w:rFonts w:hint="eastAsia" w:ascii="宋体" w:hAnsi="宋体" w:cs="宋体"/>
                <w:b/>
                <w:bCs/>
                <w:kern w:val="0"/>
                <w:szCs w:val="21"/>
              </w:rPr>
              <w:t>百佳出版社    （打√）</w:t>
            </w:r>
          </w:p>
        </w:tc>
        <w:tc>
          <w:tcPr>
            <w:tcW w:w="646" w:type="dxa"/>
            <w:vMerge w:val="restart"/>
            <w:shd w:val="clear" w:color="auto" w:fill="auto"/>
            <w:vAlign w:val="center"/>
          </w:tcPr>
          <w:p w14:paraId="462A9A6C">
            <w:pPr>
              <w:widowControl/>
              <w:jc w:val="center"/>
              <w:rPr>
                <w:rFonts w:ascii="宋体" w:hAnsi="宋体" w:cs="宋体"/>
                <w:b/>
                <w:bCs/>
                <w:kern w:val="0"/>
                <w:szCs w:val="21"/>
              </w:rPr>
            </w:pPr>
            <w:r>
              <w:rPr>
                <w:rFonts w:hint="eastAsia" w:ascii="宋体" w:hAnsi="宋体" w:cs="宋体"/>
                <w:b/>
                <w:bCs/>
                <w:kern w:val="0"/>
                <w:szCs w:val="21"/>
              </w:rPr>
              <w:t>四色图书（打√）</w:t>
            </w:r>
          </w:p>
        </w:tc>
      </w:tr>
      <w:tr w14:paraId="62F2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vAlign w:val="center"/>
          </w:tcPr>
          <w:p w14:paraId="3378EC33">
            <w:pPr>
              <w:widowControl/>
              <w:jc w:val="center"/>
              <w:rPr>
                <w:rFonts w:ascii="宋体" w:hAnsi="宋体" w:cs="宋体"/>
                <w:b/>
                <w:bCs/>
                <w:kern w:val="0"/>
                <w:szCs w:val="21"/>
              </w:rPr>
            </w:pPr>
            <w:r>
              <w:rPr>
                <w:rFonts w:hint="eastAsia" w:ascii="宋体" w:hAnsi="宋体" w:cs="宋体"/>
                <w:b/>
                <w:bCs/>
                <w:kern w:val="0"/>
                <w:szCs w:val="21"/>
              </w:rPr>
              <w:t>　</w:t>
            </w:r>
          </w:p>
        </w:tc>
        <w:tc>
          <w:tcPr>
            <w:tcW w:w="596" w:type="dxa"/>
            <w:vMerge w:val="continue"/>
            <w:vAlign w:val="center"/>
          </w:tcPr>
          <w:p w14:paraId="410A25B0">
            <w:pPr>
              <w:widowControl/>
              <w:jc w:val="left"/>
              <w:rPr>
                <w:rFonts w:ascii="宋体" w:hAnsi="宋体" w:cs="宋体"/>
                <w:b/>
                <w:bCs/>
                <w:kern w:val="0"/>
                <w:szCs w:val="21"/>
              </w:rPr>
            </w:pPr>
          </w:p>
        </w:tc>
        <w:tc>
          <w:tcPr>
            <w:tcW w:w="4375" w:type="dxa"/>
            <w:vMerge w:val="continue"/>
            <w:vAlign w:val="center"/>
          </w:tcPr>
          <w:p w14:paraId="3D549D84">
            <w:pPr>
              <w:widowControl/>
              <w:jc w:val="left"/>
              <w:rPr>
                <w:rFonts w:ascii="宋体" w:hAnsi="宋体" w:cs="宋体"/>
                <w:b/>
                <w:bCs/>
                <w:kern w:val="0"/>
                <w:szCs w:val="21"/>
              </w:rPr>
            </w:pPr>
          </w:p>
        </w:tc>
        <w:tc>
          <w:tcPr>
            <w:tcW w:w="640" w:type="dxa"/>
            <w:vMerge w:val="continue"/>
            <w:vAlign w:val="center"/>
          </w:tcPr>
          <w:p w14:paraId="722B9CDA">
            <w:pPr>
              <w:widowControl/>
              <w:jc w:val="left"/>
              <w:rPr>
                <w:rFonts w:ascii="宋体" w:hAnsi="宋体" w:cs="宋体"/>
                <w:b/>
                <w:bCs/>
                <w:kern w:val="0"/>
                <w:szCs w:val="21"/>
              </w:rPr>
            </w:pPr>
          </w:p>
        </w:tc>
        <w:tc>
          <w:tcPr>
            <w:tcW w:w="482" w:type="dxa"/>
            <w:vMerge w:val="continue"/>
            <w:vAlign w:val="center"/>
          </w:tcPr>
          <w:p w14:paraId="0E2D577A">
            <w:pPr>
              <w:widowControl/>
              <w:jc w:val="left"/>
              <w:rPr>
                <w:rFonts w:ascii="宋体" w:hAnsi="宋体" w:cs="宋体"/>
                <w:b/>
                <w:bCs/>
                <w:kern w:val="0"/>
                <w:szCs w:val="21"/>
              </w:rPr>
            </w:pPr>
          </w:p>
        </w:tc>
        <w:tc>
          <w:tcPr>
            <w:tcW w:w="484" w:type="dxa"/>
            <w:vMerge w:val="continue"/>
            <w:vAlign w:val="center"/>
          </w:tcPr>
          <w:p w14:paraId="7C819598">
            <w:pPr>
              <w:widowControl/>
              <w:jc w:val="left"/>
              <w:rPr>
                <w:rFonts w:ascii="宋体" w:hAnsi="宋体" w:cs="宋体"/>
                <w:b/>
                <w:bCs/>
                <w:kern w:val="0"/>
                <w:szCs w:val="21"/>
              </w:rPr>
            </w:pPr>
          </w:p>
        </w:tc>
        <w:tc>
          <w:tcPr>
            <w:tcW w:w="498" w:type="dxa"/>
            <w:vMerge w:val="continue"/>
            <w:vAlign w:val="center"/>
          </w:tcPr>
          <w:p w14:paraId="1254E3DB">
            <w:pPr>
              <w:widowControl/>
              <w:jc w:val="left"/>
              <w:rPr>
                <w:rFonts w:ascii="宋体" w:hAnsi="宋体" w:cs="宋体"/>
                <w:b/>
                <w:bCs/>
                <w:kern w:val="0"/>
                <w:szCs w:val="21"/>
              </w:rPr>
            </w:pPr>
          </w:p>
        </w:tc>
        <w:tc>
          <w:tcPr>
            <w:tcW w:w="484" w:type="dxa"/>
            <w:vMerge w:val="continue"/>
            <w:vAlign w:val="center"/>
          </w:tcPr>
          <w:p w14:paraId="5DB5F0F2">
            <w:pPr>
              <w:widowControl/>
              <w:jc w:val="left"/>
              <w:rPr>
                <w:rFonts w:ascii="宋体" w:hAnsi="宋体" w:cs="宋体"/>
                <w:b/>
                <w:bCs/>
                <w:kern w:val="0"/>
                <w:szCs w:val="21"/>
              </w:rPr>
            </w:pPr>
          </w:p>
        </w:tc>
        <w:tc>
          <w:tcPr>
            <w:tcW w:w="638" w:type="dxa"/>
            <w:vMerge w:val="continue"/>
            <w:vAlign w:val="center"/>
          </w:tcPr>
          <w:p w14:paraId="27E94A15">
            <w:pPr>
              <w:widowControl/>
              <w:jc w:val="left"/>
              <w:rPr>
                <w:rFonts w:ascii="宋体" w:hAnsi="宋体" w:cs="宋体"/>
                <w:b/>
                <w:bCs/>
                <w:kern w:val="0"/>
                <w:szCs w:val="21"/>
              </w:rPr>
            </w:pPr>
          </w:p>
        </w:tc>
        <w:tc>
          <w:tcPr>
            <w:tcW w:w="638" w:type="dxa"/>
            <w:vMerge w:val="continue"/>
            <w:vAlign w:val="center"/>
          </w:tcPr>
          <w:p w14:paraId="3BCBDD1F">
            <w:pPr>
              <w:widowControl/>
              <w:jc w:val="left"/>
              <w:rPr>
                <w:rFonts w:ascii="宋体" w:hAnsi="宋体" w:cs="宋体"/>
                <w:b/>
                <w:bCs/>
                <w:kern w:val="0"/>
                <w:szCs w:val="21"/>
              </w:rPr>
            </w:pPr>
          </w:p>
        </w:tc>
        <w:tc>
          <w:tcPr>
            <w:tcW w:w="646" w:type="dxa"/>
            <w:vMerge w:val="continue"/>
            <w:vAlign w:val="center"/>
          </w:tcPr>
          <w:p w14:paraId="16EED1C5">
            <w:pPr>
              <w:widowControl/>
              <w:jc w:val="left"/>
              <w:rPr>
                <w:rFonts w:ascii="宋体" w:hAnsi="宋体" w:cs="宋体"/>
                <w:b/>
                <w:bCs/>
                <w:kern w:val="0"/>
                <w:szCs w:val="21"/>
              </w:rPr>
            </w:pPr>
          </w:p>
        </w:tc>
      </w:tr>
      <w:tr w14:paraId="56E2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vAlign w:val="center"/>
          </w:tcPr>
          <w:p w14:paraId="7FEC372E">
            <w:pPr>
              <w:widowControl/>
              <w:jc w:val="center"/>
              <w:rPr>
                <w:rFonts w:ascii="宋体" w:hAnsi="宋体" w:cs="宋体"/>
                <w:b/>
                <w:bCs/>
                <w:kern w:val="0"/>
                <w:szCs w:val="21"/>
              </w:rPr>
            </w:pPr>
            <w:r>
              <w:rPr>
                <w:rFonts w:hint="eastAsia" w:ascii="宋体" w:hAnsi="宋体" w:cs="宋体"/>
                <w:b/>
                <w:bCs/>
                <w:kern w:val="0"/>
                <w:szCs w:val="21"/>
              </w:rPr>
              <w:t>　</w:t>
            </w:r>
          </w:p>
        </w:tc>
        <w:tc>
          <w:tcPr>
            <w:tcW w:w="596" w:type="dxa"/>
            <w:vMerge w:val="continue"/>
            <w:vAlign w:val="center"/>
          </w:tcPr>
          <w:p w14:paraId="240DDE44">
            <w:pPr>
              <w:widowControl/>
              <w:jc w:val="left"/>
              <w:rPr>
                <w:rFonts w:ascii="宋体" w:hAnsi="宋体" w:cs="宋体"/>
                <w:b/>
                <w:bCs/>
                <w:kern w:val="0"/>
                <w:szCs w:val="21"/>
              </w:rPr>
            </w:pPr>
          </w:p>
        </w:tc>
        <w:tc>
          <w:tcPr>
            <w:tcW w:w="4375" w:type="dxa"/>
            <w:vMerge w:val="continue"/>
            <w:vAlign w:val="center"/>
          </w:tcPr>
          <w:p w14:paraId="4314A89A">
            <w:pPr>
              <w:widowControl/>
              <w:jc w:val="left"/>
              <w:rPr>
                <w:rFonts w:ascii="宋体" w:hAnsi="宋体" w:cs="宋体"/>
                <w:b/>
                <w:bCs/>
                <w:kern w:val="0"/>
                <w:szCs w:val="21"/>
              </w:rPr>
            </w:pPr>
          </w:p>
        </w:tc>
        <w:tc>
          <w:tcPr>
            <w:tcW w:w="640" w:type="dxa"/>
            <w:vMerge w:val="continue"/>
            <w:vAlign w:val="center"/>
          </w:tcPr>
          <w:p w14:paraId="0A94E3E1">
            <w:pPr>
              <w:widowControl/>
              <w:jc w:val="left"/>
              <w:rPr>
                <w:rFonts w:ascii="宋体" w:hAnsi="宋体" w:cs="宋体"/>
                <w:b/>
                <w:bCs/>
                <w:kern w:val="0"/>
                <w:szCs w:val="21"/>
              </w:rPr>
            </w:pPr>
          </w:p>
        </w:tc>
        <w:tc>
          <w:tcPr>
            <w:tcW w:w="482" w:type="dxa"/>
            <w:vMerge w:val="continue"/>
            <w:vAlign w:val="center"/>
          </w:tcPr>
          <w:p w14:paraId="0CF6F09B">
            <w:pPr>
              <w:widowControl/>
              <w:jc w:val="left"/>
              <w:rPr>
                <w:rFonts w:ascii="宋体" w:hAnsi="宋体" w:cs="宋体"/>
                <w:b/>
                <w:bCs/>
                <w:kern w:val="0"/>
                <w:szCs w:val="21"/>
              </w:rPr>
            </w:pPr>
          </w:p>
        </w:tc>
        <w:tc>
          <w:tcPr>
            <w:tcW w:w="484" w:type="dxa"/>
            <w:vMerge w:val="continue"/>
            <w:vAlign w:val="center"/>
          </w:tcPr>
          <w:p w14:paraId="787910D2">
            <w:pPr>
              <w:widowControl/>
              <w:jc w:val="left"/>
              <w:rPr>
                <w:rFonts w:ascii="宋体" w:hAnsi="宋体" w:cs="宋体"/>
                <w:b/>
                <w:bCs/>
                <w:kern w:val="0"/>
                <w:szCs w:val="21"/>
              </w:rPr>
            </w:pPr>
          </w:p>
        </w:tc>
        <w:tc>
          <w:tcPr>
            <w:tcW w:w="498" w:type="dxa"/>
            <w:vMerge w:val="continue"/>
            <w:vAlign w:val="center"/>
          </w:tcPr>
          <w:p w14:paraId="57873010">
            <w:pPr>
              <w:widowControl/>
              <w:jc w:val="left"/>
              <w:rPr>
                <w:rFonts w:ascii="宋体" w:hAnsi="宋体" w:cs="宋体"/>
                <w:b/>
                <w:bCs/>
                <w:kern w:val="0"/>
                <w:szCs w:val="21"/>
              </w:rPr>
            </w:pPr>
          </w:p>
        </w:tc>
        <w:tc>
          <w:tcPr>
            <w:tcW w:w="484" w:type="dxa"/>
            <w:vMerge w:val="continue"/>
            <w:vAlign w:val="center"/>
          </w:tcPr>
          <w:p w14:paraId="784BC5AD">
            <w:pPr>
              <w:widowControl/>
              <w:jc w:val="left"/>
              <w:rPr>
                <w:rFonts w:ascii="宋体" w:hAnsi="宋体" w:cs="宋体"/>
                <w:b/>
                <w:bCs/>
                <w:kern w:val="0"/>
                <w:szCs w:val="21"/>
              </w:rPr>
            </w:pPr>
          </w:p>
        </w:tc>
        <w:tc>
          <w:tcPr>
            <w:tcW w:w="638" w:type="dxa"/>
            <w:vMerge w:val="continue"/>
            <w:vAlign w:val="center"/>
          </w:tcPr>
          <w:p w14:paraId="0DEB8552">
            <w:pPr>
              <w:widowControl/>
              <w:jc w:val="left"/>
              <w:rPr>
                <w:rFonts w:ascii="宋体" w:hAnsi="宋体" w:cs="宋体"/>
                <w:b/>
                <w:bCs/>
                <w:kern w:val="0"/>
                <w:szCs w:val="21"/>
              </w:rPr>
            </w:pPr>
          </w:p>
        </w:tc>
        <w:tc>
          <w:tcPr>
            <w:tcW w:w="638" w:type="dxa"/>
            <w:vMerge w:val="continue"/>
            <w:vAlign w:val="center"/>
          </w:tcPr>
          <w:p w14:paraId="1F665DDA">
            <w:pPr>
              <w:widowControl/>
              <w:jc w:val="left"/>
              <w:rPr>
                <w:rFonts w:ascii="宋体" w:hAnsi="宋体" w:cs="宋体"/>
                <w:b/>
                <w:bCs/>
                <w:kern w:val="0"/>
                <w:szCs w:val="21"/>
              </w:rPr>
            </w:pPr>
          </w:p>
        </w:tc>
        <w:tc>
          <w:tcPr>
            <w:tcW w:w="646" w:type="dxa"/>
            <w:vMerge w:val="continue"/>
            <w:vAlign w:val="center"/>
          </w:tcPr>
          <w:p w14:paraId="352B3D7A">
            <w:pPr>
              <w:widowControl/>
              <w:jc w:val="left"/>
              <w:rPr>
                <w:rFonts w:ascii="宋体" w:hAnsi="宋体" w:cs="宋体"/>
                <w:b/>
                <w:bCs/>
                <w:kern w:val="0"/>
                <w:szCs w:val="21"/>
              </w:rPr>
            </w:pPr>
          </w:p>
        </w:tc>
      </w:tr>
      <w:tr w14:paraId="498E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vAlign w:val="center"/>
          </w:tcPr>
          <w:p w14:paraId="405F0D1B">
            <w:pPr>
              <w:widowControl/>
              <w:jc w:val="center"/>
              <w:rPr>
                <w:rFonts w:ascii="宋体" w:hAnsi="宋体" w:cs="宋体"/>
                <w:b/>
                <w:bCs/>
                <w:kern w:val="0"/>
                <w:szCs w:val="21"/>
              </w:rPr>
            </w:pPr>
            <w:r>
              <w:rPr>
                <w:rFonts w:hint="eastAsia" w:ascii="宋体" w:hAnsi="宋体" w:cs="宋体"/>
                <w:b/>
                <w:bCs/>
                <w:kern w:val="0"/>
                <w:szCs w:val="21"/>
              </w:rPr>
              <w:t>　</w:t>
            </w:r>
          </w:p>
        </w:tc>
        <w:tc>
          <w:tcPr>
            <w:tcW w:w="596" w:type="dxa"/>
            <w:vMerge w:val="continue"/>
            <w:vAlign w:val="center"/>
          </w:tcPr>
          <w:p w14:paraId="19868CF8">
            <w:pPr>
              <w:widowControl/>
              <w:jc w:val="left"/>
              <w:rPr>
                <w:rFonts w:ascii="宋体" w:hAnsi="宋体" w:cs="宋体"/>
                <w:b/>
                <w:bCs/>
                <w:kern w:val="0"/>
                <w:szCs w:val="21"/>
              </w:rPr>
            </w:pPr>
          </w:p>
        </w:tc>
        <w:tc>
          <w:tcPr>
            <w:tcW w:w="4375" w:type="dxa"/>
            <w:vMerge w:val="continue"/>
            <w:vAlign w:val="center"/>
          </w:tcPr>
          <w:p w14:paraId="59DAB67F">
            <w:pPr>
              <w:widowControl/>
              <w:jc w:val="left"/>
              <w:rPr>
                <w:rFonts w:ascii="宋体" w:hAnsi="宋体" w:cs="宋体"/>
                <w:b/>
                <w:bCs/>
                <w:kern w:val="0"/>
                <w:szCs w:val="21"/>
              </w:rPr>
            </w:pPr>
          </w:p>
        </w:tc>
        <w:tc>
          <w:tcPr>
            <w:tcW w:w="640" w:type="dxa"/>
            <w:vMerge w:val="continue"/>
            <w:vAlign w:val="center"/>
          </w:tcPr>
          <w:p w14:paraId="36980D04">
            <w:pPr>
              <w:widowControl/>
              <w:jc w:val="left"/>
              <w:rPr>
                <w:rFonts w:ascii="宋体" w:hAnsi="宋体" w:cs="宋体"/>
                <w:b/>
                <w:bCs/>
                <w:kern w:val="0"/>
                <w:szCs w:val="21"/>
              </w:rPr>
            </w:pPr>
          </w:p>
        </w:tc>
        <w:tc>
          <w:tcPr>
            <w:tcW w:w="482" w:type="dxa"/>
            <w:vMerge w:val="continue"/>
            <w:vAlign w:val="center"/>
          </w:tcPr>
          <w:p w14:paraId="023814FE">
            <w:pPr>
              <w:widowControl/>
              <w:jc w:val="left"/>
              <w:rPr>
                <w:rFonts w:ascii="宋体" w:hAnsi="宋体" w:cs="宋体"/>
                <w:b/>
                <w:bCs/>
                <w:kern w:val="0"/>
                <w:szCs w:val="21"/>
              </w:rPr>
            </w:pPr>
          </w:p>
        </w:tc>
        <w:tc>
          <w:tcPr>
            <w:tcW w:w="484" w:type="dxa"/>
            <w:vMerge w:val="continue"/>
            <w:vAlign w:val="center"/>
          </w:tcPr>
          <w:p w14:paraId="3C8A1324">
            <w:pPr>
              <w:widowControl/>
              <w:jc w:val="left"/>
              <w:rPr>
                <w:rFonts w:ascii="宋体" w:hAnsi="宋体" w:cs="宋体"/>
                <w:b/>
                <w:bCs/>
                <w:kern w:val="0"/>
                <w:szCs w:val="21"/>
              </w:rPr>
            </w:pPr>
          </w:p>
        </w:tc>
        <w:tc>
          <w:tcPr>
            <w:tcW w:w="498" w:type="dxa"/>
            <w:vMerge w:val="continue"/>
            <w:vAlign w:val="center"/>
          </w:tcPr>
          <w:p w14:paraId="180D0EC5">
            <w:pPr>
              <w:widowControl/>
              <w:jc w:val="left"/>
              <w:rPr>
                <w:rFonts w:ascii="宋体" w:hAnsi="宋体" w:cs="宋体"/>
                <w:b/>
                <w:bCs/>
                <w:kern w:val="0"/>
                <w:szCs w:val="21"/>
              </w:rPr>
            </w:pPr>
          </w:p>
        </w:tc>
        <w:tc>
          <w:tcPr>
            <w:tcW w:w="484" w:type="dxa"/>
            <w:vMerge w:val="continue"/>
            <w:vAlign w:val="center"/>
          </w:tcPr>
          <w:p w14:paraId="47FC5902">
            <w:pPr>
              <w:widowControl/>
              <w:jc w:val="left"/>
              <w:rPr>
                <w:rFonts w:ascii="宋体" w:hAnsi="宋体" w:cs="宋体"/>
                <w:b/>
                <w:bCs/>
                <w:kern w:val="0"/>
                <w:szCs w:val="21"/>
              </w:rPr>
            </w:pPr>
          </w:p>
        </w:tc>
        <w:tc>
          <w:tcPr>
            <w:tcW w:w="638" w:type="dxa"/>
            <w:vMerge w:val="continue"/>
            <w:vAlign w:val="center"/>
          </w:tcPr>
          <w:p w14:paraId="36EF7978">
            <w:pPr>
              <w:widowControl/>
              <w:jc w:val="left"/>
              <w:rPr>
                <w:rFonts w:ascii="宋体" w:hAnsi="宋体" w:cs="宋体"/>
                <w:b/>
                <w:bCs/>
                <w:kern w:val="0"/>
                <w:szCs w:val="21"/>
              </w:rPr>
            </w:pPr>
          </w:p>
        </w:tc>
        <w:tc>
          <w:tcPr>
            <w:tcW w:w="638" w:type="dxa"/>
            <w:vMerge w:val="continue"/>
            <w:vAlign w:val="center"/>
          </w:tcPr>
          <w:p w14:paraId="1C13BEF9">
            <w:pPr>
              <w:widowControl/>
              <w:jc w:val="left"/>
              <w:rPr>
                <w:rFonts w:ascii="宋体" w:hAnsi="宋体" w:cs="宋体"/>
                <w:b/>
                <w:bCs/>
                <w:kern w:val="0"/>
                <w:szCs w:val="21"/>
              </w:rPr>
            </w:pPr>
          </w:p>
        </w:tc>
        <w:tc>
          <w:tcPr>
            <w:tcW w:w="646" w:type="dxa"/>
            <w:vMerge w:val="continue"/>
            <w:vAlign w:val="center"/>
          </w:tcPr>
          <w:p w14:paraId="3C9209C9">
            <w:pPr>
              <w:widowControl/>
              <w:jc w:val="left"/>
              <w:rPr>
                <w:rFonts w:ascii="宋体" w:hAnsi="宋体" w:cs="宋体"/>
                <w:b/>
                <w:bCs/>
                <w:kern w:val="0"/>
                <w:szCs w:val="21"/>
              </w:rPr>
            </w:pPr>
          </w:p>
        </w:tc>
      </w:tr>
      <w:tr w14:paraId="3B0A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vAlign w:val="center"/>
          </w:tcPr>
          <w:p w14:paraId="6D97F8BE">
            <w:pPr>
              <w:widowControl/>
              <w:jc w:val="center"/>
              <w:rPr>
                <w:rFonts w:ascii="宋体" w:hAnsi="宋体" w:cs="宋体"/>
                <w:b/>
                <w:bCs/>
                <w:kern w:val="0"/>
                <w:szCs w:val="21"/>
              </w:rPr>
            </w:pPr>
            <w:r>
              <w:rPr>
                <w:rFonts w:hint="eastAsia" w:ascii="宋体" w:hAnsi="宋体" w:cs="宋体"/>
                <w:b/>
                <w:bCs/>
                <w:kern w:val="0"/>
                <w:szCs w:val="21"/>
              </w:rPr>
              <w:t>号</w:t>
            </w:r>
          </w:p>
        </w:tc>
        <w:tc>
          <w:tcPr>
            <w:tcW w:w="596" w:type="dxa"/>
            <w:vMerge w:val="continue"/>
            <w:vAlign w:val="center"/>
          </w:tcPr>
          <w:p w14:paraId="7A2E84DC">
            <w:pPr>
              <w:widowControl/>
              <w:jc w:val="left"/>
              <w:rPr>
                <w:rFonts w:ascii="宋体" w:hAnsi="宋体" w:cs="宋体"/>
                <w:b/>
                <w:bCs/>
                <w:kern w:val="0"/>
                <w:szCs w:val="21"/>
              </w:rPr>
            </w:pPr>
          </w:p>
        </w:tc>
        <w:tc>
          <w:tcPr>
            <w:tcW w:w="4375" w:type="dxa"/>
            <w:vMerge w:val="continue"/>
            <w:vAlign w:val="center"/>
          </w:tcPr>
          <w:p w14:paraId="65ABE53B">
            <w:pPr>
              <w:widowControl/>
              <w:jc w:val="left"/>
              <w:rPr>
                <w:rFonts w:ascii="宋体" w:hAnsi="宋体" w:cs="宋体"/>
                <w:b/>
                <w:bCs/>
                <w:kern w:val="0"/>
                <w:szCs w:val="21"/>
              </w:rPr>
            </w:pPr>
          </w:p>
        </w:tc>
        <w:tc>
          <w:tcPr>
            <w:tcW w:w="640" w:type="dxa"/>
            <w:vMerge w:val="continue"/>
            <w:vAlign w:val="center"/>
          </w:tcPr>
          <w:p w14:paraId="0E85E546">
            <w:pPr>
              <w:widowControl/>
              <w:jc w:val="left"/>
              <w:rPr>
                <w:rFonts w:ascii="宋体" w:hAnsi="宋体" w:cs="宋体"/>
                <w:b/>
                <w:bCs/>
                <w:kern w:val="0"/>
                <w:szCs w:val="21"/>
              </w:rPr>
            </w:pPr>
          </w:p>
        </w:tc>
        <w:tc>
          <w:tcPr>
            <w:tcW w:w="482" w:type="dxa"/>
            <w:vMerge w:val="continue"/>
            <w:vAlign w:val="center"/>
          </w:tcPr>
          <w:p w14:paraId="41B963EE">
            <w:pPr>
              <w:widowControl/>
              <w:jc w:val="left"/>
              <w:rPr>
                <w:rFonts w:ascii="宋体" w:hAnsi="宋体" w:cs="宋体"/>
                <w:b/>
                <w:bCs/>
                <w:kern w:val="0"/>
                <w:szCs w:val="21"/>
              </w:rPr>
            </w:pPr>
          </w:p>
        </w:tc>
        <w:tc>
          <w:tcPr>
            <w:tcW w:w="484" w:type="dxa"/>
            <w:vMerge w:val="continue"/>
            <w:vAlign w:val="center"/>
          </w:tcPr>
          <w:p w14:paraId="003B6F77">
            <w:pPr>
              <w:widowControl/>
              <w:jc w:val="left"/>
              <w:rPr>
                <w:rFonts w:ascii="宋体" w:hAnsi="宋体" w:cs="宋体"/>
                <w:b/>
                <w:bCs/>
                <w:kern w:val="0"/>
                <w:szCs w:val="21"/>
              </w:rPr>
            </w:pPr>
          </w:p>
        </w:tc>
        <w:tc>
          <w:tcPr>
            <w:tcW w:w="498" w:type="dxa"/>
            <w:vMerge w:val="continue"/>
            <w:vAlign w:val="center"/>
          </w:tcPr>
          <w:p w14:paraId="032FDF15">
            <w:pPr>
              <w:widowControl/>
              <w:jc w:val="left"/>
              <w:rPr>
                <w:rFonts w:ascii="宋体" w:hAnsi="宋体" w:cs="宋体"/>
                <w:b/>
                <w:bCs/>
                <w:kern w:val="0"/>
                <w:szCs w:val="21"/>
              </w:rPr>
            </w:pPr>
          </w:p>
        </w:tc>
        <w:tc>
          <w:tcPr>
            <w:tcW w:w="484" w:type="dxa"/>
            <w:vMerge w:val="continue"/>
            <w:vAlign w:val="center"/>
          </w:tcPr>
          <w:p w14:paraId="5E8DDA9B">
            <w:pPr>
              <w:widowControl/>
              <w:jc w:val="left"/>
              <w:rPr>
                <w:rFonts w:ascii="宋体" w:hAnsi="宋体" w:cs="宋体"/>
                <w:b/>
                <w:bCs/>
                <w:kern w:val="0"/>
                <w:szCs w:val="21"/>
              </w:rPr>
            </w:pPr>
          </w:p>
        </w:tc>
        <w:tc>
          <w:tcPr>
            <w:tcW w:w="638" w:type="dxa"/>
            <w:vMerge w:val="continue"/>
            <w:vAlign w:val="center"/>
          </w:tcPr>
          <w:p w14:paraId="03085A72">
            <w:pPr>
              <w:widowControl/>
              <w:jc w:val="left"/>
              <w:rPr>
                <w:rFonts w:ascii="宋体" w:hAnsi="宋体" w:cs="宋体"/>
                <w:b/>
                <w:bCs/>
                <w:kern w:val="0"/>
                <w:szCs w:val="21"/>
              </w:rPr>
            </w:pPr>
          </w:p>
        </w:tc>
        <w:tc>
          <w:tcPr>
            <w:tcW w:w="638" w:type="dxa"/>
            <w:vMerge w:val="continue"/>
            <w:vAlign w:val="center"/>
          </w:tcPr>
          <w:p w14:paraId="72827B69">
            <w:pPr>
              <w:widowControl/>
              <w:jc w:val="left"/>
              <w:rPr>
                <w:rFonts w:ascii="宋体" w:hAnsi="宋体" w:cs="宋体"/>
                <w:b/>
                <w:bCs/>
                <w:kern w:val="0"/>
                <w:szCs w:val="21"/>
              </w:rPr>
            </w:pPr>
          </w:p>
        </w:tc>
        <w:tc>
          <w:tcPr>
            <w:tcW w:w="646" w:type="dxa"/>
            <w:vMerge w:val="continue"/>
            <w:vAlign w:val="center"/>
          </w:tcPr>
          <w:p w14:paraId="12C56D9A">
            <w:pPr>
              <w:widowControl/>
              <w:jc w:val="left"/>
              <w:rPr>
                <w:rFonts w:ascii="宋体" w:hAnsi="宋体" w:cs="宋体"/>
                <w:b/>
                <w:bCs/>
                <w:kern w:val="0"/>
                <w:szCs w:val="21"/>
              </w:rPr>
            </w:pPr>
          </w:p>
        </w:tc>
      </w:tr>
      <w:tr w14:paraId="5055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vAlign w:val="center"/>
          </w:tcPr>
          <w:p w14:paraId="17306BC6">
            <w:pPr>
              <w:widowControl/>
              <w:rPr>
                <w:rFonts w:ascii="宋体" w:hAnsi="宋体" w:cs="宋体"/>
                <w:kern w:val="0"/>
                <w:szCs w:val="21"/>
              </w:rPr>
            </w:pPr>
            <w:r>
              <w:rPr>
                <w:rFonts w:hint="eastAsia" w:ascii="宋体" w:hAnsi="宋体" w:cs="宋体"/>
                <w:kern w:val="0"/>
                <w:szCs w:val="21"/>
              </w:rPr>
              <w:t>1</w:t>
            </w:r>
          </w:p>
        </w:tc>
        <w:tc>
          <w:tcPr>
            <w:tcW w:w="596" w:type="dxa"/>
            <w:shd w:val="clear" w:color="auto" w:fill="auto"/>
            <w:vAlign w:val="center"/>
          </w:tcPr>
          <w:p w14:paraId="37A33EDB">
            <w:pPr>
              <w:widowControl/>
              <w:rPr>
                <w:rFonts w:ascii="宋体" w:hAnsi="宋体" w:cs="宋体"/>
                <w:kern w:val="0"/>
                <w:szCs w:val="21"/>
              </w:rPr>
            </w:pPr>
            <w:r>
              <w:rPr>
                <w:rFonts w:hint="eastAsia" w:ascii="宋体" w:hAnsi="宋体" w:cs="宋体"/>
                <w:kern w:val="0"/>
                <w:szCs w:val="21"/>
              </w:rPr>
              <w:t>　</w:t>
            </w:r>
          </w:p>
        </w:tc>
        <w:tc>
          <w:tcPr>
            <w:tcW w:w="4375" w:type="dxa"/>
            <w:shd w:val="clear" w:color="auto" w:fill="auto"/>
            <w:vAlign w:val="center"/>
          </w:tcPr>
          <w:p w14:paraId="0CAF2CAE">
            <w:pPr>
              <w:widowControl/>
              <w:rPr>
                <w:rFonts w:ascii="宋体" w:hAnsi="宋体" w:cs="宋体"/>
                <w:kern w:val="0"/>
                <w:szCs w:val="21"/>
              </w:rPr>
            </w:pPr>
            <w:r>
              <w:rPr>
                <w:rFonts w:hint="eastAsia" w:ascii="宋体" w:hAnsi="宋体" w:cs="宋体"/>
                <w:kern w:val="0"/>
                <w:szCs w:val="21"/>
              </w:rPr>
              <w:t>　</w:t>
            </w:r>
          </w:p>
        </w:tc>
        <w:tc>
          <w:tcPr>
            <w:tcW w:w="640" w:type="dxa"/>
            <w:shd w:val="clear" w:color="auto" w:fill="auto"/>
            <w:vAlign w:val="center"/>
          </w:tcPr>
          <w:p w14:paraId="3751CFE0">
            <w:pPr>
              <w:widowControl/>
              <w:rPr>
                <w:rFonts w:ascii="宋体" w:hAnsi="宋体" w:cs="宋体"/>
                <w:kern w:val="0"/>
                <w:szCs w:val="21"/>
              </w:rPr>
            </w:pPr>
            <w:r>
              <w:rPr>
                <w:rFonts w:hint="eastAsia" w:ascii="宋体" w:hAnsi="宋体" w:cs="宋体"/>
                <w:kern w:val="0"/>
                <w:szCs w:val="21"/>
              </w:rPr>
              <w:t>　</w:t>
            </w:r>
          </w:p>
        </w:tc>
        <w:tc>
          <w:tcPr>
            <w:tcW w:w="482" w:type="dxa"/>
            <w:shd w:val="clear" w:color="auto" w:fill="auto"/>
            <w:vAlign w:val="center"/>
          </w:tcPr>
          <w:p w14:paraId="58A094D9">
            <w:pPr>
              <w:widowControl/>
              <w:rPr>
                <w:rFonts w:ascii="宋体" w:hAnsi="宋体" w:cs="宋体"/>
                <w:kern w:val="0"/>
                <w:szCs w:val="21"/>
              </w:rPr>
            </w:pPr>
            <w:r>
              <w:rPr>
                <w:rFonts w:hint="eastAsia" w:ascii="宋体" w:hAnsi="宋体" w:cs="宋体"/>
                <w:kern w:val="0"/>
                <w:szCs w:val="21"/>
              </w:rPr>
              <w:t>　</w:t>
            </w:r>
          </w:p>
        </w:tc>
        <w:tc>
          <w:tcPr>
            <w:tcW w:w="484" w:type="dxa"/>
            <w:shd w:val="clear" w:color="auto" w:fill="auto"/>
            <w:vAlign w:val="center"/>
          </w:tcPr>
          <w:p w14:paraId="237B25D2">
            <w:pPr>
              <w:widowControl/>
              <w:rPr>
                <w:rFonts w:ascii="宋体" w:hAnsi="宋体" w:cs="宋体"/>
                <w:kern w:val="0"/>
                <w:szCs w:val="21"/>
              </w:rPr>
            </w:pPr>
            <w:r>
              <w:rPr>
                <w:rFonts w:hint="eastAsia" w:ascii="宋体" w:hAnsi="宋体" w:cs="宋体"/>
                <w:kern w:val="0"/>
                <w:szCs w:val="21"/>
              </w:rPr>
              <w:t>　</w:t>
            </w:r>
          </w:p>
        </w:tc>
        <w:tc>
          <w:tcPr>
            <w:tcW w:w="498" w:type="dxa"/>
            <w:shd w:val="clear" w:color="auto" w:fill="auto"/>
            <w:vAlign w:val="center"/>
          </w:tcPr>
          <w:p w14:paraId="4666ACB9">
            <w:pPr>
              <w:widowControl/>
              <w:rPr>
                <w:rFonts w:ascii="宋体" w:hAnsi="宋体" w:cs="宋体"/>
                <w:kern w:val="0"/>
                <w:szCs w:val="21"/>
              </w:rPr>
            </w:pPr>
            <w:r>
              <w:rPr>
                <w:rFonts w:hint="eastAsia" w:ascii="宋体" w:hAnsi="宋体" w:cs="宋体"/>
                <w:kern w:val="0"/>
                <w:szCs w:val="21"/>
              </w:rPr>
              <w:t>　</w:t>
            </w:r>
          </w:p>
        </w:tc>
        <w:tc>
          <w:tcPr>
            <w:tcW w:w="484" w:type="dxa"/>
            <w:shd w:val="clear" w:color="auto" w:fill="auto"/>
            <w:vAlign w:val="center"/>
          </w:tcPr>
          <w:p w14:paraId="6BFD2154">
            <w:pPr>
              <w:widowControl/>
              <w:rPr>
                <w:rFonts w:ascii="宋体" w:hAnsi="宋体" w:cs="宋体"/>
                <w:kern w:val="0"/>
                <w:szCs w:val="21"/>
              </w:rPr>
            </w:pPr>
            <w:r>
              <w:rPr>
                <w:rFonts w:hint="eastAsia" w:ascii="宋体" w:hAnsi="宋体" w:cs="宋体"/>
                <w:kern w:val="0"/>
                <w:szCs w:val="21"/>
              </w:rPr>
              <w:t>　</w:t>
            </w:r>
          </w:p>
        </w:tc>
        <w:tc>
          <w:tcPr>
            <w:tcW w:w="638" w:type="dxa"/>
            <w:shd w:val="clear" w:color="auto" w:fill="auto"/>
            <w:vAlign w:val="center"/>
          </w:tcPr>
          <w:p w14:paraId="68F47179">
            <w:pPr>
              <w:widowControl/>
              <w:rPr>
                <w:rFonts w:ascii="宋体" w:hAnsi="宋体" w:cs="宋体"/>
                <w:kern w:val="0"/>
                <w:szCs w:val="21"/>
              </w:rPr>
            </w:pPr>
            <w:r>
              <w:rPr>
                <w:rFonts w:hint="eastAsia" w:ascii="宋体" w:hAnsi="宋体" w:cs="宋体"/>
                <w:kern w:val="0"/>
                <w:szCs w:val="21"/>
              </w:rPr>
              <w:t>　</w:t>
            </w:r>
          </w:p>
        </w:tc>
        <w:tc>
          <w:tcPr>
            <w:tcW w:w="638" w:type="dxa"/>
            <w:shd w:val="clear" w:color="auto" w:fill="auto"/>
            <w:vAlign w:val="center"/>
          </w:tcPr>
          <w:p w14:paraId="04B226C5">
            <w:pPr>
              <w:widowControl/>
              <w:rPr>
                <w:rFonts w:ascii="宋体" w:hAnsi="宋体" w:cs="宋体"/>
                <w:kern w:val="0"/>
                <w:szCs w:val="21"/>
              </w:rPr>
            </w:pPr>
            <w:r>
              <w:rPr>
                <w:rFonts w:hint="eastAsia" w:ascii="宋体" w:hAnsi="宋体" w:cs="宋体"/>
                <w:kern w:val="0"/>
                <w:szCs w:val="21"/>
              </w:rPr>
              <w:t>　</w:t>
            </w:r>
          </w:p>
        </w:tc>
        <w:tc>
          <w:tcPr>
            <w:tcW w:w="646" w:type="dxa"/>
            <w:shd w:val="clear" w:color="auto" w:fill="auto"/>
            <w:vAlign w:val="center"/>
          </w:tcPr>
          <w:p w14:paraId="4186180D">
            <w:pPr>
              <w:widowControl/>
              <w:rPr>
                <w:rFonts w:ascii="宋体" w:hAnsi="宋体" w:cs="宋体"/>
                <w:kern w:val="0"/>
                <w:szCs w:val="21"/>
              </w:rPr>
            </w:pPr>
            <w:r>
              <w:rPr>
                <w:rFonts w:hint="eastAsia" w:ascii="宋体" w:hAnsi="宋体" w:cs="宋体"/>
                <w:kern w:val="0"/>
                <w:szCs w:val="21"/>
              </w:rPr>
              <w:t>　</w:t>
            </w:r>
          </w:p>
        </w:tc>
      </w:tr>
      <w:tr w14:paraId="6FE8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vAlign w:val="center"/>
          </w:tcPr>
          <w:p w14:paraId="7BE818B0">
            <w:pPr>
              <w:widowControl/>
              <w:rPr>
                <w:rFonts w:ascii="宋体" w:hAnsi="宋体" w:cs="宋体"/>
                <w:kern w:val="0"/>
                <w:szCs w:val="21"/>
              </w:rPr>
            </w:pPr>
            <w:r>
              <w:rPr>
                <w:rFonts w:hint="eastAsia" w:ascii="宋体" w:hAnsi="宋体" w:cs="宋体"/>
                <w:kern w:val="0"/>
                <w:szCs w:val="21"/>
              </w:rPr>
              <w:t>2</w:t>
            </w:r>
          </w:p>
        </w:tc>
        <w:tc>
          <w:tcPr>
            <w:tcW w:w="596" w:type="dxa"/>
            <w:shd w:val="clear" w:color="auto" w:fill="auto"/>
            <w:vAlign w:val="center"/>
          </w:tcPr>
          <w:p w14:paraId="120814D9">
            <w:pPr>
              <w:widowControl/>
              <w:rPr>
                <w:rFonts w:ascii="宋体" w:hAnsi="宋体" w:cs="宋体"/>
                <w:kern w:val="0"/>
                <w:szCs w:val="21"/>
              </w:rPr>
            </w:pPr>
            <w:r>
              <w:rPr>
                <w:rFonts w:hint="eastAsia" w:ascii="宋体" w:hAnsi="宋体" w:cs="宋体"/>
                <w:kern w:val="0"/>
                <w:szCs w:val="21"/>
              </w:rPr>
              <w:t>　</w:t>
            </w:r>
          </w:p>
        </w:tc>
        <w:tc>
          <w:tcPr>
            <w:tcW w:w="4375" w:type="dxa"/>
            <w:shd w:val="clear" w:color="auto" w:fill="auto"/>
            <w:vAlign w:val="center"/>
          </w:tcPr>
          <w:p w14:paraId="5B147484">
            <w:pPr>
              <w:widowControl/>
              <w:rPr>
                <w:rFonts w:ascii="宋体" w:hAnsi="宋体" w:cs="宋体"/>
                <w:kern w:val="0"/>
                <w:szCs w:val="21"/>
              </w:rPr>
            </w:pPr>
            <w:r>
              <w:rPr>
                <w:rFonts w:hint="eastAsia" w:ascii="宋体" w:hAnsi="宋体" w:cs="宋体"/>
                <w:kern w:val="0"/>
                <w:szCs w:val="21"/>
              </w:rPr>
              <w:t>　</w:t>
            </w:r>
          </w:p>
        </w:tc>
        <w:tc>
          <w:tcPr>
            <w:tcW w:w="640" w:type="dxa"/>
            <w:shd w:val="clear" w:color="auto" w:fill="auto"/>
            <w:vAlign w:val="center"/>
          </w:tcPr>
          <w:p w14:paraId="3AC6C1D2">
            <w:pPr>
              <w:widowControl/>
              <w:rPr>
                <w:rFonts w:ascii="宋体" w:hAnsi="宋体" w:cs="宋体"/>
                <w:kern w:val="0"/>
                <w:szCs w:val="21"/>
              </w:rPr>
            </w:pPr>
            <w:r>
              <w:rPr>
                <w:rFonts w:hint="eastAsia" w:ascii="宋体" w:hAnsi="宋体" w:cs="宋体"/>
                <w:kern w:val="0"/>
                <w:szCs w:val="21"/>
              </w:rPr>
              <w:t>　</w:t>
            </w:r>
          </w:p>
        </w:tc>
        <w:tc>
          <w:tcPr>
            <w:tcW w:w="482" w:type="dxa"/>
            <w:shd w:val="clear" w:color="auto" w:fill="auto"/>
            <w:vAlign w:val="center"/>
          </w:tcPr>
          <w:p w14:paraId="76067545">
            <w:pPr>
              <w:widowControl/>
              <w:rPr>
                <w:rFonts w:ascii="宋体" w:hAnsi="宋体" w:cs="宋体"/>
                <w:kern w:val="0"/>
                <w:szCs w:val="21"/>
              </w:rPr>
            </w:pPr>
            <w:r>
              <w:rPr>
                <w:rFonts w:hint="eastAsia" w:ascii="宋体" w:hAnsi="宋体" w:cs="宋体"/>
                <w:kern w:val="0"/>
                <w:szCs w:val="21"/>
              </w:rPr>
              <w:t>　</w:t>
            </w:r>
          </w:p>
        </w:tc>
        <w:tc>
          <w:tcPr>
            <w:tcW w:w="484" w:type="dxa"/>
            <w:shd w:val="clear" w:color="auto" w:fill="auto"/>
            <w:vAlign w:val="center"/>
          </w:tcPr>
          <w:p w14:paraId="70CDCC0E">
            <w:pPr>
              <w:widowControl/>
              <w:rPr>
                <w:rFonts w:ascii="宋体" w:hAnsi="宋体" w:cs="宋体"/>
                <w:kern w:val="0"/>
                <w:szCs w:val="21"/>
              </w:rPr>
            </w:pPr>
            <w:r>
              <w:rPr>
                <w:rFonts w:hint="eastAsia" w:ascii="宋体" w:hAnsi="宋体" w:cs="宋体"/>
                <w:kern w:val="0"/>
                <w:szCs w:val="21"/>
              </w:rPr>
              <w:t>　</w:t>
            </w:r>
          </w:p>
        </w:tc>
        <w:tc>
          <w:tcPr>
            <w:tcW w:w="498" w:type="dxa"/>
            <w:shd w:val="clear" w:color="auto" w:fill="auto"/>
            <w:vAlign w:val="center"/>
          </w:tcPr>
          <w:p w14:paraId="221A15D2">
            <w:pPr>
              <w:widowControl/>
              <w:rPr>
                <w:rFonts w:ascii="宋体" w:hAnsi="宋体" w:cs="宋体"/>
                <w:kern w:val="0"/>
                <w:szCs w:val="21"/>
              </w:rPr>
            </w:pPr>
            <w:r>
              <w:rPr>
                <w:rFonts w:hint="eastAsia" w:ascii="宋体" w:hAnsi="宋体" w:cs="宋体"/>
                <w:kern w:val="0"/>
                <w:szCs w:val="21"/>
              </w:rPr>
              <w:t>　</w:t>
            </w:r>
          </w:p>
        </w:tc>
        <w:tc>
          <w:tcPr>
            <w:tcW w:w="484" w:type="dxa"/>
            <w:shd w:val="clear" w:color="auto" w:fill="auto"/>
            <w:vAlign w:val="center"/>
          </w:tcPr>
          <w:p w14:paraId="5DC3DFF2">
            <w:pPr>
              <w:widowControl/>
              <w:rPr>
                <w:rFonts w:ascii="宋体" w:hAnsi="宋体" w:cs="宋体"/>
                <w:kern w:val="0"/>
                <w:szCs w:val="21"/>
              </w:rPr>
            </w:pPr>
            <w:r>
              <w:rPr>
                <w:rFonts w:hint="eastAsia" w:ascii="宋体" w:hAnsi="宋体" w:cs="宋体"/>
                <w:kern w:val="0"/>
                <w:szCs w:val="21"/>
              </w:rPr>
              <w:t>　</w:t>
            </w:r>
          </w:p>
        </w:tc>
        <w:tc>
          <w:tcPr>
            <w:tcW w:w="638" w:type="dxa"/>
            <w:shd w:val="clear" w:color="auto" w:fill="auto"/>
            <w:vAlign w:val="center"/>
          </w:tcPr>
          <w:p w14:paraId="3E732BC5">
            <w:pPr>
              <w:widowControl/>
              <w:rPr>
                <w:rFonts w:ascii="宋体" w:hAnsi="宋体" w:cs="宋体"/>
                <w:kern w:val="0"/>
                <w:szCs w:val="21"/>
              </w:rPr>
            </w:pPr>
            <w:r>
              <w:rPr>
                <w:rFonts w:hint="eastAsia" w:ascii="宋体" w:hAnsi="宋体" w:cs="宋体"/>
                <w:kern w:val="0"/>
                <w:szCs w:val="21"/>
              </w:rPr>
              <w:t>　</w:t>
            </w:r>
          </w:p>
        </w:tc>
        <w:tc>
          <w:tcPr>
            <w:tcW w:w="638" w:type="dxa"/>
            <w:shd w:val="clear" w:color="auto" w:fill="auto"/>
            <w:vAlign w:val="center"/>
          </w:tcPr>
          <w:p w14:paraId="6362EAC6">
            <w:pPr>
              <w:widowControl/>
              <w:rPr>
                <w:rFonts w:ascii="宋体" w:hAnsi="宋体" w:cs="宋体"/>
                <w:kern w:val="0"/>
                <w:szCs w:val="21"/>
              </w:rPr>
            </w:pPr>
            <w:r>
              <w:rPr>
                <w:rFonts w:hint="eastAsia" w:ascii="宋体" w:hAnsi="宋体" w:cs="宋体"/>
                <w:kern w:val="0"/>
                <w:szCs w:val="21"/>
              </w:rPr>
              <w:t>　</w:t>
            </w:r>
          </w:p>
        </w:tc>
        <w:tc>
          <w:tcPr>
            <w:tcW w:w="646" w:type="dxa"/>
            <w:shd w:val="clear" w:color="auto" w:fill="auto"/>
            <w:vAlign w:val="center"/>
          </w:tcPr>
          <w:p w14:paraId="64D58F56">
            <w:pPr>
              <w:widowControl/>
              <w:rPr>
                <w:rFonts w:ascii="宋体" w:hAnsi="宋体" w:cs="宋体"/>
                <w:kern w:val="0"/>
                <w:szCs w:val="21"/>
              </w:rPr>
            </w:pPr>
            <w:r>
              <w:rPr>
                <w:rFonts w:hint="eastAsia" w:ascii="宋体" w:hAnsi="宋体" w:cs="宋体"/>
                <w:kern w:val="0"/>
                <w:szCs w:val="21"/>
              </w:rPr>
              <w:t>　</w:t>
            </w:r>
          </w:p>
        </w:tc>
      </w:tr>
      <w:tr w14:paraId="5794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vAlign w:val="center"/>
          </w:tcPr>
          <w:p w14:paraId="4D7B5E82">
            <w:pPr>
              <w:widowControl/>
              <w:rPr>
                <w:rFonts w:ascii="宋体" w:hAnsi="宋体" w:cs="宋体"/>
                <w:kern w:val="0"/>
                <w:szCs w:val="21"/>
              </w:rPr>
            </w:pPr>
            <w:r>
              <w:rPr>
                <w:rFonts w:hint="eastAsia" w:ascii="宋体" w:hAnsi="宋体" w:cs="宋体"/>
                <w:kern w:val="0"/>
                <w:szCs w:val="21"/>
              </w:rPr>
              <w:t>…</w:t>
            </w:r>
          </w:p>
        </w:tc>
        <w:tc>
          <w:tcPr>
            <w:tcW w:w="596" w:type="dxa"/>
            <w:shd w:val="clear" w:color="auto" w:fill="auto"/>
            <w:vAlign w:val="center"/>
          </w:tcPr>
          <w:p w14:paraId="10E56F15">
            <w:pPr>
              <w:widowControl/>
              <w:rPr>
                <w:rFonts w:ascii="宋体" w:hAnsi="宋体" w:cs="宋体"/>
                <w:kern w:val="0"/>
                <w:szCs w:val="21"/>
              </w:rPr>
            </w:pPr>
            <w:r>
              <w:rPr>
                <w:rFonts w:hint="eastAsia" w:ascii="宋体" w:hAnsi="宋体" w:cs="宋体"/>
                <w:kern w:val="0"/>
                <w:szCs w:val="21"/>
              </w:rPr>
              <w:t>　</w:t>
            </w:r>
          </w:p>
        </w:tc>
        <w:tc>
          <w:tcPr>
            <w:tcW w:w="4375" w:type="dxa"/>
            <w:shd w:val="clear" w:color="auto" w:fill="auto"/>
            <w:vAlign w:val="center"/>
          </w:tcPr>
          <w:p w14:paraId="4CE3218A">
            <w:pPr>
              <w:widowControl/>
              <w:rPr>
                <w:rFonts w:ascii="宋体" w:hAnsi="宋体" w:cs="宋体"/>
                <w:kern w:val="0"/>
                <w:szCs w:val="21"/>
              </w:rPr>
            </w:pPr>
            <w:r>
              <w:rPr>
                <w:rFonts w:hint="eastAsia" w:ascii="宋体" w:hAnsi="宋体" w:cs="宋体"/>
                <w:kern w:val="0"/>
                <w:szCs w:val="21"/>
              </w:rPr>
              <w:t>　</w:t>
            </w:r>
          </w:p>
        </w:tc>
        <w:tc>
          <w:tcPr>
            <w:tcW w:w="640" w:type="dxa"/>
            <w:shd w:val="clear" w:color="auto" w:fill="auto"/>
            <w:vAlign w:val="center"/>
          </w:tcPr>
          <w:p w14:paraId="408A8BB7">
            <w:pPr>
              <w:widowControl/>
              <w:rPr>
                <w:rFonts w:ascii="宋体" w:hAnsi="宋体" w:cs="宋体"/>
                <w:kern w:val="0"/>
                <w:szCs w:val="21"/>
              </w:rPr>
            </w:pPr>
            <w:r>
              <w:rPr>
                <w:rFonts w:hint="eastAsia" w:ascii="宋体" w:hAnsi="宋体" w:cs="宋体"/>
                <w:kern w:val="0"/>
                <w:szCs w:val="21"/>
              </w:rPr>
              <w:t>　</w:t>
            </w:r>
          </w:p>
        </w:tc>
        <w:tc>
          <w:tcPr>
            <w:tcW w:w="482" w:type="dxa"/>
            <w:shd w:val="clear" w:color="auto" w:fill="auto"/>
            <w:vAlign w:val="center"/>
          </w:tcPr>
          <w:p w14:paraId="1E1ECA7E">
            <w:pPr>
              <w:widowControl/>
              <w:rPr>
                <w:rFonts w:ascii="宋体" w:hAnsi="宋体" w:cs="宋体"/>
                <w:kern w:val="0"/>
                <w:szCs w:val="21"/>
              </w:rPr>
            </w:pPr>
            <w:r>
              <w:rPr>
                <w:rFonts w:hint="eastAsia" w:ascii="宋体" w:hAnsi="宋体" w:cs="宋体"/>
                <w:kern w:val="0"/>
                <w:szCs w:val="21"/>
              </w:rPr>
              <w:t>　</w:t>
            </w:r>
          </w:p>
        </w:tc>
        <w:tc>
          <w:tcPr>
            <w:tcW w:w="484" w:type="dxa"/>
            <w:shd w:val="clear" w:color="auto" w:fill="auto"/>
            <w:vAlign w:val="center"/>
          </w:tcPr>
          <w:p w14:paraId="1E4B038A">
            <w:pPr>
              <w:widowControl/>
              <w:rPr>
                <w:rFonts w:ascii="宋体" w:hAnsi="宋体" w:cs="宋体"/>
                <w:kern w:val="0"/>
                <w:szCs w:val="21"/>
              </w:rPr>
            </w:pPr>
            <w:r>
              <w:rPr>
                <w:rFonts w:hint="eastAsia" w:ascii="宋体" w:hAnsi="宋体" w:cs="宋体"/>
                <w:kern w:val="0"/>
                <w:szCs w:val="21"/>
              </w:rPr>
              <w:t>　</w:t>
            </w:r>
          </w:p>
        </w:tc>
        <w:tc>
          <w:tcPr>
            <w:tcW w:w="498" w:type="dxa"/>
            <w:shd w:val="clear" w:color="auto" w:fill="auto"/>
            <w:vAlign w:val="center"/>
          </w:tcPr>
          <w:p w14:paraId="3ED38EB6">
            <w:pPr>
              <w:widowControl/>
              <w:rPr>
                <w:rFonts w:ascii="宋体" w:hAnsi="宋体" w:cs="宋体"/>
                <w:kern w:val="0"/>
                <w:szCs w:val="21"/>
              </w:rPr>
            </w:pPr>
            <w:r>
              <w:rPr>
                <w:rFonts w:hint="eastAsia" w:ascii="宋体" w:hAnsi="宋体" w:cs="宋体"/>
                <w:kern w:val="0"/>
                <w:szCs w:val="21"/>
              </w:rPr>
              <w:t>　</w:t>
            </w:r>
          </w:p>
        </w:tc>
        <w:tc>
          <w:tcPr>
            <w:tcW w:w="484" w:type="dxa"/>
            <w:shd w:val="clear" w:color="auto" w:fill="auto"/>
            <w:vAlign w:val="center"/>
          </w:tcPr>
          <w:p w14:paraId="5516C431">
            <w:pPr>
              <w:widowControl/>
              <w:rPr>
                <w:rFonts w:ascii="宋体" w:hAnsi="宋体" w:cs="宋体"/>
                <w:kern w:val="0"/>
                <w:szCs w:val="21"/>
              </w:rPr>
            </w:pPr>
            <w:r>
              <w:rPr>
                <w:rFonts w:hint="eastAsia" w:ascii="宋体" w:hAnsi="宋体" w:cs="宋体"/>
                <w:kern w:val="0"/>
                <w:szCs w:val="21"/>
              </w:rPr>
              <w:t>　</w:t>
            </w:r>
          </w:p>
        </w:tc>
        <w:tc>
          <w:tcPr>
            <w:tcW w:w="638" w:type="dxa"/>
            <w:shd w:val="clear" w:color="auto" w:fill="auto"/>
            <w:vAlign w:val="center"/>
          </w:tcPr>
          <w:p w14:paraId="6571711A">
            <w:pPr>
              <w:widowControl/>
              <w:rPr>
                <w:rFonts w:ascii="宋体" w:hAnsi="宋体" w:cs="宋体"/>
                <w:kern w:val="0"/>
                <w:szCs w:val="21"/>
              </w:rPr>
            </w:pPr>
            <w:r>
              <w:rPr>
                <w:rFonts w:hint="eastAsia" w:ascii="宋体" w:hAnsi="宋体" w:cs="宋体"/>
                <w:kern w:val="0"/>
                <w:szCs w:val="21"/>
              </w:rPr>
              <w:t>　</w:t>
            </w:r>
          </w:p>
        </w:tc>
        <w:tc>
          <w:tcPr>
            <w:tcW w:w="638" w:type="dxa"/>
            <w:shd w:val="clear" w:color="auto" w:fill="auto"/>
            <w:vAlign w:val="center"/>
          </w:tcPr>
          <w:p w14:paraId="4C0CE276">
            <w:pPr>
              <w:widowControl/>
              <w:rPr>
                <w:rFonts w:ascii="宋体" w:hAnsi="宋体" w:cs="宋体"/>
                <w:kern w:val="0"/>
                <w:szCs w:val="21"/>
              </w:rPr>
            </w:pPr>
            <w:r>
              <w:rPr>
                <w:rFonts w:hint="eastAsia" w:ascii="宋体" w:hAnsi="宋体" w:cs="宋体"/>
                <w:kern w:val="0"/>
                <w:szCs w:val="21"/>
              </w:rPr>
              <w:t>　</w:t>
            </w:r>
          </w:p>
        </w:tc>
        <w:tc>
          <w:tcPr>
            <w:tcW w:w="646" w:type="dxa"/>
            <w:shd w:val="clear" w:color="auto" w:fill="auto"/>
            <w:vAlign w:val="center"/>
          </w:tcPr>
          <w:p w14:paraId="2558B7EA">
            <w:pPr>
              <w:widowControl/>
              <w:rPr>
                <w:rFonts w:ascii="宋体" w:hAnsi="宋体" w:cs="宋体"/>
                <w:kern w:val="0"/>
                <w:szCs w:val="21"/>
              </w:rPr>
            </w:pPr>
            <w:r>
              <w:rPr>
                <w:rFonts w:hint="eastAsia" w:ascii="宋体" w:hAnsi="宋体" w:cs="宋体"/>
                <w:kern w:val="0"/>
                <w:szCs w:val="21"/>
              </w:rPr>
              <w:t>　</w:t>
            </w:r>
          </w:p>
        </w:tc>
      </w:tr>
      <w:tr w14:paraId="198B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vAlign w:val="center"/>
          </w:tcPr>
          <w:p w14:paraId="6E6DFD0B">
            <w:pPr>
              <w:widowControl/>
              <w:rPr>
                <w:rFonts w:ascii="宋体" w:hAnsi="宋体" w:cs="宋体"/>
                <w:kern w:val="0"/>
                <w:szCs w:val="21"/>
              </w:rPr>
            </w:pPr>
            <w:r>
              <w:rPr>
                <w:rFonts w:hint="eastAsia" w:ascii="宋体" w:hAnsi="宋体" w:cs="宋体"/>
                <w:kern w:val="0"/>
                <w:szCs w:val="21"/>
              </w:rPr>
              <w:t>　</w:t>
            </w:r>
          </w:p>
        </w:tc>
        <w:tc>
          <w:tcPr>
            <w:tcW w:w="7559" w:type="dxa"/>
            <w:gridSpan w:val="7"/>
            <w:shd w:val="clear" w:color="auto" w:fill="auto"/>
            <w:vAlign w:val="center"/>
          </w:tcPr>
          <w:p w14:paraId="0C917A86">
            <w:pPr>
              <w:widowControl/>
              <w:rPr>
                <w:rFonts w:ascii="宋体" w:hAnsi="宋体" w:cs="宋体"/>
                <w:kern w:val="0"/>
                <w:szCs w:val="21"/>
              </w:rPr>
            </w:pPr>
            <w:r>
              <w:rPr>
                <w:rFonts w:hint="eastAsia" w:ascii="宋体" w:hAnsi="宋体" w:cs="宋体"/>
                <w:kern w:val="0"/>
                <w:szCs w:val="21"/>
              </w:rPr>
              <w:t>合计（种）</w:t>
            </w:r>
          </w:p>
        </w:tc>
        <w:tc>
          <w:tcPr>
            <w:tcW w:w="638" w:type="dxa"/>
            <w:shd w:val="clear" w:color="auto" w:fill="auto"/>
            <w:vAlign w:val="center"/>
          </w:tcPr>
          <w:p w14:paraId="44160CF8">
            <w:pPr>
              <w:widowControl/>
              <w:rPr>
                <w:rFonts w:ascii="宋体" w:hAnsi="宋体" w:cs="宋体"/>
                <w:kern w:val="0"/>
                <w:szCs w:val="21"/>
              </w:rPr>
            </w:pPr>
            <w:r>
              <w:rPr>
                <w:rFonts w:hint="eastAsia" w:ascii="宋体" w:hAnsi="宋体" w:cs="宋体"/>
                <w:kern w:val="0"/>
                <w:szCs w:val="21"/>
              </w:rPr>
              <w:t>　</w:t>
            </w:r>
          </w:p>
        </w:tc>
        <w:tc>
          <w:tcPr>
            <w:tcW w:w="638" w:type="dxa"/>
            <w:shd w:val="clear" w:color="auto" w:fill="auto"/>
            <w:vAlign w:val="center"/>
          </w:tcPr>
          <w:p w14:paraId="1CFC58F8">
            <w:pPr>
              <w:widowControl/>
              <w:rPr>
                <w:rFonts w:ascii="宋体" w:hAnsi="宋体" w:cs="宋体"/>
                <w:kern w:val="0"/>
                <w:szCs w:val="21"/>
              </w:rPr>
            </w:pPr>
            <w:r>
              <w:rPr>
                <w:rFonts w:hint="eastAsia" w:ascii="宋体" w:hAnsi="宋体" w:cs="宋体"/>
                <w:kern w:val="0"/>
                <w:szCs w:val="21"/>
              </w:rPr>
              <w:t>　</w:t>
            </w:r>
          </w:p>
        </w:tc>
        <w:tc>
          <w:tcPr>
            <w:tcW w:w="646" w:type="dxa"/>
            <w:shd w:val="clear" w:color="auto" w:fill="auto"/>
            <w:vAlign w:val="center"/>
          </w:tcPr>
          <w:p w14:paraId="17EDD187">
            <w:pPr>
              <w:widowControl/>
              <w:rPr>
                <w:rFonts w:ascii="宋体" w:hAnsi="宋体" w:cs="宋体"/>
                <w:kern w:val="0"/>
                <w:szCs w:val="21"/>
              </w:rPr>
            </w:pPr>
            <w:r>
              <w:rPr>
                <w:rFonts w:hint="eastAsia" w:ascii="宋体" w:hAnsi="宋体" w:cs="宋体"/>
                <w:kern w:val="0"/>
                <w:szCs w:val="21"/>
              </w:rPr>
              <w:t>　</w:t>
            </w:r>
          </w:p>
        </w:tc>
      </w:tr>
      <w:tr w14:paraId="49E9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62" w:type="dxa"/>
            <w:gridSpan w:val="11"/>
            <w:shd w:val="clear" w:color="auto" w:fill="auto"/>
            <w:vAlign w:val="center"/>
          </w:tcPr>
          <w:p w14:paraId="2551B06A">
            <w:pPr>
              <w:widowControl/>
              <w:rPr>
                <w:rFonts w:ascii="宋体" w:hAnsi="宋体" w:cs="宋体"/>
                <w:kern w:val="0"/>
                <w:szCs w:val="21"/>
              </w:rPr>
            </w:pPr>
            <w:r>
              <w:rPr>
                <w:rFonts w:hint="eastAsia" w:ascii="宋体" w:hAnsi="宋体" w:cs="宋体"/>
                <w:kern w:val="0"/>
                <w:szCs w:val="21"/>
              </w:rPr>
              <w:t>总码洋价：                    总册数：            总码洋均价：</w:t>
            </w:r>
          </w:p>
        </w:tc>
      </w:tr>
      <w:tr w14:paraId="51C34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noWrap/>
            <w:vAlign w:val="center"/>
          </w:tcPr>
          <w:p w14:paraId="1FBFFAF8">
            <w:pPr>
              <w:widowControl/>
              <w:rPr>
                <w:rFonts w:ascii="宋体" w:hAnsi="宋体" w:cs="宋体"/>
                <w:kern w:val="0"/>
                <w:szCs w:val="21"/>
              </w:rPr>
            </w:pPr>
          </w:p>
        </w:tc>
        <w:tc>
          <w:tcPr>
            <w:tcW w:w="596" w:type="dxa"/>
            <w:shd w:val="clear" w:color="auto" w:fill="auto"/>
            <w:noWrap/>
            <w:vAlign w:val="center"/>
          </w:tcPr>
          <w:p w14:paraId="230BC839">
            <w:pPr>
              <w:widowControl/>
              <w:rPr>
                <w:rFonts w:eastAsia="Times New Roman"/>
                <w:kern w:val="0"/>
                <w:sz w:val="20"/>
                <w:szCs w:val="20"/>
              </w:rPr>
            </w:pPr>
          </w:p>
        </w:tc>
        <w:tc>
          <w:tcPr>
            <w:tcW w:w="4375" w:type="dxa"/>
            <w:shd w:val="clear" w:color="auto" w:fill="auto"/>
            <w:noWrap/>
            <w:vAlign w:val="center"/>
          </w:tcPr>
          <w:p w14:paraId="160CFB2A">
            <w:pPr>
              <w:widowControl/>
              <w:jc w:val="left"/>
              <w:rPr>
                <w:rFonts w:eastAsia="Times New Roman"/>
                <w:kern w:val="0"/>
                <w:sz w:val="20"/>
                <w:szCs w:val="20"/>
              </w:rPr>
            </w:pPr>
          </w:p>
        </w:tc>
        <w:tc>
          <w:tcPr>
            <w:tcW w:w="640" w:type="dxa"/>
            <w:shd w:val="clear" w:color="auto" w:fill="auto"/>
            <w:noWrap/>
            <w:vAlign w:val="center"/>
          </w:tcPr>
          <w:p w14:paraId="0B0C468A">
            <w:pPr>
              <w:widowControl/>
              <w:jc w:val="left"/>
              <w:rPr>
                <w:rFonts w:eastAsia="Times New Roman"/>
                <w:kern w:val="0"/>
                <w:sz w:val="20"/>
                <w:szCs w:val="20"/>
              </w:rPr>
            </w:pPr>
          </w:p>
        </w:tc>
        <w:tc>
          <w:tcPr>
            <w:tcW w:w="482" w:type="dxa"/>
            <w:shd w:val="clear" w:color="auto" w:fill="auto"/>
            <w:noWrap/>
            <w:vAlign w:val="center"/>
          </w:tcPr>
          <w:p w14:paraId="70FACC29">
            <w:pPr>
              <w:widowControl/>
              <w:jc w:val="left"/>
              <w:rPr>
                <w:rFonts w:eastAsia="Times New Roman"/>
                <w:kern w:val="0"/>
                <w:sz w:val="20"/>
                <w:szCs w:val="20"/>
              </w:rPr>
            </w:pPr>
          </w:p>
        </w:tc>
        <w:tc>
          <w:tcPr>
            <w:tcW w:w="484" w:type="dxa"/>
            <w:shd w:val="clear" w:color="auto" w:fill="auto"/>
            <w:noWrap/>
            <w:vAlign w:val="center"/>
          </w:tcPr>
          <w:p w14:paraId="60772B4B">
            <w:pPr>
              <w:widowControl/>
              <w:jc w:val="left"/>
              <w:rPr>
                <w:rFonts w:eastAsia="Times New Roman"/>
                <w:kern w:val="0"/>
                <w:sz w:val="20"/>
                <w:szCs w:val="20"/>
              </w:rPr>
            </w:pPr>
          </w:p>
        </w:tc>
        <w:tc>
          <w:tcPr>
            <w:tcW w:w="498" w:type="dxa"/>
            <w:shd w:val="clear" w:color="auto" w:fill="auto"/>
            <w:noWrap/>
            <w:vAlign w:val="center"/>
          </w:tcPr>
          <w:p w14:paraId="56C4B363">
            <w:pPr>
              <w:widowControl/>
              <w:jc w:val="left"/>
              <w:rPr>
                <w:rFonts w:eastAsia="Times New Roman"/>
                <w:kern w:val="0"/>
                <w:sz w:val="20"/>
                <w:szCs w:val="20"/>
              </w:rPr>
            </w:pPr>
          </w:p>
        </w:tc>
        <w:tc>
          <w:tcPr>
            <w:tcW w:w="484" w:type="dxa"/>
            <w:shd w:val="clear" w:color="auto" w:fill="auto"/>
            <w:noWrap/>
            <w:vAlign w:val="center"/>
          </w:tcPr>
          <w:p w14:paraId="5322C052">
            <w:pPr>
              <w:widowControl/>
              <w:jc w:val="left"/>
              <w:rPr>
                <w:rFonts w:eastAsia="Times New Roman"/>
                <w:kern w:val="0"/>
                <w:sz w:val="20"/>
                <w:szCs w:val="20"/>
              </w:rPr>
            </w:pPr>
          </w:p>
        </w:tc>
        <w:tc>
          <w:tcPr>
            <w:tcW w:w="638" w:type="dxa"/>
            <w:shd w:val="clear" w:color="auto" w:fill="auto"/>
            <w:noWrap/>
            <w:vAlign w:val="center"/>
          </w:tcPr>
          <w:p w14:paraId="7738DE15">
            <w:pPr>
              <w:widowControl/>
              <w:jc w:val="left"/>
              <w:rPr>
                <w:rFonts w:eastAsia="Times New Roman"/>
                <w:kern w:val="0"/>
                <w:sz w:val="20"/>
                <w:szCs w:val="20"/>
              </w:rPr>
            </w:pPr>
          </w:p>
        </w:tc>
        <w:tc>
          <w:tcPr>
            <w:tcW w:w="638" w:type="dxa"/>
            <w:shd w:val="clear" w:color="auto" w:fill="auto"/>
            <w:noWrap/>
            <w:vAlign w:val="center"/>
          </w:tcPr>
          <w:p w14:paraId="5BACB2BB">
            <w:pPr>
              <w:widowControl/>
              <w:jc w:val="left"/>
              <w:rPr>
                <w:rFonts w:eastAsia="Times New Roman"/>
                <w:kern w:val="0"/>
                <w:sz w:val="20"/>
                <w:szCs w:val="20"/>
              </w:rPr>
            </w:pPr>
          </w:p>
        </w:tc>
        <w:tc>
          <w:tcPr>
            <w:tcW w:w="646" w:type="dxa"/>
            <w:shd w:val="clear" w:color="auto" w:fill="auto"/>
            <w:noWrap/>
            <w:vAlign w:val="center"/>
          </w:tcPr>
          <w:p w14:paraId="0B518761">
            <w:pPr>
              <w:widowControl/>
              <w:jc w:val="left"/>
              <w:rPr>
                <w:rFonts w:eastAsia="Times New Roman"/>
                <w:kern w:val="0"/>
                <w:sz w:val="20"/>
                <w:szCs w:val="20"/>
              </w:rPr>
            </w:pPr>
          </w:p>
        </w:tc>
      </w:tr>
      <w:tr w14:paraId="2F0F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62" w:type="dxa"/>
            <w:gridSpan w:val="11"/>
            <w:shd w:val="clear" w:color="auto" w:fill="auto"/>
            <w:noWrap/>
            <w:vAlign w:val="center"/>
          </w:tcPr>
          <w:p w14:paraId="4B7DAAD5">
            <w:pPr>
              <w:widowControl/>
              <w:jc w:val="left"/>
              <w:rPr>
                <w:rFonts w:ascii="宋体" w:hAnsi="宋体" w:cs="宋体"/>
                <w:kern w:val="0"/>
                <w:szCs w:val="21"/>
              </w:rPr>
            </w:pPr>
            <w:r>
              <w:rPr>
                <w:rFonts w:hint="eastAsia" w:ascii="宋体" w:hAnsi="宋体" w:cs="宋体"/>
                <w:kern w:val="0"/>
                <w:szCs w:val="21"/>
              </w:rPr>
              <w:t>投标人（盖单位公章）：</w:t>
            </w:r>
            <w:r>
              <w:rPr>
                <w:rFonts w:hint="eastAsia" w:ascii="宋体" w:hAnsi="宋体" w:cs="宋体"/>
                <w:kern w:val="0"/>
                <w:szCs w:val="21"/>
                <w:u w:val="single"/>
              </w:rPr>
              <w:t xml:space="preserve">                                    </w:t>
            </w:r>
          </w:p>
        </w:tc>
      </w:tr>
      <w:tr w14:paraId="46A3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noWrap/>
            <w:vAlign w:val="center"/>
          </w:tcPr>
          <w:p w14:paraId="03F9878B">
            <w:pPr>
              <w:widowControl/>
              <w:jc w:val="left"/>
              <w:rPr>
                <w:rFonts w:ascii="宋体" w:hAnsi="宋体" w:cs="宋体"/>
                <w:kern w:val="0"/>
                <w:szCs w:val="21"/>
              </w:rPr>
            </w:pPr>
          </w:p>
        </w:tc>
        <w:tc>
          <w:tcPr>
            <w:tcW w:w="596" w:type="dxa"/>
            <w:shd w:val="clear" w:color="auto" w:fill="auto"/>
            <w:noWrap/>
            <w:vAlign w:val="center"/>
          </w:tcPr>
          <w:p w14:paraId="16D18C4E">
            <w:pPr>
              <w:widowControl/>
              <w:rPr>
                <w:rFonts w:eastAsia="Times New Roman"/>
                <w:kern w:val="0"/>
                <w:sz w:val="20"/>
                <w:szCs w:val="20"/>
              </w:rPr>
            </w:pPr>
          </w:p>
        </w:tc>
        <w:tc>
          <w:tcPr>
            <w:tcW w:w="4375" w:type="dxa"/>
            <w:shd w:val="clear" w:color="auto" w:fill="auto"/>
            <w:noWrap/>
            <w:vAlign w:val="center"/>
          </w:tcPr>
          <w:p w14:paraId="000057A5">
            <w:pPr>
              <w:widowControl/>
              <w:jc w:val="left"/>
              <w:rPr>
                <w:rFonts w:eastAsia="Times New Roman"/>
                <w:kern w:val="0"/>
                <w:sz w:val="20"/>
                <w:szCs w:val="20"/>
              </w:rPr>
            </w:pPr>
          </w:p>
        </w:tc>
        <w:tc>
          <w:tcPr>
            <w:tcW w:w="640" w:type="dxa"/>
            <w:shd w:val="clear" w:color="auto" w:fill="auto"/>
            <w:noWrap/>
            <w:vAlign w:val="center"/>
          </w:tcPr>
          <w:p w14:paraId="282EF71C">
            <w:pPr>
              <w:widowControl/>
              <w:jc w:val="left"/>
              <w:rPr>
                <w:rFonts w:eastAsia="Times New Roman"/>
                <w:kern w:val="0"/>
                <w:sz w:val="20"/>
                <w:szCs w:val="20"/>
              </w:rPr>
            </w:pPr>
          </w:p>
        </w:tc>
        <w:tc>
          <w:tcPr>
            <w:tcW w:w="482" w:type="dxa"/>
            <w:shd w:val="clear" w:color="auto" w:fill="auto"/>
            <w:noWrap/>
            <w:vAlign w:val="center"/>
          </w:tcPr>
          <w:p w14:paraId="2CCAC06C">
            <w:pPr>
              <w:widowControl/>
              <w:jc w:val="left"/>
              <w:rPr>
                <w:rFonts w:eastAsia="Times New Roman"/>
                <w:kern w:val="0"/>
                <w:sz w:val="20"/>
                <w:szCs w:val="20"/>
              </w:rPr>
            </w:pPr>
          </w:p>
        </w:tc>
        <w:tc>
          <w:tcPr>
            <w:tcW w:w="484" w:type="dxa"/>
            <w:shd w:val="clear" w:color="auto" w:fill="auto"/>
            <w:noWrap/>
            <w:vAlign w:val="center"/>
          </w:tcPr>
          <w:p w14:paraId="7944A8ED">
            <w:pPr>
              <w:widowControl/>
              <w:jc w:val="left"/>
              <w:rPr>
                <w:rFonts w:eastAsia="Times New Roman"/>
                <w:kern w:val="0"/>
                <w:sz w:val="20"/>
                <w:szCs w:val="20"/>
              </w:rPr>
            </w:pPr>
          </w:p>
        </w:tc>
        <w:tc>
          <w:tcPr>
            <w:tcW w:w="498" w:type="dxa"/>
            <w:shd w:val="clear" w:color="auto" w:fill="auto"/>
            <w:noWrap/>
            <w:vAlign w:val="center"/>
          </w:tcPr>
          <w:p w14:paraId="5A11870E">
            <w:pPr>
              <w:widowControl/>
              <w:jc w:val="left"/>
              <w:rPr>
                <w:rFonts w:eastAsia="Times New Roman"/>
                <w:kern w:val="0"/>
                <w:sz w:val="20"/>
                <w:szCs w:val="20"/>
              </w:rPr>
            </w:pPr>
          </w:p>
        </w:tc>
        <w:tc>
          <w:tcPr>
            <w:tcW w:w="484" w:type="dxa"/>
            <w:shd w:val="clear" w:color="auto" w:fill="auto"/>
            <w:noWrap/>
            <w:vAlign w:val="center"/>
          </w:tcPr>
          <w:p w14:paraId="6D7700C5">
            <w:pPr>
              <w:widowControl/>
              <w:jc w:val="left"/>
              <w:rPr>
                <w:rFonts w:eastAsia="Times New Roman"/>
                <w:kern w:val="0"/>
                <w:sz w:val="20"/>
                <w:szCs w:val="20"/>
              </w:rPr>
            </w:pPr>
          </w:p>
        </w:tc>
        <w:tc>
          <w:tcPr>
            <w:tcW w:w="638" w:type="dxa"/>
            <w:shd w:val="clear" w:color="auto" w:fill="auto"/>
            <w:noWrap/>
            <w:vAlign w:val="center"/>
          </w:tcPr>
          <w:p w14:paraId="096579DC">
            <w:pPr>
              <w:widowControl/>
              <w:jc w:val="left"/>
              <w:rPr>
                <w:rFonts w:eastAsia="Times New Roman"/>
                <w:kern w:val="0"/>
                <w:sz w:val="20"/>
                <w:szCs w:val="20"/>
              </w:rPr>
            </w:pPr>
          </w:p>
        </w:tc>
        <w:tc>
          <w:tcPr>
            <w:tcW w:w="638" w:type="dxa"/>
            <w:shd w:val="clear" w:color="auto" w:fill="auto"/>
            <w:noWrap/>
            <w:vAlign w:val="center"/>
          </w:tcPr>
          <w:p w14:paraId="15009CCE">
            <w:pPr>
              <w:widowControl/>
              <w:jc w:val="left"/>
              <w:rPr>
                <w:rFonts w:eastAsia="Times New Roman"/>
                <w:kern w:val="0"/>
                <w:sz w:val="20"/>
                <w:szCs w:val="20"/>
              </w:rPr>
            </w:pPr>
          </w:p>
        </w:tc>
        <w:tc>
          <w:tcPr>
            <w:tcW w:w="646" w:type="dxa"/>
            <w:shd w:val="clear" w:color="auto" w:fill="auto"/>
            <w:noWrap/>
            <w:vAlign w:val="center"/>
          </w:tcPr>
          <w:p w14:paraId="538C40EF">
            <w:pPr>
              <w:widowControl/>
              <w:jc w:val="left"/>
              <w:rPr>
                <w:rFonts w:eastAsia="Times New Roman"/>
                <w:kern w:val="0"/>
                <w:sz w:val="20"/>
                <w:szCs w:val="20"/>
              </w:rPr>
            </w:pPr>
          </w:p>
        </w:tc>
      </w:tr>
      <w:tr w14:paraId="17F7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62" w:type="dxa"/>
            <w:gridSpan w:val="11"/>
            <w:shd w:val="clear" w:color="auto" w:fill="auto"/>
            <w:noWrap/>
            <w:vAlign w:val="center"/>
          </w:tcPr>
          <w:p w14:paraId="1A4303DD">
            <w:pPr>
              <w:widowControl/>
              <w:jc w:val="left"/>
              <w:rPr>
                <w:rFonts w:ascii="宋体" w:hAnsi="宋体" w:cs="宋体"/>
                <w:kern w:val="0"/>
                <w:szCs w:val="21"/>
              </w:rPr>
            </w:pPr>
            <w:r>
              <w:rPr>
                <w:rFonts w:hint="eastAsia" w:ascii="宋体" w:hAnsi="宋体" w:cs="宋体"/>
                <w:kern w:val="0"/>
                <w:szCs w:val="21"/>
              </w:rPr>
              <w:t>法定代表人（负责人）或其委托代理人（签字或盖章）：</w:t>
            </w:r>
            <w:r>
              <w:rPr>
                <w:rFonts w:hint="eastAsia" w:ascii="宋体" w:hAnsi="宋体" w:cs="宋体"/>
                <w:kern w:val="0"/>
                <w:szCs w:val="21"/>
                <w:u w:val="single"/>
              </w:rPr>
              <w:t xml:space="preserve">                  </w:t>
            </w:r>
          </w:p>
        </w:tc>
      </w:tr>
      <w:tr w14:paraId="404D4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noWrap/>
            <w:vAlign w:val="center"/>
          </w:tcPr>
          <w:p w14:paraId="1CE2CFED">
            <w:pPr>
              <w:widowControl/>
              <w:jc w:val="left"/>
              <w:rPr>
                <w:rFonts w:ascii="宋体" w:hAnsi="宋体" w:cs="宋体"/>
                <w:kern w:val="0"/>
                <w:szCs w:val="21"/>
              </w:rPr>
            </w:pPr>
          </w:p>
        </w:tc>
        <w:tc>
          <w:tcPr>
            <w:tcW w:w="596" w:type="dxa"/>
            <w:shd w:val="clear" w:color="auto" w:fill="auto"/>
            <w:noWrap/>
            <w:vAlign w:val="center"/>
          </w:tcPr>
          <w:p w14:paraId="444F8ACB">
            <w:pPr>
              <w:widowControl/>
              <w:jc w:val="left"/>
              <w:rPr>
                <w:rFonts w:eastAsia="Times New Roman"/>
                <w:kern w:val="0"/>
                <w:sz w:val="20"/>
                <w:szCs w:val="20"/>
              </w:rPr>
            </w:pPr>
          </w:p>
        </w:tc>
        <w:tc>
          <w:tcPr>
            <w:tcW w:w="4375" w:type="dxa"/>
            <w:shd w:val="clear" w:color="auto" w:fill="auto"/>
            <w:noWrap/>
            <w:vAlign w:val="center"/>
          </w:tcPr>
          <w:p w14:paraId="3A8C6377">
            <w:pPr>
              <w:widowControl/>
              <w:jc w:val="left"/>
              <w:rPr>
                <w:rFonts w:eastAsia="Times New Roman"/>
                <w:kern w:val="0"/>
                <w:sz w:val="20"/>
                <w:szCs w:val="20"/>
              </w:rPr>
            </w:pPr>
          </w:p>
        </w:tc>
        <w:tc>
          <w:tcPr>
            <w:tcW w:w="640" w:type="dxa"/>
            <w:shd w:val="clear" w:color="auto" w:fill="auto"/>
            <w:noWrap/>
            <w:vAlign w:val="center"/>
          </w:tcPr>
          <w:p w14:paraId="36D09E47">
            <w:pPr>
              <w:widowControl/>
              <w:jc w:val="left"/>
              <w:rPr>
                <w:rFonts w:eastAsia="Times New Roman"/>
                <w:kern w:val="0"/>
                <w:sz w:val="20"/>
                <w:szCs w:val="20"/>
              </w:rPr>
            </w:pPr>
          </w:p>
        </w:tc>
        <w:tc>
          <w:tcPr>
            <w:tcW w:w="482" w:type="dxa"/>
            <w:shd w:val="clear" w:color="auto" w:fill="auto"/>
            <w:noWrap/>
            <w:vAlign w:val="center"/>
          </w:tcPr>
          <w:p w14:paraId="7C54DFA8">
            <w:pPr>
              <w:widowControl/>
              <w:jc w:val="left"/>
              <w:rPr>
                <w:rFonts w:eastAsia="Times New Roman"/>
                <w:kern w:val="0"/>
                <w:sz w:val="20"/>
                <w:szCs w:val="20"/>
              </w:rPr>
            </w:pPr>
          </w:p>
        </w:tc>
        <w:tc>
          <w:tcPr>
            <w:tcW w:w="484" w:type="dxa"/>
            <w:shd w:val="clear" w:color="auto" w:fill="auto"/>
            <w:noWrap/>
            <w:vAlign w:val="center"/>
          </w:tcPr>
          <w:p w14:paraId="5F153660">
            <w:pPr>
              <w:widowControl/>
              <w:jc w:val="left"/>
              <w:rPr>
                <w:rFonts w:eastAsia="Times New Roman"/>
                <w:kern w:val="0"/>
                <w:sz w:val="20"/>
                <w:szCs w:val="20"/>
              </w:rPr>
            </w:pPr>
          </w:p>
        </w:tc>
        <w:tc>
          <w:tcPr>
            <w:tcW w:w="498" w:type="dxa"/>
            <w:shd w:val="clear" w:color="auto" w:fill="auto"/>
            <w:noWrap/>
            <w:vAlign w:val="center"/>
          </w:tcPr>
          <w:p w14:paraId="4BD3F4F0">
            <w:pPr>
              <w:widowControl/>
              <w:jc w:val="left"/>
              <w:rPr>
                <w:rFonts w:eastAsia="Times New Roman"/>
                <w:kern w:val="0"/>
                <w:sz w:val="20"/>
                <w:szCs w:val="20"/>
              </w:rPr>
            </w:pPr>
          </w:p>
        </w:tc>
        <w:tc>
          <w:tcPr>
            <w:tcW w:w="484" w:type="dxa"/>
            <w:shd w:val="clear" w:color="auto" w:fill="auto"/>
            <w:noWrap/>
            <w:vAlign w:val="center"/>
          </w:tcPr>
          <w:p w14:paraId="1D6882E4">
            <w:pPr>
              <w:widowControl/>
              <w:jc w:val="left"/>
              <w:rPr>
                <w:rFonts w:eastAsia="Times New Roman"/>
                <w:kern w:val="0"/>
                <w:sz w:val="20"/>
                <w:szCs w:val="20"/>
              </w:rPr>
            </w:pPr>
          </w:p>
        </w:tc>
        <w:tc>
          <w:tcPr>
            <w:tcW w:w="638" w:type="dxa"/>
            <w:shd w:val="clear" w:color="auto" w:fill="auto"/>
            <w:noWrap/>
            <w:vAlign w:val="center"/>
          </w:tcPr>
          <w:p w14:paraId="4D72274A">
            <w:pPr>
              <w:widowControl/>
              <w:jc w:val="left"/>
              <w:rPr>
                <w:rFonts w:eastAsia="Times New Roman"/>
                <w:kern w:val="0"/>
                <w:sz w:val="20"/>
                <w:szCs w:val="20"/>
              </w:rPr>
            </w:pPr>
          </w:p>
        </w:tc>
        <w:tc>
          <w:tcPr>
            <w:tcW w:w="638" w:type="dxa"/>
            <w:shd w:val="clear" w:color="auto" w:fill="auto"/>
            <w:noWrap/>
            <w:vAlign w:val="center"/>
          </w:tcPr>
          <w:p w14:paraId="2F5A2025">
            <w:pPr>
              <w:widowControl/>
              <w:jc w:val="left"/>
              <w:rPr>
                <w:rFonts w:eastAsia="Times New Roman"/>
                <w:kern w:val="0"/>
                <w:sz w:val="20"/>
                <w:szCs w:val="20"/>
              </w:rPr>
            </w:pPr>
          </w:p>
        </w:tc>
        <w:tc>
          <w:tcPr>
            <w:tcW w:w="646" w:type="dxa"/>
            <w:shd w:val="clear" w:color="auto" w:fill="auto"/>
            <w:noWrap/>
            <w:vAlign w:val="center"/>
          </w:tcPr>
          <w:p w14:paraId="2F8FF240">
            <w:pPr>
              <w:widowControl/>
              <w:jc w:val="left"/>
              <w:rPr>
                <w:rFonts w:eastAsia="Times New Roman"/>
                <w:kern w:val="0"/>
                <w:sz w:val="20"/>
                <w:szCs w:val="20"/>
              </w:rPr>
            </w:pPr>
          </w:p>
        </w:tc>
      </w:tr>
    </w:tbl>
    <w:p w14:paraId="70A9CA2D">
      <w:pPr>
        <w:spacing w:line="360" w:lineRule="auto"/>
        <w:rPr>
          <w:rFonts w:ascii="宋体" w:hAnsi="宋体" w:cs="宋体"/>
        </w:rPr>
      </w:pPr>
    </w:p>
    <w:p w14:paraId="3CBE0281">
      <w:pPr>
        <w:spacing w:line="360" w:lineRule="auto"/>
        <w:rPr>
          <w:rFonts w:ascii="宋体" w:hAnsi="宋体" w:cs="宋体"/>
        </w:rPr>
      </w:pPr>
    </w:p>
    <w:p w14:paraId="6072E6E7">
      <w:pPr>
        <w:spacing w:line="360" w:lineRule="auto"/>
        <w:rPr>
          <w:rFonts w:ascii="宋体" w:hAnsi="宋体" w:cs="宋体"/>
        </w:rPr>
      </w:pPr>
    </w:p>
    <w:p w14:paraId="3311162B">
      <w:pPr>
        <w:spacing w:line="360" w:lineRule="auto"/>
        <w:rPr>
          <w:rFonts w:ascii="宋体" w:hAnsi="宋体" w:cs="宋体"/>
        </w:rPr>
      </w:pPr>
    </w:p>
    <w:p w14:paraId="318C38D4">
      <w:pPr>
        <w:spacing w:line="360" w:lineRule="auto"/>
        <w:rPr>
          <w:rFonts w:ascii="宋体" w:hAnsi="宋体" w:cs="宋体"/>
        </w:rPr>
      </w:pPr>
    </w:p>
    <w:p w14:paraId="6B6CE23F">
      <w:pPr>
        <w:spacing w:line="360" w:lineRule="auto"/>
        <w:rPr>
          <w:rFonts w:ascii="宋体" w:hAnsi="宋体" w:cs="宋体"/>
        </w:rPr>
      </w:pPr>
    </w:p>
    <w:p w14:paraId="4B3084CB">
      <w:pPr>
        <w:spacing w:line="360" w:lineRule="auto"/>
        <w:rPr>
          <w:rFonts w:ascii="宋体" w:hAnsi="宋体" w:cs="宋体"/>
        </w:rPr>
      </w:pPr>
    </w:p>
    <w:p w14:paraId="1F634DF8">
      <w:pPr>
        <w:spacing w:line="360" w:lineRule="auto"/>
        <w:rPr>
          <w:rFonts w:ascii="宋体" w:hAnsi="宋体" w:cs="宋体"/>
        </w:rPr>
      </w:pPr>
    </w:p>
    <w:p w14:paraId="3FB2DDFD">
      <w:pPr>
        <w:spacing w:line="360" w:lineRule="auto"/>
        <w:rPr>
          <w:rFonts w:ascii="宋体" w:hAnsi="宋体" w:cs="宋体"/>
        </w:rPr>
      </w:pPr>
    </w:p>
    <w:tbl>
      <w:tblPr>
        <w:tblStyle w:val="24"/>
        <w:tblW w:w="5000" w:type="pct"/>
        <w:tblInd w:w="0" w:type="dxa"/>
        <w:tblLayout w:type="autofit"/>
        <w:tblCellMar>
          <w:top w:w="0" w:type="dxa"/>
          <w:left w:w="108" w:type="dxa"/>
          <w:bottom w:w="0" w:type="dxa"/>
          <w:right w:w="108" w:type="dxa"/>
        </w:tblCellMar>
      </w:tblPr>
      <w:tblGrid>
        <w:gridCol w:w="958"/>
        <w:gridCol w:w="1154"/>
        <w:gridCol w:w="7850"/>
      </w:tblGrid>
      <w:tr w14:paraId="77D1C2AE">
        <w:tblPrEx>
          <w:tblCellMar>
            <w:top w:w="0" w:type="dxa"/>
            <w:left w:w="108" w:type="dxa"/>
            <w:bottom w:w="0" w:type="dxa"/>
            <w:right w:w="108" w:type="dxa"/>
          </w:tblCellMar>
        </w:tblPrEx>
        <w:trPr>
          <w:trHeight w:val="270" w:hRule="atLeast"/>
        </w:trPr>
        <w:tc>
          <w:tcPr>
            <w:tcW w:w="5000" w:type="pct"/>
            <w:gridSpan w:val="3"/>
            <w:tcBorders>
              <w:top w:val="single" w:color="auto" w:sz="4" w:space="0"/>
              <w:left w:val="single" w:color="auto" w:sz="4" w:space="0"/>
              <w:bottom w:val="nil"/>
              <w:right w:val="single" w:color="auto" w:sz="4" w:space="0"/>
            </w:tcBorders>
            <w:shd w:val="clear" w:color="auto" w:fill="auto"/>
            <w:noWrap/>
            <w:vAlign w:val="center"/>
          </w:tcPr>
          <w:p w14:paraId="4BFB03E8">
            <w:pPr>
              <w:widowControl/>
              <w:jc w:val="left"/>
              <w:rPr>
                <w:rFonts w:ascii="宋体" w:hAnsi="宋体" w:cs="宋体"/>
                <w:b/>
                <w:bCs/>
                <w:kern w:val="0"/>
                <w:szCs w:val="21"/>
              </w:rPr>
            </w:pPr>
            <w:r>
              <w:rPr>
                <w:rFonts w:hint="eastAsia" w:ascii="宋体" w:hAnsi="宋体" w:cs="宋体"/>
                <w:b/>
                <w:bCs/>
                <w:kern w:val="0"/>
                <w:szCs w:val="21"/>
              </w:rPr>
              <w:t>附件2：投标图书书目有关数据统计表（投标时提供）</w:t>
            </w:r>
          </w:p>
        </w:tc>
      </w:tr>
      <w:tr w14:paraId="0BC755D7">
        <w:tblPrEx>
          <w:tblCellMar>
            <w:top w:w="0" w:type="dxa"/>
            <w:left w:w="108" w:type="dxa"/>
            <w:bottom w:w="0" w:type="dxa"/>
            <w:right w:w="108" w:type="dxa"/>
          </w:tblCellMar>
        </w:tblPrEx>
        <w:trPr>
          <w:trHeight w:val="270" w:hRule="atLeast"/>
        </w:trPr>
        <w:tc>
          <w:tcPr>
            <w:tcW w:w="481" w:type="pct"/>
            <w:tcBorders>
              <w:top w:val="nil"/>
              <w:left w:val="single" w:color="auto" w:sz="4" w:space="0"/>
              <w:bottom w:val="nil"/>
              <w:right w:val="nil"/>
            </w:tcBorders>
            <w:shd w:val="clear" w:color="auto" w:fill="auto"/>
            <w:noWrap/>
            <w:vAlign w:val="center"/>
          </w:tcPr>
          <w:p w14:paraId="45268087">
            <w:pPr>
              <w:widowControl/>
              <w:jc w:val="left"/>
              <w:rPr>
                <w:rFonts w:ascii="宋体" w:hAnsi="宋体" w:cs="宋体"/>
                <w:b/>
                <w:bCs/>
                <w:kern w:val="0"/>
                <w:szCs w:val="21"/>
              </w:rPr>
            </w:pPr>
          </w:p>
        </w:tc>
        <w:tc>
          <w:tcPr>
            <w:tcW w:w="579" w:type="pct"/>
            <w:tcBorders>
              <w:top w:val="nil"/>
              <w:left w:val="nil"/>
              <w:bottom w:val="nil"/>
              <w:right w:val="nil"/>
            </w:tcBorders>
            <w:shd w:val="clear" w:color="auto" w:fill="auto"/>
            <w:noWrap/>
            <w:vAlign w:val="center"/>
          </w:tcPr>
          <w:p w14:paraId="711D837F">
            <w:pPr>
              <w:widowControl/>
              <w:rPr>
                <w:rFonts w:eastAsia="Times New Roman"/>
                <w:kern w:val="0"/>
                <w:sz w:val="20"/>
                <w:szCs w:val="20"/>
              </w:rPr>
            </w:pPr>
          </w:p>
        </w:tc>
        <w:tc>
          <w:tcPr>
            <w:tcW w:w="3939" w:type="pct"/>
            <w:tcBorders>
              <w:top w:val="nil"/>
              <w:left w:val="nil"/>
              <w:bottom w:val="nil"/>
              <w:right w:val="single" w:color="auto" w:sz="4" w:space="0"/>
            </w:tcBorders>
            <w:shd w:val="clear" w:color="auto" w:fill="auto"/>
            <w:noWrap/>
            <w:vAlign w:val="center"/>
          </w:tcPr>
          <w:p w14:paraId="144A91C8">
            <w:pPr>
              <w:widowControl/>
              <w:jc w:val="left"/>
              <w:rPr>
                <w:rFonts w:eastAsia="Times New Roman"/>
                <w:kern w:val="0"/>
                <w:sz w:val="20"/>
                <w:szCs w:val="20"/>
              </w:rPr>
            </w:pPr>
          </w:p>
        </w:tc>
      </w:tr>
      <w:tr w14:paraId="786B6F60">
        <w:tblPrEx>
          <w:tblCellMar>
            <w:top w:w="0" w:type="dxa"/>
            <w:left w:w="108" w:type="dxa"/>
            <w:bottom w:w="0" w:type="dxa"/>
            <w:right w:w="108" w:type="dxa"/>
          </w:tblCellMar>
        </w:tblPrEx>
        <w:trPr>
          <w:trHeight w:val="270" w:hRule="atLeast"/>
        </w:trPr>
        <w:tc>
          <w:tcPr>
            <w:tcW w:w="5000" w:type="pct"/>
            <w:gridSpan w:val="3"/>
            <w:tcBorders>
              <w:top w:val="nil"/>
              <w:left w:val="single" w:color="auto" w:sz="4" w:space="0"/>
              <w:bottom w:val="nil"/>
              <w:right w:val="single" w:color="auto" w:sz="4" w:space="0"/>
            </w:tcBorders>
            <w:shd w:val="clear" w:color="auto" w:fill="auto"/>
            <w:noWrap/>
            <w:vAlign w:val="center"/>
          </w:tcPr>
          <w:p w14:paraId="7934C4B6">
            <w:pPr>
              <w:widowControl/>
              <w:jc w:val="center"/>
              <w:rPr>
                <w:rFonts w:ascii="宋体" w:hAnsi="宋体" w:cs="宋体"/>
                <w:b/>
                <w:bCs/>
                <w:kern w:val="0"/>
                <w:szCs w:val="21"/>
                <w:u w:val="single"/>
              </w:rPr>
            </w:pPr>
            <w:r>
              <w:rPr>
                <w:rFonts w:hint="eastAsia" w:ascii="宋体" w:hAnsi="宋体" w:cs="宋体"/>
                <w:b/>
                <w:bCs/>
                <w:kern w:val="0"/>
                <w:szCs w:val="21"/>
                <w:u w:val="single"/>
              </w:rPr>
              <w:t>（投标人名称）</w:t>
            </w:r>
            <w:r>
              <w:rPr>
                <w:rFonts w:hint="eastAsia" w:ascii="宋体" w:hAnsi="宋体" w:cs="宋体"/>
                <w:b/>
                <w:bCs/>
                <w:kern w:val="0"/>
                <w:szCs w:val="21"/>
              </w:rPr>
              <w:t>投标图书书目有关数据统计表</w:t>
            </w:r>
          </w:p>
        </w:tc>
      </w:tr>
      <w:tr w14:paraId="7B620FDC">
        <w:tblPrEx>
          <w:tblCellMar>
            <w:top w:w="0" w:type="dxa"/>
            <w:left w:w="108" w:type="dxa"/>
            <w:bottom w:w="0" w:type="dxa"/>
            <w:right w:w="108" w:type="dxa"/>
          </w:tblCellMar>
        </w:tblPrEx>
        <w:trPr>
          <w:trHeight w:val="270" w:hRule="atLeast"/>
        </w:trPr>
        <w:tc>
          <w:tcPr>
            <w:tcW w:w="481" w:type="pct"/>
            <w:tcBorders>
              <w:top w:val="nil"/>
              <w:left w:val="single" w:color="auto" w:sz="4" w:space="0"/>
              <w:bottom w:val="nil"/>
              <w:right w:val="nil"/>
            </w:tcBorders>
            <w:shd w:val="clear" w:color="auto" w:fill="auto"/>
            <w:noWrap/>
            <w:vAlign w:val="center"/>
          </w:tcPr>
          <w:p w14:paraId="4C9CC06B">
            <w:pPr>
              <w:widowControl/>
              <w:jc w:val="center"/>
              <w:rPr>
                <w:rFonts w:ascii="宋体" w:hAnsi="宋体" w:cs="宋体"/>
                <w:b/>
                <w:bCs/>
                <w:kern w:val="0"/>
                <w:szCs w:val="21"/>
                <w:u w:val="single"/>
              </w:rPr>
            </w:pPr>
          </w:p>
        </w:tc>
        <w:tc>
          <w:tcPr>
            <w:tcW w:w="579" w:type="pct"/>
            <w:tcBorders>
              <w:top w:val="nil"/>
              <w:left w:val="nil"/>
              <w:bottom w:val="nil"/>
              <w:right w:val="nil"/>
            </w:tcBorders>
            <w:shd w:val="clear" w:color="auto" w:fill="auto"/>
            <w:noWrap/>
            <w:vAlign w:val="center"/>
          </w:tcPr>
          <w:p w14:paraId="348E9D2B">
            <w:pPr>
              <w:widowControl/>
              <w:rPr>
                <w:rFonts w:eastAsia="Times New Roman"/>
                <w:kern w:val="0"/>
                <w:sz w:val="20"/>
                <w:szCs w:val="20"/>
              </w:rPr>
            </w:pPr>
          </w:p>
        </w:tc>
        <w:tc>
          <w:tcPr>
            <w:tcW w:w="3939" w:type="pct"/>
            <w:tcBorders>
              <w:top w:val="nil"/>
              <w:left w:val="nil"/>
              <w:bottom w:val="nil"/>
              <w:right w:val="single" w:color="auto" w:sz="4" w:space="0"/>
            </w:tcBorders>
            <w:shd w:val="clear" w:color="auto" w:fill="auto"/>
            <w:noWrap/>
            <w:vAlign w:val="center"/>
          </w:tcPr>
          <w:p w14:paraId="5E303B5C">
            <w:pPr>
              <w:widowControl/>
              <w:jc w:val="left"/>
              <w:rPr>
                <w:rFonts w:eastAsia="Times New Roman"/>
                <w:kern w:val="0"/>
                <w:sz w:val="20"/>
                <w:szCs w:val="20"/>
              </w:rPr>
            </w:pPr>
          </w:p>
        </w:tc>
      </w:tr>
      <w:tr w14:paraId="0B12F43F">
        <w:tblPrEx>
          <w:tblCellMar>
            <w:top w:w="0" w:type="dxa"/>
            <w:left w:w="108" w:type="dxa"/>
            <w:bottom w:w="0" w:type="dxa"/>
            <w:right w:w="108" w:type="dxa"/>
          </w:tblCellMar>
        </w:tblPrEx>
        <w:trPr>
          <w:trHeight w:val="510" w:hRule="atLeast"/>
        </w:trPr>
        <w:tc>
          <w:tcPr>
            <w:tcW w:w="481" w:type="pct"/>
            <w:tcBorders>
              <w:top w:val="single" w:color="auto" w:sz="8" w:space="0"/>
              <w:left w:val="single" w:color="auto" w:sz="4" w:space="0"/>
              <w:bottom w:val="single" w:color="auto" w:sz="8" w:space="0"/>
              <w:right w:val="single" w:color="auto" w:sz="8" w:space="0"/>
            </w:tcBorders>
            <w:shd w:val="clear" w:color="auto" w:fill="auto"/>
            <w:vAlign w:val="center"/>
          </w:tcPr>
          <w:p w14:paraId="7C076A26">
            <w:pPr>
              <w:widowControl/>
              <w:jc w:val="center"/>
              <w:rPr>
                <w:rFonts w:ascii="宋体" w:hAnsi="宋体" w:cs="宋体"/>
                <w:b/>
                <w:bCs/>
                <w:kern w:val="0"/>
                <w:szCs w:val="21"/>
              </w:rPr>
            </w:pPr>
            <w:r>
              <w:rPr>
                <w:rFonts w:hint="eastAsia" w:ascii="宋体" w:hAnsi="宋体" w:cs="宋体"/>
                <w:b/>
                <w:bCs/>
                <w:kern w:val="0"/>
                <w:szCs w:val="21"/>
              </w:rPr>
              <w:t>序号</w:t>
            </w:r>
          </w:p>
        </w:tc>
        <w:tc>
          <w:tcPr>
            <w:tcW w:w="579" w:type="pct"/>
            <w:tcBorders>
              <w:top w:val="single" w:color="auto" w:sz="8" w:space="0"/>
              <w:left w:val="nil"/>
              <w:bottom w:val="single" w:color="auto" w:sz="8" w:space="0"/>
              <w:right w:val="single" w:color="auto" w:sz="8" w:space="0"/>
            </w:tcBorders>
            <w:shd w:val="clear" w:color="auto" w:fill="auto"/>
            <w:vAlign w:val="center"/>
          </w:tcPr>
          <w:p w14:paraId="43801E21">
            <w:pPr>
              <w:widowControl/>
              <w:jc w:val="center"/>
              <w:rPr>
                <w:rFonts w:ascii="宋体" w:hAnsi="宋体" w:cs="宋体"/>
                <w:b/>
                <w:bCs/>
                <w:kern w:val="0"/>
                <w:szCs w:val="21"/>
              </w:rPr>
            </w:pPr>
            <w:r>
              <w:rPr>
                <w:rFonts w:hint="eastAsia" w:ascii="宋体" w:hAnsi="宋体" w:cs="宋体"/>
                <w:b/>
                <w:bCs/>
                <w:kern w:val="0"/>
                <w:szCs w:val="21"/>
              </w:rPr>
              <w:t>投标书目的相关内容</w:t>
            </w:r>
          </w:p>
        </w:tc>
        <w:tc>
          <w:tcPr>
            <w:tcW w:w="3939" w:type="pct"/>
            <w:tcBorders>
              <w:top w:val="single" w:color="auto" w:sz="8" w:space="0"/>
              <w:left w:val="nil"/>
              <w:bottom w:val="single" w:color="auto" w:sz="8" w:space="0"/>
              <w:right w:val="single" w:color="auto" w:sz="4" w:space="0"/>
            </w:tcBorders>
            <w:shd w:val="clear" w:color="auto" w:fill="auto"/>
            <w:vAlign w:val="center"/>
          </w:tcPr>
          <w:p w14:paraId="2510A83D">
            <w:pPr>
              <w:widowControl/>
              <w:jc w:val="center"/>
              <w:rPr>
                <w:rFonts w:ascii="宋体" w:hAnsi="宋体" w:cs="宋体"/>
                <w:b/>
                <w:bCs/>
                <w:kern w:val="0"/>
                <w:szCs w:val="21"/>
              </w:rPr>
            </w:pPr>
            <w:r>
              <w:rPr>
                <w:rFonts w:hint="eastAsia" w:ascii="宋体" w:hAnsi="宋体" w:cs="宋体"/>
                <w:b/>
                <w:bCs/>
                <w:kern w:val="0"/>
                <w:szCs w:val="21"/>
              </w:rPr>
              <w:t>数量（种）</w:t>
            </w:r>
          </w:p>
        </w:tc>
      </w:tr>
      <w:tr w14:paraId="6F5ED251">
        <w:tblPrEx>
          <w:tblCellMar>
            <w:top w:w="0" w:type="dxa"/>
            <w:left w:w="108" w:type="dxa"/>
            <w:bottom w:w="0" w:type="dxa"/>
            <w:right w:w="108" w:type="dxa"/>
          </w:tblCellMar>
        </w:tblPrEx>
        <w:trPr>
          <w:trHeight w:val="510" w:hRule="atLeast"/>
        </w:trPr>
        <w:tc>
          <w:tcPr>
            <w:tcW w:w="481" w:type="pct"/>
            <w:tcBorders>
              <w:top w:val="nil"/>
              <w:left w:val="single" w:color="auto" w:sz="4" w:space="0"/>
              <w:bottom w:val="single" w:color="auto" w:sz="8" w:space="0"/>
              <w:right w:val="single" w:color="auto" w:sz="8" w:space="0"/>
            </w:tcBorders>
            <w:shd w:val="clear" w:color="auto" w:fill="auto"/>
            <w:vAlign w:val="center"/>
          </w:tcPr>
          <w:p w14:paraId="7130BE52">
            <w:pPr>
              <w:widowControl/>
              <w:jc w:val="center"/>
              <w:rPr>
                <w:rFonts w:ascii="宋体" w:hAnsi="宋体" w:cs="宋体"/>
                <w:kern w:val="0"/>
                <w:szCs w:val="21"/>
              </w:rPr>
            </w:pPr>
            <w:r>
              <w:rPr>
                <w:rFonts w:hint="eastAsia" w:ascii="宋体" w:hAnsi="宋体" w:cs="宋体"/>
                <w:kern w:val="0"/>
                <w:szCs w:val="21"/>
              </w:rPr>
              <w:t>1</w:t>
            </w:r>
          </w:p>
        </w:tc>
        <w:tc>
          <w:tcPr>
            <w:tcW w:w="579" w:type="pct"/>
            <w:tcBorders>
              <w:top w:val="nil"/>
              <w:left w:val="nil"/>
              <w:bottom w:val="single" w:color="auto" w:sz="8" w:space="0"/>
              <w:right w:val="single" w:color="auto" w:sz="8" w:space="0"/>
            </w:tcBorders>
            <w:shd w:val="clear" w:color="auto" w:fill="auto"/>
            <w:vAlign w:val="center"/>
          </w:tcPr>
          <w:p w14:paraId="76023AC9">
            <w:pPr>
              <w:widowControl/>
              <w:rPr>
                <w:rFonts w:ascii="宋体" w:hAnsi="宋体" w:cs="宋体"/>
                <w:kern w:val="0"/>
                <w:szCs w:val="21"/>
              </w:rPr>
            </w:pPr>
            <w:r>
              <w:rPr>
                <w:rFonts w:hint="eastAsia" w:ascii="宋体" w:hAnsi="宋体" w:cs="宋体"/>
                <w:kern w:val="0"/>
                <w:szCs w:val="21"/>
              </w:rPr>
              <w:t>书目中的图书品种数</w:t>
            </w:r>
          </w:p>
        </w:tc>
        <w:tc>
          <w:tcPr>
            <w:tcW w:w="3939" w:type="pct"/>
            <w:tcBorders>
              <w:top w:val="nil"/>
              <w:left w:val="nil"/>
              <w:bottom w:val="single" w:color="auto" w:sz="8" w:space="0"/>
              <w:right w:val="single" w:color="auto" w:sz="4" w:space="0"/>
            </w:tcBorders>
            <w:shd w:val="clear" w:color="auto" w:fill="auto"/>
            <w:vAlign w:val="center"/>
          </w:tcPr>
          <w:p w14:paraId="4E96198B">
            <w:pPr>
              <w:widowControl/>
              <w:rPr>
                <w:rFonts w:ascii="宋体" w:hAnsi="宋体" w:cs="宋体"/>
                <w:b/>
                <w:bCs/>
                <w:kern w:val="0"/>
                <w:szCs w:val="21"/>
              </w:rPr>
            </w:pPr>
            <w:r>
              <w:rPr>
                <w:rFonts w:hint="eastAsia" w:ascii="宋体" w:hAnsi="宋体" w:cs="宋体"/>
                <w:b/>
                <w:bCs/>
                <w:kern w:val="0"/>
                <w:szCs w:val="21"/>
              </w:rPr>
              <w:t>　</w:t>
            </w:r>
          </w:p>
        </w:tc>
      </w:tr>
      <w:tr w14:paraId="5D3E777D">
        <w:tblPrEx>
          <w:tblCellMar>
            <w:top w:w="0" w:type="dxa"/>
            <w:left w:w="108" w:type="dxa"/>
            <w:bottom w:w="0" w:type="dxa"/>
            <w:right w:w="108" w:type="dxa"/>
          </w:tblCellMar>
        </w:tblPrEx>
        <w:trPr>
          <w:trHeight w:val="1020" w:hRule="atLeast"/>
        </w:trPr>
        <w:tc>
          <w:tcPr>
            <w:tcW w:w="481" w:type="pct"/>
            <w:tcBorders>
              <w:top w:val="nil"/>
              <w:left w:val="single" w:color="auto" w:sz="4" w:space="0"/>
              <w:bottom w:val="single" w:color="auto" w:sz="8" w:space="0"/>
              <w:right w:val="single" w:color="auto" w:sz="8" w:space="0"/>
            </w:tcBorders>
            <w:shd w:val="clear" w:color="auto" w:fill="auto"/>
            <w:vAlign w:val="center"/>
          </w:tcPr>
          <w:p w14:paraId="23B7720D">
            <w:pPr>
              <w:widowControl/>
              <w:jc w:val="center"/>
              <w:rPr>
                <w:rFonts w:ascii="宋体" w:hAnsi="宋体" w:cs="宋体"/>
                <w:kern w:val="0"/>
                <w:szCs w:val="21"/>
              </w:rPr>
            </w:pPr>
            <w:r>
              <w:rPr>
                <w:rFonts w:hint="eastAsia" w:ascii="宋体" w:hAnsi="宋体" w:cs="宋体"/>
                <w:kern w:val="0"/>
                <w:szCs w:val="21"/>
              </w:rPr>
              <w:t>2</w:t>
            </w:r>
          </w:p>
        </w:tc>
        <w:tc>
          <w:tcPr>
            <w:tcW w:w="579" w:type="pct"/>
            <w:tcBorders>
              <w:top w:val="nil"/>
              <w:left w:val="nil"/>
              <w:bottom w:val="single" w:color="auto" w:sz="8" w:space="0"/>
              <w:right w:val="single" w:color="auto" w:sz="8" w:space="0"/>
            </w:tcBorders>
            <w:shd w:val="clear" w:color="auto" w:fill="auto"/>
            <w:vAlign w:val="center"/>
          </w:tcPr>
          <w:p w14:paraId="4F9F23AE">
            <w:pPr>
              <w:widowControl/>
              <w:rPr>
                <w:rFonts w:ascii="宋体" w:hAnsi="宋体" w:cs="宋体"/>
                <w:kern w:val="0"/>
                <w:szCs w:val="21"/>
              </w:rPr>
            </w:pPr>
            <w:r>
              <w:rPr>
                <w:rFonts w:hint="eastAsia" w:ascii="宋体" w:hAnsi="宋体" w:cs="宋体"/>
                <w:kern w:val="0"/>
                <w:szCs w:val="21"/>
              </w:rPr>
              <w:t>教育部推荐图书和广西教育厅推荐图书品种数</w:t>
            </w:r>
          </w:p>
        </w:tc>
        <w:tc>
          <w:tcPr>
            <w:tcW w:w="3939" w:type="pct"/>
            <w:tcBorders>
              <w:top w:val="nil"/>
              <w:left w:val="nil"/>
              <w:bottom w:val="single" w:color="auto" w:sz="8" w:space="0"/>
              <w:right w:val="single" w:color="auto" w:sz="4" w:space="0"/>
            </w:tcBorders>
            <w:shd w:val="clear" w:color="auto" w:fill="auto"/>
            <w:vAlign w:val="center"/>
          </w:tcPr>
          <w:p w14:paraId="2728A494">
            <w:pPr>
              <w:widowControl/>
              <w:rPr>
                <w:rFonts w:ascii="宋体" w:hAnsi="宋体" w:cs="宋体"/>
                <w:kern w:val="0"/>
                <w:szCs w:val="21"/>
              </w:rPr>
            </w:pPr>
            <w:r>
              <w:rPr>
                <w:rFonts w:hint="eastAsia" w:ascii="宋体" w:hAnsi="宋体" w:cs="宋体"/>
                <w:kern w:val="0"/>
                <w:szCs w:val="21"/>
              </w:rPr>
              <w:t>　</w:t>
            </w:r>
          </w:p>
        </w:tc>
      </w:tr>
      <w:tr w14:paraId="3F173563">
        <w:tblPrEx>
          <w:tblCellMar>
            <w:top w:w="0" w:type="dxa"/>
            <w:left w:w="108" w:type="dxa"/>
            <w:bottom w:w="0" w:type="dxa"/>
            <w:right w:w="108" w:type="dxa"/>
          </w:tblCellMar>
        </w:tblPrEx>
        <w:trPr>
          <w:trHeight w:val="510" w:hRule="atLeast"/>
        </w:trPr>
        <w:tc>
          <w:tcPr>
            <w:tcW w:w="481" w:type="pct"/>
            <w:tcBorders>
              <w:top w:val="nil"/>
              <w:left w:val="single" w:color="auto" w:sz="4" w:space="0"/>
              <w:bottom w:val="single" w:color="auto" w:sz="8" w:space="0"/>
              <w:right w:val="single" w:color="auto" w:sz="8" w:space="0"/>
            </w:tcBorders>
            <w:shd w:val="clear" w:color="auto" w:fill="auto"/>
            <w:vAlign w:val="center"/>
          </w:tcPr>
          <w:p w14:paraId="407AD951">
            <w:pPr>
              <w:widowControl/>
              <w:jc w:val="center"/>
              <w:rPr>
                <w:rFonts w:ascii="宋体" w:hAnsi="宋体" w:cs="宋体"/>
                <w:kern w:val="0"/>
                <w:szCs w:val="21"/>
              </w:rPr>
            </w:pPr>
            <w:r>
              <w:rPr>
                <w:rFonts w:hint="eastAsia" w:ascii="宋体" w:hAnsi="宋体" w:cs="宋体"/>
                <w:kern w:val="0"/>
                <w:szCs w:val="21"/>
              </w:rPr>
              <w:t>3</w:t>
            </w:r>
          </w:p>
        </w:tc>
        <w:tc>
          <w:tcPr>
            <w:tcW w:w="579" w:type="pct"/>
            <w:tcBorders>
              <w:top w:val="nil"/>
              <w:left w:val="nil"/>
              <w:bottom w:val="single" w:color="auto" w:sz="8" w:space="0"/>
              <w:right w:val="single" w:color="auto" w:sz="8" w:space="0"/>
            </w:tcBorders>
            <w:shd w:val="clear" w:color="auto" w:fill="auto"/>
            <w:vAlign w:val="center"/>
          </w:tcPr>
          <w:p w14:paraId="43EFC946">
            <w:pPr>
              <w:widowControl/>
              <w:rPr>
                <w:rFonts w:ascii="宋体" w:hAnsi="宋体" w:cs="宋体"/>
                <w:kern w:val="0"/>
                <w:szCs w:val="21"/>
              </w:rPr>
            </w:pPr>
            <w:r>
              <w:rPr>
                <w:rFonts w:hint="eastAsia" w:ascii="宋体" w:hAnsi="宋体" w:cs="宋体"/>
                <w:kern w:val="0"/>
                <w:szCs w:val="21"/>
              </w:rPr>
              <w:t>四色图书品种数</w:t>
            </w:r>
          </w:p>
        </w:tc>
        <w:tc>
          <w:tcPr>
            <w:tcW w:w="3939" w:type="pct"/>
            <w:tcBorders>
              <w:top w:val="nil"/>
              <w:left w:val="nil"/>
              <w:bottom w:val="single" w:color="auto" w:sz="8" w:space="0"/>
              <w:right w:val="single" w:color="auto" w:sz="4" w:space="0"/>
            </w:tcBorders>
            <w:shd w:val="clear" w:color="auto" w:fill="auto"/>
            <w:vAlign w:val="center"/>
          </w:tcPr>
          <w:p w14:paraId="61095BE4">
            <w:pPr>
              <w:widowControl/>
              <w:rPr>
                <w:rFonts w:ascii="宋体" w:hAnsi="宋体" w:cs="宋体"/>
                <w:b/>
                <w:bCs/>
                <w:kern w:val="0"/>
                <w:szCs w:val="21"/>
              </w:rPr>
            </w:pPr>
            <w:r>
              <w:rPr>
                <w:rFonts w:hint="eastAsia" w:ascii="宋体" w:hAnsi="宋体" w:cs="宋体"/>
                <w:b/>
                <w:bCs/>
                <w:kern w:val="0"/>
                <w:szCs w:val="21"/>
              </w:rPr>
              <w:t>　</w:t>
            </w:r>
          </w:p>
        </w:tc>
      </w:tr>
      <w:tr w14:paraId="64B29E38">
        <w:tblPrEx>
          <w:tblCellMar>
            <w:top w:w="0" w:type="dxa"/>
            <w:left w:w="108" w:type="dxa"/>
            <w:bottom w:w="0" w:type="dxa"/>
            <w:right w:w="108" w:type="dxa"/>
          </w:tblCellMar>
        </w:tblPrEx>
        <w:trPr>
          <w:trHeight w:val="765" w:hRule="atLeast"/>
        </w:trPr>
        <w:tc>
          <w:tcPr>
            <w:tcW w:w="481" w:type="pct"/>
            <w:tcBorders>
              <w:top w:val="nil"/>
              <w:left w:val="single" w:color="auto" w:sz="4" w:space="0"/>
              <w:bottom w:val="single" w:color="auto" w:sz="8" w:space="0"/>
              <w:right w:val="single" w:color="auto" w:sz="8" w:space="0"/>
            </w:tcBorders>
            <w:shd w:val="clear" w:color="auto" w:fill="auto"/>
            <w:vAlign w:val="center"/>
          </w:tcPr>
          <w:p w14:paraId="7867DE98">
            <w:pPr>
              <w:widowControl/>
              <w:jc w:val="center"/>
              <w:rPr>
                <w:rFonts w:ascii="宋体" w:hAnsi="宋体" w:cs="宋体"/>
                <w:kern w:val="0"/>
                <w:szCs w:val="21"/>
              </w:rPr>
            </w:pPr>
            <w:r>
              <w:rPr>
                <w:rFonts w:hint="eastAsia" w:ascii="宋体" w:hAnsi="宋体" w:cs="宋体"/>
                <w:kern w:val="0"/>
                <w:szCs w:val="21"/>
              </w:rPr>
              <w:t>4</w:t>
            </w:r>
          </w:p>
        </w:tc>
        <w:tc>
          <w:tcPr>
            <w:tcW w:w="579" w:type="pct"/>
            <w:tcBorders>
              <w:top w:val="nil"/>
              <w:left w:val="nil"/>
              <w:bottom w:val="single" w:color="auto" w:sz="8" w:space="0"/>
              <w:right w:val="single" w:color="auto" w:sz="8" w:space="0"/>
            </w:tcBorders>
            <w:shd w:val="clear" w:color="auto" w:fill="auto"/>
            <w:vAlign w:val="center"/>
          </w:tcPr>
          <w:p w14:paraId="43D35FEF">
            <w:pPr>
              <w:widowControl/>
              <w:rPr>
                <w:rFonts w:ascii="宋体" w:hAnsi="宋体" w:cs="宋体"/>
                <w:kern w:val="0"/>
                <w:szCs w:val="21"/>
              </w:rPr>
            </w:pPr>
            <w:r>
              <w:rPr>
                <w:rFonts w:hint="eastAsia" w:ascii="宋体" w:hAnsi="宋体" w:cs="宋体"/>
                <w:kern w:val="0"/>
                <w:szCs w:val="21"/>
              </w:rPr>
              <w:t>全国百佳出版社出版的图书品种数</w:t>
            </w:r>
          </w:p>
        </w:tc>
        <w:tc>
          <w:tcPr>
            <w:tcW w:w="3939" w:type="pct"/>
            <w:tcBorders>
              <w:top w:val="nil"/>
              <w:left w:val="nil"/>
              <w:bottom w:val="single" w:color="auto" w:sz="8" w:space="0"/>
              <w:right w:val="single" w:color="auto" w:sz="4" w:space="0"/>
            </w:tcBorders>
            <w:shd w:val="clear" w:color="auto" w:fill="auto"/>
            <w:vAlign w:val="center"/>
          </w:tcPr>
          <w:p w14:paraId="1F143143">
            <w:pPr>
              <w:widowControl/>
              <w:rPr>
                <w:rFonts w:ascii="宋体" w:hAnsi="宋体" w:cs="宋体"/>
                <w:b/>
                <w:bCs/>
                <w:kern w:val="0"/>
                <w:szCs w:val="21"/>
              </w:rPr>
            </w:pPr>
            <w:r>
              <w:rPr>
                <w:rFonts w:hint="eastAsia" w:ascii="宋体" w:hAnsi="宋体" w:cs="宋体"/>
                <w:b/>
                <w:bCs/>
                <w:kern w:val="0"/>
                <w:szCs w:val="21"/>
              </w:rPr>
              <w:t>　</w:t>
            </w:r>
          </w:p>
        </w:tc>
      </w:tr>
      <w:tr w14:paraId="6EABF9A7">
        <w:tblPrEx>
          <w:tblCellMar>
            <w:top w:w="0" w:type="dxa"/>
            <w:left w:w="108" w:type="dxa"/>
            <w:bottom w:w="0" w:type="dxa"/>
            <w:right w:w="108" w:type="dxa"/>
          </w:tblCellMar>
        </w:tblPrEx>
        <w:trPr>
          <w:trHeight w:val="930" w:hRule="atLeast"/>
        </w:trPr>
        <w:tc>
          <w:tcPr>
            <w:tcW w:w="5000" w:type="pct"/>
            <w:gridSpan w:val="3"/>
            <w:tcBorders>
              <w:top w:val="single" w:color="auto" w:sz="8" w:space="0"/>
              <w:left w:val="single" w:color="auto" w:sz="4" w:space="0"/>
              <w:bottom w:val="nil"/>
              <w:right w:val="single" w:color="auto" w:sz="4" w:space="0"/>
            </w:tcBorders>
            <w:shd w:val="clear" w:color="auto" w:fill="auto"/>
            <w:vAlign w:val="center"/>
          </w:tcPr>
          <w:p w14:paraId="336CC41A">
            <w:pPr>
              <w:widowControl/>
              <w:jc w:val="left"/>
              <w:rPr>
                <w:rFonts w:ascii="宋体" w:hAnsi="宋体" w:cs="宋体"/>
                <w:b/>
                <w:bCs/>
                <w:kern w:val="0"/>
                <w:szCs w:val="21"/>
              </w:rPr>
            </w:pPr>
            <w:r>
              <w:rPr>
                <w:rFonts w:hint="eastAsia" w:ascii="宋体" w:hAnsi="宋体" w:cs="宋体"/>
                <w:b/>
                <w:bCs/>
                <w:kern w:val="0"/>
                <w:szCs w:val="21"/>
              </w:rPr>
              <w:t>注：本表所填数据作为本项目的评分依据，若投标人未如实填写，一经查实，按照无效投标处理，采购人有权单方面提出终止合同，与排位在中标人之后第一位的中标候选人另行签订合同。</w:t>
            </w:r>
          </w:p>
        </w:tc>
      </w:tr>
      <w:tr w14:paraId="30E6388D">
        <w:tblPrEx>
          <w:tblCellMar>
            <w:top w:w="0" w:type="dxa"/>
            <w:left w:w="108" w:type="dxa"/>
            <w:bottom w:w="0" w:type="dxa"/>
            <w:right w:w="108" w:type="dxa"/>
          </w:tblCellMar>
        </w:tblPrEx>
        <w:trPr>
          <w:trHeight w:val="270" w:hRule="atLeast"/>
        </w:trPr>
        <w:tc>
          <w:tcPr>
            <w:tcW w:w="481" w:type="pct"/>
            <w:tcBorders>
              <w:top w:val="nil"/>
              <w:left w:val="single" w:color="auto" w:sz="4" w:space="0"/>
              <w:bottom w:val="nil"/>
              <w:right w:val="nil"/>
            </w:tcBorders>
            <w:shd w:val="clear" w:color="auto" w:fill="auto"/>
            <w:noWrap/>
            <w:vAlign w:val="center"/>
          </w:tcPr>
          <w:p w14:paraId="56955E33">
            <w:pPr>
              <w:widowControl/>
              <w:jc w:val="left"/>
              <w:rPr>
                <w:rFonts w:ascii="宋体" w:hAnsi="宋体" w:cs="宋体"/>
                <w:b/>
                <w:bCs/>
                <w:kern w:val="0"/>
                <w:szCs w:val="21"/>
              </w:rPr>
            </w:pPr>
          </w:p>
        </w:tc>
        <w:tc>
          <w:tcPr>
            <w:tcW w:w="579" w:type="pct"/>
            <w:tcBorders>
              <w:top w:val="nil"/>
              <w:left w:val="nil"/>
              <w:bottom w:val="nil"/>
              <w:right w:val="nil"/>
            </w:tcBorders>
            <w:shd w:val="clear" w:color="auto" w:fill="auto"/>
            <w:noWrap/>
            <w:vAlign w:val="center"/>
          </w:tcPr>
          <w:p w14:paraId="3B4B9EF9">
            <w:pPr>
              <w:widowControl/>
              <w:rPr>
                <w:rFonts w:eastAsia="Times New Roman"/>
                <w:kern w:val="0"/>
                <w:sz w:val="20"/>
                <w:szCs w:val="20"/>
              </w:rPr>
            </w:pPr>
          </w:p>
        </w:tc>
        <w:tc>
          <w:tcPr>
            <w:tcW w:w="3939" w:type="pct"/>
            <w:tcBorders>
              <w:top w:val="nil"/>
              <w:left w:val="nil"/>
              <w:bottom w:val="nil"/>
              <w:right w:val="single" w:color="auto" w:sz="4" w:space="0"/>
            </w:tcBorders>
            <w:shd w:val="clear" w:color="auto" w:fill="auto"/>
            <w:noWrap/>
            <w:vAlign w:val="center"/>
          </w:tcPr>
          <w:p w14:paraId="5F1E8521">
            <w:pPr>
              <w:widowControl/>
              <w:jc w:val="left"/>
              <w:rPr>
                <w:rFonts w:eastAsia="Times New Roman"/>
                <w:kern w:val="0"/>
                <w:sz w:val="20"/>
                <w:szCs w:val="20"/>
              </w:rPr>
            </w:pPr>
          </w:p>
        </w:tc>
      </w:tr>
      <w:tr w14:paraId="25BABEE0">
        <w:tblPrEx>
          <w:tblCellMar>
            <w:top w:w="0" w:type="dxa"/>
            <w:left w:w="108" w:type="dxa"/>
            <w:bottom w:w="0" w:type="dxa"/>
            <w:right w:w="108" w:type="dxa"/>
          </w:tblCellMar>
        </w:tblPrEx>
        <w:trPr>
          <w:trHeight w:val="270" w:hRule="atLeast"/>
        </w:trPr>
        <w:tc>
          <w:tcPr>
            <w:tcW w:w="5000" w:type="pct"/>
            <w:gridSpan w:val="3"/>
            <w:tcBorders>
              <w:top w:val="nil"/>
              <w:left w:val="single" w:color="auto" w:sz="4" w:space="0"/>
              <w:bottom w:val="nil"/>
              <w:right w:val="single" w:color="auto" w:sz="4" w:space="0"/>
            </w:tcBorders>
            <w:shd w:val="clear" w:color="auto" w:fill="auto"/>
            <w:noWrap/>
            <w:vAlign w:val="center"/>
          </w:tcPr>
          <w:p w14:paraId="0B1452D7">
            <w:pPr>
              <w:widowControl/>
              <w:jc w:val="left"/>
              <w:rPr>
                <w:rFonts w:ascii="宋体" w:hAnsi="宋体" w:cs="宋体"/>
                <w:kern w:val="0"/>
                <w:szCs w:val="21"/>
              </w:rPr>
            </w:pPr>
            <w:r>
              <w:rPr>
                <w:rFonts w:hint="eastAsia" w:ascii="宋体" w:hAnsi="宋体" w:cs="宋体"/>
                <w:kern w:val="0"/>
                <w:szCs w:val="21"/>
              </w:rPr>
              <w:t>投标人（盖单位公章）：</w:t>
            </w:r>
            <w:r>
              <w:rPr>
                <w:rFonts w:hint="eastAsia" w:ascii="宋体" w:hAnsi="宋体" w:cs="宋体"/>
                <w:kern w:val="0"/>
                <w:szCs w:val="21"/>
                <w:u w:val="single"/>
              </w:rPr>
              <w:t xml:space="preserve">                                    </w:t>
            </w:r>
          </w:p>
        </w:tc>
      </w:tr>
      <w:tr w14:paraId="37D9D219">
        <w:tblPrEx>
          <w:tblCellMar>
            <w:top w:w="0" w:type="dxa"/>
            <w:left w:w="108" w:type="dxa"/>
            <w:bottom w:w="0" w:type="dxa"/>
            <w:right w:w="108" w:type="dxa"/>
          </w:tblCellMar>
        </w:tblPrEx>
        <w:trPr>
          <w:trHeight w:val="270" w:hRule="atLeast"/>
        </w:trPr>
        <w:tc>
          <w:tcPr>
            <w:tcW w:w="481" w:type="pct"/>
            <w:tcBorders>
              <w:top w:val="nil"/>
              <w:left w:val="single" w:color="auto" w:sz="4" w:space="0"/>
              <w:bottom w:val="nil"/>
              <w:right w:val="nil"/>
            </w:tcBorders>
            <w:shd w:val="clear" w:color="auto" w:fill="auto"/>
            <w:noWrap/>
            <w:vAlign w:val="center"/>
          </w:tcPr>
          <w:p w14:paraId="083956C5">
            <w:pPr>
              <w:widowControl/>
              <w:jc w:val="left"/>
              <w:rPr>
                <w:rFonts w:ascii="宋体" w:hAnsi="宋体" w:cs="宋体"/>
                <w:kern w:val="0"/>
                <w:szCs w:val="21"/>
              </w:rPr>
            </w:pPr>
          </w:p>
        </w:tc>
        <w:tc>
          <w:tcPr>
            <w:tcW w:w="579" w:type="pct"/>
            <w:tcBorders>
              <w:top w:val="nil"/>
              <w:left w:val="nil"/>
              <w:bottom w:val="nil"/>
              <w:right w:val="nil"/>
            </w:tcBorders>
            <w:shd w:val="clear" w:color="auto" w:fill="auto"/>
            <w:noWrap/>
            <w:vAlign w:val="center"/>
          </w:tcPr>
          <w:p w14:paraId="1AC26A4F">
            <w:pPr>
              <w:widowControl/>
              <w:rPr>
                <w:rFonts w:eastAsia="Times New Roman"/>
                <w:kern w:val="0"/>
                <w:sz w:val="20"/>
                <w:szCs w:val="20"/>
              </w:rPr>
            </w:pPr>
          </w:p>
        </w:tc>
        <w:tc>
          <w:tcPr>
            <w:tcW w:w="3939" w:type="pct"/>
            <w:tcBorders>
              <w:top w:val="nil"/>
              <w:left w:val="nil"/>
              <w:bottom w:val="nil"/>
              <w:right w:val="single" w:color="auto" w:sz="4" w:space="0"/>
            </w:tcBorders>
            <w:shd w:val="clear" w:color="auto" w:fill="auto"/>
            <w:noWrap/>
            <w:vAlign w:val="center"/>
          </w:tcPr>
          <w:p w14:paraId="2F7508A8">
            <w:pPr>
              <w:widowControl/>
              <w:jc w:val="left"/>
              <w:rPr>
                <w:rFonts w:eastAsia="Times New Roman"/>
                <w:kern w:val="0"/>
                <w:sz w:val="20"/>
                <w:szCs w:val="20"/>
              </w:rPr>
            </w:pPr>
          </w:p>
        </w:tc>
      </w:tr>
      <w:tr w14:paraId="3F0DE6F3">
        <w:tblPrEx>
          <w:tblCellMar>
            <w:top w:w="0" w:type="dxa"/>
            <w:left w:w="108" w:type="dxa"/>
            <w:bottom w:w="0" w:type="dxa"/>
            <w:right w:w="108" w:type="dxa"/>
          </w:tblCellMar>
        </w:tblPrEx>
        <w:trPr>
          <w:trHeight w:val="270" w:hRule="atLeast"/>
        </w:trPr>
        <w:tc>
          <w:tcPr>
            <w:tcW w:w="5000" w:type="pct"/>
            <w:gridSpan w:val="3"/>
            <w:tcBorders>
              <w:top w:val="nil"/>
              <w:left w:val="single" w:color="auto" w:sz="4" w:space="0"/>
              <w:bottom w:val="nil"/>
              <w:right w:val="single" w:color="auto" w:sz="4" w:space="0"/>
            </w:tcBorders>
            <w:shd w:val="clear" w:color="auto" w:fill="auto"/>
            <w:noWrap/>
            <w:vAlign w:val="center"/>
          </w:tcPr>
          <w:p w14:paraId="3A5DE458">
            <w:pPr>
              <w:widowControl/>
              <w:jc w:val="left"/>
              <w:rPr>
                <w:rFonts w:ascii="宋体" w:hAnsi="宋体" w:cs="宋体"/>
                <w:kern w:val="0"/>
                <w:szCs w:val="21"/>
              </w:rPr>
            </w:pPr>
            <w:r>
              <w:rPr>
                <w:rFonts w:hint="eastAsia" w:ascii="宋体" w:hAnsi="宋体" w:cs="宋体"/>
                <w:kern w:val="0"/>
                <w:szCs w:val="21"/>
              </w:rPr>
              <w:t>法定代表人（负责人）或其委托代理人（签字或盖章）：</w:t>
            </w:r>
            <w:r>
              <w:rPr>
                <w:rFonts w:hint="eastAsia" w:ascii="宋体" w:hAnsi="宋体" w:cs="宋体"/>
                <w:kern w:val="0"/>
                <w:szCs w:val="21"/>
                <w:u w:val="single"/>
              </w:rPr>
              <w:t xml:space="preserve">                  </w:t>
            </w:r>
          </w:p>
        </w:tc>
      </w:tr>
      <w:tr w14:paraId="60EB50B6">
        <w:tblPrEx>
          <w:tblCellMar>
            <w:top w:w="0" w:type="dxa"/>
            <w:left w:w="108" w:type="dxa"/>
            <w:bottom w:w="0" w:type="dxa"/>
            <w:right w:w="108" w:type="dxa"/>
          </w:tblCellMar>
        </w:tblPrEx>
        <w:trPr>
          <w:trHeight w:val="270" w:hRule="atLeast"/>
        </w:trPr>
        <w:tc>
          <w:tcPr>
            <w:tcW w:w="481" w:type="pct"/>
            <w:tcBorders>
              <w:top w:val="nil"/>
              <w:left w:val="single" w:color="auto" w:sz="4" w:space="0"/>
              <w:bottom w:val="nil"/>
              <w:right w:val="nil"/>
            </w:tcBorders>
            <w:shd w:val="clear" w:color="auto" w:fill="auto"/>
            <w:noWrap/>
            <w:vAlign w:val="center"/>
          </w:tcPr>
          <w:p w14:paraId="1361D019">
            <w:pPr>
              <w:widowControl/>
              <w:jc w:val="left"/>
              <w:rPr>
                <w:rFonts w:ascii="宋体" w:hAnsi="宋体" w:cs="宋体"/>
                <w:kern w:val="0"/>
                <w:szCs w:val="21"/>
              </w:rPr>
            </w:pPr>
          </w:p>
        </w:tc>
        <w:tc>
          <w:tcPr>
            <w:tcW w:w="579" w:type="pct"/>
            <w:tcBorders>
              <w:top w:val="nil"/>
              <w:left w:val="nil"/>
              <w:bottom w:val="nil"/>
              <w:right w:val="nil"/>
            </w:tcBorders>
            <w:shd w:val="clear" w:color="auto" w:fill="auto"/>
            <w:noWrap/>
            <w:vAlign w:val="center"/>
          </w:tcPr>
          <w:p w14:paraId="2A78FE10">
            <w:pPr>
              <w:widowControl/>
              <w:jc w:val="left"/>
              <w:rPr>
                <w:rFonts w:eastAsia="Times New Roman"/>
                <w:kern w:val="0"/>
                <w:sz w:val="20"/>
                <w:szCs w:val="20"/>
              </w:rPr>
            </w:pPr>
          </w:p>
        </w:tc>
        <w:tc>
          <w:tcPr>
            <w:tcW w:w="3939" w:type="pct"/>
            <w:tcBorders>
              <w:top w:val="nil"/>
              <w:left w:val="nil"/>
              <w:bottom w:val="nil"/>
              <w:right w:val="single" w:color="auto" w:sz="4" w:space="0"/>
            </w:tcBorders>
            <w:shd w:val="clear" w:color="auto" w:fill="auto"/>
            <w:noWrap/>
            <w:vAlign w:val="center"/>
          </w:tcPr>
          <w:p w14:paraId="7EB78161">
            <w:pPr>
              <w:widowControl/>
              <w:jc w:val="left"/>
              <w:rPr>
                <w:rFonts w:eastAsia="Times New Roman"/>
                <w:kern w:val="0"/>
                <w:sz w:val="20"/>
                <w:szCs w:val="20"/>
              </w:rPr>
            </w:pPr>
          </w:p>
        </w:tc>
      </w:tr>
      <w:tr w14:paraId="1672BF39">
        <w:tblPrEx>
          <w:tblCellMar>
            <w:top w:w="0" w:type="dxa"/>
            <w:left w:w="108" w:type="dxa"/>
            <w:bottom w:w="0" w:type="dxa"/>
            <w:right w:w="108" w:type="dxa"/>
          </w:tblCellMar>
        </w:tblPrEx>
        <w:trPr>
          <w:trHeight w:val="285" w:hRule="atLeast"/>
        </w:trPr>
        <w:tc>
          <w:tcPr>
            <w:tcW w:w="481" w:type="pct"/>
            <w:tcBorders>
              <w:top w:val="nil"/>
              <w:left w:val="single" w:color="auto" w:sz="4" w:space="0"/>
              <w:bottom w:val="single" w:color="auto" w:sz="4" w:space="0"/>
              <w:right w:val="nil"/>
            </w:tcBorders>
            <w:shd w:val="clear" w:color="auto" w:fill="auto"/>
            <w:noWrap/>
            <w:vAlign w:val="center"/>
          </w:tcPr>
          <w:p w14:paraId="3E84344D">
            <w:pPr>
              <w:widowControl/>
              <w:jc w:val="left"/>
              <w:rPr>
                <w:rFonts w:eastAsia="Times New Roman"/>
                <w:kern w:val="0"/>
                <w:sz w:val="20"/>
                <w:szCs w:val="20"/>
              </w:rPr>
            </w:pPr>
          </w:p>
        </w:tc>
        <w:tc>
          <w:tcPr>
            <w:tcW w:w="579" w:type="pct"/>
            <w:tcBorders>
              <w:top w:val="nil"/>
              <w:left w:val="nil"/>
              <w:bottom w:val="single" w:color="auto" w:sz="4" w:space="0"/>
              <w:right w:val="nil"/>
            </w:tcBorders>
            <w:shd w:val="clear" w:color="auto" w:fill="auto"/>
            <w:noWrap/>
            <w:vAlign w:val="center"/>
          </w:tcPr>
          <w:p w14:paraId="70D7542C">
            <w:pPr>
              <w:widowControl/>
              <w:rPr>
                <w:rFonts w:eastAsia="Times New Roman"/>
                <w:kern w:val="0"/>
                <w:sz w:val="20"/>
                <w:szCs w:val="20"/>
              </w:rPr>
            </w:pPr>
          </w:p>
        </w:tc>
        <w:tc>
          <w:tcPr>
            <w:tcW w:w="3939" w:type="pct"/>
            <w:tcBorders>
              <w:top w:val="nil"/>
              <w:left w:val="nil"/>
              <w:bottom w:val="single" w:color="auto" w:sz="4" w:space="0"/>
              <w:right w:val="single" w:color="auto" w:sz="4" w:space="0"/>
            </w:tcBorders>
            <w:shd w:val="clear" w:color="auto" w:fill="auto"/>
            <w:noWrap/>
            <w:vAlign w:val="center"/>
          </w:tcPr>
          <w:p w14:paraId="0FC512E6">
            <w:pPr>
              <w:widowControl/>
              <w:jc w:val="left"/>
              <w:rPr>
                <w:rFonts w:eastAsia="Times New Roman"/>
                <w:kern w:val="0"/>
                <w:sz w:val="20"/>
                <w:szCs w:val="20"/>
              </w:rPr>
            </w:pPr>
          </w:p>
        </w:tc>
      </w:tr>
    </w:tbl>
    <w:p w14:paraId="4B1EB3FD">
      <w:pPr>
        <w:spacing w:line="360" w:lineRule="auto"/>
        <w:rPr>
          <w:rFonts w:ascii="宋体" w:hAnsi="宋体" w:cs="宋体"/>
        </w:rPr>
      </w:pPr>
    </w:p>
    <w:p w14:paraId="73EBD948">
      <w:pPr>
        <w:spacing w:line="360" w:lineRule="auto"/>
        <w:rPr>
          <w:rFonts w:ascii="宋体" w:hAnsi="宋体" w:cs="宋体"/>
        </w:rPr>
      </w:pPr>
    </w:p>
    <w:p w14:paraId="39FBA055">
      <w:pPr>
        <w:spacing w:line="360" w:lineRule="auto"/>
        <w:rPr>
          <w:rFonts w:ascii="宋体" w:hAnsi="宋体" w:cs="宋体"/>
        </w:rPr>
      </w:pPr>
    </w:p>
    <w:p w14:paraId="0542BC6B">
      <w:pPr>
        <w:spacing w:line="360" w:lineRule="auto"/>
        <w:rPr>
          <w:rFonts w:ascii="宋体" w:hAnsi="宋体" w:cs="宋体"/>
        </w:rPr>
      </w:pPr>
    </w:p>
    <w:p w14:paraId="6C42F8AF">
      <w:pPr>
        <w:spacing w:line="360" w:lineRule="auto"/>
        <w:rPr>
          <w:rFonts w:ascii="宋体" w:hAnsi="宋体" w:cs="宋体"/>
        </w:rPr>
      </w:pPr>
    </w:p>
    <w:p w14:paraId="604B4B08">
      <w:pPr>
        <w:spacing w:line="360" w:lineRule="auto"/>
        <w:rPr>
          <w:rFonts w:ascii="宋体" w:hAnsi="宋体" w:cs="宋体"/>
        </w:rPr>
      </w:pPr>
    </w:p>
    <w:p w14:paraId="438A5CAE">
      <w:pPr>
        <w:spacing w:line="360" w:lineRule="auto"/>
        <w:rPr>
          <w:rFonts w:ascii="宋体" w:hAnsi="宋体" w:cs="宋体"/>
        </w:rPr>
      </w:pPr>
    </w:p>
    <w:p w14:paraId="2E1252D5">
      <w:pPr>
        <w:spacing w:line="360" w:lineRule="auto"/>
        <w:rPr>
          <w:rFonts w:ascii="宋体" w:hAnsi="宋体" w:cs="宋体"/>
        </w:rPr>
      </w:pPr>
    </w:p>
    <w:tbl>
      <w:tblPr>
        <w:tblStyle w:val="24"/>
        <w:tblW w:w="5000" w:type="pct"/>
        <w:tblInd w:w="0" w:type="dxa"/>
        <w:tblLayout w:type="autofit"/>
        <w:tblCellMar>
          <w:top w:w="0" w:type="dxa"/>
          <w:left w:w="108" w:type="dxa"/>
          <w:bottom w:w="0" w:type="dxa"/>
          <w:right w:w="108" w:type="dxa"/>
        </w:tblCellMar>
      </w:tblPr>
      <w:tblGrid>
        <w:gridCol w:w="1316"/>
        <w:gridCol w:w="2873"/>
        <w:gridCol w:w="1350"/>
        <w:gridCol w:w="1253"/>
        <w:gridCol w:w="3170"/>
      </w:tblGrid>
      <w:tr w14:paraId="586F20AD">
        <w:tblPrEx>
          <w:tblCellMar>
            <w:top w:w="0" w:type="dxa"/>
            <w:left w:w="108" w:type="dxa"/>
            <w:bottom w:w="0" w:type="dxa"/>
            <w:right w:w="108" w:type="dxa"/>
          </w:tblCellMar>
        </w:tblPrEx>
        <w:trPr>
          <w:trHeight w:val="270" w:hRule="atLeast"/>
        </w:trPr>
        <w:tc>
          <w:tcPr>
            <w:tcW w:w="452" w:type="pct"/>
            <w:tcBorders>
              <w:top w:val="single" w:color="auto" w:sz="4" w:space="0"/>
              <w:left w:val="single" w:color="auto" w:sz="4" w:space="0"/>
              <w:bottom w:val="nil"/>
              <w:right w:val="nil"/>
            </w:tcBorders>
            <w:shd w:val="clear" w:color="auto" w:fill="auto"/>
            <w:noWrap/>
            <w:vAlign w:val="center"/>
          </w:tcPr>
          <w:p w14:paraId="10008422">
            <w:pPr>
              <w:widowControl/>
              <w:rPr>
                <w:rFonts w:ascii="黑体" w:hAnsi="黑体" w:eastAsia="黑体" w:cs="宋体"/>
                <w:kern w:val="0"/>
                <w:szCs w:val="21"/>
              </w:rPr>
            </w:pPr>
            <w:r>
              <w:rPr>
                <w:rFonts w:hint="eastAsia" w:ascii="黑体" w:hAnsi="黑体" w:eastAsia="黑体" w:cs="宋体"/>
                <w:kern w:val="0"/>
                <w:szCs w:val="21"/>
              </w:rPr>
              <w:t>附件3</w:t>
            </w:r>
          </w:p>
        </w:tc>
        <w:tc>
          <w:tcPr>
            <w:tcW w:w="2224" w:type="pct"/>
            <w:gridSpan w:val="2"/>
            <w:tcBorders>
              <w:top w:val="single" w:color="auto" w:sz="4" w:space="0"/>
              <w:left w:val="nil"/>
              <w:bottom w:val="nil"/>
              <w:right w:val="nil"/>
            </w:tcBorders>
            <w:shd w:val="clear" w:color="auto" w:fill="auto"/>
            <w:noWrap/>
            <w:vAlign w:val="center"/>
          </w:tcPr>
          <w:p w14:paraId="7ED9BC27">
            <w:pPr>
              <w:widowControl/>
              <w:jc w:val="left"/>
              <w:rPr>
                <w:rFonts w:ascii="宋体" w:hAnsi="宋体" w:cs="宋体"/>
                <w:kern w:val="0"/>
                <w:sz w:val="22"/>
              </w:rPr>
            </w:pPr>
            <w:r>
              <w:rPr>
                <w:rFonts w:hint="eastAsia" w:ascii="宋体" w:hAnsi="宋体" w:cs="宋体"/>
                <w:kern w:val="0"/>
                <w:sz w:val="22"/>
              </w:rPr>
              <w:t>图书加工合格证明（验收时提供）</w:t>
            </w:r>
          </w:p>
        </w:tc>
        <w:tc>
          <w:tcPr>
            <w:tcW w:w="681" w:type="pct"/>
            <w:tcBorders>
              <w:top w:val="single" w:color="auto" w:sz="4" w:space="0"/>
              <w:left w:val="nil"/>
              <w:bottom w:val="nil"/>
              <w:right w:val="nil"/>
            </w:tcBorders>
            <w:shd w:val="clear" w:color="auto" w:fill="auto"/>
            <w:noWrap/>
            <w:vAlign w:val="center"/>
          </w:tcPr>
          <w:p w14:paraId="02142007">
            <w:pPr>
              <w:widowControl/>
              <w:jc w:val="left"/>
              <w:rPr>
                <w:rFonts w:ascii="宋体" w:hAnsi="宋体" w:cs="宋体"/>
                <w:kern w:val="0"/>
                <w:sz w:val="22"/>
              </w:rPr>
            </w:pPr>
          </w:p>
        </w:tc>
        <w:tc>
          <w:tcPr>
            <w:tcW w:w="1643" w:type="pct"/>
            <w:tcBorders>
              <w:top w:val="single" w:color="auto" w:sz="4" w:space="0"/>
              <w:left w:val="nil"/>
              <w:bottom w:val="nil"/>
              <w:right w:val="single" w:color="auto" w:sz="4" w:space="0"/>
            </w:tcBorders>
            <w:shd w:val="clear" w:color="auto" w:fill="auto"/>
            <w:noWrap/>
            <w:vAlign w:val="center"/>
          </w:tcPr>
          <w:p w14:paraId="591D69C2">
            <w:pPr>
              <w:widowControl/>
              <w:jc w:val="left"/>
              <w:rPr>
                <w:rFonts w:eastAsia="Times New Roman"/>
                <w:kern w:val="0"/>
                <w:sz w:val="20"/>
                <w:szCs w:val="20"/>
              </w:rPr>
            </w:pPr>
          </w:p>
        </w:tc>
      </w:tr>
      <w:tr w14:paraId="7A12A518">
        <w:tblPrEx>
          <w:tblCellMar>
            <w:top w:w="0" w:type="dxa"/>
            <w:left w:w="108" w:type="dxa"/>
            <w:bottom w:w="0" w:type="dxa"/>
            <w:right w:w="108" w:type="dxa"/>
          </w:tblCellMar>
        </w:tblPrEx>
        <w:trPr>
          <w:trHeight w:val="285" w:hRule="atLeast"/>
        </w:trPr>
        <w:tc>
          <w:tcPr>
            <w:tcW w:w="452" w:type="pct"/>
            <w:tcBorders>
              <w:top w:val="nil"/>
              <w:left w:val="single" w:color="auto" w:sz="4" w:space="0"/>
              <w:bottom w:val="nil"/>
              <w:right w:val="nil"/>
            </w:tcBorders>
            <w:shd w:val="clear" w:color="auto" w:fill="auto"/>
            <w:noWrap/>
            <w:vAlign w:val="center"/>
          </w:tcPr>
          <w:p w14:paraId="3A457E97">
            <w:pPr>
              <w:widowControl/>
              <w:jc w:val="left"/>
              <w:rPr>
                <w:rFonts w:eastAsia="Times New Roman"/>
                <w:kern w:val="0"/>
                <w:sz w:val="20"/>
                <w:szCs w:val="20"/>
              </w:rPr>
            </w:pPr>
          </w:p>
        </w:tc>
        <w:tc>
          <w:tcPr>
            <w:tcW w:w="1494" w:type="pct"/>
            <w:tcBorders>
              <w:top w:val="nil"/>
              <w:left w:val="nil"/>
              <w:bottom w:val="nil"/>
              <w:right w:val="nil"/>
            </w:tcBorders>
            <w:shd w:val="clear" w:color="auto" w:fill="auto"/>
            <w:noWrap/>
            <w:vAlign w:val="center"/>
          </w:tcPr>
          <w:p w14:paraId="1716365B">
            <w:pPr>
              <w:widowControl/>
              <w:rPr>
                <w:rFonts w:eastAsia="Times New Roman"/>
                <w:kern w:val="0"/>
                <w:sz w:val="20"/>
                <w:szCs w:val="20"/>
              </w:rPr>
            </w:pPr>
          </w:p>
        </w:tc>
        <w:tc>
          <w:tcPr>
            <w:tcW w:w="730" w:type="pct"/>
            <w:tcBorders>
              <w:top w:val="nil"/>
              <w:left w:val="nil"/>
              <w:bottom w:val="nil"/>
              <w:right w:val="nil"/>
            </w:tcBorders>
            <w:shd w:val="clear" w:color="auto" w:fill="auto"/>
            <w:noWrap/>
            <w:vAlign w:val="center"/>
          </w:tcPr>
          <w:p w14:paraId="4A30102F">
            <w:pPr>
              <w:widowControl/>
              <w:jc w:val="left"/>
              <w:rPr>
                <w:rFonts w:eastAsia="Times New Roman"/>
                <w:kern w:val="0"/>
                <w:sz w:val="20"/>
                <w:szCs w:val="20"/>
              </w:rPr>
            </w:pPr>
          </w:p>
        </w:tc>
        <w:tc>
          <w:tcPr>
            <w:tcW w:w="681" w:type="pct"/>
            <w:tcBorders>
              <w:top w:val="nil"/>
              <w:left w:val="nil"/>
              <w:bottom w:val="nil"/>
              <w:right w:val="nil"/>
            </w:tcBorders>
            <w:shd w:val="clear" w:color="auto" w:fill="auto"/>
            <w:noWrap/>
            <w:vAlign w:val="center"/>
          </w:tcPr>
          <w:p w14:paraId="30E9ADB9">
            <w:pPr>
              <w:widowControl/>
              <w:jc w:val="left"/>
              <w:rPr>
                <w:rFonts w:eastAsia="Times New Roman"/>
                <w:kern w:val="0"/>
                <w:sz w:val="20"/>
                <w:szCs w:val="20"/>
              </w:rPr>
            </w:pPr>
          </w:p>
        </w:tc>
        <w:tc>
          <w:tcPr>
            <w:tcW w:w="1643" w:type="pct"/>
            <w:tcBorders>
              <w:top w:val="nil"/>
              <w:left w:val="nil"/>
              <w:bottom w:val="nil"/>
              <w:right w:val="single" w:color="auto" w:sz="4" w:space="0"/>
            </w:tcBorders>
            <w:shd w:val="clear" w:color="auto" w:fill="auto"/>
            <w:noWrap/>
            <w:vAlign w:val="center"/>
          </w:tcPr>
          <w:p w14:paraId="0FBA5319">
            <w:pPr>
              <w:widowControl/>
              <w:jc w:val="left"/>
              <w:rPr>
                <w:rFonts w:eastAsia="Times New Roman"/>
                <w:kern w:val="0"/>
                <w:sz w:val="20"/>
                <w:szCs w:val="20"/>
              </w:rPr>
            </w:pPr>
          </w:p>
        </w:tc>
      </w:tr>
      <w:tr w14:paraId="1CDA6451">
        <w:tblPrEx>
          <w:tblCellMar>
            <w:top w:w="0" w:type="dxa"/>
            <w:left w:w="108" w:type="dxa"/>
            <w:bottom w:w="0" w:type="dxa"/>
            <w:right w:w="108" w:type="dxa"/>
          </w:tblCellMar>
        </w:tblPrEx>
        <w:trPr>
          <w:trHeight w:val="405"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85480B5">
            <w:pPr>
              <w:widowControl/>
              <w:jc w:val="center"/>
              <w:rPr>
                <w:rFonts w:ascii="黑体" w:hAnsi="黑体" w:eastAsia="黑体" w:cs="宋体"/>
                <w:kern w:val="0"/>
                <w:sz w:val="32"/>
                <w:szCs w:val="32"/>
              </w:rPr>
            </w:pPr>
            <w:r>
              <w:rPr>
                <w:rFonts w:hint="eastAsia" w:ascii="黑体" w:hAnsi="黑体" w:eastAsia="黑体" w:cs="宋体"/>
                <w:kern w:val="0"/>
                <w:sz w:val="32"/>
                <w:szCs w:val="32"/>
              </w:rPr>
              <w:t>图书加工合格证明</w:t>
            </w:r>
          </w:p>
        </w:tc>
      </w:tr>
      <w:tr w14:paraId="450F61FC">
        <w:tblPrEx>
          <w:tblCellMar>
            <w:top w:w="0" w:type="dxa"/>
            <w:left w:w="108" w:type="dxa"/>
            <w:bottom w:w="0" w:type="dxa"/>
            <w:right w:w="108" w:type="dxa"/>
          </w:tblCellMar>
        </w:tblPrEx>
        <w:trPr>
          <w:trHeight w:val="270" w:hRule="atLeast"/>
        </w:trPr>
        <w:tc>
          <w:tcPr>
            <w:tcW w:w="194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4732A0">
            <w:pPr>
              <w:widowControl/>
              <w:jc w:val="center"/>
              <w:rPr>
                <w:rFonts w:ascii="宋体" w:hAnsi="宋体" w:cs="宋体"/>
                <w:kern w:val="0"/>
                <w:sz w:val="22"/>
              </w:rPr>
            </w:pPr>
            <w:r>
              <w:rPr>
                <w:rFonts w:hint="eastAsia" w:ascii="宋体" w:hAnsi="宋体" w:cs="宋体"/>
                <w:kern w:val="0"/>
                <w:sz w:val="22"/>
              </w:rPr>
              <w:t>图书数量（册）</w:t>
            </w:r>
          </w:p>
        </w:tc>
        <w:tc>
          <w:tcPr>
            <w:tcW w:w="3054" w:type="pct"/>
            <w:gridSpan w:val="3"/>
            <w:tcBorders>
              <w:top w:val="single" w:color="auto" w:sz="4" w:space="0"/>
              <w:left w:val="nil"/>
              <w:bottom w:val="single" w:color="auto" w:sz="4" w:space="0"/>
              <w:right w:val="single" w:color="auto" w:sz="4" w:space="0"/>
            </w:tcBorders>
            <w:shd w:val="clear" w:color="auto" w:fill="auto"/>
            <w:noWrap/>
            <w:vAlign w:val="center"/>
          </w:tcPr>
          <w:p w14:paraId="236DC445">
            <w:pPr>
              <w:widowControl/>
              <w:jc w:val="center"/>
              <w:rPr>
                <w:rFonts w:ascii="宋体" w:hAnsi="宋体" w:cs="宋体"/>
                <w:kern w:val="0"/>
                <w:sz w:val="22"/>
              </w:rPr>
            </w:pPr>
            <w:r>
              <w:rPr>
                <w:rFonts w:hint="eastAsia" w:ascii="宋体" w:hAnsi="宋体" w:cs="宋体"/>
                <w:kern w:val="0"/>
                <w:sz w:val="22"/>
              </w:rPr>
              <w:t>　</w:t>
            </w:r>
          </w:p>
        </w:tc>
      </w:tr>
      <w:tr w14:paraId="5A2FB125">
        <w:tblPrEx>
          <w:tblCellMar>
            <w:top w:w="0" w:type="dxa"/>
            <w:left w:w="108" w:type="dxa"/>
            <w:bottom w:w="0" w:type="dxa"/>
            <w:right w:w="108" w:type="dxa"/>
          </w:tblCellMar>
        </w:tblPrEx>
        <w:trPr>
          <w:trHeight w:val="815" w:hRule="atLeast"/>
        </w:trPr>
        <w:tc>
          <w:tcPr>
            <w:tcW w:w="452" w:type="pct"/>
            <w:vMerge w:val="restart"/>
            <w:tcBorders>
              <w:top w:val="nil"/>
              <w:left w:val="single" w:color="auto" w:sz="4" w:space="0"/>
              <w:bottom w:val="single" w:color="auto" w:sz="4" w:space="0"/>
              <w:right w:val="single" w:color="auto" w:sz="4" w:space="0"/>
            </w:tcBorders>
            <w:shd w:val="clear" w:color="auto" w:fill="auto"/>
            <w:vAlign w:val="center"/>
          </w:tcPr>
          <w:p w14:paraId="7A2EDA7F">
            <w:pPr>
              <w:widowControl/>
              <w:jc w:val="center"/>
              <w:rPr>
                <w:rFonts w:ascii="宋体" w:hAnsi="宋体" w:cs="宋体"/>
                <w:kern w:val="0"/>
                <w:sz w:val="22"/>
              </w:rPr>
            </w:pPr>
            <w:r>
              <w:rPr>
                <w:rFonts w:hint="eastAsia" w:ascii="宋体" w:hAnsi="宋体" w:cs="宋体"/>
                <w:kern w:val="0"/>
                <w:sz w:val="22"/>
              </w:rPr>
              <w:t>图书加工情况</w:t>
            </w:r>
          </w:p>
        </w:tc>
        <w:tc>
          <w:tcPr>
            <w:tcW w:w="1494" w:type="pct"/>
            <w:tcBorders>
              <w:top w:val="nil"/>
              <w:left w:val="nil"/>
              <w:bottom w:val="single" w:color="auto" w:sz="4" w:space="0"/>
              <w:right w:val="single" w:color="auto" w:sz="4" w:space="0"/>
            </w:tcBorders>
            <w:shd w:val="clear" w:color="auto" w:fill="auto"/>
            <w:vAlign w:val="center"/>
          </w:tcPr>
          <w:p w14:paraId="7281297A">
            <w:pPr>
              <w:widowControl/>
              <w:jc w:val="left"/>
              <w:rPr>
                <w:rFonts w:ascii="宋体" w:hAnsi="宋体" w:cs="宋体"/>
                <w:kern w:val="0"/>
                <w:sz w:val="22"/>
              </w:rPr>
            </w:pPr>
            <w:r>
              <w:rPr>
                <w:rFonts w:hint="eastAsia" w:ascii="宋体" w:hAnsi="宋体" w:cs="宋体"/>
                <w:kern w:val="0"/>
                <w:sz w:val="22"/>
              </w:rPr>
              <w:t>1.每册图书加贴一根16cm的磁条（具体可根据书本大小调整粘贴），450页以上粘贴两条磁条；</w:t>
            </w:r>
          </w:p>
        </w:tc>
        <w:tc>
          <w:tcPr>
            <w:tcW w:w="730" w:type="pct"/>
            <w:tcBorders>
              <w:top w:val="nil"/>
              <w:left w:val="nil"/>
              <w:bottom w:val="single" w:color="auto" w:sz="4" w:space="0"/>
              <w:right w:val="single" w:color="auto" w:sz="4" w:space="0"/>
            </w:tcBorders>
            <w:shd w:val="clear" w:color="auto" w:fill="auto"/>
            <w:noWrap/>
            <w:vAlign w:val="center"/>
          </w:tcPr>
          <w:p w14:paraId="60212A86">
            <w:pPr>
              <w:widowControl/>
              <w:jc w:val="left"/>
              <w:rPr>
                <w:rFonts w:ascii="宋体" w:hAnsi="宋体" w:cs="宋体"/>
                <w:kern w:val="0"/>
                <w:sz w:val="22"/>
              </w:rPr>
            </w:pPr>
            <w:r>
              <w:rPr>
                <w:rFonts w:hint="eastAsia" w:ascii="宋体" w:hAnsi="宋体" w:cs="宋体"/>
                <w:kern w:val="0"/>
                <w:sz w:val="22"/>
              </w:rPr>
              <w:t>合格□</w:t>
            </w:r>
          </w:p>
        </w:tc>
        <w:tc>
          <w:tcPr>
            <w:tcW w:w="681" w:type="pct"/>
            <w:tcBorders>
              <w:top w:val="nil"/>
              <w:left w:val="nil"/>
              <w:bottom w:val="single" w:color="auto" w:sz="4" w:space="0"/>
              <w:right w:val="single" w:color="auto" w:sz="4" w:space="0"/>
            </w:tcBorders>
            <w:shd w:val="clear" w:color="auto" w:fill="auto"/>
            <w:noWrap/>
            <w:vAlign w:val="center"/>
          </w:tcPr>
          <w:p w14:paraId="73694499">
            <w:pPr>
              <w:widowControl/>
              <w:jc w:val="left"/>
              <w:rPr>
                <w:rFonts w:ascii="宋体" w:hAnsi="宋体" w:cs="宋体"/>
                <w:kern w:val="0"/>
                <w:sz w:val="22"/>
              </w:rPr>
            </w:pPr>
            <w:r>
              <w:rPr>
                <w:rFonts w:hint="eastAsia" w:ascii="宋体" w:hAnsi="宋体" w:cs="宋体"/>
                <w:kern w:val="0"/>
                <w:sz w:val="22"/>
              </w:rPr>
              <w:t>不合格□</w:t>
            </w:r>
          </w:p>
        </w:tc>
        <w:tc>
          <w:tcPr>
            <w:tcW w:w="1643" w:type="pct"/>
            <w:tcBorders>
              <w:top w:val="nil"/>
              <w:left w:val="nil"/>
              <w:bottom w:val="single" w:color="auto" w:sz="4" w:space="0"/>
              <w:right w:val="single" w:color="auto" w:sz="4" w:space="0"/>
            </w:tcBorders>
            <w:shd w:val="clear" w:color="auto" w:fill="auto"/>
          </w:tcPr>
          <w:p w14:paraId="28798D55">
            <w:pPr>
              <w:widowControl/>
              <w:rPr>
                <w:rFonts w:ascii="宋体" w:hAnsi="宋体" w:cs="宋体"/>
                <w:kern w:val="0"/>
                <w:sz w:val="22"/>
              </w:rPr>
            </w:pPr>
            <w:r>
              <w:rPr>
                <w:rFonts w:hint="eastAsia" w:ascii="宋体" w:hAnsi="宋体" w:cs="宋体"/>
                <w:kern w:val="0"/>
                <w:sz w:val="22"/>
              </w:rPr>
              <w:t>不合格情况说明：</w:t>
            </w:r>
          </w:p>
        </w:tc>
      </w:tr>
      <w:tr w14:paraId="3815E267">
        <w:tblPrEx>
          <w:tblCellMar>
            <w:top w:w="0" w:type="dxa"/>
            <w:left w:w="108" w:type="dxa"/>
            <w:bottom w:w="0" w:type="dxa"/>
            <w:right w:w="108" w:type="dxa"/>
          </w:tblCellMar>
        </w:tblPrEx>
        <w:trPr>
          <w:trHeight w:val="812" w:hRule="atLeast"/>
        </w:trPr>
        <w:tc>
          <w:tcPr>
            <w:tcW w:w="452" w:type="pct"/>
            <w:vMerge w:val="continue"/>
            <w:tcBorders>
              <w:top w:val="nil"/>
              <w:left w:val="single" w:color="auto" w:sz="4" w:space="0"/>
              <w:bottom w:val="single" w:color="auto" w:sz="4" w:space="0"/>
              <w:right w:val="single" w:color="auto" w:sz="4" w:space="0"/>
            </w:tcBorders>
            <w:vAlign w:val="center"/>
          </w:tcPr>
          <w:p w14:paraId="72ABCC47">
            <w:pPr>
              <w:widowControl/>
              <w:jc w:val="left"/>
              <w:rPr>
                <w:rFonts w:ascii="宋体" w:hAnsi="宋体" w:cs="宋体"/>
                <w:kern w:val="0"/>
                <w:sz w:val="22"/>
              </w:rPr>
            </w:pPr>
          </w:p>
        </w:tc>
        <w:tc>
          <w:tcPr>
            <w:tcW w:w="1494" w:type="pct"/>
            <w:tcBorders>
              <w:top w:val="nil"/>
              <w:left w:val="nil"/>
              <w:bottom w:val="single" w:color="auto" w:sz="4" w:space="0"/>
              <w:right w:val="single" w:color="auto" w:sz="4" w:space="0"/>
            </w:tcBorders>
            <w:shd w:val="clear" w:color="auto" w:fill="auto"/>
            <w:vAlign w:val="center"/>
          </w:tcPr>
          <w:p w14:paraId="43C8B8F4">
            <w:pPr>
              <w:widowControl/>
              <w:jc w:val="left"/>
              <w:rPr>
                <w:rFonts w:ascii="宋体" w:hAnsi="宋体" w:cs="宋体"/>
                <w:kern w:val="0"/>
                <w:sz w:val="22"/>
              </w:rPr>
            </w:pPr>
            <w:r>
              <w:rPr>
                <w:rFonts w:hint="eastAsia" w:ascii="宋体" w:hAnsi="宋体" w:cs="宋体"/>
                <w:kern w:val="0"/>
                <w:sz w:val="22"/>
              </w:rPr>
              <w:t>2.给每册图书加盖馆藏章不少于三处：题名页、书口处及版权页，或按学校要求盖章；</w:t>
            </w:r>
          </w:p>
        </w:tc>
        <w:tc>
          <w:tcPr>
            <w:tcW w:w="730" w:type="pct"/>
            <w:tcBorders>
              <w:top w:val="nil"/>
              <w:left w:val="nil"/>
              <w:bottom w:val="single" w:color="auto" w:sz="4" w:space="0"/>
              <w:right w:val="single" w:color="auto" w:sz="4" w:space="0"/>
            </w:tcBorders>
            <w:shd w:val="clear" w:color="auto" w:fill="auto"/>
            <w:noWrap/>
            <w:vAlign w:val="center"/>
          </w:tcPr>
          <w:p w14:paraId="066C378B">
            <w:pPr>
              <w:widowControl/>
              <w:jc w:val="left"/>
              <w:rPr>
                <w:rFonts w:ascii="宋体" w:hAnsi="宋体" w:cs="宋体"/>
                <w:kern w:val="0"/>
                <w:sz w:val="22"/>
              </w:rPr>
            </w:pPr>
            <w:r>
              <w:rPr>
                <w:rFonts w:hint="eastAsia" w:ascii="宋体" w:hAnsi="宋体" w:cs="宋体"/>
                <w:kern w:val="0"/>
                <w:sz w:val="22"/>
              </w:rPr>
              <w:t>合格□</w:t>
            </w:r>
          </w:p>
        </w:tc>
        <w:tc>
          <w:tcPr>
            <w:tcW w:w="681" w:type="pct"/>
            <w:tcBorders>
              <w:top w:val="nil"/>
              <w:left w:val="nil"/>
              <w:bottom w:val="single" w:color="auto" w:sz="4" w:space="0"/>
              <w:right w:val="single" w:color="auto" w:sz="4" w:space="0"/>
            </w:tcBorders>
            <w:shd w:val="clear" w:color="auto" w:fill="auto"/>
            <w:noWrap/>
            <w:vAlign w:val="center"/>
          </w:tcPr>
          <w:p w14:paraId="009B8D3E">
            <w:pPr>
              <w:widowControl/>
              <w:jc w:val="left"/>
              <w:rPr>
                <w:rFonts w:ascii="宋体" w:hAnsi="宋体" w:cs="宋体"/>
                <w:kern w:val="0"/>
                <w:sz w:val="22"/>
              </w:rPr>
            </w:pPr>
            <w:r>
              <w:rPr>
                <w:rFonts w:hint="eastAsia" w:ascii="宋体" w:hAnsi="宋体" w:cs="宋体"/>
                <w:kern w:val="0"/>
                <w:sz w:val="22"/>
              </w:rPr>
              <w:t>不合格□</w:t>
            </w:r>
          </w:p>
        </w:tc>
        <w:tc>
          <w:tcPr>
            <w:tcW w:w="1643" w:type="pct"/>
            <w:tcBorders>
              <w:top w:val="nil"/>
              <w:left w:val="nil"/>
              <w:bottom w:val="single" w:color="auto" w:sz="4" w:space="0"/>
              <w:right w:val="single" w:color="auto" w:sz="4" w:space="0"/>
            </w:tcBorders>
            <w:shd w:val="clear" w:color="auto" w:fill="auto"/>
          </w:tcPr>
          <w:p w14:paraId="6A862A69">
            <w:pPr>
              <w:widowControl/>
              <w:rPr>
                <w:rFonts w:ascii="宋体" w:hAnsi="宋体" w:cs="宋体"/>
                <w:kern w:val="0"/>
                <w:sz w:val="22"/>
              </w:rPr>
            </w:pPr>
            <w:r>
              <w:rPr>
                <w:rFonts w:hint="eastAsia" w:ascii="宋体" w:hAnsi="宋体" w:cs="宋体"/>
                <w:kern w:val="0"/>
                <w:sz w:val="22"/>
              </w:rPr>
              <w:t>不合格情况说明：</w:t>
            </w:r>
          </w:p>
        </w:tc>
      </w:tr>
      <w:tr w14:paraId="04C03204">
        <w:tblPrEx>
          <w:tblCellMar>
            <w:top w:w="0" w:type="dxa"/>
            <w:left w:w="108" w:type="dxa"/>
            <w:bottom w:w="0" w:type="dxa"/>
            <w:right w:w="108" w:type="dxa"/>
          </w:tblCellMar>
        </w:tblPrEx>
        <w:trPr>
          <w:trHeight w:val="1066" w:hRule="atLeast"/>
        </w:trPr>
        <w:tc>
          <w:tcPr>
            <w:tcW w:w="452" w:type="pct"/>
            <w:vMerge w:val="continue"/>
            <w:tcBorders>
              <w:top w:val="nil"/>
              <w:left w:val="single" w:color="auto" w:sz="4" w:space="0"/>
              <w:bottom w:val="single" w:color="auto" w:sz="4" w:space="0"/>
              <w:right w:val="single" w:color="auto" w:sz="4" w:space="0"/>
            </w:tcBorders>
            <w:vAlign w:val="center"/>
          </w:tcPr>
          <w:p w14:paraId="3A9B49B5">
            <w:pPr>
              <w:widowControl/>
              <w:jc w:val="left"/>
              <w:rPr>
                <w:rFonts w:ascii="宋体" w:hAnsi="宋体" w:cs="宋体"/>
                <w:kern w:val="0"/>
                <w:sz w:val="22"/>
              </w:rPr>
            </w:pPr>
          </w:p>
        </w:tc>
        <w:tc>
          <w:tcPr>
            <w:tcW w:w="1494" w:type="pct"/>
            <w:tcBorders>
              <w:top w:val="nil"/>
              <w:left w:val="nil"/>
              <w:bottom w:val="single" w:color="auto" w:sz="4" w:space="0"/>
              <w:right w:val="single" w:color="auto" w:sz="4" w:space="0"/>
            </w:tcBorders>
            <w:shd w:val="clear" w:color="auto" w:fill="auto"/>
            <w:vAlign w:val="center"/>
          </w:tcPr>
          <w:p w14:paraId="726778BF">
            <w:pPr>
              <w:widowControl/>
              <w:jc w:val="left"/>
              <w:rPr>
                <w:rFonts w:ascii="宋体" w:hAnsi="宋体" w:cs="宋体"/>
                <w:kern w:val="0"/>
                <w:sz w:val="22"/>
              </w:rPr>
            </w:pPr>
            <w:r>
              <w:rPr>
                <w:rFonts w:hint="eastAsia" w:ascii="宋体" w:hAnsi="宋体" w:cs="宋体"/>
                <w:kern w:val="0"/>
                <w:sz w:val="22"/>
              </w:rPr>
              <w:t>3.给每册图书贴1枚书标，书标位置按各校图书管理员要求粘贴，书标上加贴透明胶进行保护，并完全覆盖书标；</w:t>
            </w:r>
          </w:p>
        </w:tc>
        <w:tc>
          <w:tcPr>
            <w:tcW w:w="730" w:type="pct"/>
            <w:tcBorders>
              <w:top w:val="nil"/>
              <w:left w:val="nil"/>
              <w:bottom w:val="single" w:color="auto" w:sz="4" w:space="0"/>
              <w:right w:val="single" w:color="auto" w:sz="4" w:space="0"/>
            </w:tcBorders>
            <w:shd w:val="clear" w:color="auto" w:fill="auto"/>
            <w:noWrap/>
            <w:vAlign w:val="center"/>
          </w:tcPr>
          <w:p w14:paraId="069028FB">
            <w:pPr>
              <w:widowControl/>
              <w:jc w:val="left"/>
              <w:rPr>
                <w:rFonts w:ascii="宋体" w:hAnsi="宋体" w:cs="宋体"/>
                <w:kern w:val="0"/>
                <w:sz w:val="22"/>
              </w:rPr>
            </w:pPr>
            <w:r>
              <w:rPr>
                <w:rFonts w:hint="eastAsia" w:ascii="宋体" w:hAnsi="宋体" w:cs="宋体"/>
                <w:kern w:val="0"/>
                <w:sz w:val="22"/>
              </w:rPr>
              <w:t>合格□</w:t>
            </w:r>
          </w:p>
        </w:tc>
        <w:tc>
          <w:tcPr>
            <w:tcW w:w="681" w:type="pct"/>
            <w:tcBorders>
              <w:top w:val="nil"/>
              <w:left w:val="nil"/>
              <w:bottom w:val="single" w:color="auto" w:sz="4" w:space="0"/>
              <w:right w:val="single" w:color="auto" w:sz="4" w:space="0"/>
            </w:tcBorders>
            <w:shd w:val="clear" w:color="auto" w:fill="auto"/>
            <w:noWrap/>
            <w:vAlign w:val="center"/>
          </w:tcPr>
          <w:p w14:paraId="6380E6BE">
            <w:pPr>
              <w:widowControl/>
              <w:jc w:val="left"/>
              <w:rPr>
                <w:rFonts w:ascii="宋体" w:hAnsi="宋体" w:cs="宋体"/>
                <w:kern w:val="0"/>
                <w:sz w:val="22"/>
              </w:rPr>
            </w:pPr>
            <w:r>
              <w:rPr>
                <w:rFonts w:hint="eastAsia" w:ascii="宋体" w:hAnsi="宋体" w:cs="宋体"/>
                <w:kern w:val="0"/>
                <w:sz w:val="22"/>
              </w:rPr>
              <w:t>不合格□</w:t>
            </w:r>
          </w:p>
        </w:tc>
        <w:tc>
          <w:tcPr>
            <w:tcW w:w="1643" w:type="pct"/>
            <w:tcBorders>
              <w:top w:val="nil"/>
              <w:left w:val="nil"/>
              <w:bottom w:val="single" w:color="auto" w:sz="4" w:space="0"/>
              <w:right w:val="single" w:color="auto" w:sz="4" w:space="0"/>
            </w:tcBorders>
            <w:shd w:val="clear" w:color="auto" w:fill="auto"/>
          </w:tcPr>
          <w:p w14:paraId="632104C0">
            <w:pPr>
              <w:widowControl/>
              <w:rPr>
                <w:rFonts w:ascii="宋体" w:hAnsi="宋体" w:cs="宋体"/>
                <w:kern w:val="0"/>
                <w:sz w:val="22"/>
              </w:rPr>
            </w:pPr>
            <w:r>
              <w:rPr>
                <w:rFonts w:hint="eastAsia" w:ascii="宋体" w:hAnsi="宋体" w:cs="宋体"/>
                <w:kern w:val="0"/>
                <w:sz w:val="22"/>
              </w:rPr>
              <w:t>不合格情况说明：</w:t>
            </w:r>
          </w:p>
        </w:tc>
      </w:tr>
      <w:tr w14:paraId="66DE4092">
        <w:tblPrEx>
          <w:tblCellMar>
            <w:top w:w="0" w:type="dxa"/>
            <w:left w:w="108" w:type="dxa"/>
            <w:bottom w:w="0" w:type="dxa"/>
            <w:right w:w="108" w:type="dxa"/>
          </w:tblCellMar>
        </w:tblPrEx>
        <w:trPr>
          <w:trHeight w:val="571" w:hRule="atLeast"/>
        </w:trPr>
        <w:tc>
          <w:tcPr>
            <w:tcW w:w="452" w:type="pct"/>
            <w:vMerge w:val="continue"/>
            <w:tcBorders>
              <w:top w:val="nil"/>
              <w:left w:val="single" w:color="auto" w:sz="4" w:space="0"/>
              <w:bottom w:val="single" w:color="auto" w:sz="4" w:space="0"/>
              <w:right w:val="single" w:color="auto" w:sz="4" w:space="0"/>
            </w:tcBorders>
            <w:vAlign w:val="center"/>
          </w:tcPr>
          <w:p w14:paraId="5C4B6505">
            <w:pPr>
              <w:widowControl/>
              <w:jc w:val="left"/>
              <w:rPr>
                <w:rFonts w:ascii="宋体" w:hAnsi="宋体" w:cs="宋体"/>
                <w:kern w:val="0"/>
                <w:sz w:val="22"/>
              </w:rPr>
            </w:pPr>
          </w:p>
        </w:tc>
        <w:tc>
          <w:tcPr>
            <w:tcW w:w="1494" w:type="pct"/>
            <w:tcBorders>
              <w:top w:val="nil"/>
              <w:left w:val="nil"/>
              <w:bottom w:val="single" w:color="auto" w:sz="4" w:space="0"/>
              <w:right w:val="single" w:color="auto" w:sz="4" w:space="0"/>
            </w:tcBorders>
            <w:shd w:val="clear" w:color="auto" w:fill="auto"/>
            <w:vAlign w:val="center"/>
          </w:tcPr>
          <w:p w14:paraId="536F590A">
            <w:pPr>
              <w:widowControl/>
              <w:jc w:val="left"/>
              <w:rPr>
                <w:rFonts w:ascii="宋体" w:hAnsi="宋体" w:cs="宋体"/>
                <w:kern w:val="0"/>
                <w:sz w:val="22"/>
              </w:rPr>
            </w:pPr>
            <w:r>
              <w:rPr>
                <w:rFonts w:hint="eastAsia" w:ascii="宋体" w:hAnsi="宋体" w:cs="宋体"/>
                <w:kern w:val="0"/>
                <w:sz w:val="22"/>
              </w:rPr>
              <w:t>4.条形码位置一般在书名页上方天头中间，或按学校要求粘贴；</w:t>
            </w:r>
          </w:p>
        </w:tc>
        <w:tc>
          <w:tcPr>
            <w:tcW w:w="730" w:type="pct"/>
            <w:tcBorders>
              <w:top w:val="nil"/>
              <w:left w:val="nil"/>
              <w:bottom w:val="single" w:color="auto" w:sz="4" w:space="0"/>
              <w:right w:val="single" w:color="auto" w:sz="4" w:space="0"/>
            </w:tcBorders>
            <w:shd w:val="clear" w:color="auto" w:fill="auto"/>
            <w:noWrap/>
            <w:vAlign w:val="center"/>
          </w:tcPr>
          <w:p w14:paraId="71B7C7DF">
            <w:pPr>
              <w:widowControl/>
              <w:jc w:val="left"/>
              <w:rPr>
                <w:rFonts w:ascii="宋体" w:hAnsi="宋体" w:cs="宋体"/>
                <w:kern w:val="0"/>
                <w:sz w:val="22"/>
              </w:rPr>
            </w:pPr>
            <w:r>
              <w:rPr>
                <w:rFonts w:hint="eastAsia" w:ascii="宋体" w:hAnsi="宋体" w:cs="宋体"/>
                <w:kern w:val="0"/>
                <w:sz w:val="22"/>
              </w:rPr>
              <w:t>合格□</w:t>
            </w:r>
          </w:p>
        </w:tc>
        <w:tc>
          <w:tcPr>
            <w:tcW w:w="681" w:type="pct"/>
            <w:tcBorders>
              <w:top w:val="nil"/>
              <w:left w:val="nil"/>
              <w:bottom w:val="single" w:color="auto" w:sz="4" w:space="0"/>
              <w:right w:val="single" w:color="auto" w:sz="4" w:space="0"/>
            </w:tcBorders>
            <w:shd w:val="clear" w:color="auto" w:fill="auto"/>
            <w:noWrap/>
            <w:vAlign w:val="center"/>
          </w:tcPr>
          <w:p w14:paraId="327B9DCA">
            <w:pPr>
              <w:widowControl/>
              <w:jc w:val="left"/>
              <w:rPr>
                <w:rFonts w:ascii="宋体" w:hAnsi="宋体" w:cs="宋体"/>
                <w:kern w:val="0"/>
                <w:sz w:val="22"/>
              </w:rPr>
            </w:pPr>
            <w:r>
              <w:rPr>
                <w:rFonts w:hint="eastAsia" w:ascii="宋体" w:hAnsi="宋体" w:cs="宋体"/>
                <w:kern w:val="0"/>
                <w:sz w:val="22"/>
              </w:rPr>
              <w:t>不合格□</w:t>
            </w:r>
          </w:p>
        </w:tc>
        <w:tc>
          <w:tcPr>
            <w:tcW w:w="1643" w:type="pct"/>
            <w:tcBorders>
              <w:top w:val="nil"/>
              <w:left w:val="nil"/>
              <w:bottom w:val="single" w:color="auto" w:sz="4" w:space="0"/>
              <w:right w:val="single" w:color="auto" w:sz="4" w:space="0"/>
            </w:tcBorders>
            <w:shd w:val="clear" w:color="auto" w:fill="auto"/>
          </w:tcPr>
          <w:p w14:paraId="4B6117E3">
            <w:pPr>
              <w:widowControl/>
              <w:rPr>
                <w:rFonts w:ascii="宋体" w:hAnsi="宋体" w:cs="宋体"/>
                <w:kern w:val="0"/>
                <w:sz w:val="22"/>
              </w:rPr>
            </w:pPr>
            <w:r>
              <w:rPr>
                <w:rFonts w:hint="eastAsia" w:ascii="宋体" w:hAnsi="宋体" w:cs="宋体"/>
                <w:kern w:val="0"/>
                <w:sz w:val="22"/>
              </w:rPr>
              <w:t>不合格情况说明：</w:t>
            </w:r>
          </w:p>
        </w:tc>
      </w:tr>
      <w:tr w14:paraId="5D117040">
        <w:tblPrEx>
          <w:tblCellMar>
            <w:top w:w="0" w:type="dxa"/>
            <w:left w:w="108" w:type="dxa"/>
            <w:bottom w:w="0" w:type="dxa"/>
            <w:right w:w="108" w:type="dxa"/>
          </w:tblCellMar>
        </w:tblPrEx>
        <w:trPr>
          <w:trHeight w:val="835" w:hRule="atLeast"/>
        </w:trPr>
        <w:tc>
          <w:tcPr>
            <w:tcW w:w="452" w:type="pct"/>
            <w:vMerge w:val="continue"/>
            <w:tcBorders>
              <w:top w:val="nil"/>
              <w:left w:val="single" w:color="auto" w:sz="4" w:space="0"/>
              <w:bottom w:val="single" w:color="auto" w:sz="4" w:space="0"/>
              <w:right w:val="single" w:color="auto" w:sz="4" w:space="0"/>
            </w:tcBorders>
            <w:vAlign w:val="center"/>
          </w:tcPr>
          <w:p w14:paraId="77600A76">
            <w:pPr>
              <w:widowControl/>
              <w:jc w:val="left"/>
              <w:rPr>
                <w:rFonts w:ascii="宋体" w:hAnsi="宋体" w:cs="宋体"/>
                <w:kern w:val="0"/>
                <w:sz w:val="22"/>
              </w:rPr>
            </w:pPr>
          </w:p>
        </w:tc>
        <w:tc>
          <w:tcPr>
            <w:tcW w:w="1494" w:type="pct"/>
            <w:tcBorders>
              <w:top w:val="nil"/>
              <w:left w:val="nil"/>
              <w:bottom w:val="single" w:color="auto" w:sz="4" w:space="0"/>
              <w:right w:val="single" w:color="auto" w:sz="4" w:space="0"/>
            </w:tcBorders>
            <w:shd w:val="clear" w:color="auto" w:fill="auto"/>
            <w:vAlign w:val="center"/>
          </w:tcPr>
          <w:p w14:paraId="3A7E4083">
            <w:pPr>
              <w:widowControl/>
              <w:jc w:val="left"/>
              <w:rPr>
                <w:rFonts w:ascii="宋体" w:hAnsi="宋体" w:cs="宋体"/>
                <w:kern w:val="0"/>
                <w:sz w:val="22"/>
              </w:rPr>
            </w:pPr>
            <w:r>
              <w:rPr>
                <w:rFonts w:hint="eastAsia" w:ascii="宋体" w:hAnsi="宋体" w:cs="宋体"/>
                <w:kern w:val="0"/>
                <w:sz w:val="22"/>
              </w:rPr>
              <w:t>5.图书上架准确，按图书分类号和书次号进行上架，标签信息完整、正确；</w:t>
            </w:r>
          </w:p>
        </w:tc>
        <w:tc>
          <w:tcPr>
            <w:tcW w:w="730" w:type="pct"/>
            <w:tcBorders>
              <w:top w:val="nil"/>
              <w:left w:val="nil"/>
              <w:bottom w:val="single" w:color="auto" w:sz="4" w:space="0"/>
              <w:right w:val="single" w:color="auto" w:sz="4" w:space="0"/>
            </w:tcBorders>
            <w:shd w:val="clear" w:color="auto" w:fill="auto"/>
            <w:noWrap/>
            <w:vAlign w:val="center"/>
          </w:tcPr>
          <w:p w14:paraId="187DADF2">
            <w:pPr>
              <w:widowControl/>
              <w:jc w:val="left"/>
              <w:rPr>
                <w:rFonts w:ascii="宋体" w:hAnsi="宋体" w:cs="宋体"/>
                <w:kern w:val="0"/>
                <w:sz w:val="22"/>
              </w:rPr>
            </w:pPr>
            <w:r>
              <w:rPr>
                <w:rFonts w:hint="eastAsia" w:ascii="宋体" w:hAnsi="宋体" w:cs="宋体"/>
                <w:kern w:val="0"/>
                <w:sz w:val="22"/>
              </w:rPr>
              <w:t>合格□</w:t>
            </w:r>
          </w:p>
        </w:tc>
        <w:tc>
          <w:tcPr>
            <w:tcW w:w="681" w:type="pct"/>
            <w:tcBorders>
              <w:top w:val="nil"/>
              <w:left w:val="nil"/>
              <w:bottom w:val="single" w:color="auto" w:sz="4" w:space="0"/>
              <w:right w:val="single" w:color="auto" w:sz="4" w:space="0"/>
            </w:tcBorders>
            <w:shd w:val="clear" w:color="auto" w:fill="auto"/>
            <w:noWrap/>
            <w:vAlign w:val="center"/>
          </w:tcPr>
          <w:p w14:paraId="2886D3EA">
            <w:pPr>
              <w:widowControl/>
              <w:jc w:val="left"/>
              <w:rPr>
                <w:rFonts w:ascii="宋体" w:hAnsi="宋体" w:cs="宋体"/>
                <w:kern w:val="0"/>
                <w:sz w:val="22"/>
              </w:rPr>
            </w:pPr>
            <w:r>
              <w:rPr>
                <w:rFonts w:hint="eastAsia" w:ascii="宋体" w:hAnsi="宋体" w:cs="宋体"/>
                <w:kern w:val="0"/>
                <w:sz w:val="22"/>
              </w:rPr>
              <w:t>不合格□</w:t>
            </w:r>
          </w:p>
        </w:tc>
        <w:tc>
          <w:tcPr>
            <w:tcW w:w="1643" w:type="pct"/>
            <w:tcBorders>
              <w:top w:val="nil"/>
              <w:left w:val="nil"/>
              <w:bottom w:val="single" w:color="auto" w:sz="4" w:space="0"/>
              <w:right w:val="single" w:color="auto" w:sz="4" w:space="0"/>
            </w:tcBorders>
            <w:shd w:val="clear" w:color="auto" w:fill="auto"/>
          </w:tcPr>
          <w:p w14:paraId="577C77EC">
            <w:pPr>
              <w:widowControl/>
              <w:rPr>
                <w:rFonts w:ascii="宋体" w:hAnsi="宋体" w:cs="宋体"/>
                <w:kern w:val="0"/>
                <w:sz w:val="22"/>
              </w:rPr>
            </w:pPr>
            <w:r>
              <w:rPr>
                <w:rFonts w:hint="eastAsia" w:ascii="宋体" w:hAnsi="宋体" w:cs="宋体"/>
                <w:kern w:val="0"/>
                <w:sz w:val="22"/>
              </w:rPr>
              <w:t>不合格情况说明：</w:t>
            </w:r>
          </w:p>
        </w:tc>
      </w:tr>
      <w:tr w14:paraId="1A8FAD16">
        <w:tblPrEx>
          <w:tblCellMar>
            <w:top w:w="0" w:type="dxa"/>
            <w:left w:w="108" w:type="dxa"/>
            <w:bottom w:w="0" w:type="dxa"/>
            <w:right w:w="108" w:type="dxa"/>
          </w:tblCellMar>
        </w:tblPrEx>
        <w:trPr>
          <w:trHeight w:val="563" w:hRule="atLeast"/>
        </w:trPr>
        <w:tc>
          <w:tcPr>
            <w:tcW w:w="452" w:type="pct"/>
            <w:vMerge w:val="continue"/>
            <w:tcBorders>
              <w:top w:val="nil"/>
              <w:left w:val="single" w:color="auto" w:sz="4" w:space="0"/>
              <w:bottom w:val="single" w:color="auto" w:sz="4" w:space="0"/>
              <w:right w:val="single" w:color="auto" w:sz="4" w:space="0"/>
            </w:tcBorders>
            <w:vAlign w:val="center"/>
          </w:tcPr>
          <w:p w14:paraId="010C2716">
            <w:pPr>
              <w:widowControl/>
              <w:jc w:val="left"/>
              <w:rPr>
                <w:rFonts w:ascii="宋体" w:hAnsi="宋体" w:cs="宋体"/>
                <w:kern w:val="0"/>
                <w:sz w:val="22"/>
              </w:rPr>
            </w:pPr>
          </w:p>
        </w:tc>
        <w:tc>
          <w:tcPr>
            <w:tcW w:w="1494" w:type="pct"/>
            <w:tcBorders>
              <w:top w:val="nil"/>
              <w:left w:val="nil"/>
              <w:bottom w:val="single" w:color="auto" w:sz="4" w:space="0"/>
              <w:right w:val="single" w:color="auto" w:sz="4" w:space="0"/>
            </w:tcBorders>
            <w:shd w:val="clear" w:color="auto" w:fill="auto"/>
            <w:vAlign w:val="center"/>
          </w:tcPr>
          <w:p w14:paraId="4A4436AE">
            <w:pPr>
              <w:widowControl/>
              <w:jc w:val="left"/>
              <w:rPr>
                <w:rFonts w:ascii="宋体" w:hAnsi="宋体" w:cs="宋体"/>
                <w:kern w:val="0"/>
                <w:sz w:val="22"/>
              </w:rPr>
            </w:pPr>
            <w:r>
              <w:rPr>
                <w:rFonts w:hint="eastAsia" w:ascii="宋体" w:hAnsi="宋体" w:cs="宋体"/>
                <w:kern w:val="0"/>
                <w:sz w:val="22"/>
              </w:rPr>
              <w:t>6.图书分类准确，没有错误；</w:t>
            </w:r>
          </w:p>
        </w:tc>
        <w:tc>
          <w:tcPr>
            <w:tcW w:w="730" w:type="pct"/>
            <w:tcBorders>
              <w:top w:val="nil"/>
              <w:left w:val="nil"/>
              <w:bottom w:val="single" w:color="auto" w:sz="4" w:space="0"/>
              <w:right w:val="single" w:color="auto" w:sz="4" w:space="0"/>
            </w:tcBorders>
            <w:shd w:val="clear" w:color="auto" w:fill="auto"/>
            <w:noWrap/>
            <w:vAlign w:val="center"/>
          </w:tcPr>
          <w:p w14:paraId="35F29A30">
            <w:pPr>
              <w:widowControl/>
              <w:jc w:val="left"/>
              <w:rPr>
                <w:rFonts w:ascii="宋体" w:hAnsi="宋体" w:cs="宋体"/>
                <w:kern w:val="0"/>
                <w:sz w:val="22"/>
              </w:rPr>
            </w:pPr>
            <w:r>
              <w:rPr>
                <w:rFonts w:hint="eastAsia" w:ascii="宋体" w:hAnsi="宋体" w:cs="宋体"/>
                <w:kern w:val="0"/>
                <w:sz w:val="22"/>
              </w:rPr>
              <w:t>合格□</w:t>
            </w:r>
          </w:p>
        </w:tc>
        <w:tc>
          <w:tcPr>
            <w:tcW w:w="681" w:type="pct"/>
            <w:tcBorders>
              <w:top w:val="nil"/>
              <w:left w:val="nil"/>
              <w:bottom w:val="single" w:color="auto" w:sz="4" w:space="0"/>
              <w:right w:val="single" w:color="auto" w:sz="4" w:space="0"/>
            </w:tcBorders>
            <w:shd w:val="clear" w:color="auto" w:fill="auto"/>
            <w:noWrap/>
            <w:vAlign w:val="center"/>
          </w:tcPr>
          <w:p w14:paraId="3711F4BC">
            <w:pPr>
              <w:widowControl/>
              <w:jc w:val="left"/>
              <w:rPr>
                <w:rFonts w:ascii="宋体" w:hAnsi="宋体" w:cs="宋体"/>
                <w:kern w:val="0"/>
                <w:sz w:val="22"/>
              </w:rPr>
            </w:pPr>
            <w:r>
              <w:rPr>
                <w:rFonts w:hint="eastAsia" w:ascii="宋体" w:hAnsi="宋体" w:cs="宋体"/>
                <w:kern w:val="0"/>
                <w:sz w:val="22"/>
              </w:rPr>
              <w:t>不合格□</w:t>
            </w:r>
          </w:p>
        </w:tc>
        <w:tc>
          <w:tcPr>
            <w:tcW w:w="1643" w:type="pct"/>
            <w:tcBorders>
              <w:top w:val="nil"/>
              <w:left w:val="nil"/>
              <w:bottom w:val="single" w:color="auto" w:sz="4" w:space="0"/>
              <w:right w:val="single" w:color="auto" w:sz="4" w:space="0"/>
            </w:tcBorders>
            <w:shd w:val="clear" w:color="auto" w:fill="auto"/>
          </w:tcPr>
          <w:p w14:paraId="46E6AD35">
            <w:pPr>
              <w:widowControl/>
              <w:rPr>
                <w:rFonts w:ascii="宋体" w:hAnsi="宋体" w:cs="宋体"/>
                <w:kern w:val="0"/>
                <w:sz w:val="22"/>
              </w:rPr>
            </w:pPr>
            <w:r>
              <w:rPr>
                <w:rFonts w:hint="eastAsia" w:ascii="宋体" w:hAnsi="宋体" w:cs="宋体"/>
                <w:kern w:val="0"/>
                <w:sz w:val="22"/>
              </w:rPr>
              <w:t>不合格情况说明：</w:t>
            </w:r>
          </w:p>
        </w:tc>
      </w:tr>
      <w:tr w14:paraId="0B628100">
        <w:tblPrEx>
          <w:tblCellMar>
            <w:top w:w="0" w:type="dxa"/>
            <w:left w:w="108" w:type="dxa"/>
            <w:bottom w:w="0" w:type="dxa"/>
            <w:right w:w="108" w:type="dxa"/>
          </w:tblCellMar>
        </w:tblPrEx>
        <w:trPr>
          <w:trHeight w:val="684" w:hRule="atLeast"/>
        </w:trPr>
        <w:tc>
          <w:tcPr>
            <w:tcW w:w="452" w:type="pct"/>
            <w:vMerge w:val="continue"/>
            <w:tcBorders>
              <w:top w:val="nil"/>
              <w:left w:val="single" w:color="auto" w:sz="4" w:space="0"/>
              <w:bottom w:val="single" w:color="auto" w:sz="4" w:space="0"/>
              <w:right w:val="single" w:color="auto" w:sz="4" w:space="0"/>
            </w:tcBorders>
            <w:vAlign w:val="center"/>
          </w:tcPr>
          <w:p w14:paraId="14EFEEE0">
            <w:pPr>
              <w:widowControl/>
              <w:jc w:val="left"/>
              <w:rPr>
                <w:rFonts w:ascii="宋体" w:hAnsi="宋体" w:cs="宋体"/>
                <w:kern w:val="0"/>
                <w:sz w:val="22"/>
              </w:rPr>
            </w:pPr>
          </w:p>
        </w:tc>
        <w:tc>
          <w:tcPr>
            <w:tcW w:w="1494" w:type="pct"/>
            <w:tcBorders>
              <w:top w:val="nil"/>
              <w:left w:val="nil"/>
              <w:bottom w:val="single" w:color="auto" w:sz="4" w:space="0"/>
              <w:right w:val="single" w:color="auto" w:sz="4" w:space="0"/>
            </w:tcBorders>
            <w:shd w:val="clear" w:color="auto" w:fill="auto"/>
            <w:vAlign w:val="center"/>
          </w:tcPr>
          <w:p w14:paraId="53ABBE99">
            <w:pPr>
              <w:widowControl/>
              <w:jc w:val="left"/>
              <w:rPr>
                <w:rFonts w:ascii="宋体" w:hAnsi="宋体" w:cs="宋体"/>
                <w:kern w:val="0"/>
                <w:sz w:val="22"/>
              </w:rPr>
            </w:pPr>
            <w:r>
              <w:rPr>
                <w:rFonts w:hint="eastAsia" w:ascii="宋体" w:hAnsi="宋体" w:cs="宋体"/>
                <w:kern w:val="0"/>
                <w:sz w:val="22"/>
              </w:rPr>
              <w:t>7.图书信息按要求录入图书管理软件，标题录入准确、完整。</w:t>
            </w:r>
          </w:p>
        </w:tc>
        <w:tc>
          <w:tcPr>
            <w:tcW w:w="730" w:type="pct"/>
            <w:tcBorders>
              <w:top w:val="nil"/>
              <w:left w:val="nil"/>
              <w:bottom w:val="single" w:color="auto" w:sz="4" w:space="0"/>
              <w:right w:val="single" w:color="auto" w:sz="4" w:space="0"/>
            </w:tcBorders>
            <w:shd w:val="clear" w:color="auto" w:fill="auto"/>
            <w:noWrap/>
            <w:vAlign w:val="center"/>
          </w:tcPr>
          <w:p w14:paraId="7EBBC866">
            <w:pPr>
              <w:widowControl/>
              <w:jc w:val="left"/>
              <w:rPr>
                <w:rFonts w:ascii="宋体" w:hAnsi="宋体" w:cs="宋体"/>
                <w:kern w:val="0"/>
                <w:sz w:val="22"/>
              </w:rPr>
            </w:pPr>
            <w:r>
              <w:rPr>
                <w:rFonts w:hint="eastAsia" w:ascii="宋体" w:hAnsi="宋体" w:cs="宋体"/>
                <w:kern w:val="0"/>
                <w:sz w:val="22"/>
              </w:rPr>
              <w:t>合格□</w:t>
            </w:r>
          </w:p>
        </w:tc>
        <w:tc>
          <w:tcPr>
            <w:tcW w:w="681" w:type="pct"/>
            <w:tcBorders>
              <w:top w:val="nil"/>
              <w:left w:val="nil"/>
              <w:bottom w:val="single" w:color="auto" w:sz="4" w:space="0"/>
              <w:right w:val="single" w:color="auto" w:sz="4" w:space="0"/>
            </w:tcBorders>
            <w:shd w:val="clear" w:color="auto" w:fill="auto"/>
            <w:noWrap/>
            <w:vAlign w:val="center"/>
          </w:tcPr>
          <w:p w14:paraId="0503E293">
            <w:pPr>
              <w:widowControl/>
              <w:jc w:val="left"/>
              <w:rPr>
                <w:rFonts w:ascii="宋体" w:hAnsi="宋体" w:cs="宋体"/>
                <w:kern w:val="0"/>
                <w:sz w:val="22"/>
              </w:rPr>
            </w:pPr>
            <w:r>
              <w:rPr>
                <w:rFonts w:hint="eastAsia" w:ascii="宋体" w:hAnsi="宋体" w:cs="宋体"/>
                <w:kern w:val="0"/>
                <w:sz w:val="22"/>
              </w:rPr>
              <w:t>不合格□</w:t>
            </w:r>
          </w:p>
        </w:tc>
        <w:tc>
          <w:tcPr>
            <w:tcW w:w="1643" w:type="pct"/>
            <w:tcBorders>
              <w:top w:val="nil"/>
              <w:left w:val="nil"/>
              <w:bottom w:val="single" w:color="auto" w:sz="4" w:space="0"/>
              <w:right w:val="single" w:color="auto" w:sz="4" w:space="0"/>
            </w:tcBorders>
            <w:shd w:val="clear" w:color="auto" w:fill="auto"/>
          </w:tcPr>
          <w:p w14:paraId="0117DC13">
            <w:pPr>
              <w:widowControl/>
              <w:rPr>
                <w:rFonts w:ascii="宋体" w:hAnsi="宋体" w:cs="宋体"/>
                <w:kern w:val="0"/>
                <w:sz w:val="22"/>
              </w:rPr>
            </w:pPr>
            <w:r>
              <w:rPr>
                <w:rFonts w:hint="eastAsia" w:ascii="宋体" w:hAnsi="宋体" w:cs="宋体"/>
                <w:kern w:val="0"/>
                <w:sz w:val="22"/>
              </w:rPr>
              <w:t>不合格情况说明：</w:t>
            </w:r>
          </w:p>
        </w:tc>
      </w:tr>
      <w:tr w14:paraId="33E9933A">
        <w:tblPrEx>
          <w:tblCellMar>
            <w:top w:w="0" w:type="dxa"/>
            <w:left w:w="108" w:type="dxa"/>
            <w:bottom w:w="0" w:type="dxa"/>
            <w:right w:w="108" w:type="dxa"/>
          </w:tblCellMar>
        </w:tblPrEx>
        <w:trPr>
          <w:trHeight w:val="540" w:hRule="atLeast"/>
        </w:trPr>
        <w:tc>
          <w:tcPr>
            <w:tcW w:w="194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FB840A">
            <w:pPr>
              <w:widowControl/>
              <w:jc w:val="center"/>
              <w:rPr>
                <w:rFonts w:ascii="宋体" w:hAnsi="宋体" w:cs="宋体"/>
                <w:kern w:val="0"/>
                <w:sz w:val="22"/>
              </w:rPr>
            </w:pPr>
            <w:r>
              <w:rPr>
                <w:rFonts w:hint="eastAsia" w:ascii="宋体" w:hAnsi="宋体" w:cs="宋体"/>
                <w:kern w:val="0"/>
                <w:sz w:val="22"/>
              </w:rPr>
              <w:t xml:space="preserve"> 图书加工结果</w:t>
            </w:r>
          </w:p>
        </w:tc>
        <w:tc>
          <w:tcPr>
            <w:tcW w:w="730" w:type="pct"/>
            <w:tcBorders>
              <w:top w:val="nil"/>
              <w:left w:val="nil"/>
              <w:bottom w:val="single" w:color="auto" w:sz="4" w:space="0"/>
              <w:right w:val="single" w:color="auto" w:sz="4" w:space="0"/>
            </w:tcBorders>
            <w:shd w:val="clear" w:color="auto" w:fill="auto"/>
            <w:noWrap/>
            <w:vAlign w:val="center"/>
          </w:tcPr>
          <w:p w14:paraId="38054AF6">
            <w:pPr>
              <w:widowControl/>
              <w:jc w:val="left"/>
              <w:rPr>
                <w:rFonts w:ascii="宋体" w:hAnsi="宋体" w:cs="宋体"/>
                <w:kern w:val="0"/>
                <w:sz w:val="22"/>
              </w:rPr>
            </w:pPr>
            <w:r>
              <w:rPr>
                <w:rFonts w:hint="eastAsia" w:ascii="宋体" w:hAnsi="宋体" w:cs="宋体"/>
                <w:kern w:val="0"/>
                <w:sz w:val="22"/>
              </w:rPr>
              <w:t>合格□</w:t>
            </w:r>
          </w:p>
        </w:tc>
        <w:tc>
          <w:tcPr>
            <w:tcW w:w="681" w:type="pct"/>
            <w:tcBorders>
              <w:top w:val="nil"/>
              <w:left w:val="nil"/>
              <w:bottom w:val="single" w:color="auto" w:sz="4" w:space="0"/>
              <w:right w:val="single" w:color="auto" w:sz="4" w:space="0"/>
            </w:tcBorders>
            <w:shd w:val="clear" w:color="auto" w:fill="auto"/>
            <w:noWrap/>
            <w:vAlign w:val="center"/>
          </w:tcPr>
          <w:p w14:paraId="3E19A0ED">
            <w:pPr>
              <w:widowControl/>
              <w:jc w:val="left"/>
              <w:rPr>
                <w:rFonts w:ascii="宋体" w:hAnsi="宋体" w:cs="宋体"/>
                <w:kern w:val="0"/>
                <w:sz w:val="22"/>
              </w:rPr>
            </w:pPr>
            <w:r>
              <w:rPr>
                <w:rFonts w:hint="eastAsia" w:ascii="宋体" w:hAnsi="宋体" w:cs="宋体"/>
                <w:kern w:val="0"/>
                <w:sz w:val="22"/>
              </w:rPr>
              <w:t>不合格□</w:t>
            </w:r>
          </w:p>
        </w:tc>
        <w:tc>
          <w:tcPr>
            <w:tcW w:w="1643" w:type="pct"/>
            <w:tcBorders>
              <w:top w:val="nil"/>
              <w:left w:val="nil"/>
              <w:bottom w:val="single" w:color="auto" w:sz="4" w:space="0"/>
              <w:right w:val="single" w:color="auto" w:sz="4" w:space="0"/>
            </w:tcBorders>
            <w:shd w:val="clear" w:color="auto" w:fill="auto"/>
          </w:tcPr>
          <w:p w14:paraId="783F6A9A">
            <w:pPr>
              <w:widowControl/>
              <w:rPr>
                <w:rFonts w:ascii="宋体" w:hAnsi="宋体" w:cs="宋体"/>
                <w:kern w:val="0"/>
                <w:sz w:val="22"/>
              </w:rPr>
            </w:pPr>
            <w:r>
              <w:rPr>
                <w:rFonts w:hint="eastAsia" w:ascii="宋体" w:hAnsi="宋体" w:cs="宋体"/>
                <w:kern w:val="0"/>
                <w:sz w:val="22"/>
              </w:rPr>
              <w:t>不合格情况说明：</w:t>
            </w:r>
          </w:p>
        </w:tc>
      </w:tr>
      <w:tr w14:paraId="62B05E54">
        <w:tblPrEx>
          <w:tblCellMar>
            <w:top w:w="0" w:type="dxa"/>
            <w:left w:w="108" w:type="dxa"/>
            <w:bottom w:w="0" w:type="dxa"/>
            <w:right w:w="108" w:type="dxa"/>
          </w:tblCellMar>
        </w:tblPrEx>
        <w:trPr>
          <w:trHeight w:val="270" w:hRule="atLeast"/>
        </w:trPr>
        <w:tc>
          <w:tcPr>
            <w:tcW w:w="194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C1E686">
            <w:pPr>
              <w:widowControl/>
              <w:jc w:val="center"/>
              <w:rPr>
                <w:rFonts w:ascii="宋体" w:hAnsi="宋体" w:cs="宋体"/>
                <w:kern w:val="0"/>
                <w:sz w:val="22"/>
              </w:rPr>
            </w:pPr>
            <w:r>
              <w:rPr>
                <w:rFonts w:hint="eastAsia" w:ascii="宋体" w:hAnsi="宋体" w:cs="宋体"/>
                <w:kern w:val="0"/>
                <w:sz w:val="22"/>
              </w:rPr>
              <w:t>中标方（加盖公章）：</w:t>
            </w:r>
          </w:p>
        </w:tc>
        <w:tc>
          <w:tcPr>
            <w:tcW w:w="730" w:type="pct"/>
            <w:tcBorders>
              <w:top w:val="nil"/>
              <w:left w:val="nil"/>
              <w:bottom w:val="single" w:color="auto" w:sz="4" w:space="0"/>
              <w:right w:val="single" w:color="auto" w:sz="4" w:space="0"/>
            </w:tcBorders>
            <w:shd w:val="clear" w:color="auto" w:fill="auto"/>
            <w:noWrap/>
            <w:vAlign w:val="center"/>
          </w:tcPr>
          <w:p w14:paraId="03B55CFA">
            <w:pPr>
              <w:widowControl/>
              <w:jc w:val="left"/>
              <w:rPr>
                <w:rFonts w:ascii="宋体" w:hAnsi="宋体" w:cs="宋体"/>
                <w:kern w:val="0"/>
                <w:sz w:val="22"/>
              </w:rPr>
            </w:pPr>
            <w:r>
              <w:rPr>
                <w:rFonts w:hint="eastAsia" w:ascii="宋体" w:hAnsi="宋体" w:cs="宋体"/>
                <w:kern w:val="0"/>
                <w:sz w:val="22"/>
              </w:rPr>
              <w:t>　</w:t>
            </w:r>
          </w:p>
        </w:tc>
        <w:tc>
          <w:tcPr>
            <w:tcW w:w="2324" w:type="pct"/>
            <w:gridSpan w:val="2"/>
            <w:tcBorders>
              <w:top w:val="single" w:color="auto" w:sz="4" w:space="0"/>
              <w:left w:val="nil"/>
              <w:bottom w:val="single" w:color="auto" w:sz="4" w:space="0"/>
              <w:right w:val="single" w:color="auto" w:sz="4" w:space="0"/>
            </w:tcBorders>
            <w:shd w:val="clear" w:color="auto" w:fill="auto"/>
            <w:noWrap/>
            <w:vAlign w:val="center"/>
          </w:tcPr>
          <w:p w14:paraId="5FBCA26F">
            <w:pPr>
              <w:widowControl/>
              <w:jc w:val="center"/>
              <w:rPr>
                <w:rFonts w:ascii="宋体" w:hAnsi="宋体" w:cs="宋体"/>
                <w:kern w:val="0"/>
                <w:sz w:val="16"/>
                <w:szCs w:val="16"/>
              </w:rPr>
            </w:pPr>
            <w:r>
              <w:rPr>
                <w:rFonts w:hint="eastAsia" w:ascii="宋体" w:hAnsi="宋体" w:cs="宋体"/>
                <w:kern w:val="0"/>
                <w:sz w:val="16"/>
                <w:szCs w:val="16"/>
              </w:rPr>
              <w:t>项目学校（加盖公章）：</w:t>
            </w:r>
          </w:p>
        </w:tc>
      </w:tr>
      <w:tr w14:paraId="41B14035">
        <w:tblPrEx>
          <w:tblCellMar>
            <w:top w:w="0" w:type="dxa"/>
            <w:left w:w="108" w:type="dxa"/>
            <w:bottom w:w="0" w:type="dxa"/>
            <w:right w:w="108" w:type="dxa"/>
          </w:tblCellMar>
        </w:tblPrEx>
        <w:trPr>
          <w:trHeight w:val="270" w:hRule="atLeast"/>
        </w:trPr>
        <w:tc>
          <w:tcPr>
            <w:tcW w:w="194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1FACD6">
            <w:pPr>
              <w:widowControl/>
              <w:jc w:val="left"/>
              <w:rPr>
                <w:rFonts w:ascii="宋体" w:hAnsi="宋体" w:cs="宋体"/>
                <w:kern w:val="0"/>
                <w:sz w:val="22"/>
              </w:rPr>
            </w:pPr>
            <w:r>
              <w:rPr>
                <w:rFonts w:hint="eastAsia" w:ascii="宋体" w:hAnsi="宋体" w:cs="宋体"/>
                <w:kern w:val="0"/>
                <w:sz w:val="22"/>
              </w:rPr>
              <w:t>联系人：</w:t>
            </w:r>
          </w:p>
        </w:tc>
        <w:tc>
          <w:tcPr>
            <w:tcW w:w="730" w:type="pct"/>
            <w:tcBorders>
              <w:top w:val="nil"/>
              <w:left w:val="nil"/>
              <w:bottom w:val="single" w:color="auto" w:sz="4" w:space="0"/>
              <w:right w:val="single" w:color="auto" w:sz="4" w:space="0"/>
            </w:tcBorders>
            <w:shd w:val="clear" w:color="auto" w:fill="auto"/>
            <w:noWrap/>
            <w:vAlign w:val="center"/>
          </w:tcPr>
          <w:p w14:paraId="11364BF0">
            <w:pPr>
              <w:widowControl/>
              <w:jc w:val="left"/>
              <w:rPr>
                <w:rFonts w:ascii="宋体" w:hAnsi="宋体" w:cs="宋体"/>
                <w:kern w:val="0"/>
                <w:sz w:val="22"/>
              </w:rPr>
            </w:pPr>
            <w:r>
              <w:rPr>
                <w:rFonts w:hint="eastAsia" w:ascii="宋体" w:hAnsi="宋体" w:cs="宋体"/>
                <w:kern w:val="0"/>
                <w:sz w:val="22"/>
              </w:rPr>
              <w:t>　</w:t>
            </w:r>
          </w:p>
        </w:tc>
        <w:tc>
          <w:tcPr>
            <w:tcW w:w="2324" w:type="pct"/>
            <w:gridSpan w:val="2"/>
            <w:tcBorders>
              <w:top w:val="single" w:color="auto" w:sz="4" w:space="0"/>
              <w:left w:val="nil"/>
              <w:bottom w:val="single" w:color="auto" w:sz="4" w:space="0"/>
              <w:right w:val="single" w:color="auto" w:sz="4" w:space="0"/>
            </w:tcBorders>
            <w:shd w:val="clear" w:color="auto" w:fill="auto"/>
            <w:noWrap/>
            <w:vAlign w:val="center"/>
          </w:tcPr>
          <w:p w14:paraId="6B0BE085">
            <w:pPr>
              <w:widowControl/>
              <w:jc w:val="center"/>
              <w:rPr>
                <w:rFonts w:ascii="宋体" w:hAnsi="宋体" w:cs="宋体"/>
                <w:kern w:val="0"/>
                <w:sz w:val="22"/>
              </w:rPr>
            </w:pPr>
            <w:r>
              <w:rPr>
                <w:rFonts w:hint="eastAsia" w:ascii="宋体" w:hAnsi="宋体" w:cs="宋体"/>
                <w:kern w:val="0"/>
                <w:sz w:val="22"/>
              </w:rPr>
              <w:t>学校图书管理员：</w:t>
            </w:r>
          </w:p>
        </w:tc>
      </w:tr>
      <w:tr w14:paraId="03456702">
        <w:tblPrEx>
          <w:tblCellMar>
            <w:top w:w="0" w:type="dxa"/>
            <w:left w:w="108" w:type="dxa"/>
            <w:bottom w:w="0" w:type="dxa"/>
            <w:right w:w="108" w:type="dxa"/>
          </w:tblCellMar>
        </w:tblPrEx>
        <w:trPr>
          <w:trHeight w:val="270" w:hRule="atLeast"/>
        </w:trPr>
        <w:tc>
          <w:tcPr>
            <w:tcW w:w="452" w:type="pct"/>
            <w:tcBorders>
              <w:top w:val="nil"/>
              <w:left w:val="single" w:color="auto" w:sz="4" w:space="0"/>
              <w:bottom w:val="single" w:color="auto" w:sz="4" w:space="0"/>
              <w:right w:val="single" w:color="auto" w:sz="4" w:space="0"/>
            </w:tcBorders>
            <w:shd w:val="clear" w:color="auto" w:fill="auto"/>
            <w:noWrap/>
            <w:vAlign w:val="center"/>
          </w:tcPr>
          <w:p w14:paraId="47F90EB0">
            <w:pPr>
              <w:widowControl/>
              <w:jc w:val="left"/>
              <w:rPr>
                <w:rFonts w:ascii="宋体" w:hAnsi="宋体" w:cs="宋体"/>
                <w:kern w:val="0"/>
                <w:sz w:val="22"/>
              </w:rPr>
            </w:pPr>
            <w:r>
              <w:rPr>
                <w:rFonts w:hint="eastAsia" w:ascii="宋体" w:hAnsi="宋体" w:cs="宋体"/>
                <w:kern w:val="0"/>
                <w:sz w:val="22"/>
              </w:rPr>
              <w:t>联系电话：</w:t>
            </w:r>
          </w:p>
        </w:tc>
        <w:tc>
          <w:tcPr>
            <w:tcW w:w="1494" w:type="pct"/>
            <w:tcBorders>
              <w:top w:val="nil"/>
              <w:left w:val="nil"/>
              <w:bottom w:val="single" w:color="auto" w:sz="4" w:space="0"/>
              <w:right w:val="single" w:color="auto" w:sz="4" w:space="0"/>
            </w:tcBorders>
            <w:shd w:val="clear" w:color="auto" w:fill="auto"/>
            <w:vAlign w:val="center"/>
          </w:tcPr>
          <w:p w14:paraId="38B5632F">
            <w:pPr>
              <w:widowControl/>
              <w:jc w:val="left"/>
              <w:rPr>
                <w:rFonts w:ascii="宋体" w:hAnsi="宋体" w:cs="宋体"/>
                <w:kern w:val="0"/>
                <w:sz w:val="22"/>
              </w:rPr>
            </w:pPr>
            <w:r>
              <w:rPr>
                <w:rFonts w:hint="eastAsia" w:ascii="宋体" w:hAnsi="宋体" w:cs="宋体"/>
                <w:kern w:val="0"/>
                <w:sz w:val="22"/>
              </w:rPr>
              <w:t>　</w:t>
            </w:r>
          </w:p>
        </w:tc>
        <w:tc>
          <w:tcPr>
            <w:tcW w:w="730" w:type="pct"/>
            <w:tcBorders>
              <w:top w:val="nil"/>
              <w:left w:val="nil"/>
              <w:bottom w:val="single" w:color="auto" w:sz="4" w:space="0"/>
              <w:right w:val="single" w:color="auto" w:sz="4" w:space="0"/>
            </w:tcBorders>
            <w:shd w:val="clear" w:color="auto" w:fill="auto"/>
            <w:noWrap/>
            <w:vAlign w:val="center"/>
          </w:tcPr>
          <w:p w14:paraId="21AAD579">
            <w:pPr>
              <w:widowControl/>
              <w:jc w:val="left"/>
              <w:rPr>
                <w:rFonts w:ascii="宋体" w:hAnsi="宋体" w:cs="宋体"/>
                <w:kern w:val="0"/>
                <w:sz w:val="22"/>
              </w:rPr>
            </w:pPr>
            <w:r>
              <w:rPr>
                <w:rFonts w:hint="eastAsia" w:ascii="宋体" w:hAnsi="宋体" w:cs="宋体"/>
                <w:kern w:val="0"/>
                <w:sz w:val="22"/>
              </w:rPr>
              <w:t>　</w:t>
            </w:r>
          </w:p>
        </w:tc>
        <w:tc>
          <w:tcPr>
            <w:tcW w:w="2324" w:type="pct"/>
            <w:gridSpan w:val="2"/>
            <w:tcBorders>
              <w:top w:val="single" w:color="auto" w:sz="4" w:space="0"/>
              <w:left w:val="nil"/>
              <w:bottom w:val="single" w:color="auto" w:sz="4" w:space="0"/>
              <w:right w:val="single" w:color="auto" w:sz="4" w:space="0"/>
            </w:tcBorders>
            <w:shd w:val="clear" w:color="auto" w:fill="auto"/>
            <w:noWrap/>
            <w:vAlign w:val="center"/>
          </w:tcPr>
          <w:p w14:paraId="31CC3CCE">
            <w:pPr>
              <w:widowControl/>
              <w:jc w:val="left"/>
              <w:rPr>
                <w:rFonts w:ascii="宋体" w:hAnsi="宋体" w:cs="宋体"/>
                <w:kern w:val="0"/>
                <w:sz w:val="22"/>
              </w:rPr>
            </w:pPr>
            <w:r>
              <w:rPr>
                <w:rFonts w:hint="eastAsia" w:ascii="宋体" w:hAnsi="宋体" w:cs="宋体"/>
                <w:kern w:val="0"/>
                <w:sz w:val="22"/>
              </w:rPr>
              <w:t>联系电话：</w:t>
            </w:r>
          </w:p>
        </w:tc>
      </w:tr>
      <w:tr w14:paraId="53B57E39">
        <w:tblPrEx>
          <w:tblCellMar>
            <w:top w:w="0" w:type="dxa"/>
            <w:left w:w="108" w:type="dxa"/>
            <w:bottom w:w="0" w:type="dxa"/>
            <w:right w:w="108" w:type="dxa"/>
          </w:tblCellMar>
        </w:tblPrEx>
        <w:trPr>
          <w:trHeight w:val="270" w:hRule="atLeast"/>
        </w:trPr>
        <w:tc>
          <w:tcPr>
            <w:tcW w:w="452" w:type="pct"/>
            <w:tcBorders>
              <w:top w:val="nil"/>
              <w:left w:val="single" w:color="auto" w:sz="4" w:space="0"/>
              <w:bottom w:val="single" w:color="auto" w:sz="4" w:space="0"/>
              <w:right w:val="single" w:color="auto" w:sz="4" w:space="0"/>
            </w:tcBorders>
            <w:shd w:val="clear" w:color="auto" w:fill="auto"/>
            <w:noWrap/>
            <w:vAlign w:val="center"/>
          </w:tcPr>
          <w:p w14:paraId="188D65BC">
            <w:pPr>
              <w:widowControl/>
              <w:jc w:val="left"/>
              <w:rPr>
                <w:rFonts w:ascii="宋体" w:hAnsi="宋体" w:cs="宋体"/>
                <w:kern w:val="0"/>
                <w:sz w:val="22"/>
              </w:rPr>
            </w:pPr>
            <w:r>
              <w:rPr>
                <w:rFonts w:hint="eastAsia" w:ascii="宋体" w:hAnsi="宋体" w:cs="宋体"/>
                <w:kern w:val="0"/>
                <w:sz w:val="22"/>
              </w:rPr>
              <w:t>　</w:t>
            </w:r>
          </w:p>
        </w:tc>
        <w:tc>
          <w:tcPr>
            <w:tcW w:w="1494" w:type="pct"/>
            <w:tcBorders>
              <w:top w:val="nil"/>
              <w:left w:val="nil"/>
              <w:bottom w:val="single" w:color="auto" w:sz="4" w:space="0"/>
              <w:right w:val="single" w:color="auto" w:sz="4" w:space="0"/>
            </w:tcBorders>
            <w:shd w:val="clear" w:color="auto" w:fill="auto"/>
            <w:vAlign w:val="center"/>
          </w:tcPr>
          <w:p w14:paraId="0384A502">
            <w:pPr>
              <w:widowControl/>
              <w:jc w:val="left"/>
              <w:rPr>
                <w:rFonts w:ascii="宋体" w:hAnsi="宋体" w:cs="宋体"/>
                <w:kern w:val="0"/>
                <w:sz w:val="22"/>
              </w:rPr>
            </w:pPr>
            <w:r>
              <w:rPr>
                <w:rFonts w:hint="eastAsia" w:ascii="宋体" w:hAnsi="宋体" w:cs="宋体"/>
                <w:kern w:val="0"/>
                <w:sz w:val="22"/>
              </w:rPr>
              <w:t>　</w:t>
            </w:r>
          </w:p>
        </w:tc>
        <w:tc>
          <w:tcPr>
            <w:tcW w:w="730" w:type="pct"/>
            <w:tcBorders>
              <w:top w:val="nil"/>
              <w:left w:val="nil"/>
              <w:bottom w:val="single" w:color="auto" w:sz="4" w:space="0"/>
              <w:right w:val="single" w:color="auto" w:sz="4" w:space="0"/>
            </w:tcBorders>
            <w:shd w:val="clear" w:color="auto" w:fill="auto"/>
            <w:noWrap/>
            <w:vAlign w:val="center"/>
          </w:tcPr>
          <w:p w14:paraId="12BB01B1">
            <w:pPr>
              <w:widowControl/>
              <w:jc w:val="left"/>
              <w:rPr>
                <w:rFonts w:ascii="宋体" w:hAnsi="宋体" w:cs="宋体"/>
                <w:kern w:val="0"/>
                <w:sz w:val="22"/>
              </w:rPr>
            </w:pPr>
            <w:r>
              <w:rPr>
                <w:rFonts w:hint="eastAsia" w:ascii="宋体" w:hAnsi="宋体" w:cs="宋体"/>
                <w:kern w:val="0"/>
                <w:sz w:val="22"/>
              </w:rPr>
              <w:t>　</w:t>
            </w:r>
          </w:p>
        </w:tc>
        <w:tc>
          <w:tcPr>
            <w:tcW w:w="681" w:type="pct"/>
            <w:tcBorders>
              <w:top w:val="nil"/>
              <w:left w:val="nil"/>
              <w:bottom w:val="single" w:color="auto" w:sz="4" w:space="0"/>
              <w:right w:val="single" w:color="auto" w:sz="4" w:space="0"/>
            </w:tcBorders>
            <w:shd w:val="clear" w:color="auto" w:fill="auto"/>
            <w:noWrap/>
            <w:vAlign w:val="center"/>
          </w:tcPr>
          <w:p w14:paraId="2B3C8D1D">
            <w:pPr>
              <w:widowControl/>
              <w:jc w:val="left"/>
              <w:rPr>
                <w:rFonts w:ascii="宋体" w:hAnsi="宋体" w:cs="宋体"/>
                <w:kern w:val="0"/>
                <w:sz w:val="22"/>
              </w:rPr>
            </w:pPr>
            <w:r>
              <w:rPr>
                <w:rFonts w:hint="eastAsia" w:ascii="宋体" w:hAnsi="宋体" w:cs="宋体"/>
                <w:kern w:val="0"/>
                <w:sz w:val="22"/>
              </w:rPr>
              <w:t>　</w:t>
            </w:r>
          </w:p>
        </w:tc>
        <w:tc>
          <w:tcPr>
            <w:tcW w:w="1643" w:type="pct"/>
            <w:tcBorders>
              <w:top w:val="nil"/>
              <w:left w:val="nil"/>
              <w:bottom w:val="single" w:color="auto" w:sz="4" w:space="0"/>
              <w:right w:val="single" w:color="auto" w:sz="4" w:space="0"/>
            </w:tcBorders>
            <w:shd w:val="clear" w:color="auto" w:fill="auto"/>
            <w:vAlign w:val="center"/>
          </w:tcPr>
          <w:p w14:paraId="4CFE52A6">
            <w:pPr>
              <w:widowControl/>
              <w:jc w:val="left"/>
              <w:rPr>
                <w:rFonts w:ascii="宋体" w:hAnsi="宋体" w:cs="宋体"/>
                <w:kern w:val="0"/>
                <w:sz w:val="22"/>
              </w:rPr>
            </w:pPr>
            <w:r>
              <w:rPr>
                <w:rFonts w:hint="eastAsia" w:ascii="宋体" w:hAnsi="宋体" w:cs="宋体"/>
                <w:kern w:val="0"/>
                <w:sz w:val="22"/>
              </w:rPr>
              <w:t>　</w:t>
            </w:r>
          </w:p>
        </w:tc>
      </w:tr>
      <w:tr w14:paraId="6496A56E">
        <w:tblPrEx>
          <w:tblCellMar>
            <w:top w:w="0" w:type="dxa"/>
            <w:left w:w="108" w:type="dxa"/>
            <w:bottom w:w="0" w:type="dxa"/>
            <w:right w:w="108" w:type="dxa"/>
          </w:tblCellMar>
        </w:tblPrEx>
        <w:trPr>
          <w:trHeight w:val="270" w:hRule="atLeast"/>
        </w:trPr>
        <w:tc>
          <w:tcPr>
            <w:tcW w:w="452" w:type="pct"/>
            <w:tcBorders>
              <w:top w:val="nil"/>
              <w:left w:val="single" w:color="auto" w:sz="4" w:space="0"/>
              <w:bottom w:val="single" w:color="auto" w:sz="4" w:space="0"/>
              <w:right w:val="single" w:color="auto" w:sz="4" w:space="0"/>
            </w:tcBorders>
            <w:shd w:val="clear" w:color="auto" w:fill="auto"/>
            <w:noWrap/>
            <w:vAlign w:val="center"/>
          </w:tcPr>
          <w:p w14:paraId="74B83B54">
            <w:pPr>
              <w:widowControl/>
              <w:jc w:val="left"/>
              <w:rPr>
                <w:rFonts w:ascii="宋体" w:hAnsi="宋体" w:cs="宋体"/>
                <w:kern w:val="0"/>
                <w:sz w:val="22"/>
              </w:rPr>
            </w:pPr>
            <w:r>
              <w:rPr>
                <w:rFonts w:hint="eastAsia" w:ascii="宋体" w:hAnsi="宋体" w:cs="宋体"/>
                <w:kern w:val="0"/>
                <w:sz w:val="22"/>
              </w:rPr>
              <w:t>　</w:t>
            </w:r>
          </w:p>
        </w:tc>
        <w:tc>
          <w:tcPr>
            <w:tcW w:w="1494" w:type="pct"/>
            <w:tcBorders>
              <w:top w:val="nil"/>
              <w:left w:val="nil"/>
              <w:bottom w:val="single" w:color="auto" w:sz="4" w:space="0"/>
              <w:right w:val="single" w:color="auto" w:sz="4" w:space="0"/>
            </w:tcBorders>
            <w:shd w:val="clear" w:color="auto" w:fill="auto"/>
            <w:vAlign w:val="center"/>
          </w:tcPr>
          <w:p w14:paraId="5AC8F190">
            <w:pPr>
              <w:widowControl/>
              <w:jc w:val="left"/>
              <w:rPr>
                <w:rFonts w:ascii="宋体" w:hAnsi="宋体" w:cs="宋体"/>
                <w:kern w:val="0"/>
                <w:sz w:val="22"/>
              </w:rPr>
            </w:pPr>
            <w:r>
              <w:rPr>
                <w:rFonts w:hint="eastAsia" w:ascii="宋体" w:hAnsi="宋体" w:cs="宋体"/>
                <w:kern w:val="0"/>
                <w:sz w:val="22"/>
              </w:rPr>
              <w:t>　</w:t>
            </w:r>
          </w:p>
        </w:tc>
        <w:tc>
          <w:tcPr>
            <w:tcW w:w="730" w:type="pct"/>
            <w:tcBorders>
              <w:top w:val="nil"/>
              <w:left w:val="nil"/>
              <w:bottom w:val="single" w:color="auto" w:sz="4" w:space="0"/>
              <w:right w:val="single" w:color="auto" w:sz="4" w:space="0"/>
            </w:tcBorders>
            <w:shd w:val="clear" w:color="auto" w:fill="auto"/>
            <w:noWrap/>
            <w:vAlign w:val="center"/>
          </w:tcPr>
          <w:p w14:paraId="69E7F874">
            <w:pPr>
              <w:widowControl/>
              <w:jc w:val="left"/>
              <w:rPr>
                <w:rFonts w:ascii="宋体" w:hAnsi="宋体" w:cs="宋体"/>
                <w:kern w:val="0"/>
                <w:sz w:val="22"/>
              </w:rPr>
            </w:pPr>
            <w:r>
              <w:rPr>
                <w:rFonts w:hint="eastAsia" w:ascii="宋体" w:hAnsi="宋体" w:cs="宋体"/>
                <w:kern w:val="0"/>
                <w:sz w:val="22"/>
              </w:rPr>
              <w:t xml:space="preserve">年  月  日                                              </w:t>
            </w:r>
          </w:p>
        </w:tc>
        <w:tc>
          <w:tcPr>
            <w:tcW w:w="2324" w:type="pct"/>
            <w:gridSpan w:val="2"/>
            <w:tcBorders>
              <w:top w:val="single" w:color="auto" w:sz="4" w:space="0"/>
              <w:left w:val="nil"/>
              <w:bottom w:val="single" w:color="auto" w:sz="4" w:space="0"/>
              <w:right w:val="single" w:color="auto" w:sz="4" w:space="0"/>
            </w:tcBorders>
            <w:shd w:val="clear" w:color="auto" w:fill="auto"/>
            <w:noWrap/>
            <w:vAlign w:val="center"/>
          </w:tcPr>
          <w:p w14:paraId="03335D80">
            <w:pPr>
              <w:widowControl/>
              <w:jc w:val="center"/>
              <w:rPr>
                <w:rFonts w:ascii="宋体" w:hAnsi="宋体" w:cs="宋体"/>
                <w:kern w:val="0"/>
                <w:sz w:val="22"/>
              </w:rPr>
            </w:pPr>
            <w:r>
              <w:rPr>
                <w:rFonts w:hint="eastAsia" w:ascii="宋体" w:hAnsi="宋体" w:cs="宋体"/>
                <w:kern w:val="0"/>
                <w:sz w:val="22"/>
              </w:rPr>
              <w:t>年  月  日</w:t>
            </w:r>
          </w:p>
        </w:tc>
      </w:tr>
    </w:tbl>
    <w:p w14:paraId="02555412">
      <w:pPr>
        <w:spacing w:line="360" w:lineRule="auto"/>
        <w:rPr>
          <w:rFonts w:ascii="宋体" w:hAnsi="宋体" w:cs="宋体"/>
        </w:rPr>
      </w:pPr>
    </w:p>
    <w:p w14:paraId="1E86D842">
      <w:pPr>
        <w:spacing w:line="360" w:lineRule="auto"/>
        <w:rPr>
          <w:rFonts w:ascii="宋体" w:hAnsi="宋体" w:cs="宋体"/>
        </w:rPr>
      </w:pPr>
    </w:p>
    <w:p w14:paraId="36232BC7">
      <w:pPr>
        <w:spacing w:line="360" w:lineRule="auto"/>
        <w:rPr>
          <w:rFonts w:ascii="宋体" w:hAnsi="宋体" w:cs="宋体"/>
        </w:rPr>
      </w:pPr>
    </w:p>
    <w:p w14:paraId="7E534CED">
      <w:pPr>
        <w:spacing w:line="360" w:lineRule="auto"/>
        <w:rPr>
          <w:rFonts w:ascii="宋体" w:hAnsi="宋体" w:cs="宋体"/>
        </w:rPr>
      </w:pPr>
    </w:p>
    <w:p w14:paraId="5CBB25EB">
      <w:pPr>
        <w:spacing w:line="360" w:lineRule="auto"/>
        <w:rPr>
          <w:rFonts w:ascii="宋体" w:hAnsi="宋体" w:cs="宋体"/>
        </w:rPr>
      </w:pPr>
    </w:p>
    <w:tbl>
      <w:tblPr>
        <w:tblStyle w:val="2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1"/>
        <w:gridCol w:w="964"/>
        <w:gridCol w:w="6577"/>
        <w:gridCol w:w="801"/>
        <w:gridCol w:w="799"/>
      </w:tblGrid>
      <w:tr w14:paraId="66DEB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4" w:type="pct"/>
            <w:shd w:val="clear" w:color="auto" w:fill="auto"/>
            <w:noWrap/>
            <w:vAlign w:val="center"/>
          </w:tcPr>
          <w:p w14:paraId="12AA9219">
            <w:pPr>
              <w:widowControl/>
              <w:jc w:val="left"/>
              <w:rPr>
                <w:rFonts w:ascii="宋体" w:hAnsi="宋体" w:cs="宋体"/>
                <w:kern w:val="0"/>
                <w:sz w:val="22"/>
              </w:rPr>
            </w:pPr>
            <w:r>
              <w:rPr>
                <w:rFonts w:hint="eastAsia" w:ascii="宋体" w:hAnsi="宋体" w:cs="宋体"/>
                <w:kern w:val="0"/>
                <w:sz w:val="22"/>
              </w:rPr>
              <w:t>附件4</w:t>
            </w:r>
          </w:p>
        </w:tc>
        <w:tc>
          <w:tcPr>
            <w:tcW w:w="3789" w:type="pct"/>
            <w:gridSpan w:val="2"/>
            <w:shd w:val="clear" w:color="auto" w:fill="auto"/>
            <w:vAlign w:val="center"/>
          </w:tcPr>
          <w:p w14:paraId="34B387DF">
            <w:pPr>
              <w:widowControl/>
              <w:jc w:val="left"/>
              <w:rPr>
                <w:rFonts w:ascii="宋体" w:hAnsi="宋体" w:cs="宋体"/>
                <w:kern w:val="0"/>
                <w:sz w:val="22"/>
              </w:rPr>
            </w:pPr>
            <w:r>
              <w:rPr>
                <w:rFonts w:hint="eastAsia" w:ascii="宋体" w:hAnsi="宋体" w:cs="宋体"/>
                <w:kern w:val="0"/>
                <w:sz w:val="22"/>
              </w:rPr>
              <w:t>出版社授权书（供货时提供）</w:t>
            </w:r>
          </w:p>
        </w:tc>
        <w:tc>
          <w:tcPr>
            <w:tcW w:w="404" w:type="pct"/>
            <w:shd w:val="clear" w:color="auto" w:fill="auto"/>
            <w:noWrap/>
            <w:vAlign w:val="center"/>
          </w:tcPr>
          <w:p w14:paraId="66705817">
            <w:pPr>
              <w:widowControl/>
              <w:jc w:val="left"/>
              <w:rPr>
                <w:rFonts w:ascii="宋体" w:hAnsi="宋体" w:cs="宋体"/>
                <w:kern w:val="0"/>
                <w:sz w:val="22"/>
              </w:rPr>
            </w:pPr>
          </w:p>
        </w:tc>
        <w:tc>
          <w:tcPr>
            <w:tcW w:w="403" w:type="pct"/>
            <w:shd w:val="clear" w:color="auto" w:fill="auto"/>
            <w:vAlign w:val="center"/>
          </w:tcPr>
          <w:p w14:paraId="7EF061A3">
            <w:pPr>
              <w:widowControl/>
              <w:jc w:val="left"/>
              <w:rPr>
                <w:rFonts w:eastAsia="Times New Roman"/>
                <w:kern w:val="0"/>
                <w:sz w:val="20"/>
                <w:szCs w:val="20"/>
              </w:rPr>
            </w:pPr>
          </w:p>
        </w:tc>
      </w:tr>
      <w:tr w14:paraId="0727E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4" w:type="pct"/>
            <w:shd w:val="clear" w:color="auto" w:fill="auto"/>
            <w:noWrap/>
            <w:vAlign w:val="center"/>
          </w:tcPr>
          <w:p w14:paraId="0839913E">
            <w:pPr>
              <w:widowControl/>
              <w:jc w:val="left"/>
              <w:rPr>
                <w:rFonts w:eastAsia="Times New Roman"/>
                <w:kern w:val="0"/>
                <w:sz w:val="20"/>
                <w:szCs w:val="20"/>
              </w:rPr>
            </w:pPr>
          </w:p>
        </w:tc>
        <w:tc>
          <w:tcPr>
            <w:tcW w:w="486" w:type="pct"/>
            <w:shd w:val="clear" w:color="auto" w:fill="auto"/>
            <w:vAlign w:val="center"/>
          </w:tcPr>
          <w:p w14:paraId="2385A023">
            <w:pPr>
              <w:widowControl/>
              <w:jc w:val="left"/>
              <w:rPr>
                <w:rFonts w:eastAsia="Times New Roman"/>
                <w:kern w:val="0"/>
                <w:sz w:val="20"/>
                <w:szCs w:val="20"/>
              </w:rPr>
            </w:pPr>
          </w:p>
        </w:tc>
        <w:tc>
          <w:tcPr>
            <w:tcW w:w="3303" w:type="pct"/>
            <w:shd w:val="clear" w:color="auto" w:fill="auto"/>
            <w:noWrap/>
            <w:vAlign w:val="center"/>
          </w:tcPr>
          <w:p w14:paraId="585D236C">
            <w:pPr>
              <w:widowControl/>
              <w:jc w:val="left"/>
              <w:rPr>
                <w:rFonts w:eastAsia="Times New Roman"/>
                <w:kern w:val="0"/>
                <w:sz w:val="20"/>
                <w:szCs w:val="20"/>
              </w:rPr>
            </w:pPr>
          </w:p>
        </w:tc>
        <w:tc>
          <w:tcPr>
            <w:tcW w:w="404" w:type="pct"/>
            <w:shd w:val="clear" w:color="auto" w:fill="auto"/>
            <w:noWrap/>
            <w:vAlign w:val="center"/>
          </w:tcPr>
          <w:p w14:paraId="0824D5BB">
            <w:pPr>
              <w:widowControl/>
              <w:jc w:val="left"/>
              <w:rPr>
                <w:rFonts w:eastAsia="Times New Roman"/>
                <w:kern w:val="0"/>
                <w:sz w:val="20"/>
                <w:szCs w:val="20"/>
              </w:rPr>
            </w:pPr>
          </w:p>
        </w:tc>
        <w:tc>
          <w:tcPr>
            <w:tcW w:w="403" w:type="pct"/>
            <w:shd w:val="clear" w:color="auto" w:fill="auto"/>
            <w:vAlign w:val="center"/>
          </w:tcPr>
          <w:p w14:paraId="08282534">
            <w:pPr>
              <w:widowControl/>
              <w:jc w:val="left"/>
              <w:rPr>
                <w:rFonts w:eastAsia="Times New Roman"/>
                <w:kern w:val="0"/>
                <w:sz w:val="20"/>
                <w:szCs w:val="20"/>
              </w:rPr>
            </w:pPr>
          </w:p>
        </w:tc>
      </w:tr>
      <w:tr w14:paraId="23B7C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04" w:type="pct"/>
            <w:shd w:val="clear" w:color="auto" w:fill="auto"/>
            <w:noWrap/>
            <w:vAlign w:val="center"/>
          </w:tcPr>
          <w:p w14:paraId="21C35E93">
            <w:pPr>
              <w:widowControl/>
              <w:jc w:val="left"/>
              <w:rPr>
                <w:rFonts w:eastAsia="Times New Roman"/>
                <w:kern w:val="0"/>
                <w:sz w:val="20"/>
                <w:szCs w:val="20"/>
              </w:rPr>
            </w:pPr>
          </w:p>
        </w:tc>
        <w:tc>
          <w:tcPr>
            <w:tcW w:w="486" w:type="pct"/>
            <w:shd w:val="clear" w:color="auto" w:fill="auto"/>
            <w:vAlign w:val="center"/>
          </w:tcPr>
          <w:p w14:paraId="5F0FE4D9">
            <w:pPr>
              <w:widowControl/>
              <w:jc w:val="left"/>
              <w:rPr>
                <w:rFonts w:eastAsia="Times New Roman"/>
                <w:kern w:val="0"/>
                <w:sz w:val="20"/>
                <w:szCs w:val="20"/>
              </w:rPr>
            </w:pPr>
          </w:p>
        </w:tc>
        <w:tc>
          <w:tcPr>
            <w:tcW w:w="3303" w:type="pct"/>
            <w:shd w:val="clear" w:color="auto" w:fill="auto"/>
            <w:noWrap/>
            <w:vAlign w:val="center"/>
          </w:tcPr>
          <w:p w14:paraId="7FCB428D">
            <w:pPr>
              <w:widowControl/>
              <w:jc w:val="center"/>
              <w:rPr>
                <w:rFonts w:ascii="黑体" w:hAnsi="黑体" w:eastAsia="黑体" w:cs="宋体"/>
                <w:kern w:val="0"/>
                <w:sz w:val="40"/>
                <w:szCs w:val="40"/>
              </w:rPr>
            </w:pPr>
            <w:r>
              <w:rPr>
                <w:rFonts w:hint="eastAsia" w:ascii="黑体" w:hAnsi="黑体" w:eastAsia="黑体" w:cs="宋体"/>
                <w:kern w:val="0"/>
                <w:sz w:val="40"/>
                <w:szCs w:val="40"/>
              </w:rPr>
              <w:t>授权书</w:t>
            </w:r>
          </w:p>
        </w:tc>
        <w:tc>
          <w:tcPr>
            <w:tcW w:w="404" w:type="pct"/>
            <w:shd w:val="clear" w:color="auto" w:fill="auto"/>
            <w:noWrap/>
            <w:vAlign w:val="center"/>
          </w:tcPr>
          <w:p w14:paraId="33C526BD">
            <w:pPr>
              <w:widowControl/>
              <w:jc w:val="center"/>
              <w:rPr>
                <w:rFonts w:ascii="黑体" w:hAnsi="黑体" w:eastAsia="黑体" w:cs="宋体"/>
                <w:kern w:val="0"/>
                <w:sz w:val="40"/>
                <w:szCs w:val="40"/>
              </w:rPr>
            </w:pPr>
          </w:p>
        </w:tc>
        <w:tc>
          <w:tcPr>
            <w:tcW w:w="403" w:type="pct"/>
            <w:shd w:val="clear" w:color="auto" w:fill="auto"/>
            <w:noWrap/>
            <w:vAlign w:val="center"/>
          </w:tcPr>
          <w:p w14:paraId="2D6C02E5">
            <w:pPr>
              <w:widowControl/>
              <w:jc w:val="left"/>
              <w:rPr>
                <w:rFonts w:eastAsia="Times New Roman"/>
                <w:kern w:val="0"/>
                <w:sz w:val="20"/>
                <w:szCs w:val="20"/>
              </w:rPr>
            </w:pPr>
          </w:p>
        </w:tc>
      </w:tr>
      <w:tr w14:paraId="7DE03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000" w:type="pct"/>
            <w:gridSpan w:val="5"/>
            <w:shd w:val="clear" w:color="auto" w:fill="auto"/>
          </w:tcPr>
          <w:p w14:paraId="5BDB0F20">
            <w:pPr>
              <w:widowControl/>
              <w:jc w:val="left"/>
              <w:rPr>
                <w:rFonts w:ascii="宋体" w:hAnsi="宋体" w:cs="宋体"/>
                <w:kern w:val="0"/>
                <w:sz w:val="22"/>
              </w:rPr>
            </w:pPr>
            <w:r>
              <w:rPr>
                <w:rFonts w:ascii="宋体" w:hAnsi="宋体" w:cs="宋体"/>
                <w:kern w:val="0"/>
                <w:sz w:val="22"/>
              </w:rPr>
              <w:drawing>
                <wp:anchor distT="0" distB="0" distL="114300" distR="114300" simplePos="0" relativeHeight="251663360" behindDoc="0" locked="0" layoutInCell="1" allowOverlap="1">
                  <wp:simplePos x="0" y="0"/>
                  <wp:positionH relativeFrom="column">
                    <wp:posOffset>-22860</wp:posOffset>
                  </wp:positionH>
                  <wp:positionV relativeFrom="paragraph">
                    <wp:posOffset>1141095</wp:posOffset>
                  </wp:positionV>
                  <wp:extent cx="6214110" cy="2018665"/>
                  <wp:effectExtent l="0" t="0" r="15240" b="635"/>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7"/>
                          <a:stretch>
                            <a:fillRect/>
                          </a:stretch>
                        </pic:blipFill>
                        <pic:spPr>
                          <a:xfrm>
                            <a:off x="0" y="0"/>
                            <a:ext cx="6214110" cy="2088423"/>
                          </a:xfrm>
                          <a:prstGeom prst="rect">
                            <a:avLst/>
                          </a:prstGeom>
                        </pic:spPr>
                      </pic:pic>
                    </a:graphicData>
                  </a:graphic>
                </wp:anchor>
              </w:drawing>
            </w:r>
            <w:r>
              <w:rPr>
                <w:rFonts w:hint="eastAsia" w:ascii="宋体" w:hAnsi="宋体" w:cs="宋体"/>
                <w:kern w:val="0"/>
                <w:sz w:val="22"/>
              </w:rPr>
              <w:t>致：</w:t>
            </w:r>
            <w:r>
              <w:rPr>
                <w:rFonts w:hint="eastAsia" w:ascii="宋体" w:hAnsi="宋体" w:cs="宋体"/>
                <w:kern w:val="0"/>
                <w:sz w:val="22"/>
              </w:rPr>
              <w:br w:type="textWrapping"/>
            </w:r>
            <w:r>
              <w:rPr>
                <w:rFonts w:hint="eastAsia" w:ascii="宋体" w:hAnsi="宋体" w:cs="宋体"/>
                <w:kern w:val="0"/>
                <w:sz w:val="22"/>
              </w:rPr>
              <w:t xml:space="preserve">    我们</w:t>
            </w:r>
            <w:r>
              <w:rPr>
                <w:rFonts w:hint="eastAsia" w:ascii="宋体" w:hAnsi="宋体" w:cs="宋体"/>
                <w:kern w:val="0"/>
                <w:sz w:val="22"/>
                <w:u w:val="single"/>
              </w:rPr>
              <w:t>（出版社名称）</w:t>
            </w:r>
            <w:r>
              <w:rPr>
                <w:rFonts w:hint="eastAsia" w:ascii="宋体" w:hAnsi="宋体" w:cs="宋体"/>
                <w:kern w:val="0"/>
                <w:sz w:val="22"/>
              </w:rPr>
              <w:t>是按中华人民共和国法律成立的出版社，地点设在</w:t>
            </w:r>
            <w:r>
              <w:rPr>
                <w:rFonts w:hint="eastAsia" w:ascii="宋体" w:hAnsi="宋体" w:cs="宋体"/>
                <w:kern w:val="0"/>
                <w:sz w:val="22"/>
                <w:u w:val="single"/>
              </w:rPr>
              <w:t>（出版社地址）</w:t>
            </w:r>
            <w:r>
              <w:rPr>
                <w:rFonts w:hint="eastAsia" w:ascii="宋体" w:hAnsi="宋体" w:cs="宋体"/>
                <w:kern w:val="0"/>
                <w:sz w:val="22"/>
              </w:rPr>
              <w:t>。现授权依照国家有关法律正式成立的，主要营业地点设在</w:t>
            </w:r>
            <w:r>
              <w:rPr>
                <w:rFonts w:hint="eastAsia" w:ascii="宋体" w:hAnsi="宋体" w:cs="宋体"/>
                <w:kern w:val="0"/>
                <w:sz w:val="22"/>
                <w:u w:val="single"/>
              </w:rPr>
              <w:t>（投标人地址）</w:t>
            </w:r>
            <w:r>
              <w:rPr>
                <w:rFonts w:hint="eastAsia" w:ascii="宋体" w:hAnsi="宋体" w:cs="宋体"/>
                <w:kern w:val="0"/>
                <w:sz w:val="22"/>
              </w:rPr>
              <w:t>的</w:t>
            </w:r>
            <w:r>
              <w:rPr>
                <w:rFonts w:hint="eastAsia" w:ascii="宋体" w:hAnsi="宋体" w:cs="宋体"/>
                <w:kern w:val="0"/>
                <w:sz w:val="22"/>
                <w:u w:val="single"/>
              </w:rPr>
              <w:t>（投标人名称）</w:t>
            </w:r>
            <w:r>
              <w:rPr>
                <w:rFonts w:hint="eastAsia" w:ascii="宋体" w:hAnsi="宋体" w:cs="宋体"/>
                <w:kern w:val="0"/>
                <w:sz w:val="22"/>
              </w:rPr>
              <w:t>就</w:t>
            </w:r>
            <w:r>
              <w:rPr>
                <w:rFonts w:hint="eastAsia" w:ascii="宋体" w:hAnsi="宋体" w:cs="宋体"/>
                <w:kern w:val="0"/>
                <w:sz w:val="22"/>
                <w:u w:val="single"/>
              </w:rPr>
              <w:t>（项目名称及项目编号）</w:t>
            </w:r>
            <w:r>
              <w:rPr>
                <w:rFonts w:hint="eastAsia" w:ascii="宋体" w:hAnsi="宋体" w:cs="宋体"/>
                <w:kern w:val="0"/>
                <w:sz w:val="22"/>
              </w:rPr>
              <w:t>参与投标，提供由我方出版的图书，具体书目详见下表：</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 xml:space="preserve">    出版社发行负责人和联系电话：</w:t>
            </w:r>
            <w:r>
              <w:rPr>
                <w:rFonts w:hint="eastAsia" w:ascii="宋体" w:hAnsi="宋体" w:cs="宋体"/>
                <w:kern w:val="0"/>
                <w:sz w:val="22"/>
                <w:u w:val="single"/>
              </w:rPr>
              <w:t>（此处必须完整填写）</w:t>
            </w:r>
            <w:r>
              <w:rPr>
                <w:rFonts w:hint="eastAsia" w:ascii="宋体" w:hAnsi="宋体" w:cs="宋体"/>
                <w:kern w:val="0"/>
                <w:sz w:val="22"/>
              </w:rPr>
              <w:br w:type="textWrapping"/>
            </w:r>
            <w:r>
              <w:rPr>
                <w:rFonts w:hint="eastAsia" w:ascii="宋体" w:hAnsi="宋体" w:cs="宋体"/>
                <w:kern w:val="0"/>
                <w:sz w:val="22"/>
              </w:rPr>
              <w:t xml:space="preserve">    我方保证以投标合作者来约束自己，保证为上述投标人就此次图书采购而提交的货物承担全部质量保证责任，并对该授权承担相应的法律责任。</w:t>
            </w:r>
            <w:r>
              <w:rPr>
                <w:rFonts w:hint="eastAsia" w:ascii="宋体" w:hAnsi="宋体" w:cs="宋体"/>
                <w:kern w:val="0"/>
                <w:sz w:val="22"/>
              </w:rPr>
              <w:br w:type="textWrapping"/>
            </w:r>
            <w:r>
              <w:rPr>
                <w:rFonts w:hint="eastAsia" w:ascii="宋体" w:hAnsi="宋体" w:cs="宋体"/>
                <w:kern w:val="0"/>
                <w:sz w:val="22"/>
              </w:rPr>
              <w:t>授权出版社名称：                                              投标人名称：</w:t>
            </w:r>
            <w:r>
              <w:rPr>
                <w:rFonts w:hint="eastAsia" w:ascii="宋体" w:hAnsi="宋体" w:cs="宋体"/>
                <w:kern w:val="0"/>
                <w:sz w:val="22"/>
              </w:rPr>
              <w:br w:type="textWrapping"/>
            </w:r>
            <w:r>
              <w:rPr>
                <w:rFonts w:hint="eastAsia" w:ascii="宋体" w:hAnsi="宋体" w:cs="宋体"/>
                <w:kern w:val="0"/>
                <w:sz w:val="22"/>
              </w:rPr>
              <w:t>（加盖出版社公章）                                            （加盖投标人公章）</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法定代表人或委托代理人签名：                                   法定代表人或委托代理人签名：</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联系电话：                                                    联系电话：</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 xml:space="preserve">                 年      月      日                                                      年      月      日</w:t>
            </w:r>
          </w:p>
        </w:tc>
      </w:tr>
    </w:tbl>
    <w:p w14:paraId="1DA38A87">
      <w:pPr>
        <w:spacing w:line="360" w:lineRule="auto"/>
        <w:rPr>
          <w:rFonts w:ascii="宋体" w:hAnsi="宋体" w:cs="宋体"/>
        </w:rPr>
      </w:pPr>
    </w:p>
    <w:p w14:paraId="2606231A">
      <w:pPr>
        <w:spacing w:line="360" w:lineRule="auto"/>
        <w:rPr>
          <w:rFonts w:ascii="宋体" w:hAnsi="宋体" w:cs="宋体"/>
        </w:rPr>
      </w:pPr>
    </w:p>
    <w:p w14:paraId="547D6FEA">
      <w:pPr>
        <w:spacing w:line="360" w:lineRule="auto"/>
        <w:rPr>
          <w:rFonts w:ascii="宋体" w:hAnsi="宋体" w:cs="宋体"/>
        </w:rPr>
      </w:pPr>
    </w:p>
    <w:p w14:paraId="6B3B4B2F">
      <w:pPr>
        <w:spacing w:line="360" w:lineRule="auto"/>
        <w:rPr>
          <w:rFonts w:ascii="宋体" w:hAnsi="宋体" w:cs="宋体"/>
        </w:rPr>
      </w:pPr>
    </w:p>
    <w:p w14:paraId="5CC0287C">
      <w:pPr>
        <w:pStyle w:val="21"/>
        <w:spacing w:before="0" w:after="0"/>
        <w:jc w:val="left"/>
        <w:outlineLvl w:val="9"/>
        <w:rPr>
          <w:b w:val="0"/>
        </w:rPr>
      </w:pPr>
      <w:r>
        <w:rPr>
          <w:rFonts w:hint="eastAsia" w:ascii="仿宋_GB2312" w:eastAsia="仿宋_GB2312"/>
        </w:rPr>
        <w:t>C分标（3分标）:最高限价：198.998万元</w:t>
      </w:r>
    </w:p>
    <w:tbl>
      <w:tblPr>
        <w:tblStyle w:val="24"/>
        <w:tblW w:w="10158" w:type="dxa"/>
        <w:tblInd w:w="189" w:type="dxa"/>
        <w:tblLayout w:type="fixed"/>
        <w:tblCellMar>
          <w:top w:w="0" w:type="dxa"/>
          <w:left w:w="108" w:type="dxa"/>
          <w:bottom w:w="0" w:type="dxa"/>
          <w:right w:w="108" w:type="dxa"/>
        </w:tblCellMar>
      </w:tblPr>
      <w:tblGrid>
        <w:gridCol w:w="653"/>
        <w:gridCol w:w="1072"/>
        <w:gridCol w:w="4897"/>
        <w:gridCol w:w="462"/>
        <w:gridCol w:w="605"/>
        <w:gridCol w:w="686"/>
        <w:gridCol w:w="1783"/>
      </w:tblGrid>
      <w:tr w14:paraId="01AB8C43">
        <w:tblPrEx>
          <w:tblCellMar>
            <w:top w:w="0" w:type="dxa"/>
            <w:left w:w="108" w:type="dxa"/>
            <w:bottom w:w="0" w:type="dxa"/>
            <w:right w:w="108" w:type="dxa"/>
          </w:tblCellMar>
        </w:tblPrEx>
        <w:trPr>
          <w:trHeight w:val="699"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2DDF1CA">
            <w:pPr>
              <w:widowControl/>
              <w:jc w:val="center"/>
              <w:rPr>
                <w:rFonts w:ascii="宋体" w:hAnsi="宋体" w:cs="宋体"/>
                <w:kern w:val="0"/>
                <w:sz w:val="20"/>
                <w:szCs w:val="20"/>
              </w:rPr>
            </w:pPr>
            <w:r>
              <w:rPr>
                <w:rFonts w:hint="eastAsia" w:ascii="宋体" w:hAnsi="宋体" w:cs="宋体"/>
                <w:b/>
                <w:bCs/>
                <w:kern w:val="0"/>
                <w:sz w:val="22"/>
              </w:rPr>
              <w:t>序号</w:t>
            </w:r>
          </w:p>
        </w:tc>
        <w:tc>
          <w:tcPr>
            <w:tcW w:w="1072" w:type="dxa"/>
            <w:tcBorders>
              <w:top w:val="single" w:color="auto" w:sz="4" w:space="0"/>
              <w:left w:val="nil"/>
              <w:bottom w:val="single" w:color="auto" w:sz="4" w:space="0"/>
              <w:right w:val="single" w:color="auto" w:sz="4" w:space="0"/>
            </w:tcBorders>
            <w:shd w:val="clear" w:color="auto" w:fill="auto"/>
            <w:vAlign w:val="center"/>
          </w:tcPr>
          <w:p w14:paraId="2791BCEF">
            <w:pPr>
              <w:widowControl/>
              <w:jc w:val="center"/>
              <w:rPr>
                <w:rFonts w:ascii="宋体" w:hAnsi="宋体" w:cs="宋体"/>
                <w:kern w:val="0"/>
                <w:sz w:val="20"/>
                <w:szCs w:val="20"/>
              </w:rPr>
            </w:pPr>
            <w:r>
              <w:rPr>
                <w:rFonts w:hint="eastAsia" w:ascii="宋体" w:hAnsi="宋体" w:cs="宋体"/>
                <w:b/>
                <w:bCs/>
                <w:kern w:val="0"/>
                <w:sz w:val="22"/>
              </w:rPr>
              <w:t>设备名称</w:t>
            </w:r>
          </w:p>
        </w:tc>
        <w:tc>
          <w:tcPr>
            <w:tcW w:w="4897" w:type="dxa"/>
            <w:tcBorders>
              <w:top w:val="single" w:color="auto" w:sz="4" w:space="0"/>
              <w:left w:val="nil"/>
              <w:bottom w:val="single" w:color="auto" w:sz="4" w:space="0"/>
              <w:right w:val="single" w:color="auto" w:sz="4" w:space="0"/>
            </w:tcBorders>
            <w:shd w:val="clear" w:color="auto" w:fill="auto"/>
            <w:vAlign w:val="center"/>
          </w:tcPr>
          <w:p w14:paraId="1D09DB8B">
            <w:pPr>
              <w:widowControl/>
              <w:jc w:val="center"/>
              <w:rPr>
                <w:rFonts w:ascii="宋体" w:hAnsi="宋体" w:cs="宋体"/>
                <w:kern w:val="0"/>
                <w:sz w:val="20"/>
                <w:szCs w:val="20"/>
              </w:rPr>
            </w:pPr>
            <w:r>
              <w:rPr>
                <w:rFonts w:hint="eastAsia" w:ascii="宋体" w:hAnsi="宋体" w:cs="宋体"/>
                <w:b/>
                <w:bCs/>
                <w:kern w:val="0"/>
                <w:sz w:val="22"/>
              </w:rPr>
              <w:t>规格及技术参数需求描述</w:t>
            </w:r>
          </w:p>
        </w:tc>
        <w:tc>
          <w:tcPr>
            <w:tcW w:w="462" w:type="dxa"/>
            <w:tcBorders>
              <w:top w:val="single" w:color="auto" w:sz="4" w:space="0"/>
              <w:left w:val="nil"/>
              <w:bottom w:val="single" w:color="auto" w:sz="4" w:space="0"/>
              <w:right w:val="single" w:color="auto" w:sz="4" w:space="0"/>
            </w:tcBorders>
            <w:shd w:val="clear" w:color="auto" w:fill="auto"/>
            <w:vAlign w:val="center"/>
          </w:tcPr>
          <w:p w14:paraId="1E38183F">
            <w:pPr>
              <w:widowControl/>
              <w:jc w:val="center"/>
              <w:rPr>
                <w:rFonts w:ascii="宋体" w:hAnsi="宋体" w:cs="宋体"/>
                <w:kern w:val="0"/>
                <w:sz w:val="20"/>
                <w:szCs w:val="20"/>
              </w:rPr>
            </w:pPr>
            <w:r>
              <w:rPr>
                <w:rFonts w:hint="eastAsia" w:ascii="宋体" w:hAnsi="宋体" w:cs="宋体"/>
                <w:b/>
                <w:bCs/>
                <w:kern w:val="0"/>
                <w:sz w:val="22"/>
              </w:rPr>
              <w:t>单位</w:t>
            </w:r>
          </w:p>
        </w:tc>
        <w:tc>
          <w:tcPr>
            <w:tcW w:w="605" w:type="dxa"/>
            <w:tcBorders>
              <w:top w:val="single" w:color="auto" w:sz="4" w:space="0"/>
              <w:left w:val="nil"/>
              <w:bottom w:val="single" w:color="auto" w:sz="4" w:space="0"/>
              <w:right w:val="single" w:color="auto" w:sz="4" w:space="0"/>
            </w:tcBorders>
            <w:shd w:val="clear" w:color="auto" w:fill="auto"/>
            <w:vAlign w:val="center"/>
          </w:tcPr>
          <w:p w14:paraId="6906FDEE">
            <w:pPr>
              <w:widowControl/>
              <w:jc w:val="center"/>
              <w:rPr>
                <w:rFonts w:ascii="宋体" w:hAnsi="宋体" w:cs="宋体"/>
                <w:kern w:val="0"/>
                <w:sz w:val="20"/>
                <w:szCs w:val="20"/>
              </w:rPr>
            </w:pPr>
            <w:r>
              <w:rPr>
                <w:rFonts w:hint="eastAsia" w:ascii="宋体" w:hAnsi="宋体" w:cs="宋体"/>
                <w:b/>
                <w:bCs/>
                <w:kern w:val="0"/>
                <w:sz w:val="22"/>
              </w:rPr>
              <w:t>数量</w:t>
            </w:r>
          </w:p>
        </w:tc>
        <w:tc>
          <w:tcPr>
            <w:tcW w:w="686" w:type="dxa"/>
            <w:tcBorders>
              <w:top w:val="single" w:color="auto" w:sz="4" w:space="0"/>
              <w:left w:val="nil"/>
              <w:bottom w:val="single" w:color="auto" w:sz="4" w:space="0"/>
              <w:right w:val="single" w:color="auto" w:sz="4" w:space="0"/>
            </w:tcBorders>
            <w:shd w:val="clear" w:color="auto" w:fill="auto"/>
            <w:vAlign w:val="center"/>
          </w:tcPr>
          <w:p w14:paraId="4C487385">
            <w:pPr>
              <w:widowControl/>
              <w:jc w:val="center"/>
              <w:rPr>
                <w:rFonts w:ascii="宋体" w:hAnsi="宋体" w:cs="宋体"/>
                <w:kern w:val="0"/>
                <w:sz w:val="20"/>
                <w:szCs w:val="20"/>
              </w:rPr>
            </w:pPr>
            <w:r>
              <w:rPr>
                <w:rFonts w:hint="eastAsia" w:ascii="宋体" w:hAnsi="宋体" w:cs="宋体"/>
                <w:b/>
                <w:bCs/>
                <w:kern w:val="0"/>
                <w:sz w:val="22"/>
              </w:rPr>
              <w:t>单价</w:t>
            </w:r>
            <w:r>
              <w:rPr>
                <w:rFonts w:hint="eastAsia" w:ascii="宋体" w:hAnsi="宋体" w:cs="宋体"/>
                <w:b/>
                <w:bCs/>
                <w:kern w:val="0"/>
                <w:sz w:val="16"/>
              </w:rPr>
              <w:t>（元）</w:t>
            </w:r>
          </w:p>
        </w:tc>
        <w:tc>
          <w:tcPr>
            <w:tcW w:w="1783" w:type="dxa"/>
            <w:tcBorders>
              <w:top w:val="single" w:color="auto" w:sz="4" w:space="0"/>
              <w:left w:val="nil"/>
              <w:bottom w:val="single" w:color="auto" w:sz="4" w:space="0"/>
              <w:right w:val="single" w:color="auto" w:sz="4" w:space="0"/>
            </w:tcBorders>
            <w:shd w:val="clear" w:color="auto" w:fill="auto"/>
            <w:vAlign w:val="center"/>
          </w:tcPr>
          <w:p w14:paraId="128489EA">
            <w:pPr>
              <w:widowControl/>
              <w:jc w:val="center"/>
              <w:rPr>
                <w:rFonts w:ascii="宋体" w:hAnsi="宋体" w:cs="宋体"/>
                <w:kern w:val="0"/>
                <w:sz w:val="20"/>
                <w:szCs w:val="20"/>
              </w:rPr>
            </w:pPr>
            <w:r>
              <w:rPr>
                <w:rFonts w:hint="eastAsia" w:ascii="宋体" w:hAnsi="宋体" w:cs="宋体"/>
                <w:b/>
                <w:bCs/>
                <w:kern w:val="0"/>
                <w:sz w:val="22"/>
              </w:rPr>
              <w:t>合价</w:t>
            </w:r>
            <w:r>
              <w:rPr>
                <w:rFonts w:hint="eastAsia" w:ascii="宋体" w:hAnsi="宋体" w:cs="宋体"/>
                <w:b/>
                <w:bCs/>
                <w:kern w:val="0"/>
                <w:sz w:val="18"/>
              </w:rPr>
              <w:t>（元）</w:t>
            </w:r>
          </w:p>
        </w:tc>
      </w:tr>
      <w:tr w14:paraId="39B55931">
        <w:tblPrEx>
          <w:tblCellMar>
            <w:top w:w="0" w:type="dxa"/>
            <w:left w:w="108" w:type="dxa"/>
            <w:bottom w:w="0" w:type="dxa"/>
            <w:right w:w="108" w:type="dxa"/>
          </w:tblCellMar>
        </w:tblPrEx>
        <w:trPr>
          <w:trHeight w:val="90" w:hRule="atLeast"/>
        </w:trPr>
        <w:tc>
          <w:tcPr>
            <w:tcW w:w="1015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86EF">
            <w:pPr>
              <w:pStyle w:val="36"/>
              <w:ind w:firstLine="0" w:firstLineChars="0"/>
              <w:rPr>
                <w:rFonts w:ascii="宋体" w:hAnsi="宋体" w:cs="宋体"/>
                <w:color w:val="000000"/>
                <w:sz w:val="22"/>
                <w:szCs w:val="22"/>
              </w:rPr>
            </w:pPr>
            <w:bookmarkStart w:id="37" w:name="网络多媒体教室设备"/>
            <w:r>
              <w:rPr>
                <w:rFonts w:ascii="宋体" w:hAnsi="宋体" w:cs="宋体"/>
                <w:b/>
                <w:bCs/>
                <w:kern w:val="0"/>
                <w:sz w:val="22"/>
              </w:rPr>
              <w:t>一</w:t>
            </w:r>
            <w:r>
              <w:rPr>
                <w:rFonts w:hint="eastAsia" w:ascii="宋体" w:hAnsi="宋体" w:cs="宋体"/>
                <w:b/>
                <w:bCs/>
                <w:kern w:val="0"/>
                <w:sz w:val="22"/>
              </w:rPr>
              <w:t>、网络多媒体教室设备</w:t>
            </w:r>
            <w:bookmarkEnd w:id="37"/>
          </w:p>
        </w:tc>
      </w:tr>
      <w:tr w14:paraId="0D3CCDC6">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7986">
            <w:pPr>
              <w:widowControl/>
              <w:jc w:val="center"/>
              <w:rPr>
                <w:rFonts w:ascii="宋体" w:hAnsi="宋体" w:cs="宋体"/>
                <w:kern w:val="0"/>
                <w:sz w:val="22"/>
              </w:rPr>
            </w:pPr>
            <w:r>
              <w:rPr>
                <w:rFonts w:hint="eastAsia" w:ascii="宋体" w:hAnsi="宋体" w:cs="宋体"/>
                <w:kern w:val="0"/>
                <w:sz w:val="22"/>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09E3">
            <w:pPr>
              <w:widowControl/>
              <w:jc w:val="center"/>
              <w:rPr>
                <w:rFonts w:ascii="宋体" w:hAnsi="宋体" w:cs="宋体"/>
                <w:kern w:val="0"/>
                <w:sz w:val="22"/>
              </w:rPr>
            </w:pPr>
            <w:r>
              <w:rPr>
                <w:rFonts w:hint="eastAsia" w:ascii="宋体" w:hAnsi="宋体" w:cs="宋体"/>
                <w:kern w:val="0"/>
                <w:sz w:val="22"/>
              </w:rPr>
              <w:t>交互智能平板一体机</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F4DA">
            <w:pPr>
              <w:widowControl/>
              <w:jc w:val="left"/>
              <w:rPr>
                <w:rFonts w:ascii="宋体" w:hAnsi="宋体" w:cs="宋体"/>
                <w:kern w:val="0"/>
                <w:sz w:val="22"/>
              </w:rPr>
            </w:pPr>
            <w:r>
              <w:rPr>
                <w:rFonts w:hint="eastAsia" w:ascii="宋体" w:hAnsi="宋体" w:cs="宋体"/>
                <w:kern w:val="0"/>
                <w:sz w:val="22"/>
              </w:rPr>
              <w:t>一、整机屏显、音效设计</w:t>
            </w:r>
          </w:p>
          <w:p w14:paraId="313B0931">
            <w:pPr>
              <w:widowControl/>
              <w:jc w:val="left"/>
              <w:rPr>
                <w:rFonts w:ascii="宋体" w:hAnsi="宋体" w:cs="宋体"/>
                <w:kern w:val="0"/>
                <w:sz w:val="22"/>
              </w:rPr>
            </w:pPr>
            <w:r>
              <w:rPr>
                <w:rFonts w:hint="eastAsia" w:ascii="宋体" w:hAnsi="宋体" w:cs="宋体"/>
                <w:kern w:val="0"/>
                <w:sz w:val="22"/>
              </w:rPr>
              <w:t>▲1、采用UHD超高清LED防眩光液晶屏，尺寸≥86英寸，显示比例16:9，分辨率≥3840×2160。</w:t>
            </w:r>
          </w:p>
          <w:p w14:paraId="40DC66E8">
            <w:pPr>
              <w:widowControl/>
              <w:jc w:val="left"/>
              <w:rPr>
                <w:rFonts w:ascii="宋体" w:hAnsi="宋体" w:cs="宋体"/>
                <w:kern w:val="0"/>
                <w:sz w:val="22"/>
              </w:rPr>
            </w:pPr>
            <w:r>
              <w:rPr>
                <w:rFonts w:hint="eastAsia" w:ascii="宋体" w:hAnsi="宋体" w:cs="宋体"/>
                <w:kern w:val="0"/>
                <w:sz w:val="22"/>
              </w:rPr>
              <w:t>2、采用红外触控技术，支持在内置电脑操作系统中进行20点或以上触控，支持在嵌入式系统中进行10点或以上触控。</w:t>
            </w:r>
          </w:p>
          <w:p w14:paraId="62649E68">
            <w:pPr>
              <w:widowControl/>
              <w:jc w:val="left"/>
              <w:rPr>
                <w:rFonts w:ascii="宋体" w:hAnsi="宋体" w:cs="宋体"/>
                <w:kern w:val="0"/>
                <w:sz w:val="22"/>
              </w:rPr>
            </w:pPr>
            <w:r>
              <w:rPr>
                <w:rFonts w:hint="eastAsia" w:ascii="宋体" w:hAnsi="宋体" w:cs="宋体"/>
                <w:kern w:val="0"/>
                <w:sz w:val="22"/>
              </w:rPr>
              <w:t>▲3、整机显示灰度等级≥256，支持色彩空间可选，包含标准模式和sRGB模式，在sRGB模式下可做到高色准△E≤1.5。</w:t>
            </w:r>
          </w:p>
          <w:p w14:paraId="491DEA9A">
            <w:pPr>
              <w:widowControl/>
              <w:jc w:val="left"/>
              <w:rPr>
                <w:rFonts w:ascii="宋体" w:hAnsi="宋体" w:cs="宋体"/>
                <w:kern w:val="0"/>
                <w:sz w:val="22"/>
              </w:rPr>
            </w:pPr>
            <w:r>
              <w:rPr>
                <w:rFonts w:hint="eastAsia" w:ascii="宋体" w:hAnsi="宋体" w:cs="宋体"/>
                <w:kern w:val="0"/>
                <w:sz w:val="22"/>
              </w:rPr>
              <w:t>4、图像模式：支持标准、多媒体和节能三种图像模式调节；支持可自定义图像设置，可对对比度、屏幕色温、图像亮度、亮度范围、色彩空间进行调节设置。</w:t>
            </w:r>
          </w:p>
          <w:p w14:paraId="1BBDE23A">
            <w:pPr>
              <w:widowControl/>
              <w:jc w:val="left"/>
              <w:rPr>
                <w:rFonts w:ascii="宋体" w:hAnsi="宋体" w:cs="宋体"/>
                <w:kern w:val="0"/>
                <w:sz w:val="22"/>
              </w:rPr>
            </w:pPr>
            <w:r>
              <w:rPr>
                <w:rFonts w:hint="eastAsia" w:ascii="宋体" w:hAnsi="宋体" w:cs="宋体"/>
                <w:kern w:val="0"/>
                <w:sz w:val="22"/>
              </w:rPr>
              <w:t>▲5、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p>
          <w:p w14:paraId="5E9C7B19">
            <w:pPr>
              <w:widowControl/>
              <w:jc w:val="left"/>
              <w:rPr>
                <w:rFonts w:ascii="宋体" w:hAnsi="宋体" w:cs="宋体"/>
                <w:kern w:val="0"/>
                <w:sz w:val="22"/>
              </w:rPr>
            </w:pPr>
            <w:r>
              <w:rPr>
                <w:rFonts w:hint="eastAsia" w:ascii="宋体" w:hAnsi="宋体" w:cs="宋体"/>
                <w:kern w:val="0"/>
                <w:sz w:val="22"/>
              </w:rPr>
              <w:t>6、整机内置2.2声道扬声器，支持标准、听力、观影三种音效模式，位于设备上边框，顶置朝前发声，前朝向10W高音扬声器2个，上朝向20W中低音扬声器2个，额定总功率≥60W。</w:t>
            </w:r>
          </w:p>
          <w:p w14:paraId="342B587B">
            <w:pPr>
              <w:widowControl/>
              <w:jc w:val="left"/>
              <w:rPr>
                <w:rFonts w:ascii="宋体" w:hAnsi="宋体" w:cs="宋体"/>
                <w:kern w:val="0"/>
                <w:sz w:val="22"/>
              </w:rPr>
            </w:pPr>
            <w:r>
              <w:rPr>
                <w:rFonts w:hint="eastAsia" w:ascii="宋体" w:hAnsi="宋体" w:cs="宋体"/>
                <w:kern w:val="0"/>
                <w:sz w:val="22"/>
              </w:rPr>
              <w:t>7、整机内置扬声器采用缝隙发声技术，喇叭采用槽式开口设计，不大于5.8mm；在100%音量下，可做到1米处声压级≥80db，10米处声压级≥70dB。</w:t>
            </w:r>
          </w:p>
          <w:p w14:paraId="7DEE3DD2">
            <w:pPr>
              <w:widowControl/>
              <w:jc w:val="left"/>
              <w:rPr>
                <w:rFonts w:ascii="宋体" w:hAnsi="宋体" w:cs="宋体"/>
                <w:kern w:val="0"/>
                <w:sz w:val="22"/>
              </w:rPr>
            </w:pPr>
            <w:r>
              <w:rPr>
                <w:rFonts w:hint="eastAsia" w:ascii="宋体" w:hAnsi="宋体" w:cs="宋体"/>
                <w:kern w:val="0"/>
                <w:sz w:val="22"/>
              </w:rPr>
              <w:t>二、PC配置要求</w:t>
            </w:r>
          </w:p>
          <w:p w14:paraId="37C6AB02">
            <w:pPr>
              <w:widowControl/>
              <w:jc w:val="left"/>
              <w:rPr>
                <w:rFonts w:ascii="宋体" w:hAnsi="宋体" w:cs="宋体"/>
                <w:kern w:val="0"/>
                <w:sz w:val="22"/>
              </w:rPr>
            </w:pPr>
            <w:r>
              <w:rPr>
                <w:rFonts w:hint="eastAsia" w:ascii="宋体" w:hAnsi="宋体" w:cs="宋体"/>
                <w:kern w:val="0"/>
                <w:sz w:val="22"/>
              </w:rPr>
              <w:t>▲1、处理器：4核8线程或以上配置CPU，主频≥2.4Ghz。</w:t>
            </w:r>
          </w:p>
          <w:p w14:paraId="5B9B402B">
            <w:pPr>
              <w:widowControl/>
              <w:jc w:val="left"/>
              <w:rPr>
                <w:rFonts w:ascii="宋体" w:hAnsi="宋体" w:cs="宋体"/>
                <w:kern w:val="0"/>
                <w:sz w:val="22"/>
              </w:rPr>
            </w:pPr>
            <w:r>
              <w:rPr>
                <w:rFonts w:hint="eastAsia" w:ascii="宋体" w:hAnsi="宋体" w:cs="宋体"/>
                <w:kern w:val="0"/>
                <w:sz w:val="22"/>
              </w:rPr>
              <w:t>▲2、内存：≥16GB DDR4或以上配置。</w:t>
            </w:r>
          </w:p>
          <w:p w14:paraId="6DF9A6A8">
            <w:pPr>
              <w:widowControl/>
              <w:jc w:val="left"/>
              <w:rPr>
                <w:rFonts w:ascii="宋体" w:hAnsi="宋体" w:cs="宋体"/>
                <w:kern w:val="0"/>
                <w:sz w:val="22"/>
              </w:rPr>
            </w:pPr>
            <w:r>
              <w:rPr>
                <w:rFonts w:hint="eastAsia" w:ascii="宋体" w:hAnsi="宋体" w:cs="宋体"/>
                <w:kern w:val="0"/>
                <w:sz w:val="22"/>
              </w:rPr>
              <w:t>▲3、硬盘：≥512GB或以上SSD固态硬盘配置。</w:t>
            </w:r>
          </w:p>
          <w:p w14:paraId="1D7B7099">
            <w:pPr>
              <w:widowControl/>
              <w:jc w:val="left"/>
              <w:rPr>
                <w:rFonts w:ascii="宋体" w:hAnsi="宋体" w:cs="宋体"/>
                <w:kern w:val="0"/>
                <w:sz w:val="22"/>
              </w:rPr>
            </w:pPr>
            <w:r>
              <w:rPr>
                <w:rFonts w:hint="eastAsia" w:ascii="宋体" w:hAnsi="宋体" w:cs="宋体"/>
                <w:kern w:val="0"/>
                <w:sz w:val="22"/>
              </w:rPr>
              <w:t>4、机身采用热浸镀锌金属材质，采用智能风扇低噪音散热设计。</w:t>
            </w:r>
          </w:p>
          <w:p w14:paraId="239B50E9">
            <w:pPr>
              <w:widowControl/>
              <w:jc w:val="left"/>
              <w:rPr>
                <w:rFonts w:ascii="宋体" w:hAnsi="宋体" w:cs="宋体"/>
                <w:kern w:val="0"/>
                <w:sz w:val="22"/>
              </w:rPr>
            </w:pPr>
            <w:r>
              <w:rPr>
                <w:rFonts w:hint="eastAsia" w:ascii="宋体" w:hAnsi="宋体" w:cs="宋体"/>
                <w:kern w:val="0"/>
                <w:sz w:val="22"/>
              </w:rPr>
              <w:t>5、模块主体尺寸不小于22cm*17cm*3cm以预留足够散热空间，确保封闭空间内有效散热。</w:t>
            </w:r>
          </w:p>
          <w:p w14:paraId="187BBE62">
            <w:pPr>
              <w:widowControl/>
              <w:jc w:val="left"/>
              <w:rPr>
                <w:rFonts w:ascii="宋体" w:hAnsi="宋体" w:cs="宋体"/>
                <w:kern w:val="0"/>
                <w:sz w:val="22"/>
              </w:rPr>
            </w:pPr>
            <w:r>
              <w:rPr>
                <w:rFonts w:hint="eastAsia" w:ascii="宋体" w:hAnsi="宋体" w:cs="宋体"/>
                <w:kern w:val="0"/>
                <w:sz w:val="22"/>
              </w:rPr>
              <w:t>6、和整机的连接采用万兆级接口，传输速率≥10Gbps。</w:t>
            </w:r>
          </w:p>
          <w:p w14:paraId="5E4370DE">
            <w:pPr>
              <w:widowControl/>
              <w:jc w:val="left"/>
              <w:rPr>
                <w:rFonts w:ascii="宋体" w:hAnsi="宋体" w:cs="宋体"/>
                <w:kern w:val="0"/>
                <w:sz w:val="22"/>
              </w:rPr>
            </w:pPr>
            <w:r>
              <w:rPr>
                <w:rFonts w:hint="eastAsia" w:ascii="宋体" w:hAnsi="宋体" w:cs="宋体"/>
                <w:kern w:val="0"/>
                <w:sz w:val="22"/>
              </w:rPr>
              <w:t>7、具有独立非外扩展的视频输出接口：≥1路HDMI ，≥3路USB。</w:t>
            </w:r>
          </w:p>
          <w:p w14:paraId="5C4DE87C">
            <w:pPr>
              <w:widowControl/>
              <w:jc w:val="left"/>
              <w:rPr>
                <w:rFonts w:ascii="宋体" w:hAnsi="宋体" w:cs="宋体"/>
                <w:kern w:val="0"/>
                <w:sz w:val="22"/>
              </w:rPr>
            </w:pPr>
            <w:r>
              <w:rPr>
                <w:rFonts w:hint="eastAsia" w:ascii="宋体" w:hAnsi="宋体" w:cs="宋体"/>
                <w:kern w:val="0"/>
                <w:sz w:val="22"/>
              </w:rPr>
              <w:t>8、PC模块可通过抽拉方式插入整机，可实现无单独接线的插拔。安全性保障：具有标准PC防盗锁孔。</w:t>
            </w:r>
          </w:p>
          <w:p w14:paraId="33DCD635">
            <w:pPr>
              <w:widowControl/>
              <w:jc w:val="left"/>
              <w:rPr>
                <w:rFonts w:ascii="宋体" w:hAnsi="宋体" w:cs="宋体"/>
                <w:kern w:val="0"/>
                <w:sz w:val="22"/>
              </w:rPr>
            </w:pPr>
            <w:r>
              <w:rPr>
                <w:rFonts w:hint="eastAsia" w:ascii="宋体" w:hAnsi="宋体" w:cs="宋体"/>
                <w:kern w:val="0"/>
                <w:sz w:val="22"/>
              </w:rPr>
              <w:t>9、PC模块的USB接口须为冗余备份接口，在正常使用整机的内置摄像头、内置麦克风功能时，USB接口不被占用，确保教师有足够的接口外接存储设备及显示设备。</w:t>
            </w:r>
          </w:p>
          <w:p w14:paraId="3A127E14">
            <w:pPr>
              <w:widowControl/>
              <w:jc w:val="left"/>
              <w:rPr>
                <w:rFonts w:ascii="宋体" w:hAnsi="宋体" w:cs="宋体"/>
                <w:kern w:val="0"/>
                <w:sz w:val="22"/>
              </w:rPr>
            </w:pPr>
            <w:r>
              <w:rPr>
                <w:rFonts w:hint="eastAsia" w:ascii="宋体" w:hAnsi="宋体" w:cs="宋体"/>
                <w:kern w:val="0"/>
                <w:sz w:val="22"/>
              </w:rPr>
              <w:t>▲10、正版电脑操作系统，带永久授权。中标人须完成正版激活流程。</w:t>
            </w:r>
          </w:p>
          <w:p w14:paraId="727BA266">
            <w:pPr>
              <w:widowControl/>
              <w:jc w:val="left"/>
              <w:rPr>
                <w:rFonts w:ascii="宋体" w:hAnsi="宋体" w:cs="宋体"/>
                <w:kern w:val="0"/>
                <w:sz w:val="22"/>
              </w:rPr>
            </w:pPr>
            <w:r>
              <w:rPr>
                <w:rFonts w:hint="eastAsia" w:ascii="宋体" w:hAnsi="宋体" w:cs="宋体"/>
                <w:kern w:val="0"/>
                <w:sz w:val="22"/>
              </w:rPr>
              <w:t>三、按键和接口设计</w:t>
            </w:r>
          </w:p>
          <w:p w14:paraId="0C121ACB">
            <w:pPr>
              <w:widowControl/>
              <w:jc w:val="left"/>
              <w:rPr>
                <w:rFonts w:ascii="宋体" w:hAnsi="宋体" w:cs="宋体"/>
                <w:kern w:val="0"/>
                <w:sz w:val="22"/>
              </w:rPr>
            </w:pPr>
            <w:r>
              <w:rPr>
                <w:rFonts w:hint="eastAsia" w:ascii="宋体" w:hAnsi="宋体" w:cs="宋体"/>
                <w:kern w:val="0"/>
                <w:sz w:val="22"/>
              </w:rPr>
              <w:t>▲1、前置 USB 接口具备防撞挡板设计，防撞挡板采用转轴式翻转。</w:t>
            </w:r>
          </w:p>
          <w:p w14:paraId="2D9A9B6A">
            <w:pPr>
              <w:widowControl/>
              <w:jc w:val="left"/>
              <w:rPr>
                <w:rFonts w:ascii="宋体" w:hAnsi="宋体" w:cs="宋体"/>
                <w:kern w:val="0"/>
                <w:sz w:val="22"/>
              </w:rPr>
            </w:pPr>
            <w:r>
              <w:rPr>
                <w:rFonts w:hint="eastAsia" w:ascii="宋体" w:hAnsi="宋体" w:cs="宋体"/>
                <w:kern w:val="0"/>
                <w:sz w:val="22"/>
              </w:rPr>
              <w:t>2、整机具备至少6个前置按键，实现老师开关机、调出中控菜单、音量+/-、护眼、录屏的操作。</w:t>
            </w:r>
          </w:p>
          <w:p w14:paraId="1F48F7CB">
            <w:pPr>
              <w:widowControl/>
              <w:jc w:val="left"/>
              <w:rPr>
                <w:rFonts w:ascii="宋体" w:hAnsi="宋体" w:cs="宋体"/>
                <w:kern w:val="0"/>
                <w:sz w:val="22"/>
              </w:rPr>
            </w:pPr>
            <w:r>
              <w:rPr>
                <w:rFonts w:hint="eastAsia" w:ascii="宋体" w:hAnsi="宋体" w:cs="宋体"/>
                <w:kern w:val="0"/>
                <w:sz w:val="22"/>
              </w:rPr>
              <w:t>3、智能电子产品一键式设计：三合一电源按键，同一电源物理按键完成完成嵌入式系统和电脑系统的开机、节能熄屏、关机操作；关机状态下按按键开机；开机状态下按按键实现节能熄屏/唤醒，长按按键实现关机。</w:t>
            </w:r>
          </w:p>
          <w:p w14:paraId="4D56E8C2">
            <w:pPr>
              <w:widowControl/>
              <w:jc w:val="left"/>
              <w:rPr>
                <w:rFonts w:ascii="宋体" w:hAnsi="宋体" w:cs="宋体"/>
                <w:kern w:val="0"/>
                <w:sz w:val="22"/>
              </w:rPr>
            </w:pPr>
            <w:r>
              <w:rPr>
                <w:rFonts w:hint="eastAsia" w:ascii="宋体" w:hAnsi="宋体" w:cs="宋体"/>
                <w:kern w:val="0"/>
                <w:sz w:val="22"/>
              </w:rPr>
              <w:t>4、支持锁定屏幕触摸和整机前置按键，可通过遥控器、十指长按屏幕5秒、软件菜单（调试菜单）实现该功能，也可通过前置面板的物理按键以组合按键的形式进行锁定/解锁。</w:t>
            </w:r>
          </w:p>
          <w:p w14:paraId="1A2C354B">
            <w:pPr>
              <w:widowControl/>
              <w:jc w:val="left"/>
              <w:rPr>
                <w:rFonts w:ascii="宋体" w:hAnsi="宋体" w:cs="宋体"/>
                <w:kern w:val="0"/>
                <w:sz w:val="22"/>
              </w:rPr>
            </w:pPr>
            <w:r>
              <w:rPr>
                <w:rFonts w:hint="eastAsia" w:ascii="宋体" w:hAnsi="宋体" w:cs="宋体"/>
                <w:kern w:val="0"/>
                <w:sz w:val="22"/>
              </w:rPr>
              <w:t>▲5、设备支持自定义前置“设置”按键，可通过自定义设置实现前置面板功能按键一键启用任一全局小工具（批注、截屏、计时、降半屏、放大镜、倒数日、日历）、快捷开关（节能模式、纸质护眼模式、经典护眼模式、自动亮度模式）。</w:t>
            </w:r>
          </w:p>
          <w:p w14:paraId="2D05376B">
            <w:pPr>
              <w:widowControl/>
              <w:jc w:val="left"/>
              <w:rPr>
                <w:rFonts w:ascii="宋体" w:hAnsi="宋体" w:cs="宋体"/>
                <w:kern w:val="0"/>
                <w:sz w:val="22"/>
              </w:rPr>
            </w:pPr>
            <w:r>
              <w:rPr>
                <w:rFonts w:hint="eastAsia" w:ascii="宋体" w:hAnsi="宋体" w:cs="宋体"/>
                <w:kern w:val="0"/>
                <w:sz w:val="22"/>
              </w:rPr>
              <w:t>▲6、支持前置Type-C接口，通过Type-C接口实现音视频输入，外接电脑设备通过双头TypeC线连接至整机，即可把外接电脑设备画面投到整机上，同时在整机上操作画面，可实现触摸电脑的操作，无需再连接触控USB线。</w:t>
            </w:r>
          </w:p>
          <w:p w14:paraId="3C2BCE0D">
            <w:pPr>
              <w:widowControl/>
              <w:jc w:val="left"/>
              <w:rPr>
                <w:rFonts w:ascii="宋体" w:hAnsi="宋体" w:cs="宋体"/>
                <w:kern w:val="0"/>
                <w:sz w:val="22"/>
              </w:rPr>
            </w:pPr>
            <w:r>
              <w:rPr>
                <w:rFonts w:hint="eastAsia" w:ascii="宋体" w:hAnsi="宋体" w:cs="宋体"/>
                <w:kern w:val="0"/>
                <w:sz w:val="22"/>
              </w:rPr>
              <w:t>▲7、外接电脑设备通过双头TypeC线连接至整机，可直接调用整机内置的摄像头、麦克风、扬声器，通过外接电脑可拍摄教室画面。</w:t>
            </w:r>
          </w:p>
          <w:p w14:paraId="778C9BD1">
            <w:pPr>
              <w:widowControl/>
              <w:jc w:val="left"/>
              <w:rPr>
                <w:rFonts w:ascii="宋体" w:hAnsi="宋体" w:cs="宋体"/>
                <w:kern w:val="0"/>
                <w:sz w:val="22"/>
              </w:rPr>
            </w:pPr>
            <w:r>
              <w:rPr>
                <w:rFonts w:hint="eastAsia" w:ascii="宋体" w:hAnsi="宋体" w:cs="宋体"/>
                <w:kern w:val="0"/>
                <w:sz w:val="22"/>
              </w:rPr>
              <w:t>8、前置Type-C接口，支持通过外部线缆，实现外接电脑HDMI信号的接入显示。</w:t>
            </w:r>
          </w:p>
          <w:p w14:paraId="68428B9F">
            <w:pPr>
              <w:widowControl/>
              <w:jc w:val="left"/>
              <w:rPr>
                <w:rFonts w:ascii="宋体" w:hAnsi="宋体" w:cs="宋体"/>
                <w:kern w:val="0"/>
                <w:sz w:val="22"/>
              </w:rPr>
            </w:pPr>
            <w:r>
              <w:rPr>
                <w:rFonts w:hint="eastAsia" w:ascii="宋体" w:hAnsi="宋体" w:cs="宋体"/>
                <w:kern w:val="0"/>
                <w:sz w:val="22"/>
              </w:rPr>
              <w:t>9、外接电脑设备连接整机且触摸信号连通时，外接电脑设备可直接读取整机前置USB接口的移动存储设备数据，连接整机前置USB接口的翻页笔和无线键鼠可直接使用于外接电脑。</w:t>
            </w:r>
          </w:p>
          <w:p w14:paraId="5BF345C6">
            <w:pPr>
              <w:widowControl/>
              <w:jc w:val="left"/>
              <w:rPr>
                <w:rFonts w:ascii="宋体" w:hAnsi="宋体" w:cs="宋体"/>
                <w:kern w:val="0"/>
                <w:sz w:val="22"/>
              </w:rPr>
            </w:pPr>
            <w:r>
              <w:rPr>
                <w:rFonts w:hint="eastAsia" w:ascii="宋体" w:hAnsi="宋体" w:cs="宋体"/>
                <w:kern w:val="0"/>
                <w:sz w:val="22"/>
              </w:rPr>
              <w:t>10、整机具备不少于1路侧置双通道USB接口，双系统USB接口支持Windows和Android双系统读取外接存储设备数据和识别展台信号。</w:t>
            </w:r>
          </w:p>
          <w:p w14:paraId="1EC8B62A">
            <w:pPr>
              <w:widowControl/>
              <w:jc w:val="left"/>
              <w:rPr>
                <w:rFonts w:ascii="宋体" w:hAnsi="宋体" w:cs="宋体"/>
                <w:kern w:val="0"/>
                <w:sz w:val="22"/>
              </w:rPr>
            </w:pPr>
            <w:r>
              <w:rPr>
                <w:rFonts w:hint="eastAsia" w:ascii="宋体" w:hAnsi="宋体" w:cs="宋体"/>
                <w:kern w:val="0"/>
                <w:sz w:val="22"/>
              </w:rPr>
              <w:t>11、外接电脑设备通过HDMI线投送画面至整机时，再连接TypeB USB线至整机触控输出接口，即可直接调用整机内置的摄像头、麦克风、扬声器，在外接电脑即可拍摄教室画面。</w:t>
            </w:r>
          </w:p>
          <w:p w14:paraId="15013F0E">
            <w:pPr>
              <w:widowControl/>
              <w:jc w:val="left"/>
              <w:rPr>
                <w:rFonts w:ascii="宋体" w:hAnsi="宋体" w:cs="宋体"/>
                <w:kern w:val="0"/>
                <w:sz w:val="22"/>
              </w:rPr>
            </w:pPr>
            <w:r>
              <w:rPr>
                <w:rFonts w:hint="eastAsia" w:ascii="宋体" w:hAnsi="宋体" w:cs="宋体"/>
                <w:kern w:val="0"/>
                <w:sz w:val="22"/>
              </w:rPr>
              <w:t>12、支持通道自动跳转功能，如整机处于正常使用状态，HDMI信号接入时，能自动识别并切换到对应的HDMI信号源通道，且断开后能回到上一通道，自动跳转前支持选择确认，待确认后再跳转。</w:t>
            </w:r>
          </w:p>
          <w:p w14:paraId="6BDCAEBC">
            <w:pPr>
              <w:widowControl/>
              <w:jc w:val="left"/>
              <w:rPr>
                <w:rFonts w:ascii="宋体" w:hAnsi="宋体" w:cs="宋体"/>
                <w:kern w:val="0"/>
                <w:sz w:val="22"/>
              </w:rPr>
            </w:pPr>
            <w:r>
              <w:rPr>
                <w:rFonts w:hint="eastAsia" w:ascii="宋体" w:hAnsi="宋体" w:cs="宋体"/>
                <w:kern w:val="0"/>
                <w:sz w:val="22"/>
              </w:rPr>
              <w:t>饱和度增强、图片边框动态识别、图片剪裁与拉伸等，提升所拍摄课本、试卷内容的展示效果。</w:t>
            </w:r>
          </w:p>
          <w:p w14:paraId="0C285A69">
            <w:pPr>
              <w:widowControl/>
              <w:jc w:val="left"/>
              <w:rPr>
                <w:rFonts w:ascii="宋体" w:hAnsi="宋体" w:cs="宋体"/>
                <w:kern w:val="0"/>
                <w:sz w:val="22"/>
              </w:rPr>
            </w:pPr>
            <w:r>
              <w:rPr>
                <w:rFonts w:hint="eastAsia" w:ascii="宋体" w:hAnsi="宋体" w:cs="宋体"/>
                <w:kern w:val="0"/>
                <w:sz w:val="22"/>
              </w:rPr>
              <w:t>四、教学工具设计</w:t>
            </w:r>
          </w:p>
          <w:p w14:paraId="03212838">
            <w:pPr>
              <w:widowControl/>
              <w:jc w:val="left"/>
              <w:rPr>
                <w:rFonts w:ascii="宋体" w:hAnsi="宋体" w:cs="宋体"/>
                <w:kern w:val="0"/>
                <w:sz w:val="22"/>
              </w:rPr>
            </w:pPr>
            <w:r>
              <w:rPr>
                <w:rFonts w:hint="eastAsia" w:ascii="宋体" w:hAnsi="宋体" w:cs="宋体"/>
                <w:kern w:val="0"/>
                <w:sz w:val="22"/>
              </w:rPr>
              <w:t>▲1、支持统一互通的用户身份认证服务，账号登录后，打开教学白板软件、学生行为评价软件的教学应用工具时无需再次输入账号密码重复登录。</w:t>
            </w:r>
          </w:p>
          <w:p w14:paraId="2A10970E">
            <w:pPr>
              <w:widowControl/>
              <w:jc w:val="left"/>
              <w:rPr>
                <w:rFonts w:ascii="宋体" w:hAnsi="宋体" w:cs="宋体"/>
                <w:kern w:val="0"/>
                <w:sz w:val="22"/>
              </w:rPr>
            </w:pPr>
            <w:r>
              <w:rPr>
                <w:rFonts w:hint="eastAsia" w:ascii="宋体" w:hAnsi="宋体" w:cs="宋体"/>
                <w:kern w:val="0"/>
                <w:sz w:val="22"/>
              </w:rPr>
              <w:t>2、整机全通道侧边栏支持快速将设备屏幕降低为半屏幕状态，点击上半屏幕可快速返回全屏状态。</w:t>
            </w:r>
          </w:p>
          <w:p w14:paraId="597FBC18">
            <w:pPr>
              <w:widowControl/>
              <w:jc w:val="left"/>
              <w:rPr>
                <w:rFonts w:ascii="宋体" w:hAnsi="宋体" w:cs="宋体"/>
                <w:kern w:val="0"/>
                <w:sz w:val="22"/>
              </w:rPr>
            </w:pPr>
            <w:r>
              <w:rPr>
                <w:rFonts w:hint="eastAsia" w:ascii="宋体" w:hAnsi="宋体" w:cs="宋体"/>
                <w:kern w:val="0"/>
                <w:sz w:val="22"/>
              </w:rPr>
              <w:t>3、整机全通道侧边栏快捷菜单包含如下小工具：批注、截屏、计时、降半屏、放大镜、日历。</w:t>
            </w:r>
          </w:p>
          <w:p w14:paraId="145FC48E">
            <w:pPr>
              <w:widowControl/>
              <w:jc w:val="left"/>
              <w:rPr>
                <w:rFonts w:ascii="宋体" w:hAnsi="宋体" w:cs="宋体"/>
                <w:kern w:val="0"/>
                <w:sz w:val="22"/>
              </w:rPr>
            </w:pPr>
            <w:r>
              <w:rPr>
                <w:rFonts w:hint="eastAsia" w:ascii="宋体" w:hAnsi="宋体" w:cs="宋体"/>
                <w:kern w:val="0"/>
                <w:sz w:val="22"/>
              </w:rPr>
              <w:t>4、整机具备智能手势识别功能，在任意信号源通道下可识别五指上、下、左、右方向手势、支持将各手势滑动方向自定义设置为无操作、熄屏、批注、桌面、半屏模式。</w:t>
            </w:r>
          </w:p>
          <w:p w14:paraId="39043B47">
            <w:pPr>
              <w:widowControl/>
              <w:jc w:val="left"/>
              <w:rPr>
                <w:rFonts w:ascii="宋体" w:hAnsi="宋体" w:cs="宋体"/>
                <w:kern w:val="0"/>
                <w:sz w:val="22"/>
              </w:rPr>
            </w:pPr>
            <w:r>
              <w:rPr>
                <w:rFonts w:hint="eastAsia" w:ascii="宋体" w:hAnsi="宋体" w:cs="宋体"/>
                <w:kern w:val="0"/>
                <w:sz w:val="22"/>
              </w:rPr>
              <w:t>▲5、整机全通道侧边栏支持在任意通道、页面使用批注小工具进行批注讲解，可根据手与屏幕的接触面积自动调整板擦工具的大小，可切换书写笔颜色、截屏保存批注内容、快速清屏。</w:t>
            </w:r>
          </w:p>
          <w:p w14:paraId="7262D567">
            <w:pPr>
              <w:widowControl/>
              <w:jc w:val="left"/>
              <w:rPr>
                <w:rFonts w:ascii="宋体" w:hAnsi="宋体" w:cs="宋体"/>
                <w:kern w:val="0"/>
                <w:sz w:val="22"/>
              </w:rPr>
            </w:pPr>
            <w:r>
              <w:rPr>
                <w:rFonts w:hint="eastAsia" w:ascii="宋体" w:hAnsi="宋体" w:cs="宋体"/>
                <w:kern w:val="0"/>
                <w:sz w:val="22"/>
              </w:rPr>
              <w:t xml:space="preserve">6、整机内置无线网络模块，PC模块无任何外接或转接天线、网卡可实现Wi-Fi无线上网连接和AP无线热点发射。 </w:t>
            </w:r>
          </w:p>
          <w:p w14:paraId="54A1BC9D">
            <w:pPr>
              <w:widowControl/>
              <w:jc w:val="left"/>
              <w:rPr>
                <w:rFonts w:ascii="宋体" w:hAnsi="宋体" w:cs="宋体"/>
                <w:kern w:val="0"/>
                <w:sz w:val="22"/>
              </w:rPr>
            </w:pPr>
            <w:r>
              <w:rPr>
                <w:rFonts w:hint="eastAsia" w:ascii="宋体" w:hAnsi="宋体" w:cs="宋体"/>
                <w:kern w:val="0"/>
                <w:sz w:val="22"/>
              </w:rPr>
              <w:t>▲7、Wi-Fi和AP热点均支持频段 2.4GHz/5GHz ，Wi-Fi制式支持IEEE 802.11 a/b/g/n/ac/ax；支持版本Wi-Fi6。</w:t>
            </w:r>
          </w:p>
          <w:p w14:paraId="5BCDB7F6">
            <w:pPr>
              <w:widowControl/>
              <w:jc w:val="left"/>
              <w:rPr>
                <w:rFonts w:ascii="宋体" w:hAnsi="宋体" w:cs="宋体"/>
                <w:kern w:val="0"/>
                <w:sz w:val="22"/>
              </w:rPr>
            </w:pPr>
            <w:r>
              <w:rPr>
                <w:rFonts w:hint="eastAsia" w:ascii="宋体" w:hAnsi="宋体" w:cs="宋体"/>
                <w:kern w:val="0"/>
                <w:sz w:val="22"/>
              </w:rPr>
              <w:t>8、Wi-Fi和AP热点工作距离≥8米。</w:t>
            </w:r>
          </w:p>
          <w:p w14:paraId="7E174BE7">
            <w:pPr>
              <w:widowControl/>
              <w:jc w:val="left"/>
              <w:rPr>
                <w:rFonts w:ascii="宋体" w:hAnsi="宋体" w:cs="宋体"/>
                <w:kern w:val="0"/>
                <w:sz w:val="22"/>
              </w:rPr>
            </w:pPr>
            <w:r>
              <w:rPr>
                <w:rFonts w:hint="eastAsia" w:ascii="宋体" w:hAnsi="宋体" w:cs="宋体"/>
                <w:kern w:val="0"/>
                <w:sz w:val="22"/>
              </w:rPr>
              <w:t>▲9、整机内置非独立的高清摄像头，像素≥1200万，支持输出4K分辨率；视场角≥135度且水平视场角≥120度；可用于远程巡课，拍摄范围可以涵盖整机距离摄像头垂直法线左右水平距离各≥4米，左右最边缘深度≥2米范围内，并且可以AI识别人像。</w:t>
            </w:r>
          </w:p>
          <w:p w14:paraId="5EC7E091">
            <w:pPr>
              <w:widowControl/>
              <w:jc w:val="left"/>
              <w:rPr>
                <w:rFonts w:ascii="宋体" w:hAnsi="宋体" w:cs="宋体"/>
                <w:kern w:val="0"/>
                <w:sz w:val="22"/>
              </w:rPr>
            </w:pPr>
            <w:r>
              <w:rPr>
                <w:rFonts w:hint="eastAsia" w:ascii="宋体" w:hAnsi="宋体" w:cs="宋体"/>
                <w:kern w:val="0"/>
                <w:sz w:val="22"/>
              </w:rPr>
              <w:t>10、整机摄像头支持环境色温判断，根据环境调节合适的显示图像效果。</w:t>
            </w:r>
          </w:p>
          <w:p w14:paraId="34FEFA0F">
            <w:pPr>
              <w:widowControl/>
              <w:jc w:val="left"/>
              <w:rPr>
                <w:rFonts w:ascii="宋体" w:hAnsi="宋体" w:cs="宋体"/>
                <w:kern w:val="0"/>
                <w:sz w:val="22"/>
              </w:rPr>
            </w:pPr>
            <w:r>
              <w:rPr>
                <w:rFonts w:hint="eastAsia" w:ascii="宋体" w:hAnsi="宋体" w:cs="宋体"/>
                <w:kern w:val="0"/>
                <w:sz w:val="22"/>
              </w:rPr>
              <w:t>▲11、整机摄像头支持人脸识别、快速点人数、随机抽人；识别所有学生，显示标记，然后随机抽选，同时显示标记≥55人。</w:t>
            </w:r>
          </w:p>
          <w:p w14:paraId="34CBF40E">
            <w:pPr>
              <w:widowControl/>
              <w:jc w:val="left"/>
              <w:rPr>
                <w:rFonts w:ascii="宋体" w:hAnsi="宋体" w:cs="宋体"/>
                <w:kern w:val="0"/>
                <w:sz w:val="22"/>
              </w:rPr>
            </w:pPr>
            <w:r>
              <w:rPr>
                <w:rFonts w:hint="eastAsia" w:ascii="宋体" w:hAnsi="宋体" w:cs="宋体"/>
                <w:kern w:val="0"/>
                <w:sz w:val="22"/>
              </w:rPr>
              <w:t>▲12、整机内置非独立外扩展的4阵列麦克风，可用于对教室环境音频进行采集，拾音距离≥10m。</w:t>
            </w:r>
          </w:p>
          <w:p w14:paraId="0F5E986D">
            <w:pPr>
              <w:widowControl/>
              <w:jc w:val="left"/>
              <w:rPr>
                <w:rFonts w:ascii="宋体" w:hAnsi="宋体" w:cs="宋体"/>
                <w:kern w:val="0"/>
                <w:sz w:val="22"/>
              </w:rPr>
            </w:pPr>
            <w:r>
              <w:rPr>
                <w:rFonts w:hint="eastAsia" w:ascii="宋体" w:hAnsi="宋体" w:cs="宋体"/>
                <w:kern w:val="0"/>
                <w:sz w:val="22"/>
              </w:rPr>
              <w:t>13、整机支持蓝牙Bluetooth 5.2标准，固件版本号HCI11.20/LMP11.20；蓝牙模块工作距离≥8m。</w:t>
            </w:r>
          </w:p>
          <w:p w14:paraId="3B0A512F">
            <w:pPr>
              <w:widowControl/>
              <w:jc w:val="left"/>
              <w:rPr>
                <w:rFonts w:ascii="宋体" w:hAnsi="宋体" w:cs="宋体"/>
                <w:kern w:val="0"/>
                <w:sz w:val="22"/>
              </w:rPr>
            </w:pPr>
            <w:r>
              <w:rPr>
                <w:rFonts w:hint="eastAsia" w:ascii="宋体" w:hAnsi="宋体" w:cs="宋体"/>
                <w:kern w:val="0"/>
                <w:sz w:val="22"/>
              </w:rPr>
              <w:t>14、整机支持搭配具有NFC功能的手机、平板，通过接触整机设备上的NFC标签，即可实现手机、平板与大屏的连接并同步手机、平板的画面到设备上，无需其它操作设置，支持≥4台手机、平板同时连接并显示。</w:t>
            </w:r>
          </w:p>
          <w:p w14:paraId="15D94BC6">
            <w:pPr>
              <w:widowControl/>
              <w:jc w:val="left"/>
              <w:rPr>
                <w:rFonts w:ascii="宋体" w:hAnsi="宋体" w:cs="宋体"/>
                <w:kern w:val="0"/>
                <w:sz w:val="22"/>
              </w:rPr>
            </w:pPr>
            <w:r>
              <w:rPr>
                <w:rFonts w:hint="eastAsia" w:ascii="宋体" w:hAnsi="宋体" w:cs="宋体"/>
                <w:kern w:val="0"/>
                <w:sz w:val="22"/>
              </w:rPr>
              <w:t>五、嵌入式操作系统设计</w:t>
            </w:r>
          </w:p>
          <w:p w14:paraId="4C3C9A49">
            <w:pPr>
              <w:widowControl/>
              <w:jc w:val="left"/>
              <w:rPr>
                <w:rFonts w:ascii="宋体" w:hAnsi="宋体" w:cs="宋体"/>
                <w:kern w:val="0"/>
                <w:sz w:val="22"/>
              </w:rPr>
            </w:pPr>
            <w:r>
              <w:rPr>
                <w:rFonts w:hint="eastAsia" w:ascii="宋体" w:hAnsi="宋体" w:cs="宋体"/>
                <w:kern w:val="0"/>
                <w:sz w:val="22"/>
              </w:rPr>
              <w:t>▲1、嵌入式系统硬件配置，内存≥2GB，存储空间≥8GB。</w:t>
            </w:r>
          </w:p>
          <w:p w14:paraId="4BF7B491">
            <w:pPr>
              <w:widowControl/>
              <w:jc w:val="left"/>
              <w:rPr>
                <w:rFonts w:ascii="宋体" w:hAnsi="宋体" w:cs="宋体"/>
                <w:kern w:val="0"/>
                <w:sz w:val="22"/>
              </w:rPr>
            </w:pPr>
            <w:r>
              <w:rPr>
                <w:rFonts w:hint="eastAsia" w:ascii="宋体" w:hAnsi="宋体" w:cs="宋体"/>
                <w:kern w:val="0"/>
                <w:sz w:val="22"/>
              </w:rPr>
              <w:t>2、无PC状态下，嵌入式操作系统下可实现电脑操作系统中常用的教学应用功能，如白板书写、WPS软件使用、网页浏览。</w:t>
            </w:r>
          </w:p>
          <w:p w14:paraId="78D6F48A">
            <w:pPr>
              <w:widowControl/>
              <w:jc w:val="left"/>
              <w:rPr>
                <w:rFonts w:ascii="宋体" w:hAnsi="宋体" w:cs="宋体"/>
                <w:kern w:val="0"/>
                <w:sz w:val="22"/>
              </w:rPr>
            </w:pPr>
            <w:r>
              <w:rPr>
                <w:rFonts w:hint="eastAsia" w:ascii="宋体" w:hAnsi="宋体" w:cs="宋体"/>
                <w:kern w:val="0"/>
                <w:sz w:val="22"/>
              </w:rPr>
              <w:t>3、嵌入式操作系统下，互动白板可支持不同背景颜色，同时提供学科专用背景，如：五线谱、信纸、田字格、英文格、篮球和足球场地平面图。</w:t>
            </w:r>
          </w:p>
          <w:p w14:paraId="6970587A">
            <w:pPr>
              <w:widowControl/>
              <w:jc w:val="left"/>
              <w:rPr>
                <w:rFonts w:ascii="宋体" w:hAnsi="宋体" w:cs="宋体"/>
                <w:kern w:val="0"/>
                <w:sz w:val="22"/>
              </w:rPr>
            </w:pPr>
            <w:r>
              <w:rPr>
                <w:rFonts w:hint="eastAsia" w:ascii="宋体" w:hAnsi="宋体" w:cs="宋体"/>
                <w:kern w:val="0"/>
                <w:sz w:val="22"/>
              </w:rPr>
              <w:t>▲4、在嵌入式操作系统下，能对TV多媒体USB所读取到的文件进行自动归类，可快速分类查找文档、板书、音视频，检索后可直接在界面中打开。</w:t>
            </w:r>
          </w:p>
          <w:p w14:paraId="15FF3463">
            <w:pPr>
              <w:widowControl/>
              <w:jc w:val="left"/>
              <w:rPr>
                <w:rFonts w:ascii="宋体" w:hAnsi="宋体" w:cs="宋体"/>
                <w:kern w:val="0"/>
                <w:sz w:val="22"/>
              </w:rPr>
            </w:pPr>
            <w:r>
              <w:rPr>
                <w:rFonts w:hint="eastAsia" w:ascii="宋体" w:hAnsi="宋体" w:cs="宋体"/>
                <w:kern w:val="0"/>
                <w:sz w:val="22"/>
              </w:rPr>
              <w:t>5、无PC状态下，嵌入式系统内置互动白板支持十笔书写及手掌擦除（手掌擦除面积根据手掌与屏幕的接触面大小自动调整），白板书写内容可导出PDF、IWB、SVG格式。支持8种以上平面图形工具，支持6种以上立体图形工具。</w:t>
            </w:r>
          </w:p>
          <w:p w14:paraId="7A897B4D">
            <w:pPr>
              <w:widowControl/>
              <w:jc w:val="left"/>
              <w:rPr>
                <w:rFonts w:ascii="宋体" w:hAnsi="宋体" w:cs="宋体"/>
                <w:kern w:val="0"/>
                <w:sz w:val="22"/>
              </w:rPr>
            </w:pPr>
            <w:r>
              <w:rPr>
                <w:rFonts w:hint="eastAsia" w:ascii="宋体" w:hAnsi="宋体" w:cs="宋体"/>
                <w:kern w:val="0"/>
                <w:sz w:val="22"/>
              </w:rPr>
              <w:t>6、无PC状态下，嵌入式系统内置互动白板支持全局漫游，并能在工具栏中对全局内容进行预览和移动。</w:t>
            </w:r>
          </w:p>
          <w:p w14:paraId="074C21CD">
            <w:pPr>
              <w:widowControl/>
              <w:jc w:val="left"/>
              <w:rPr>
                <w:rFonts w:ascii="宋体" w:hAnsi="宋体" w:cs="宋体"/>
                <w:kern w:val="0"/>
                <w:sz w:val="22"/>
              </w:rPr>
            </w:pPr>
            <w:r>
              <w:rPr>
                <w:rFonts w:hint="eastAsia" w:ascii="宋体" w:hAnsi="宋体" w:cs="宋体"/>
                <w:kern w:val="0"/>
                <w:sz w:val="22"/>
              </w:rPr>
              <w:t>六、教学白板软件</w:t>
            </w:r>
          </w:p>
          <w:p w14:paraId="0EB96D73">
            <w:pPr>
              <w:widowControl/>
              <w:jc w:val="left"/>
              <w:rPr>
                <w:rFonts w:ascii="宋体" w:hAnsi="宋体" w:cs="宋体"/>
                <w:kern w:val="0"/>
                <w:sz w:val="22"/>
              </w:rPr>
            </w:pPr>
            <w:r>
              <w:rPr>
                <w:rFonts w:hint="eastAsia" w:ascii="宋体" w:hAnsi="宋体" w:cs="宋体"/>
                <w:kern w:val="0"/>
                <w:sz w:val="22"/>
              </w:rPr>
              <w:t>1.备授课一体化，具有备课模式及授课模式，且操作界面根据备课和授课使用场景不同而区别设计，符合用户使用需求。</w:t>
            </w:r>
          </w:p>
          <w:p w14:paraId="7AA87C30">
            <w:pPr>
              <w:widowControl/>
              <w:jc w:val="left"/>
              <w:rPr>
                <w:rFonts w:ascii="宋体" w:hAnsi="宋体" w:cs="宋体"/>
                <w:kern w:val="0"/>
                <w:sz w:val="22"/>
              </w:rPr>
            </w:pPr>
            <w:r>
              <w:rPr>
                <w:rFonts w:hint="eastAsia" w:ascii="宋体" w:hAnsi="宋体" w:cs="宋体"/>
                <w:kern w:val="0"/>
                <w:sz w:val="22"/>
              </w:rPr>
              <w:t>▲2.备课模式工具栏会自动根据老师账号中关联的学科不同而提供相对应的教学工具，例如语文学科会出现田字格工具，数学学科则出现几何工具，无需用户自行选择。</w:t>
            </w:r>
          </w:p>
          <w:p w14:paraId="2CB12C1C">
            <w:pPr>
              <w:widowControl/>
              <w:jc w:val="left"/>
              <w:rPr>
                <w:rFonts w:ascii="宋体" w:hAnsi="宋体" w:cs="宋体"/>
                <w:kern w:val="0"/>
                <w:sz w:val="22"/>
              </w:rPr>
            </w:pPr>
            <w:r>
              <w:rPr>
                <w:rFonts w:hint="eastAsia" w:ascii="宋体" w:hAnsi="宋体" w:cs="宋体"/>
                <w:kern w:val="0"/>
                <w:sz w:val="22"/>
              </w:rPr>
              <w:t>3.支持课件云存储，无需使用 U 盘等存储设备，用户只需联网登录即可在交互式白板软件中获取云课件，并支持课件云分享，可将课件直接分享给其他用户，只需输入其他用户手持终端号即可。</w:t>
            </w:r>
          </w:p>
          <w:p w14:paraId="23F5EC97">
            <w:pPr>
              <w:widowControl/>
              <w:jc w:val="left"/>
              <w:rPr>
                <w:rFonts w:ascii="宋体" w:hAnsi="宋体" w:cs="宋体"/>
                <w:kern w:val="0"/>
                <w:sz w:val="22"/>
              </w:rPr>
            </w:pPr>
            <w:r>
              <w:rPr>
                <w:rFonts w:hint="eastAsia" w:ascii="宋体" w:hAnsi="宋体" w:cs="宋体"/>
                <w:kern w:val="0"/>
                <w:sz w:val="22"/>
              </w:rPr>
              <w:t>4.支持课件云同步，课件上的所有修改、操作均可实时同步至云端，无需单独保存上传，确保多终端调用同个课件均为最新版本。</w:t>
            </w:r>
          </w:p>
          <w:p w14:paraId="2C821C19">
            <w:pPr>
              <w:widowControl/>
              <w:jc w:val="left"/>
              <w:rPr>
                <w:rFonts w:ascii="宋体" w:hAnsi="宋体" w:cs="宋体"/>
                <w:kern w:val="0"/>
                <w:sz w:val="22"/>
              </w:rPr>
            </w:pPr>
            <w:r>
              <w:rPr>
                <w:rFonts w:hint="eastAsia" w:ascii="宋体" w:hAnsi="宋体" w:cs="宋体"/>
                <w:kern w:val="0"/>
                <w:sz w:val="22"/>
              </w:rPr>
              <w:t>5.游戏教学功能：支持创建互动分类式游戏，可自定义不同类别及相对应的对象，实现将不同对象拖拽到对应的类别容器中可自动辨识分类，分类正确或错误均有相应提示。类别和对象的样式、数量均可以自定义设置。系统需提供不少于 20种游戏模板，直接选择并输入相应内容即可轻松生成互动分类式游戏，提升课堂趣味性。</w:t>
            </w:r>
          </w:p>
          <w:p w14:paraId="167CAA40">
            <w:pPr>
              <w:widowControl/>
              <w:jc w:val="left"/>
              <w:rPr>
                <w:rFonts w:ascii="宋体" w:hAnsi="宋体" w:cs="宋体"/>
                <w:kern w:val="0"/>
                <w:sz w:val="22"/>
              </w:rPr>
            </w:pPr>
            <w:r>
              <w:rPr>
                <w:rFonts w:hint="eastAsia" w:ascii="宋体" w:hAnsi="宋体" w:cs="宋体"/>
                <w:kern w:val="0"/>
                <w:sz w:val="22"/>
              </w:rPr>
              <w:t>6.支持软件联网自动静默升级，无需用户手动更新。</w:t>
            </w:r>
          </w:p>
          <w:p w14:paraId="479C1172">
            <w:pPr>
              <w:widowControl/>
              <w:jc w:val="left"/>
              <w:rPr>
                <w:rFonts w:ascii="宋体" w:hAnsi="宋体" w:cs="宋体"/>
                <w:kern w:val="0"/>
                <w:sz w:val="22"/>
              </w:rPr>
            </w:pPr>
            <w:r>
              <w:rPr>
                <w:rFonts w:hint="eastAsia" w:ascii="宋体" w:hAnsi="宋体" w:cs="宋体"/>
                <w:kern w:val="0"/>
                <w:sz w:val="22"/>
              </w:rPr>
              <w:t>7.课件背景：提供不少于12 种以上背景模板供用户选择，持自定义背景。</w:t>
            </w:r>
          </w:p>
          <w:p w14:paraId="49562518">
            <w:pPr>
              <w:widowControl/>
              <w:jc w:val="left"/>
              <w:rPr>
                <w:rFonts w:ascii="宋体" w:hAnsi="宋体" w:cs="宋体"/>
                <w:kern w:val="0"/>
                <w:sz w:val="22"/>
              </w:rPr>
            </w:pPr>
            <w:r>
              <w:rPr>
                <w:rFonts w:hint="eastAsia" w:ascii="宋体" w:hAnsi="宋体" w:cs="宋体"/>
                <w:kern w:val="0"/>
                <w:sz w:val="22"/>
              </w:rPr>
              <w:t>8.美术画板：支持美术画板工具，提供铅笔、毛笔、油画笔，可实现模拟调色盘功能，用户可自由选择不同颜色进行混合调色，搭配出任意色彩。</w:t>
            </w:r>
          </w:p>
          <w:p w14:paraId="08D9EC07">
            <w:pPr>
              <w:widowControl/>
              <w:jc w:val="left"/>
              <w:rPr>
                <w:rFonts w:ascii="宋体" w:hAnsi="宋体" w:cs="宋体"/>
                <w:kern w:val="0"/>
                <w:sz w:val="22"/>
              </w:rPr>
            </w:pPr>
            <w:r>
              <w:rPr>
                <w:rFonts w:hint="eastAsia" w:ascii="宋体" w:hAnsi="宋体" w:cs="宋体"/>
                <w:kern w:val="0"/>
                <w:sz w:val="22"/>
              </w:rPr>
              <w:t>9.快捷抠图：无需借助专业图片处理软件，即可在白板软件中对导入的图片进行快捷抠图、去背景，处理后的图片主体边缘没有明显毛边，可导出保存成 PNG 格式。</w:t>
            </w:r>
          </w:p>
          <w:p w14:paraId="2B408802">
            <w:pPr>
              <w:widowControl/>
              <w:jc w:val="left"/>
              <w:rPr>
                <w:rFonts w:ascii="宋体" w:hAnsi="宋体" w:cs="宋体"/>
                <w:kern w:val="0"/>
                <w:sz w:val="22"/>
              </w:rPr>
            </w:pPr>
            <w:r>
              <w:rPr>
                <w:rFonts w:hint="eastAsia" w:ascii="宋体" w:hAnsi="宋体" w:cs="宋体"/>
                <w:kern w:val="0"/>
                <w:sz w:val="22"/>
              </w:rPr>
              <w:t>10.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14:paraId="65AE88CB">
            <w:pPr>
              <w:widowControl/>
              <w:jc w:val="left"/>
              <w:rPr>
                <w:rFonts w:ascii="宋体" w:hAnsi="宋体" w:cs="宋体"/>
                <w:kern w:val="0"/>
                <w:sz w:val="22"/>
              </w:rPr>
            </w:pPr>
            <w:r>
              <w:rPr>
                <w:rFonts w:hint="eastAsia" w:ascii="宋体" w:hAnsi="宋体" w:cs="宋体"/>
                <w:kern w:val="0"/>
                <w:sz w:val="22"/>
              </w:rPr>
              <w:t>11.数学公式编辑器：支持复杂数学公式输入，提供不少于 20 个数学符号及和不少于15种公式模板，输出的公式内容支持不同颜色标记及二次编辑。</w:t>
            </w:r>
          </w:p>
          <w:p w14:paraId="73C2CC4E">
            <w:pPr>
              <w:widowControl/>
              <w:jc w:val="left"/>
              <w:rPr>
                <w:rFonts w:ascii="宋体" w:hAnsi="宋体" w:cs="宋体"/>
                <w:kern w:val="0"/>
                <w:sz w:val="22"/>
              </w:rPr>
            </w:pPr>
            <w:r>
              <w:rPr>
                <w:rFonts w:hint="eastAsia" w:ascii="宋体" w:hAnsi="宋体" w:cs="宋体"/>
                <w:kern w:val="0"/>
                <w:sz w:val="22"/>
              </w:rPr>
              <w:t xml:space="preserve">12.3D星球模型：提供3D立体星球模型，包括地球、太阳、火星、水星等太阳系行星，支持360°自由旋转、缩放展示；并支持在立体地球模型清晰展现地球表面的六大板块、降水分布、气温分布、气候分布、人口分布、表层洋流、陆地自然带、海平面等压线等内容；且支持三维、二维切换展示，方便地理学科教学。 </w:t>
            </w:r>
          </w:p>
          <w:p w14:paraId="1324B025">
            <w:pPr>
              <w:widowControl/>
              <w:jc w:val="left"/>
              <w:rPr>
                <w:rFonts w:ascii="宋体" w:hAnsi="宋体" w:cs="宋体"/>
                <w:kern w:val="0"/>
                <w:sz w:val="22"/>
              </w:rPr>
            </w:pPr>
            <w:r>
              <w:rPr>
                <w:rFonts w:hint="eastAsia" w:ascii="宋体" w:hAnsi="宋体" w:cs="宋体"/>
                <w:kern w:val="0"/>
                <w:sz w:val="22"/>
              </w:rPr>
              <w:t>▲13.古诗词资源：</w:t>
            </w:r>
          </w:p>
          <w:p w14:paraId="01862CD3">
            <w:pPr>
              <w:widowControl/>
              <w:jc w:val="left"/>
              <w:rPr>
                <w:rFonts w:ascii="宋体" w:hAnsi="宋体" w:cs="宋体"/>
                <w:kern w:val="0"/>
                <w:sz w:val="22"/>
              </w:rPr>
            </w:pPr>
            <w:r>
              <w:rPr>
                <w:rFonts w:hint="eastAsia" w:ascii="宋体" w:hAnsi="宋体" w:cs="宋体"/>
                <w:kern w:val="0"/>
                <w:sz w:val="22"/>
              </w:rPr>
              <w:t>（1）提供覆盖小学、初中、高中的古诗词资源，包含原文、翻译、背景介绍、作者介绍、朗诵音频等。</w:t>
            </w:r>
          </w:p>
          <w:p w14:paraId="137242AB">
            <w:pPr>
              <w:widowControl/>
              <w:jc w:val="left"/>
              <w:rPr>
                <w:rFonts w:ascii="宋体" w:hAnsi="宋体" w:cs="宋体"/>
                <w:kern w:val="0"/>
                <w:sz w:val="22"/>
              </w:rPr>
            </w:pPr>
            <w:r>
              <w:rPr>
                <w:rFonts w:hint="eastAsia" w:ascii="宋体" w:hAnsi="宋体" w:cs="宋体"/>
                <w:kern w:val="0"/>
                <w:sz w:val="22"/>
              </w:rPr>
              <w:t>（2）支持用户根据年级、朝代、诗人等进行分类查找，也可直接搜索诗词、古文名称或作者名查找。</w:t>
            </w:r>
          </w:p>
          <w:p w14:paraId="21744D73">
            <w:pPr>
              <w:widowControl/>
              <w:jc w:val="left"/>
              <w:rPr>
                <w:rFonts w:ascii="宋体" w:hAnsi="宋体" w:cs="宋体"/>
                <w:kern w:val="0"/>
                <w:sz w:val="22"/>
              </w:rPr>
            </w:pPr>
            <w:r>
              <w:rPr>
                <w:rFonts w:hint="eastAsia" w:ascii="宋体" w:hAnsi="宋体" w:cs="宋体"/>
                <w:kern w:val="0"/>
                <w:sz w:val="22"/>
              </w:rPr>
              <w:t>（3）提供不少于9种古诗词专用背景模板，用户可贴合古诗词意境选择合适背景进行教学。</w:t>
            </w:r>
          </w:p>
          <w:p w14:paraId="05CC0405">
            <w:pPr>
              <w:widowControl/>
              <w:jc w:val="left"/>
              <w:rPr>
                <w:rFonts w:ascii="宋体" w:hAnsi="宋体" w:cs="宋体"/>
                <w:kern w:val="0"/>
                <w:sz w:val="22"/>
              </w:rPr>
            </w:pPr>
            <w:r>
              <w:rPr>
                <w:rFonts w:hint="eastAsia" w:ascii="宋体" w:hAnsi="宋体" w:cs="宋体"/>
                <w:kern w:val="0"/>
                <w:sz w:val="22"/>
              </w:rPr>
              <w:t>（4）古诗词、古文提供原文及翻译、背景介绍、作者介绍等，同时支持一键跳转打开网页，展示对应的背景或者介绍。</w:t>
            </w:r>
          </w:p>
          <w:p w14:paraId="7EC2D75E">
            <w:pPr>
              <w:widowControl/>
              <w:jc w:val="left"/>
              <w:rPr>
                <w:rFonts w:ascii="宋体" w:hAnsi="宋体" w:cs="宋体"/>
                <w:kern w:val="0"/>
                <w:sz w:val="22"/>
              </w:rPr>
            </w:pPr>
            <w:r>
              <w:rPr>
                <w:rFonts w:hint="eastAsia" w:ascii="宋体" w:hAnsi="宋体" w:cs="宋体"/>
                <w:kern w:val="0"/>
                <w:sz w:val="22"/>
              </w:rPr>
              <w:t>（5）提供原文朗读功能，全部诗词、古文均配备专业朗读配音，且支持用户在备课时对朗读音频进行打点操作，上课时可播放提前选择好的片段。</w:t>
            </w:r>
          </w:p>
          <w:p w14:paraId="13CD2567">
            <w:pPr>
              <w:widowControl/>
              <w:jc w:val="left"/>
              <w:rPr>
                <w:rFonts w:ascii="宋体" w:hAnsi="宋体" w:cs="宋体"/>
                <w:kern w:val="0"/>
                <w:sz w:val="22"/>
              </w:rPr>
            </w:pPr>
            <w:r>
              <w:rPr>
                <w:rFonts w:hint="eastAsia" w:ascii="宋体" w:hAnsi="宋体" w:cs="宋体"/>
                <w:kern w:val="0"/>
                <w:sz w:val="22"/>
              </w:rPr>
              <w:t>（6）支持用户备课时对原文进行注释、标重点等操作，方便用户讲解重点字词。</w:t>
            </w:r>
          </w:p>
          <w:p w14:paraId="4020A008">
            <w:pPr>
              <w:widowControl/>
              <w:jc w:val="left"/>
              <w:rPr>
                <w:rFonts w:ascii="宋体" w:hAnsi="宋体" w:cs="宋体"/>
                <w:kern w:val="0"/>
                <w:sz w:val="22"/>
              </w:rPr>
            </w:pPr>
            <w:r>
              <w:rPr>
                <w:rFonts w:hint="eastAsia" w:ascii="宋体" w:hAnsi="宋体" w:cs="宋体"/>
                <w:kern w:val="0"/>
                <w:sz w:val="22"/>
              </w:rPr>
              <w:t>▲14.立体几何：</w:t>
            </w:r>
          </w:p>
          <w:p w14:paraId="3EA834EA">
            <w:pPr>
              <w:widowControl/>
              <w:jc w:val="left"/>
              <w:rPr>
                <w:rFonts w:ascii="宋体" w:hAnsi="宋体" w:cs="宋体"/>
                <w:kern w:val="0"/>
                <w:sz w:val="22"/>
              </w:rPr>
            </w:pPr>
            <w:r>
              <w:rPr>
                <w:rFonts w:hint="eastAsia" w:ascii="宋体" w:hAnsi="宋体" w:cs="宋体"/>
                <w:kern w:val="0"/>
                <w:sz w:val="22"/>
              </w:rPr>
              <w:t>（1）支持绘制立方体、圆柱体等立体几何图形。</w:t>
            </w:r>
          </w:p>
          <w:p w14:paraId="5602BEF6">
            <w:pPr>
              <w:widowControl/>
              <w:jc w:val="left"/>
              <w:rPr>
                <w:rFonts w:ascii="宋体" w:hAnsi="宋体" w:cs="宋体"/>
                <w:kern w:val="0"/>
                <w:sz w:val="22"/>
              </w:rPr>
            </w:pPr>
            <w:r>
              <w:rPr>
                <w:rFonts w:hint="eastAsia" w:ascii="宋体" w:hAnsi="宋体" w:cs="宋体"/>
                <w:kern w:val="0"/>
                <w:sz w:val="22"/>
              </w:rPr>
              <w:t>（2）支持任意调节立体几何图形的尺寸，改变长宽高比例。</w:t>
            </w:r>
          </w:p>
          <w:p w14:paraId="4264C7EC">
            <w:pPr>
              <w:widowControl/>
              <w:jc w:val="left"/>
              <w:rPr>
                <w:rFonts w:ascii="宋体" w:hAnsi="宋体" w:cs="宋体"/>
                <w:kern w:val="0"/>
                <w:sz w:val="22"/>
              </w:rPr>
            </w:pPr>
            <w:r>
              <w:rPr>
                <w:rFonts w:hint="eastAsia" w:ascii="宋体" w:hAnsi="宋体" w:cs="宋体"/>
                <w:kern w:val="0"/>
                <w:sz w:val="22"/>
              </w:rPr>
              <w:t>（3）支持沿任意方向旋转立体几何。</w:t>
            </w:r>
          </w:p>
          <w:p w14:paraId="2F56796F">
            <w:pPr>
              <w:widowControl/>
              <w:jc w:val="left"/>
              <w:rPr>
                <w:rFonts w:ascii="宋体" w:hAnsi="宋体" w:cs="宋体"/>
                <w:kern w:val="0"/>
                <w:sz w:val="22"/>
              </w:rPr>
            </w:pPr>
            <w:r>
              <w:rPr>
                <w:rFonts w:hint="eastAsia" w:ascii="宋体" w:hAnsi="宋体" w:cs="宋体"/>
                <w:kern w:val="0"/>
                <w:sz w:val="22"/>
              </w:rPr>
              <w:t>（4）支持为长方体6个面分别涂色，并且可通过任意旋转观察涂色与未涂色的表面</w:t>
            </w:r>
          </w:p>
          <w:p w14:paraId="237D62DB">
            <w:pPr>
              <w:widowControl/>
              <w:jc w:val="left"/>
              <w:rPr>
                <w:rFonts w:ascii="宋体" w:hAnsi="宋体" w:cs="宋体"/>
                <w:kern w:val="0"/>
                <w:sz w:val="22"/>
              </w:rPr>
            </w:pPr>
            <w:r>
              <w:rPr>
                <w:rFonts w:hint="eastAsia" w:ascii="宋体" w:hAnsi="宋体" w:cs="宋体"/>
                <w:kern w:val="0"/>
                <w:sz w:val="22"/>
              </w:rPr>
              <w:t>15.数学画板功能：</w:t>
            </w:r>
          </w:p>
          <w:p w14:paraId="1C4622A2">
            <w:pPr>
              <w:widowControl/>
              <w:jc w:val="left"/>
              <w:rPr>
                <w:rFonts w:ascii="宋体" w:hAnsi="宋体" w:cs="宋体"/>
                <w:kern w:val="0"/>
                <w:sz w:val="22"/>
              </w:rPr>
            </w:pPr>
            <w:r>
              <w:rPr>
                <w:rFonts w:hint="eastAsia" w:ascii="宋体" w:hAnsi="宋体" w:cs="宋体"/>
                <w:kern w:val="0"/>
                <w:sz w:val="22"/>
              </w:rPr>
              <w:t>（1）支持在白板中插入在线画板，授课时可以一键打开,方便老师配合课件内容进行讲解。</w:t>
            </w:r>
          </w:p>
          <w:p w14:paraId="49AB67BC">
            <w:pPr>
              <w:widowControl/>
              <w:jc w:val="left"/>
              <w:rPr>
                <w:rFonts w:ascii="宋体" w:hAnsi="宋体" w:cs="宋体"/>
                <w:kern w:val="0"/>
                <w:sz w:val="22"/>
              </w:rPr>
            </w:pPr>
            <w:r>
              <w:rPr>
                <w:rFonts w:hint="eastAsia" w:ascii="宋体" w:hAnsi="宋体" w:cs="宋体"/>
                <w:kern w:val="0"/>
                <w:sz w:val="22"/>
              </w:rPr>
              <w:t>（2）提供超过500个数学画板资源，覆盖小学、初中、高中学段数学学科主要知识点，并按照知识点分类，便于老师查找。</w:t>
            </w:r>
          </w:p>
          <w:p w14:paraId="4FB76AB1">
            <w:pPr>
              <w:widowControl/>
              <w:jc w:val="left"/>
              <w:rPr>
                <w:rFonts w:ascii="宋体" w:hAnsi="宋体" w:cs="宋体"/>
                <w:kern w:val="0"/>
                <w:sz w:val="22"/>
              </w:rPr>
            </w:pPr>
            <w:r>
              <w:rPr>
                <w:rFonts w:hint="eastAsia" w:ascii="宋体" w:hAnsi="宋体" w:cs="宋体"/>
                <w:kern w:val="0"/>
                <w:sz w:val="22"/>
              </w:rPr>
              <w:t>（3）画板资源互动性强，利于老师讲解抽象知识点，如小学阶段的四边形互相转换资源，可支持点击，动态切换四边形形态；中学阶段的平方差公式资源，可支持图形展示平方差公式计算原理，并可改变数值，重复演示。</w:t>
            </w:r>
          </w:p>
          <w:p w14:paraId="4A84E882">
            <w:pPr>
              <w:widowControl/>
              <w:jc w:val="left"/>
              <w:rPr>
                <w:rFonts w:ascii="宋体" w:hAnsi="宋体" w:cs="宋体"/>
                <w:kern w:val="0"/>
                <w:sz w:val="22"/>
              </w:rPr>
            </w:pPr>
            <w:r>
              <w:rPr>
                <w:rFonts w:hint="eastAsia" w:ascii="宋体" w:hAnsi="宋体" w:cs="宋体"/>
                <w:kern w:val="0"/>
                <w:sz w:val="22"/>
              </w:rPr>
              <w:t>（4）支持老师创建个人画板，除了点、线、面等基础元素以外，画板还可提供线段中点、椭圆焦点、极坐标方程等数十种数学常用工具，保证老师日常备授课所需。创建完成后，老师可一键将画板插入白板，与课件无缝连接。</w:t>
            </w:r>
          </w:p>
          <w:p w14:paraId="67D8A5C1">
            <w:pPr>
              <w:widowControl/>
              <w:jc w:val="left"/>
              <w:rPr>
                <w:rFonts w:ascii="宋体" w:hAnsi="宋体" w:cs="宋体"/>
                <w:kern w:val="0"/>
                <w:sz w:val="22"/>
              </w:rPr>
            </w:pPr>
            <w:r>
              <w:rPr>
                <w:rFonts w:hint="eastAsia" w:ascii="宋体" w:hAnsi="宋体" w:cs="宋体"/>
                <w:kern w:val="0"/>
                <w:sz w:val="22"/>
              </w:rPr>
              <w:t>▲16.多学科题库：</w:t>
            </w:r>
          </w:p>
          <w:p w14:paraId="7D5BD7D8">
            <w:pPr>
              <w:widowControl/>
              <w:jc w:val="left"/>
              <w:rPr>
                <w:rFonts w:ascii="宋体" w:hAnsi="宋体" w:cs="宋体"/>
                <w:kern w:val="0"/>
                <w:sz w:val="22"/>
              </w:rPr>
            </w:pPr>
            <w:r>
              <w:rPr>
                <w:rFonts w:hint="eastAsia" w:ascii="宋体" w:hAnsi="宋体" w:cs="宋体"/>
                <w:kern w:val="0"/>
                <w:sz w:val="22"/>
              </w:rPr>
              <w:t>（1）提供不少于30万道试题给老师使用。</w:t>
            </w:r>
          </w:p>
          <w:p w14:paraId="4774678A">
            <w:pPr>
              <w:widowControl/>
              <w:jc w:val="left"/>
              <w:rPr>
                <w:rFonts w:ascii="宋体" w:hAnsi="宋体" w:cs="宋体"/>
                <w:kern w:val="0"/>
                <w:sz w:val="22"/>
              </w:rPr>
            </w:pPr>
            <w:r>
              <w:rPr>
                <w:rFonts w:hint="eastAsia" w:ascii="宋体" w:hAnsi="宋体" w:cs="宋体"/>
                <w:kern w:val="0"/>
                <w:sz w:val="22"/>
              </w:rPr>
              <w:t>（2）涵盖小学、初中、高中，其中中学部分包含语文、数学、英语、物理、化学、生物、政治、历史、地理等多个学科。</w:t>
            </w:r>
          </w:p>
          <w:p w14:paraId="57B4EC87">
            <w:pPr>
              <w:widowControl/>
              <w:jc w:val="left"/>
              <w:rPr>
                <w:rFonts w:ascii="宋体" w:hAnsi="宋体" w:cs="宋体"/>
                <w:kern w:val="0"/>
                <w:sz w:val="22"/>
              </w:rPr>
            </w:pPr>
            <w:r>
              <w:rPr>
                <w:rFonts w:hint="eastAsia" w:ascii="宋体" w:hAnsi="宋体" w:cs="宋体"/>
                <w:kern w:val="0"/>
                <w:sz w:val="22"/>
              </w:rPr>
              <w:t>（3）题库总知识点不少于9000个，除选择、填空、判断等基本题型外，还包含诗歌阅读、完形填空、阅读理解、辨析题、材料题、实验题、作图题等。</w:t>
            </w:r>
          </w:p>
          <w:p w14:paraId="52E2D740">
            <w:pPr>
              <w:widowControl/>
              <w:jc w:val="left"/>
              <w:rPr>
                <w:rFonts w:ascii="宋体" w:hAnsi="宋体" w:cs="宋体"/>
                <w:kern w:val="0"/>
                <w:sz w:val="22"/>
              </w:rPr>
            </w:pPr>
            <w:r>
              <w:rPr>
                <w:rFonts w:hint="eastAsia" w:ascii="宋体" w:hAnsi="宋体" w:cs="宋体"/>
                <w:kern w:val="0"/>
                <w:sz w:val="22"/>
              </w:rPr>
              <w:t>（4）可批量选择多题并以交互式试题卡的形式插入到白板中。试题卡包含题干、答案和解析，并可一键实时展开、收起答案和解析。</w:t>
            </w:r>
          </w:p>
          <w:p w14:paraId="636894C7">
            <w:pPr>
              <w:widowControl/>
              <w:jc w:val="left"/>
              <w:rPr>
                <w:rFonts w:ascii="宋体" w:hAnsi="宋体" w:cs="宋体"/>
                <w:kern w:val="0"/>
                <w:sz w:val="22"/>
              </w:rPr>
            </w:pPr>
            <w:r>
              <w:rPr>
                <w:rFonts w:hint="eastAsia" w:ascii="宋体" w:hAnsi="宋体" w:cs="宋体"/>
                <w:kern w:val="0"/>
                <w:sz w:val="22"/>
              </w:rPr>
              <w:t>17.课堂小测：提供不少于40000道初中数学试题。</w:t>
            </w:r>
          </w:p>
          <w:p w14:paraId="3E209107">
            <w:pPr>
              <w:widowControl/>
              <w:jc w:val="left"/>
              <w:rPr>
                <w:rFonts w:ascii="宋体" w:hAnsi="宋体" w:cs="宋体"/>
                <w:kern w:val="0"/>
                <w:sz w:val="22"/>
              </w:rPr>
            </w:pPr>
            <w:r>
              <w:rPr>
                <w:rFonts w:hint="eastAsia" w:ascii="宋体" w:hAnsi="宋体" w:cs="宋体"/>
                <w:kern w:val="0"/>
                <w:sz w:val="22"/>
              </w:rPr>
              <w:t>（1）老师可根据所使用教材版本自由选择人教新版、苏科新版、北师大版、北京课改新版等不同版本试题。</w:t>
            </w:r>
          </w:p>
          <w:p w14:paraId="02688141">
            <w:pPr>
              <w:widowControl/>
              <w:jc w:val="left"/>
              <w:rPr>
                <w:rFonts w:ascii="宋体" w:hAnsi="宋体" w:cs="宋体"/>
                <w:kern w:val="0"/>
                <w:sz w:val="22"/>
              </w:rPr>
            </w:pPr>
            <w:r>
              <w:rPr>
                <w:rFonts w:hint="eastAsia" w:ascii="宋体" w:hAnsi="宋体" w:cs="宋体"/>
                <w:kern w:val="0"/>
                <w:sz w:val="22"/>
              </w:rPr>
              <w:t>（2）试题按照教学进度分类，精确到每一章每一节，方便老师查找。</w:t>
            </w:r>
          </w:p>
          <w:p w14:paraId="7E334791">
            <w:pPr>
              <w:widowControl/>
              <w:jc w:val="left"/>
              <w:rPr>
                <w:rFonts w:ascii="宋体" w:hAnsi="宋体" w:cs="宋体"/>
                <w:kern w:val="0"/>
                <w:sz w:val="22"/>
              </w:rPr>
            </w:pPr>
            <w:r>
              <w:rPr>
                <w:rFonts w:hint="eastAsia" w:ascii="宋体" w:hAnsi="宋体" w:cs="宋体"/>
                <w:kern w:val="0"/>
                <w:sz w:val="22"/>
              </w:rPr>
              <w:t>（3）试题按照使用场景分类，分为课堂小测、课时练习、课后基础、课后提高等，方便老师在不同场景下选择。</w:t>
            </w:r>
          </w:p>
          <w:p w14:paraId="104D8549">
            <w:pPr>
              <w:widowControl/>
              <w:jc w:val="left"/>
              <w:rPr>
                <w:rFonts w:ascii="宋体" w:hAnsi="宋体" w:cs="宋体"/>
                <w:kern w:val="0"/>
                <w:sz w:val="22"/>
              </w:rPr>
            </w:pPr>
            <w:r>
              <w:rPr>
                <w:rFonts w:hint="eastAsia" w:ascii="宋体" w:hAnsi="宋体" w:cs="宋体"/>
                <w:kern w:val="0"/>
                <w:sz w:val="22"/>
              </w:rPr>
              <w:t>（4）题目已根据老师使用需要，组成套题，老师可一键批量选择；同时也支持老师自由组题，形成个性化套题。</w:t>
            </w:r>
          </w:p>
          <w:p w14:paraId="08FEF274">
            <w:pPr>
              <w:widowControl/>
              <w:jc w:val="left"/>
              <w:rPr>
                <w:rFonts w:ascii="宋体" w:hAnsi="宋体" w:cs="宋体"/>
                <w:kern w:val="0"/>
                <w:sz w:val="22"/>
              </w:rPr>
            </w:pPr>
            <w:r>
              <w:rPr>
                <w:rFonts w:hint="eastAsia" w:ascii="宋体" w:hAnsi="宋体" w:cs="宋体"/>
                <w:kern w:val="0"/>
                <w:sz w:val="22"/>
              </w:rPr>
              <w:t>18.表格工具：</w:t>
            </w:r>
          </w:p>
          <w:p w14:paraId="37A7F0B5">
            <w:pPr>
              <w:widowControl/>
              <w:jc w:val="left"/>
              <w:rPr>
                <w:rFonts w:ascii="宋体" w:hAnsi="宋体" w:cs="宋体"/>
                <w:kern w:val="0"/>
                <w:sz w:val="22"/>
              </w:rPr>
            </w:pPr>
            <w:r>
              <w:rPr>
                <w:rFonts w:hint="eastAsia" w:ascii="宋体" w:hAnsi="宋体" w:cs="宋体"/>
                <w:kern w:val="0"/>
                <w:sz w:val="22"/>
              </w:rPr>
              <w:t>（1）支持老师插入表格，并提供5种以上表格样式供老师选择。</w:t>
            </w:r>
          </w:p>
          <w:p w14:paraId="40CA1BCE">
            <w:pPr>
              <w:widowControl/>
              <w:jc w:val="left"/>
              <w:rPr>
                <w:rFonts w:ascii="宋体" w:hAnsi="宋体" w:cs="宋体"/>
                <w:kern w:val="0"/>
                <w:sz w:val="22"/>
              </w:rPr>
            </w:pPr>
            <w:r>
              <w:rPr>
                <w:rFonts w:hint="eastAsia" w:ascii="宋体" w:hAnsi="宋体" w:cs="宋体"/>
                <w:kern w:val="0"/>
                <w:sz w:val="22"/>
              </w:rPr>
              <w:t>（2）支持表格自适应，可一键将表格的行、列调整到最合适的大小。</w:t>
            </w:r>
          </w:p>
          <w:p w14:paraId="249995B0">
            <w:pPr>
              <w:widowControl/>
              <w:jc w:val="left"/>
              <w:rPr>
                <w:rFonts w:ascii="宋体" w:hAnsi="宋体" w:cs="宋体"/>
                <w:kern w:val="0"/>
                <w:sz w:val="22"/>
              </w:rPr>
            </w:pPr>
            <w:r>
              <w:rPr>
                <w:rFonts w:hint="eastAsia" w:ascii="宋体" w:hAnsi="宋体" w:cs="宋体"/>
                <w:kern w:val="0"/>
                <w:sz w:val="22"/>
              </w:rPr>
              <w:t>（3）支持表格遮罩功能，可对表格中任意一格添加遮罩，在授课模式下通过点击可消除遮罩，方便老师设置互动活动。</w:t>
            </w:r>
          </w:p>
          <w:p w14:paraId="33105156">
            <w:pPr>
              <w:widowControl/>
              <w:jc w:val="left"/>
              <w:rPr>
                <w:rFonts w:ascii="宋体" w:hAnsi="宋体" w:cs="宋体"/>
                <w:kern w:val="0"/>
                <w:sz w:val="22"/>
              </w:rPr>
            </w:pPr>
            <w:r>
              <w:rPr>
                <w:rFonts w:hint="eastAsia" w:ascii="宋体" w:hAnsi="宋体" w:cs="宋体"/>
                <w:kern w:val="0"/>
                <w:sz w:val="22"/>
              </w:rPr>
              <w:t>（4）在授课模式下，支持表格克隆功能，可克隆出多个相同表格，方便老师请多位同学进行答题互动。</w:t>
            </w:r>
          </w:p>
          <w:p w14:paraId="140D2643">
            <w:pPr>
              <w:widowControl/>
              <w:jc w:val="left"/>
              <w:rPr>
                <w:rFonts w:ascii="宋体" w:hAnsi="宋体" w:cs="宋体"/>
                <w:kern w:val="0"/>
                <w:sz w:val="22"/>
              </w:rPr>
            </w:pPr>
            <w:r>
              <w:rPr>
                <w:rFonts w:hint="eastAsia" w:ascii="宋体" w:hAnsi="宋体" w:cs="宋体"/>
                <w:kern w:val="0"/>
                <w:sz w:val="22"/>
              </w:rPr>
              <w:t>七、学生行为评价软件</w:t>
            </w:r>
          </w:p>
          <w:p w14:paraId="57819FE5">
            <w:pPr>
              <w:widowControl/>
              <w:jc w:val="left"/>
              <w:rPr>
                <w:rFonts w:ascii="宋体" w:hAnsi="宋体" w:cs="宋体"/>
                <w:kern w:val="0"/>
                <w:sz w:val="22"/>
              </w:rPr>
            </w:pPr>
            <w:r>
              <w:rPr>
                <w:rFonts w:hint="eastAsia" w:ascii="宋体" w:hAnsi="宋体" w:cs="宋体"/>
                <w:kern w:val="0"/>
                <w:sz w:val="22"/>
              </w:rPr>
              <w:t>1.学生行为评价系统，集成三大功能模块：基础信息管理、课堂表现评价、家校互联互通，功能及操作均统一在同一软件平台同一账号体系实现。</w:t>
            </w:r>
          </w:p>
          <w:p w14:paraId="22DFFFF1">
            <w:pPr>
              <w:widowControl/>
              <w:jc w:val="left"/>
              <w:rPr>
                <w:rFonts w:ascii="宋体" w:hAnsi="宋体" w:cs="宋体"/>
                <w:kern w:val="0"/>
                <w:sz w:val="22"/>
              </w:rPr>
            </w:pPr>
            <w:r>
              <w:rPr>
                <w:rFonts w:hint="eastAsia" w:ascii="宋体" w:hAnsi="宋体" w:cs="宋体"/>
                <w:kern w:val="0"/>
                <w:sz w:val="22"/>
              </w:rPr>
              <w:t>2.支持 PC客户端、PC 网页端、安卓手持终端端、苹果手持终端端登陆使用，且各个端的数据是互通的，方便用户随时随地对学生进行管理与评价。</w:t>
            </w:r>
          </w:p>
          <w:p w14:paraId="066A7BAC">
            <w:pPr>
              <w:widowControl/>
              <w:jc w:val="left"/>
              <w:rPr>
                <w:rFonts w:ascii="宋体" w:hAnsi="宋体" w:cs="宋体"/>
                <w:kern w:val="0"/>
                <w:sz w:val="22"/>
              </w:rPr>
            </w:pPr>
            <w:r>
              <w:rPr>
                <w:rFonts w:hint="eastAsia" w:ascii="宋体" w:hAnsi="宋体" w:cs="宋体"/>
                <w:kern w:val="0"/>
                <w:sz w:val="22"/>
              </w:rPr>
              <w:t>3.支持多个用户管理同一个班级，从而满足一个班级有班主任和多个任课用户的实际情况。</w:t>
            </w:r>
          </w:p>
          <w:p w14:paraId="3E173506">
            <w:pPr>
              <w:widowControl/>
              <w:jc w:val="left"/>
              <w:rPr>
                <w:rFonts w:ascii="宋体" w:hAnsi="宋体" w:cs="宋体"/>
                <w:kern w:val="0"/>
                <w:sz w:val="22"/>
              </w:rPr>
            </w:pPr>
            <w:r>
              <w:rPr>
                <w:rFonts w:hint="eastAsia" w:ascii="宋体" w:hAnsi="宋体" w:cs="宋体"/>
                <w:kern w:val="0"/>
                <w:sz w:val="22"/>
              </w:rPr>
              <w:t>4.支持邀请家长入班，使家长可查看到自己的孩子在学校的各种表现。</w:t>
            </w:r>
          </w:p>
          <w:p w14:paraId="1B5A0238">
            <w:pPr>
              <w:widowControl/>
              <w:jc w:val="left"/>
              <w:rPr>
                <w:rFonts w:ascii="宋体" w:hAnsi="宋体" w:cs="宋体"/>
                <w:kern w:val="0"/>
                <w:sz w:val="22"/>
              </w:rPr>
            </w:pPr>
            <w:r>
              <w:rPr>
                <w:rFonts w:hint="eastAsia" w:ascii="宋体" w:hAnsi="宋体" w:cs="宋体"/>
                <w:kern w:val="0"/>
                <w:sz w:val="22"/>
              </w:rPr>
              <w:t>5.用户可通过移动端、PC端及网页端对学生、小组及班级进行行为评价，通过卡通游戏化的方式对学生进行表扬或提醒。</w:t>
            </w:r>
          </w:p>
          <w:p w14:paraId="6713EC6B">
            <w:pPr>
              <w:widowControl/>
              <w:jc w:val="left"/>
              <w:rPr>
                <w:rFonts w:ascii="宋体" w:hAnsi="宋体" w:cs="宋体"/>
                <w:kern w:val="0"/>
                <w:sz w:val="22"/>
              </w:rPr>
            </w:pPr>
            <w:r>
              <w:rPr>
                <w:rFonts w:hint="eastAsia" w:ascii="宋体" w:hAnsi="宋体" w:cs="宋体"/>
                <w:kern w:val="0"/>
                <w:sz w:val="22"/>
              </w:rPr>
              <w:t>6.支持查看课堂表现评价统计报表，按饼状图形式展现学生课堂表现情况，支持查看班级或学生个人的评价情况，并可具体查看到每一条评价的原因、对象、分值，便于用户做统计分析。</w:t>
            </w:r>
          </w:p>
          <w:p w14:paraId="0261A90E">
            <w:pPr>
              <w:widowControl/>
              <w:jc w:val="left"/>
              <w:rPr>
                <w:rFonts w:ascii="宋体" w:hAnsi="宋体" w:cs="宋体"/>
                <w:kern w:val="0"/>
                <w:sz w:val="22"/>
              </w:rPr>
            </w:pPr>
            <w:r>
              <w:rPr>
                <w:rFonts w:hint="eastAsia" w:ascii="宋体" w:hAnsi="宋体" w:cs="宋体"/>
                <w:kern w:val="0"/>
                <w:sz w:val="22"/>
              </w:rPr>
              <w:t>八、大小屏互动软件</w:t>
            </w:r>
          </w:p>
          <w:p w14:paraId="779F2BF0">
            <w:pPr>
              <w:widowControl/>
              <w:jc w:val="left"/>
              <w:rPr>
                <w:rFonts w:ascii="宋体" w:hAnsi="宋体" w:cs="宋体"/>
                <w:kern w:val="0"/>
                <w:sz w:val="22"/>
              </w:rPr>
            </w:pPr>
            <w:r>
              <w:rPr>
                <w:rFonts w:hint="eastAsia" w:ascii="宋体" w:hAnsi="宋体" w:cs="宋体"/>
                <w:kern w:val="0"/>
                <w:sz w:val="22"/>
              </w:rPr>
              <w:t>1.如手机、PAD等移动终端，可通过本软件与交互智能平板实现无线连接，可对连接的设备进行密码的权限管理，支持二维码扫码自连接服务器功能。</w:t>
            </w:r>
          </w:p>
          <w:p w14:paraId="30659CB0">
            <w:pPr>
              <w:widowControl/>
              <w:jc w:val="left"/>
              <w:rPr>
                <w:rFonts w:ascii="宋体" w:hAnsi="宋体" w:cs="宋体"/>
                <w:kern w:val="0"/>
                <w:sz w:val="22"/>
              </w:rPr>
            </w:pPr>
            <w:r>
              <w:rPr>
                <w:rFonts w:hint="eastAsia" w:ascii="宋体" w:hAnsi="宋体" w:cs="宋体"/>
                <w:kern w:val="0"/>
                <w:sz w:val="22"/>
              </w:rPr>
              <w:t>2.支持多图对比展示功能，可将多位学生的作业、试卷或实验结果进行拍摄，并上传至智能平板的互动教学软件里进行对比展示，支持点评功能，可给每位同学的作品以不同的奖章。</w:t>
            </w:r>
          </w:p>
          <w:p w14:paraId="4538D824">
            <w:pPr>
              <w:widowControl/>
              <w:jc w:val="left"/>
              <w:rPr>
                <w:rFonts w:ascii="宋体" w:hAnsi="宋体" w:cs="宋体"/>
                <w:kern w:val="0"/>
                <w:sz w:val="22"/>
              </w:rPr>
            </w:pPr>
            <w:r>
              <w:rPr>
                <w:rFonts w:hint="eastAsia" w:ascii="宋体" w:hAnsi="宋体" w:cs="宋体"/>
                <w:kern w:val="0"/>
                <w:sz w:val="22"/>
              </w:rP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p>
          <w:p w14:paraId="30C8AC81">
            <w:pPr>
              <w:widowControl/>
              <w:jc w:val="left"/>
              <w:rPr>
                <w:rFonts w:ascii="宋体" w:hAnsi="宋体" w:cs="宋体"/>
                <w:kern w:val="0"/>
                <w:sz w:val="22"/>
              </w:rPr>
            </w:pPr>
            <w:r>
              <w:rPr>
                <w:rFonts w:hint="eastAsia" w:ascii="宋体" w:hAnsi="宋体" w:cs="宋体"/>
                <w:kern w:val="0"/>
                <w:sz w:val="22"/>
              </w:rP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p>
          <w:p w14:paraId="1D8E9906">
            <w:pPr>
              <w:widowControl/>
              <w:jc w:val="left"/>
              <w:rPr>
                <w:rFonts w:ascii="宋体" w:hAnsi="宋体" w:cs="宋体"/>
                <w:kern w:val="0"/>
                <w:sz w:val="22"/>
              </w:rPr>
            </w:pPr>
            <w:r>
              <w:rPr>
                <w:rFonts w:hint="eastAsia" w:ascii="宋体" w:hAnsi="宋体" w:cs="宋体"/>
                <w:kern w:val="0"/>
                <w:sz w:val="22"/>
              </w:rPr>
              <w:t>九、其它要求：</w:t>
            </w:r>
          </w:p>
          <w:p w14:paraId="02912B96">
            <w:pPr>
              <w:widowControl/>
              <w:jc w:val="left"/>
              <w:rPr>
                <w:rFonts w:ascii="宋体" w:hAnsi="宋体" w:cs="宋体"/>
                <w:kern w:val="0"/>
                <w:sz w:val="22"/>
              </w:rPr>
            </w:pPr>
            <w:r>
              <w:rPr>
                <w:rFonts w:hint="eastAsia" w:ascii="宋体" w:hAnsi="宋体" w:cs="宋体"/>
                <w:kern w:val="0"/>
                <w:sz w:val="22"/>
              </w:rPr>
              <w:t>1.全国24小时免费400/800等电话保修、二维码扫描保修、区域化驻地技术工程师专线保修。</w:t>
            </w:r>
          </w:p>
          <w:p w14:paraId="1641DA02">
            <w:pPr>
              <w:widowControl/>
              <w:jc w:val="left"/>
              <w:rPr>
                <w:rFonts w:ascii="宋体" w:hAnsi="宋体" w:cs="宋体"/>
                <w:kern w:val="0"/>
                <w:sz w:val="22"/>
              </w:rPr>
            </w:pPr>
            <w:r>
              <w:rPr>
                <w:rFonts w:hint="eastAsia" w:ascii="宋体" w:hAnsi="宋体" w:cs="宋体"/>
                <w:kern w:val="0"/>
                <w:sz w:val="22"/>
              </w:rPr>
              <w:t>▲2.针对投标产品，供货时中标人提供有资质的检测机构出具的有效检测报告并加盖投标人公章。</w:t>
            </w:r>
          </w:p>
          <w:p w14:paraId="77554143">
            <w:pPr>
              <w:widowControl/>
              <w:jc w:val="left"/>
              <w:rPr>
                <w:rFonts w:ascii="宋体" w:hAnsi="宋体" w:cs="宋体"/>
                <w:kern w:val="0"/>
                <w:sz w:val="22"/>
              </w:rPr>
            </w:pPr>
            <w:r>
              <w:rPr>
                <w:rFonts w:hint="eastAsia" w:ascii="宋体" w:hAnsi="宋体" w:cs="宋体"/>
                <w:kern w:val="0"/>
                <w:sz w:val="22"/>
              </w:rPr>
              <w:t>3.开机LOGO定制，开机时显示“隆安县教育局2024年配备”。</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A393">
            <w:pPr>
              <w:widowControl/>
              <w:jc w:val="center"/>
              <w:rPr>
                <w:rFonts w:ascii="宋体" w:hAnsi="宋体" w:cs="宋体"/>
                <w:kern w:val="0"/>
                <w:sz w:val="22"/>
              </w:rPr>
            </w:pPr>
            <w:r>
              <w:rPr>
                <w:rFonts w:hint="eastAsia" w:ascii="宋体" w:hAnsi="宋体" w:cs="宋体"/>
                <w:kern w:val="0"/>
                <w:sz w:val="22"/>
              </w:rPr>
              <w:t>台</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F82B">
            <w:pPr>
              <w:widowControl/>
              <w:jc w:val="center"/>
              <w:rPr>
                <w:rFonts w:ascii="宋体" w:hAnsi="宋体" w:cs="宋体"/>
                <w:kern w:val="0"/>
                <w:sz w:val="22"/>
              </w:rPr>
            </w:pPr>
            <w:r>
              <w:rPr>
                <w:rFonts w:hint="eastAsia" w:ascii="宋体" w:hAnsi="宋体" w:cs="宋体"/>
                <w:kern w:val="0"/>
                <w:sz w:val="22"/>
              </w:rPr>
              <w:t>33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8B8C">
            <w:pPr>
              <w:widowControl/>
              <w:jc w:val="center"/>
              <w:rPr>
                <w:rFonts w:ascii="宋体" w:hAnsi="宋体" w:cs="宋体"/>
                <w:kern w:val="0"/>
                <w:sz w:val="22"/>
              </w:rPr>
            </w:pPr>
            <w:r>
              <w:rPr>
                <w:rFonts w:hint="eastAsia" w:ascii="宋体" w:hAnsi="宋体" w:cs="宋体"/>
                <w:kern w:val="0"/>
                <w:sz w:val="22"/>
              </w:rPr>
              <w:t>24000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5281">
            <w:pPr>
              <w:widowControl/>
              <w:jc w:val="center"/>
              <w:rPr>
                <w:rFonts w:ascii="宋体" w:hAnsi="宋体" w:cs="宋体"/>
                <w:kern w:val="0"/>
                <w:sz w:val="22"/>
              </w:rPr>
            </w:pPr>
            <w:r>
              <w:rPr>
                <w:rFonts w:hint="eastAsia" w:ascii="宋体" w:hAnsi="宋体" w:cs="宋体"/>
                <w:kern w:val="0"/>
                <w:sz w:val="22"/>
              </w:rPr>
              <w:t>792000</w:t>
            </w:r>
          </w:p>
        </w:tc>
      </w:tr>
      <w:tr w14:paraId="7F7C8E48">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CD2A">
            <w:pPr>
              <w:widowControl/>
              <w:jc w:val="center"/>
              <w:rPr>
                <w:rFonts w:ascii="宋体" w:hAnsi="宋体" w:cs="宋体"/>
                <w:kern w:val="0"/>
                <w:sz w:val="22"/>
              </w:rPr>
            </w:pPr>
            <w:r>
              <w:rPr>
                <w:rFonts w:hint="eastAsia" w:ascii="宋体" w:hAnsi="宋体" w:cs="宋体"/>
                <w:kern w:val="0"/>
                <w:sz w:val="22"/>
              </w:rPr>
              <w:t>2</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B2D9">
            <w:pPr>
              <w:widowControl/>
              <w:jc w:val="center"/>
              <w:rPr>
                <w:rFonts w:ascii="宋体" w:hAnsi="宋体" w:cs="宋体"/>
                <w:kern w:val="0"/>
                <w:sz w:val="22"/>
              </w:rPr>
            </w:pPr>
            <w:r>
              <w:rPr>
                <w:rFonts w:hint="eastAsia" w:ascii="宋体" w:hAnsi="宋体" w:cs="宋体"/>
                <w:kern w:val="0"/>
                <w:sz w:val="22"/>
              </w:rPr>
              <w:t>视频展台</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32EE">
            <w:pPr>
              <w:widowControl/>
              <w:jc w:val="left"/>
              <w:rPr>
                <w:rFonts w:ascii="宋体" w:hAnsi="宋体" w:cs="宋体"/>
                <w:kern w:val="0"/>
                <w:sz w:val="22"/>
              </w:rPr>
            </w:pPr>
            <w:r>
              <w:rPr>
                <w:rFonts w:hint="eastAsia" w:ascii="宋体" w:hAnsi="宋体" w:cs="宋体"/>
                <w:kern w:val="0"/>
                <w:sz w:val="22"/>
              </w:rPr>
              <w:t>一、展台硬件</w:t>
            </w:r>
          </w:p>
          <w:p w14:paraId="71A9B74A">
            <w:pPr>
              <w:widowControl/>
              <w:jc w:val="left"/>
              <w:rPr>
                <w:rFonts w:ascii="宋体" w:hAnsi="宋体" w:cs="宋体"/>
                <w:kern w:val="0"/>
                <w:sz w:val="22"/>
              </w:rPr>
            </w:pPr>
            <w:r>
              <w:rPr>
                <w:rFonts w:hint="eastAsia" w:ascii="宋体" w:hAnsi="宋体" w:cs="宋体"/>
                <w:kern w:val="0"/>
                <w:sz w:val="22"/>
              </w:rPr>
              <w:t>1.壁挂式安装，防盗防破坏。</w:t>
            </w:r>
          </w:p>
          <w:p w14:paraId="16E98221">
            <w:pPr>
              <w:widowControl/>
              <w:jc w:val="left"/>
              <w:rPr>
                <w:rFonts w:ascii="宋体" w:hAnsi="宋体" w:cs="宋体"/>
                <w:kern w:val="0"/>
                <w:sz w:val="22"/>
              </w:rPr>
            </w:pPr>
            <w:r>
              <w:rPr>
                <w:rFonts w:hint="eastAsia" w:ascii="宋体" w:hAnsi="宋体" w:cs="宋体"/>
                <w:kern w:val="0"/>
                <w:sz w:val="22"/>
              </w:rPr>
              <w:t>2.无锐角无利边设计，有效防止师生碰伤、划伤。</w:t>
            </w:r>
          </w:p>
          <w:p w14:paraId="1731E35D">
            <w:pPr>
              <w:widowControl/>
              <w:jc w:val="left"/>
              <w:rPr>
                <w:rFonts w:ascii="宋体" w:hAnsi="宋体" w:cs="宋体"/>
                <w:kern w:val="0"/>
                <w:sz w:val="22"/>
              </w:rPr>
            </w:pPr>
            <w:r>
              <w:rPr>
                <w:rFonts w:hint="eastAsia" w:ascii="宋体" w:hAnsi="宋体" w:cs="宋体"/>
                <w:kern w:val="0"/>
                <w:sz w:val="22"/>
              </w:rPr>
              <w:t>3.采用三折叠开合式托板，展开后托板尺寸≥A4面积，收起时小巧不占空间，高效利用挂墙面积。</w:t>
            </w:r>
          </w:p>
          <w:p w14:paraId="6FEC232D">
            <w:pPr>
              <w:widowControl/>
              <w:jc w:val="left"/>
              <w:rPr>
                <w:rFonts w:ascii="宋体" w:hAnsi="宋体" w:cs="宋体"/>
                <w:kern w:val="0"/>
                <w:sz w:val="22"/>
              </w:rPr>
            </w:pPr>
            <w:r>
              <w:rPr>
                <w:rFonts w:hint="eastAsia" w:ascii="宋体" w:hAnsi="宋体" w:cs="宋体"/>
                <w:kern w:val="0"/>
                <w:sz w:val="22"/>
              </w:rPr>
              <w:t>4.采用USB高速接口，单根USB线实现供电、高清数据传输需求。</w:t>
            </w:r>
          </w:p>
          <w:p w14:paraId="510E5E9F">
            <w:pPr>
              <w:widowControl/>
              <w:jc w:val="left"/>
              <w:rPr>
                <w:rFonts w:ascii="宋体" w:hAnsi="宋体" w:cs="宋体"/>
                <w:kern w:val="0"/>
                <w:sz w:val="22"/>
              </w:rPr>
            </w:pPr>
            <w:r>
              <w:rPr>
                <w:rFonts w:hint="eastAsia" w:ascii="宋体" w:hAnsi="宋体" w:cs="宋体"/>
                <w:kern w:val="0"/>
                <w:sz w:val="22"/>
              </w:rPr>
              <w:t>▲5.采用≥1200W像素自动对焦摄像头，可拍摄A4画幅。</w:t>
            </w:r>
          </w:p>
          <w:p w14:paraId="2F50DB8B">
            <w:pPr>
              <w:widowControl/>
              <w:jc w:val="left"/>
              <w:rPr>
                <w:rFonts w:ascii="宋体" w:hAnsi="宋体" w:cs="宋体"/>
                <w:kern w:val="0"/>
                <w:sz w:val="22"/>
              </w:rPr>
            </w:pPr>
            <w:r>
              <w:rPr>
                <w:rFonts w:hint="eastAsia" w:ascii="宋体" w:hAnsi="宋体" w:cs="宋体"/>
                <w:kern w:val="0"/>
                <w:sz w:val="22"/>
              </w:rPr>
              <w:t>6.支持通过双击屏幕画面任意位置，即时改变对焦位置，可对立体物体的局部进行精确对焦。</w:t>
            </w:r>
          </w:p>
          <w:p w14:paraId="4C033EE8">
            <w:pPr>
              <w:widowControl/>
              <w:jc w:val="left"/>
              <w:rPr>
                <w:rFonts w:ascii="宋体" w:hAnsi="宋体" w:cs="宋体"/>
                <w:kern w:val="0"/>
                <w:sz w:val="22"/>
              </w:rPr>
            </w:pPr>
            <w:r>
              <w:rPr>
                <w:rFonts w:hint="eastAsia" w:ascii="宋体" w:hAnsi="宋体" w:cs="宋体"/>
                <w:kern w:val="0"/>
                <w:sz w:val="22"/>
              </w:rPr>
              <w:t>▲7.展台按键采用电容式触摸按键，可实现一键启动展台画面、画面放大、画面缩小、画面旋转、拍照截图等功能，同时也支持在展台软件上进行同样的操作。</w:t>
            </w:r>
          </w:p>
          <w:p w14:paraId="33913B33">
            <w:pPr>
              <w:widowControl/>
              <w:jc w:val="left"/>
              <w:rPr>
                <w:rFonts w:ascii="宋体" w:hAnsi="宋体" w:cs="宋体"/>
                <w:kern w:val="0"/>
                <w:sz w:val="22"/>
              </w:rPr>
            </w:pPr>
            <w:r>
              <w:rPr>
                <w:rFonts w:hint="eastAsia" w:ascii="宋体" w:hAnsi="宋体" w:cs="宋体"/>
                <w:kern w:val="0"/>
                <w:sz w:val="22"/>
              </w:rPr>
              <w:t>二、展台软件</w:t>
            </w:r>
          </w:p>
          <w:p w14:paraId="6598E319">
            <w:pPr>
              <w:widowControl/>
              <w:jc w:val="left"/>
              <w:rPr>
                <w:rFonts w:ascii="宋体" w:hAnsi="宋体" w:cs="宋体"/>
                <w:kern w:val="0"/>
                <w:sz w:val="22"/>
              </w:rPr>
            </w:pPr>
            <w:r>
              <w:rPr>
                <w:rFonts w:hint="eastAsia" w:ascii="宋体" w:hAnsi="宋体" w:cs="宋体"/>
                <w:kern w:val="0"/>
                <w:sz w:val="22"/>
              </w:rPr>
              <w:t>▲1、支持对展台实时画面进行放大、缩小、旋转、自适应、冻结画面等操作。</w:t>
            </w:r>
          </w:p>
          <w:p w14:paraId="354D328A">
            <w:pPr>
              <w:widowControl/>
              <w:jc w:val="left"/>
              <w:rPr>
                <w:rFonts w:ascii="宋体" w:hAnsi="宋体" w:cs="宋体"/>
                <w:kern w:val="0"/>
                <w:sz w:val="22"/>
              </w:rPr>
            </w:pPr>
            <w:r>
              <w:rPr>
                <w:rFonts w:hint="eastAsia" w:ascii="宋体" w:hAnsi="宋体" w:cs="宋体"/>
                <w:kern w:val="0"/>
                <w:sz w:val="22"/>
              </w:rPr>
              <w:t>2、支持展台画面实时批注，预设多种笔划粗细及颜色供选择，且支持对展台画面联同批注内容进行同步缩放、移动。</w:t>
            </w:r>
          </w:p>
          <w:p w14:paraId="6D98A6A8">
            <w:pPr>
              <w:widowControl/>
              <w:jc w:val="left"/>
              <w:rPr>
                <w:rFonts w:ascii="宋体" w:hAnsi="宋体" w:cs="宋体"/>
                <w:kern w:val="0"/>
                <w:sz w:val="22"/>
              </w:rPr>
            </w:pPr>
            <w:r>
              <w:rPr>
                <w:rFonts w:hint="eastAsia" w:ascii="宋体" w:hAnsi="宋体" w:cs="宋体"/>
                <w:kern w:val="0"/>
                <w:sz w:val="22"/>
              </w:rPr>
              <w:t>3、支持展台画面拍照截图并进行多图预览，可对任一图片进行全屏显示。</w:t>
            </w:r>
          </w:p>
          <w:p w14:paraId="143E62A9">
            <w:pPr>
              <w:widowControl/>
              <w:jc w:val="left"/>
              <w:rPr>
                <w:rFonts w:ascii="宋体" w:hAnsi="宋体" w:cs="宋体"/>
                <w:kern w:val="0"/>
                <w:sz w:val="22"/>
              </w:rPr>
            </w:pPr>
            <w:r>
              <w:rPr>
                <w:rFonts w:hint="eastAsia" w:ascii="宋体" w:hAnsi="宋体" w:cs="宋体"/>
                <w:kern w:val="0"/>
                <w:sz w:val="22"/>
              </w:rPr>
              <w:t>4、老师可在一体机或电脑上选择延时拍照功能，支持5秒或10秒延时模式，预留充足时间以便调整拍摄内容。</w:t>
            </w:r>
          </w:p>
          <w:p w14:paraId="385BA8F7">
            <w:pPr>
              <w:widowControl/>
              <w:jc w:val="left"/>
              <w:rPr>
                <w:rFonts w:ascii="宋体" w:hAnsi="宋体" w:cs="宋体"/>
                <w:kern w:val="0"/>
                <w:sz w:val="22"/>
              </w:rPr>
            </w:pPr>
            <w:r>
              <w:rPr>
                <w:rFonts w:hint="eastAsia" w:ascii="宋体" w:hAnsi="宋体" w:cs="宋体"/>
                <w:kern w:val="0"/>
                <w:sz w:val="22"/>
              </w:rPr>
              <w:t>5、可选择图像、文本或动态等多种情景模式，适应不同展示内容。</w:t>
            </w:r>
          </w:p>
          <w:p w14:paraId="2F6DCEB8">
            <w:pPr>
              <w:widowControl/>
              <w:jc w:val="left"/>
              <w:rPr>
                <w:rFonts w:ascii="宋体" w:hAnsi="宋体" w:cs="宋体"/>
                <w:kern w:val="0"/>
                <w:sz w:val="22"/>
              </w:rPr>
            </w:pPr>
            <w:r>
              <w:rPr>
                <w:rFonts w:hint="eastAsia" w:ascii="宋体" w:hAnsi="宋体" w:cs="宋体"/>
                <w:kern w:val="0"/>
                <w:sz w:val="22"/>
              </w:rPr>
              <w:t>6、支持故障自动检测，在软件无法出现展台拍摄画面时，自动出现检测链接，帮助用户检测“无画面”的原因，并给出引导性解决方案。可判断硬件连接、显卡驱动、摄像头占用、软件版本等问题</w:t>
            </w:r>
          </w:p>
          <w:p w14:paraId="22A02B28">
            <w:pPr>
              <w:widowControl/>
              <w:jc w:val="left"/>
              <w:rPr>
                <w:rFonts w:ascii="宋体" w:hAnsi="宋体" w:cs="宋体"/>
                <w:kern w:val="0"/>
                <w:sz w:val="22"/>
              </w:rPr>
            </w:pPr>
            <w:r>
              <w:rPr>
                <w:rFonts w:hint="eastAsia" w:ascii="宋体" w:hAnsi="宋体" w:cs="宋体"/>
                <w:kern w:val="0"/>
                <w:sz w:val="22"/>
              </w:rPr>
              <w:t>7、支持二维码扫码功能：打开扫一扫功能后，将书本上的二维码放入扫描框内即可自动扫描，并进入系统浏览器获取二维码的链接内容，帮助老师快速获取电子教学资源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6DDA">
            <w:pPr>
              <w:widowControl/>
              <w:jc w:val="center"/>
              <w:rPr>
                <w:rFonts w:ascii="宋体" w:hAnsi="宋体" w:cs="宋体"/>
                <w:kern w:val="0"/>
                <w:sz w:val="22"/>
              </w:rPr>
            </w:pPr>
            <w:r>
              <w:rPr>
                <w:rFonts w:hint="eastAsia" w:ascii="宋体" w:hAnsi="宋体" w:cs="宋体"/>
                <w:kern w:val="0"/>
                <w:sz w:val="22"/>
              </w:rPr>
              <w:t>个</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399C">
            <w:pPr>
              <w:widowControl/>
              <w:jc w:val="center"/>
              <w:rPr>
                <w:rFonts w:ascii="宋体" w:hAnsi="宋体" w:cs="宋体"/>
                <w:kern w:val="0"/>
                <w:sz w:val="22"/>
              </w:rPr>
            </w:pPr>
            <w:r>
              <w:rPr>
                <w:rFonts w:hint="eastAsia" w:ascii="宋体" w:hAnsi="宋体" w:cs="宋体"/>
                <w:kern w:val="0"/>
                <w:sz w:val="22"/>
              </w:rPr>
              <w:t>33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E16C">
            <w:pPr>
              <w:widowControl/>
              <w:jc w:val="center"/>
              <w:rPr>
                <w:rFonts w:ascii="宋体" w:hAnsi="宋体" w:cs="宋体"/>
                <w:kern w:val="0"/>
                <w:sz w:val="22"/>
              </w:rPr>
            </w:pPr>
            <w:r>
              <w:rPr>
                <w:rFonts w:hint="eastAsia" w:ascii="宋体" w:hAnsi="宋体" w:cs="宋体"/>
                <w:kern w:val="0"/>
                <w:sz w:val="22"/>
              </w:rPr>
              <w:t>900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DE93">
            <w:pPr>
              <w:widowControl/>
              <w:jc w:val="center"/>
              <w:rPr>
                <w:rFonts w:ascii="宋体" w:hAnsi="宋体" w:cs="宋体"/>
                <w:kern w:val="0"/>
                <w:sz w:val="22"/>
              </w:rPr>
            </w:pPr>
            <w:r>
              <w:rPr>
                <w:rFonts w:hint="eastAsia" w:ascii="宋体" w:hAnsi="宋体" w:cs="宋体"/>
                <w:kern w:val="0"/>
                <w:sz w:val="22"/>
              </w:rPr>
              <w:t>29700</w:t>
            </w:r>
          </w:p>
        </w:tc>
      </w:tr>
      <w:tr w14:paraId="4CFA34DE">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5B09">
            <w:pPr>
              <w:widowControl/>
              <w:jc w:val="center"/>
              <w:rPr>
                <w:rFonts w:ascii="宋体" w:hAnsi="宋体" w:cs="宋体"/>
                <w:kern w:val="0"/>
                <w:sz w:val="22"/>
              </w:rPr>
            </w:pPr>
            <w:r>
              <w:rPr>
                <w:rFonts w:hint="eastAsia" w:ascii="宋体" w:hAnsi="宋体" w:cs="宋体"/>
                <w:kern w:val="0"/>
                <w:sz w:val="22"/>
              </w:rPr>
              <w:t>3</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6446">
            <w:pPr>
              <w:widowControl/>
              <w:jc w:val="center"/>
              <w:rPr>
                <w:rFonts w:ascii="宋体" w:hAnsi="宋体" w:cs="宋体"/>
                <w:kern w:val="0"/>
                <w:sz w:val="22"/>
              </w:rPr>
            </w:pPr>
            <w:r>
              <w:rPr>
                <w:rFonts w:hint="eastAsia" w:ascii="宋体" w:hAnsi="宋体" w:cs="宋体"/>
                <w:kern w:val="0"/>
                <w:sz w:val="22"/>
              </w:rPr>
              <w:t>终端配套监测软件</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C2DF">
            <w:pPr>
              <w:widowControl/>
              <w:jc w:val="left"/>
              <w:rPr>
                <w:rFonts w:ascii="宋体" w:hAnsi="宋体" w:cs="宋体"/>
                <w:kern w:val="0"/>
                <w:sz w:val="22"/>
              </w:rPr>
            </w:pPr>
            <w:r>
              <w:rPr>
                <w:rFonts w:hint="eastAsia" w:ascii="宋体" w:hAnsi="宋体" w:cs="宋体"/>
                <w:kern w:val="0"/>
                <w:sz w:val="22"/>
              </w:rPr>
              <w:t>▲1、厂家提供终端配套监测软件后端管理平台供学校统一管理。</w:t>
            </w:r>
          </w:p>
          <w:p w14:paraId="1537BF27">
            <w:pPr>
              <w:widowControl/>
              <w:jc w:val="left"/>
              <w:rPr>
                <w:rFonts w:ascii="宋体" w:hAnsi="宋体" w:cs="宋体"/>
                <w:kern w:val="0"/>
                <w:sz w:val="22"/>
              </w:rPr>
            </w:pPr>
            <w:r>
              <w:rPr>
                <w:rFonts w:hint="eastAsia" w:ascii="宋体" w:hAnsi="宋体" w:cs="宋体"/>
                <w:kern w:val="0"/>
                <w:sz w:val="22"/>
              </w:rPr>
              <w:t>2、Windows、Linux、Android、IOS等多种操作系统通过网页浏览器登陆操作，提供多种智能身份识别方式：支持通过账号登录、手机扫码登录等方式，方便用户使用。管理平台提供管理员移动管理平台，免安装并支持Android、IOS等多种移动操作系统，便于远程管理及告警信息通知。</w:t>
            </w:r>
          </w:p>
          <w:p w14:paraId="16AD025A">
            <w:pPr>
              <w:widowControl/>
              <w:jc w:val="left"/>
              <w:rPr>
                <w:rFonts w:ascii="宋体" w:hAnsi="宋体" w:cs="宋体"/>
                <w:kern w:val="0"/>
                <w:sz w:val="22"/>
              </w:rPr>
            </w:pPr>
            <w:r>
              <w:rPr>
                <w:rFonts w:hint="eastAsia" w:ascii="宋体" w:hAnsi="宋体" w:cs="宋体"/>
                <w:kern w:val="0"/>
                <w:sz w:val="22"/>
              </w:rPr>
              <w:t>3、平台支持对全校智慧教室所安装的教学信息化设备进行集中运维管理和策略部署。</w:t>
            </w:r>
          </w:p>
          <w:p w14:paraId="063FFF9B">
            <w:pPr>
              <w:widowControl/>
              <w:jc w:val="left"/>
              <w:rPr>
                <w:rFonts w:ascii="宋体" w:hAnsi="宋体" w:cs="宋体"/>
                <w:kern w:val="0"/>
                <w:sz w:val="22"/>
              </w:rPr>
            </w:pPr>
            <w:r>
              <w:rPr>
                <w:rFonts w:hint="eastAsia" w:ascii="宋体" w:hAnsi="宋体" w:cs="宋体"/>
                <w:kern w:val="0"/>
                <w:sz w:val="22"/>
              </w:rPr>
              <w:t>4、管理平台可远程对选定的交互智能平板一体机推送动态文字滚动公告，可对公告文字的颜色、粗体以及播放次数、推送时间进行设置。</w:t>
            </w:r>
          </w:p>
          <w:p w14:paraId="603D86AB">
            <w:pPr>
              <w:widowControl/>
              <w:jc w:val="left"/>
              <w:rPr>
                <w:rFonts w:ascii="宋体" w:hAnsi="宋体" w:cs="宋体"/>
                <w:kern w:val="0"/>
                <w:sz w:val="22"/>
              </w:rPr>
            </w:pPr>
            <w:r>
              <w:rPr>
                <w:rFonts w:hint="eastAsia" w:ascii="宋体" w:hAnsi="宋体" w:cs="宋体"/>
                <w:kern w:val="0"/>
                <w:sz w:val="22"/>
              </w:rPr>
              <w:t>5、管理平台可远程开启指定交互智能平板一体机倒计日功能并设定倒计日截止日期，便于重大教学安排的提醒提示。</w:t>
            </w:r>
          </w:p>
          <w:p w14:paraId="33643227">
            <w:pPr>
              <w:widowControl/>
              <w:jc w:val="left"/>
              <w:rPr>
                <w:rFonts w:ascii="宋体" w:hAnsi="宋体" w:cs="宋体"/>
                <w:kern w:val="0"/>
                <w:sz w:val="22"/>
              </w:rPr>
            </w:pPr>
            <w:r>
              <w:rPr>
                <w:rFonts w:hint="eastAsia" w:ascii="宋体" w:hAnsi="宋体" w:cs="宋体"/>
                <w:kern w:val="0"/>
                <w:sz w:val="22"/>
              </w:rPr>
              <w:t>6、管理平台支持批量对交互智能平板一体机进行软件远程部署，配套专用教学软件批量部署支持静默安装。</w:t>
            </w:r>
          </w:p>
          <w:p w14:paraId="25E4C874">
            <w:pPr>
              <w:widowControl/>
              <w:jc w:val="left"/>
              <w:rPr>
                <w:rFonts w:ascii="宋体" w:hAnsi="宋体" w:cs="宋体"/>
                <w:kern w:val="0"/>
                <w:sz w:val="22"/>
              </w:rPr>
            </w:pPr>
            <w:r>
              <w:rPr>
                <w:rFonts w:hint="eastAsia" w:ascii="宋体" w:hAnsi="宋体" w:cs="宋体"/>
                <w:kern w:val="0"/>
                <w:sz w:val="22"/>
              </w:rPr>
              <w:t>7、管理平台提供巡课值守模式，自动轮循显示处于运行状态的交互智能平板一体机使用界面。</w:t>
            </w:r>
          </w:p>
          <w:p w14:paraId="54EACC27">
            <w:pPr>
              <w:widowControl/>
              <w:jc w:val="left"/>
              <w:rPr>
                <w:rFonts w:ascii="宋体" w:hAnsi="宋体" w:cs="宋体"/>
                <w:kern w:val="0"/>
                <w:sz w:val="22"/>
              </w:rPr>
            </w:pPr>
            <w:r>
              <w:rPr>
                <w:rFonts w:hint="eastAsia" w:ascii="宋体" w:hAnsi="宋体" w:cs="宋体"/>
                <w:kern w:val="0"/>
                <w:sz w:val="22"/>
              </w:rPr>
              <w:t>8、管理平台实时显示交互智能平板一体机异常的告警提示，并同步将异常信息推送至管理员移动端工作平台。</w:t>
            </w:r>
          </w:p>
          <w:p w14:paraId="4EA6CEFB">
            <w:pPr>
              <w:widowControl/>
              <w:jc w:val="left"/>
              <w:rPr>
                <w:rFonts w:ascii="宋体" w:hAnsi="宋体" w:cs="宋体"/>
                <w:kern w:val="0"/>
                <w:sz w:val="22"/>
              </w:rPr>
            </w:pPr>
            <w:r>
              <w:rPr>
                <w:rFonts w:hint="eastAsia" w:ascii="宋体" w:hAnsi="宋体" w:cs="宋体"/>
                <w:kern w:val="0"/>
                <w:sz w:val="22"/>
              </w:rPr>
              <w:t>9、管理平台根据设备日常运行状况综合生成设备健康值，可查看设备健康值排名并进行正序、反序排列。</w:t>
            </w:r>
          </w:p>
          <w:p w14:paraId="705F52B7">
            <w:pPr>
              <w:widowControl/>
              <w:jc w:val="left"/>
              <w:rPr>
                <w:rFonts w:ascii="宋体" w:hAnsi="宋体" w:cs="宋体"/>
                <w:kern w:val="0"/>
                <w:sz w:val="22"/>
              </w:rPr>
            </w:pPr>
            <w:r>
              <w:rPr>
                <w:rFonts w:hint="eastAsia" w:ascii="宋体" w:hAnsi="宋体" w:cs="宋体"/>
                <w:kern w:val="0"/>
                <w:sz w:val="22"/>
              </w:rPr>
              <w:t>10、管理平台为学校提供专属识别代码，互联网环境下的交互智能平板一体机输入专属代码接入管理平台即可在通过管理平台对设备进行远程管理。支持按照年级、班级自定义交互智能平板一体机名称，方便管理员对应管理。</w:t>
            </w:r>
          </w:p>
          <w:p w14:paraId="13F52707">
            <w:pPr>
              <w:widowControl/>
              <w:jc w:val="left"/>
              <w:rPr>
                <w:rFonts w:ascii="宋体" w:hAnsi="宋体" w:cs="宋体"/>
                <w:kern w:val="0"/>
                <w:sz w:val="22"/>
              </w:rPr>
            </w:pPr>
            <w:r>
              <w:rPr>
                <w:rFonts w:hint="eastAsia" w:ascii="宋体" w:hAnsi="宋体" w:cs="宋体"/>
                <w:kern w:val="0"/>
                <w:sz w:val="22"/>
              </w:rPr>
              <w:t>11、交互智能平板一体机支持磁盘级系统还原保护，可根据教学需要自由选择磁盘分区冻结、解冻还原保护。</w:t>
            </w:r>
          </w:p>
          <w:p w14:paraId="3EE6E46D">
            <w:pPr>
              <w:widowControl/>
              <w:jc w:val="left"/>
              <w:rPr>
                <w:rFonts w:ascii="宋体" w:hAnsi="宋体" w:cs="宋体"/>
                <w:kern w:val="0"/>
                <w:sz w:val="22"/>
              </w:rPr>
            </w:pPr>
            <w:r>
              <w:rPr>
                <w:rFonts w:hint="eastAsia" w:ascii="宋体" w:hAnsi="宋体" w:cs="宋体"/>
                <w:kern w:val="0"/>
                <w:sz w:val="22"/>
              </w:rPr>
              <w:t>12、可在交互智能平板一体机查看设备基本信息，如：系统、CPU、内存、硬盘、MCU、TV、触摸框等信息，方便老师管理设备。</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FBDF">
            <w:pPr>
              <w:widowControl/>
              <w:jc w:val="center"/>
              <w:rPr>
                <w:rFonts w:ascii="宋体" w:hAnsi="宋体" w:cs="宋体"/>
                <w:kern w:val="0"/>
                <w:sz w:val="22"/>
              </w:rPr>
            </w:pPr>
            <w:r>
              <w:rPr>
                <w:rFonts w:hint="eastAsia" w:ascii="宋体" w:hAnsi="宋体" w:cs="宋体"/>
                <w:kern w:val="0"/>
                <w:sz w:val="22"/>
              </w:rPr>
              <w:t>套</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5E6C">
            <w:pPr>
              <w:widowControl/>
              <w:jc w:val="center"/>
              <w:rPr>
                <w:rFonts w:ascii="宋体" w:hAnsi="宋体" w:cs="宋体"/>
                <w:kern w:val="0"/>
                <w:sz w:val="22"/>
              </w:rPr>
            </w:pPr>
            <w:r>
              <w:rPr>
                <w:rFonts w:hint="eastAsia" w:ascii="宋体" w:hAnsi="宋体" w:cs="宋体"/>
                <w:kern w:val="0"/>
                <w:sz w:val="22"/>
              </w:rPr>
              <w:t>33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28DB">
            <w:pPr>
              <w:widowControl/>
              <w:jc w:val="center"/>
              <w:rPr>
                <w:rFonts w:ascii="宋体" w:hAnsi="宋体" w:cs="宋体"/>
                <w:kern w:val="0"/>
                <w:sz w:val="22"/>
              </w:rPr>
            </w:pPr>
            <w:r>
              <w:rPr>
                <w:rFonts w:hint="eastAsia" w:ascii="宋体" w:hAnsi="宋体" w:cs="宋体"/>
                <w:kern w:val="0"/>
                <w:sz w:val="22"/>
              </w:rPr>
              <w:t>800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284E">
            <w:pPr>
              <w:widowControl/>
              <w:jc w:val="center"/>
              <w:rPr>
                <w:rFonts w:ascii="宋体" w:hAnsi="宋体" w:cs="宋体"/>
                <w:kern w:val="0"/>
                <w:sz w:val="22"/>
              </w:rPr>
            </w:pPr>
            <w:r>
              <w:rPr>
                <w:rFonts w:hint="eastAsia" w:ascii="宋体" w:hAnsi="宋体" w:cs="宋体"/>
                <w:kern w:val="0"/>
                <w:sz w:val="22"/>
              </w:rPr>
              <w:t>26400</w:t>
            </w:r>
          </w:p>
        </w:tc>
      </w:tr>
      <w:tr w14:paraId="5EB66B08">
        <w:tblPrEx>
          <w:tblCellMar>
            <w:top w:w="0" w:type="dxa"/>
            <w:left w:w="108" w:type="dxa"/>
            <w:bottom w:w="0" w:type="dxa"/>
            <w:right w:w="108" w:type="dxa"/>
          </w:tblCellMar>
        </w:tblPrEx>
        <w:trPr>
          <w:trHeight w:val="3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FE4B">
            <w:pPr>
              <w:widowControl/>
              <w:jc w:val="center"/>
              <w:rPr>
                <w:rFonts w:ascii="宋体" w:hAnsi="宋体" w:cs="宋体"/>
                <w:kern w:val="0"/>
                <w:sz w:val="22"/>
              </w:rPr>
            </w:pPr>
            <w:r>
              <w:rPr>
                <w:rFonts w:hint="eastAsia" w:ascii="宋体" w:hAnsi="宋体" w:cs="宋体"/>
                <w:kern w:val="0"/>
                <w:sz w:val="22"/>
              </w:rPr>
              <w:t>4</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4E53">
            <w:pPr>
              <w:widowControl/>
              <w:jc w:val="center"/>
              <w:rPr>
                <w:rFonts w:ascii="宋体" w:hAnsi="宋体" w:cs="宋体"/>
                <w:kern w:val="0"/>
                <w:sz w:val="22"/>
              </w:rPr>
            </w:pPr>
            <w:r>
              <w:rPr>
                <w:rFonts w:hint="eastAsia" w:ascii="宋体" w:hAnsi="宋体" w:cs="宋体"/>
                <w:kern w:val="0"/>
                <w:sz w:val="22"/>
              </w:rPr>
              <w:t>推拉黑板</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A025">
            <w:pPr>
              <w:widowControl/>
              <w:jc w:val="left"/>
              <w:rPr>
                <w:rFonts w:ascii="宋体" w:hAnsi="宋体" w:cs="宋体"/>
                <w:kern w:val="0"/>
                <w:sz w:val="22"/>
              </w:rPr>
            </w:pPr>
            <w:r>
              <w:rPr>
                <w:rFonts w:hint="eastAsia" w:ascii="宋体" w:hAnsi="宋体" w:cs="宋体"/>
                <w:kern w:val="0"/>
                <w:sz w:val="22"/>
              </w:rPr>
              <w:t>1、结构：推拉板由大框及四块同等大小的书写板组装而成，书写板分内外双层结构，内层为两块固定书写板与液晶一体机正面平齐，外层为两块滑动书写板，滑动板配装刻有黑板品牌LOGO标识的挂锁，开闭自如确保液晶一体机的安全管理。（中标人提供图样，经使用人同意后方可实施）</w:t>
            </w:r>
          </w:p>
          <w:p w14:paraId="2D6B64B0">
            <w:pPr>
              <w:widowControl/>
              <w:jc w:val="left"/>
              <w:rPr>
                <w:rFonts w:ascii="宋体" w:hAnsi="宋体" w:cs="宋体"/>
                <w:kern w:val="0"/>
                <w:sz w:val="22"/>
              </w:rPr>
            </w:pPr>
            <w:r>
              <w:rPr>
                <w:rFonts w:hint="eastAsia" w:ascii="宋体" w:hAnsi="宋体" w:cs="宋体"/>
                <w:kern w:val="0"/>
                <w:sz w:val="22"/>
              </w:rPr>
              <w:t>2、基本尺寸：≥4300mm×1300mm，可根据所配电子产品适当调整，确保与电子产品的有效配套。</w:t>
            </w:r>
          </w:p>
          <w:p w14:paraId="0C028517">
            <w:pPr>
              <w:widowControl/>
              <w:jc w:val="left"/>
              <w:rPr>
                <w:rFonts w:ascii="宋体" w:hAnsi="宋体" w:cs="宋体"/>
                <w:kern w:val="0"/>
                <w:sz w:val="22"/>
              </w:rPr>
            </w:pPr>
            <w:r>
              <w:rPr>
                <w:rFonts w:hint="eastAsia" w:ascii="宋体" w:hAnsi="宋体" w:cs="宋体"/>
                <w:kern w:val="0"/>
                <w:sz w:val="22"/>
              </w:rPr>
              <w:t>3、书写板面：采用280℃高温烤漆板面，具体面板颜色根据使用人要求定、亚光，厚度≥0.32mm，漆膜硬度6H，粗糙度Ra1.6-3.2um，光泽度≤6﹪，没有明显眩光，板面表面附有一层透明保护膜，符合GB/T 28231-2011《书写板安全卫生要求》（中标人提供图样，经使用人同意后方可实施）。</w:t>
            </w:r>
          </w:p>
          <w:p w14:paraId="57B86BF7">
            <w:pPr>
              <w:widowControl/>
              <w:jc w:val="left"/>
              <w:rPr>
                <w:rFonts w:ascii="宋体" w:hAnsi="宋体" w:cs="宋体"/>
                <w:kern w:val="0"/>
                <w:sz w:val="22"/>
              </w:rPr>
            </w:pPr>
            <w:r>
              <w:rPr>
                <w:rFonts w:hint="eastAsia" w:ascii="宋体" w:hAnsi="宋体" w:cs="宋体"/>
                <w:kern w:val="0"/>
                <w:sz w:val="22"/>
              </w:rPr>
              <w:t>4、内芯材料：高强度、吸音、聚苯乙烯泡沫板，采用国际适用工艺，书写无吱咔声，改善书写手感。</w:t>
            </w:r>
          </w:p>
          <w:p w14:paraId="5912CDCD">
            <w:pPr>
              <w:widowControl/>
              <w:jc w:val="left"/>
              <w:rPr>
                <w:rFonts w:ascii="宋体" w:hAnsi="宋体" w:cs="宋体"/>
                <w:kern w:val="0"/>
                <w:sz w:val="22"/>
              </w:rPr>
            </w:pPr>
            <w:r>
              <w:rPr>
                <w:rFonts w:hint="eastAsia" w:ascii="宋体" w:hAnsi="宋体" w:cs="宋体"/>
                <w:kern w:val="0"/>
                <w:sz w:val="22"/>
              </w:rPr>
              <w:t>5、背板：采用优质防锈热镀锌钢板，厚度≥0.25mm，流水线一次成型，间隔80mm压有20mm凹槽加强筋,确保均布承压不低于635N，凹槽造型美观、增加强度，更加耐用。</w:t>
            </w:r>
          </w:p>
          <w:p w14:paraId="416E20F7">
            <w:pPr>
              <w:widowControl/>
              <w:jc w:val="left"/>
              <w:rPr>
                <w:rFonts w:ascii="宋体" w:hAnsi="宋体" w:cs="宋体"/>
                <w:kern w:val="0"/>
                <w:sz w:val="22"/>
              </w:rPr>
            </w:pPr>
            <w:r>
              <w:rPr>
                <w:rFonts w:hint="eastAsia" w:ascii="宋体" w:hAnsi="宋体" w:cs="宋体"/>
                <w:kern w:val="0"/>
                <w:sz w:val="22"/>
              </w:rPr>
              <w:t>6、板面与衬板粘贴：采用环保型双组份聚氨酯胶水1:1配置，使用自动化覆板流水线作业，喷胶、压固、切割下料一次成型，确保粘接牢固板面平整。</w:t>
            </w:r>
          </w:p>
          <w:p w14:paraId="38F3885C">
            <w:pPr>
              <w:widowControl/>
              <w:jc w:val="left"/>
              <w:rPr>
                <w:rFonts w:ascii="宋体" w:hAnsi="宋体" w:cs="宋体"/>
                <w:kern w:val="0"/>
                <w:sz w:val="22"/>
              </w:rPr>
            </w:pPr>
            <w:r>
              <w:rPr>
                <w:rFonts w:hint="eastAsia" w:ascii="宋体" w:hAnsi="宋体" w:cs="宋体"/>
                <w:kern w:val="0"/>
                <w:sz w:val="22"/>
              </w:rPr>
              <w:t>7、边框：采用工业用高强度铝合金型材，电泳香槟色，模具挤压一次成型，上框规格57mm×100mm，左右框规格29mm×100mm，横（立）框采用双层加强结构，厚度≥15mm。轨道上置隐藏式平滑轮滑道，结构性解决滑轮受粉尘影响的情况，配有宽度≥30mm的粉尘槽，粉尘槽与滑动系统分离，与边框一次模具成形，防止粉尘垂直落地。</w:t>
            </w:r>
          </w:p>
          <w:p w14:paraId="71C30916">
            <w:pPr>
              <w:widowControl/>
              <w:jc w:val="left"/>
              <w:rPr>
                <w:rFonts w:ascii="宋体" w:hAnsi="宋体" w:cs="宋体"/>
                <w:kern w:val="0"/>
                <w:sz w:val="22"/>
              </w:rPr>
            </w:pPr>
            <w:r>
              <w:rPr>
                <w:rFonts w:hint="eastAsia" w:ascii="宋体" w:hAnsi="宋体" w:cs="宋体"/>
                <w:kern w:val="0"/>
                <w:sz w:val="22"/>
              </w:rPr>
              <w:t>◆8、包角材料：采用抗老化高强度ABS工程塑料注塑成型。规格：100mm×29mm×29mm，采用双壁成腔流线型设计，≥R25mm的圆角，正面带黑板品牌LOGO标识，无尖角毛刺，符合JY0001-2003《教学仪器设备产品一般质量要求》。</w:t>
            </w:r>
          </w:p>
          <w:p w14:paraId="62407EC3">
            <w:pPr>
              <w:widowControl/>
              <w:jc w:val="left"/>
              <w:rPr>
                <w:rFonts w:ascii="宋体" w:hAnsi="宋体" w:cs="宋体"/>
                <w:kern w:val="0"/>
                <w:sz w:val="22"/>
              </w:rPr>
            </w:pPr>
            <w:r>
              <w:rPr>
                <w:rFonts w:hint="eastAsia" w:ascii="宋体" w:hAnsi="宋体" w:cs="宋体"/>
                <w:kern w:val="0"/>
                <w:sz w:val="22"/>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p>
          <w:p w14:paraId="5F4BDCB9">
            <w:pPr>
              <w:widowControl/>
              <w:jc w:val="left"/>
              <w:rPr>
                <w:rFonts w:ascii="宋体" w:hAnsi="宋体" w:cs="宋体"/>
                <w:kern w:val="0"/>
                <w:sz w:val="22"/>
              </w:rPr>
            </w:pPr>
            <w:r>
              <w:rPr>
                <w:rFonts w:hint="eastAsia" w:ascii="宋体" w:hAnsi="宋体" w:cs="宋体"/>
                <w:kern w:val="0"/>
                <w:sz w:val="22"/>
              </w:rPr>
              <w:t>10、除尘装置：外下框两侧各开一个直径25mm的圆孔，配置100*80mm的抽拉式粉尘盒，粉尘盒可拆卸清洁。</w:t>
            </w:r>
          </w:p>
          <w:p w14:paraId="7C5F95E5">
            <w:pPr>
              <w:widowControl/>
              <w:jc w:val="left"/>
              <w:rPr>
                <w:rFonts w:ascii="宋体" w:hAnsi="宋体" w:cs="宋体"/>
                <w:kern w:val="0"/>
                <w:sz w:val="22"/>
              </w:rPr>
            </w:pPr>
            <w:r>
              <w:rPr>
                <w:rFonts w:hint="eastAsia" w:ascii="宋体" w:hAnsi="宋体" w:cs="宋体"/>
                <w:kern w:val="0"/>
                <w:sz w:val="22"/>
              </w:rPr>
              <w:t>11、限位档：黑板边框内部两侧安装滑动板限位档，防止活动黑板开启时撞击立框。</w:t>
            </w:r>
          </w:p>
          <w:p w14:paraId="7A067995">
            <w:pPr>
              <w:widowControl/>
              <w:jc w:val="left"/>
              <w:rPr>
                <w:rFonts w:ascii="宋体" w:hAnsi="宋体" w:cs="宋体"/>
                <w:kern w:val="0"/>
                <w:sz w:val="22"/>
              </w:rPr>
            </w:pPr>
            <w:r>
              <w:rPr>
                <w:rFonts w:hint="eastAsia" w:ascii="宋体" w:hAnsi="宋体" w:cs="宋体"/>
                <w:kern w:val="0"/>
                <w:sz w:val="22"/>
              </w:rPr>
              <w:t>12、易维护性：一体机上下配同色同质书写板，上下可根据一体机尺寸进行微调，两侧用H型边框与固定板配合，可自由拆装。使一体机不用拆整个黑板即可直接拆装维护，减少麻烦，延长使用寿命。</w:t>
            </w:r>
          </w:p>
          <w:p w14:paraId="65735205">
            <w:pPr>
              <w:widowControl/>
              <w:jc w:val="left"/>
              <w:rPr>
                <w:rFonts w:ascii="宋体" w:hAnsi="宋体" w:cs="宋体"/>
                <w:kern w:val="0"/>
                <w:sz w:val="22"/>
              </w:rPr>
            </w:pPr>
            <w:r>
              <w:rPr>
                <w:rFonts w:hint="eastAsia" w:ascii="宋体" w:hAnsi="宋体" w:cs="宋体"/>
                <w:kern w:val="0"/>
                <w:sz w:val="22"/>
              </w:rPr>
              <w:t>13、安全性：一把锁实现对滑动黑板的锁定，钥匙通用，方便实用。</w:t>
            </w:r>
          </w:p>
          <w:p w14:paraId="141E84A0">
            <w:pPr>
              <w:widowControl/>
              <w:jc w:val="left"/>
              <w:rPr>
                <w:rFonts w:ascii="宋体" w:hAnsi="宋体" w:cs="宋体"/>
                <w:kern w:val="0"/>
                <w:sz w:val="22"/>
              </w:rPr>
            </w:pPr>
            <w:r>
              <w:rPr>
                <w:rFonts w:hint="eastAsia" w:ascii="宋体" w:hAnsi="宋体" w:cs="宋体"/>
                <w:kern w:val="0"/>
                <w:sz w:val="22"/>
              </w:rPr>
              <w:t>14、根据所选黑板，提供书写耗材一套：</w:t>
            </w:r>
          </w:p>
          <w:p w14:paraId="71D2BCCC">
            <w:pPr>
              <w:widowControl/>
              <w:jc w:val="left"/>
              <w:rPr>
                <w:rFonts w:ascii="宋体" w:hAnsi="宋体" w:cs="宋体"/>
                <w:kern w:val="0"/>
                <w:sz w:val="22"/>
              </w:rPr>
            </w:pPr>
            <w:r>
              <w:rPr>
                <w:rFonts w:hint="eastAsia" w:ascii="宋体" w:hAnsi="宋体" w:cs="宋体"/>
                <w:kern w:val="0"/>
                <w:sz w:val="22"/>
              </w:rPr>
              <w:t>（1）不同颜色的水溶性粉笔各一盒，盒装≥20支/盒；专用笔套≥2支；清洗装置≥1套，专用板擦≥1个。</w:t>
            </w:r>
          </w:p>
          <w:p w14:paraId="3CA1D3AC">
            <w:pPr>
              <w:widowControl/>
              <w:jc w:val="left"/>
              <w:rPr>
                <w:rFonts w:ascii="宋体" w:hAnsi="宋体" w:cs="宋体"/>
                <w:kern w:val="0"/>
                <w:sz w:val="22"/>
              </w:rPr>
            </w:pPr>
            <w:r>
              <w:rPr>
                <w:rFonts w:hint="eastAsia" w:ascii="宋体" w:hAnsi="宋体" w:cs="宋体"/>
                <w:kern w:val="0"/>
                <w:sz w:val="22"/>
              </w:rPr>
              <w:t>或者</w:t>
            </w:r>
          </w:p>
          <w:p w14:paraId="2742472D">
            <w:pPr>
              <w:widowControl/>
              <w:jc w:val="left"/>
              <w:rPr>
                <w:rFonts w:ascii="宋体" w:hAnsi="宋体" w:cs="宋体"/>
                <w:kern w:val="0"/>
                <w:sz w:val="22"/>
              </w:rPr>
            </w:pPr>
            <w:r>
              <w:rPr>
                <w:rFonts w:hint="eastAsia" w:ascii="宋体" w:hAnsi="宋体" w:cs="宋体"/>
                <w:kern w:val="0"/>
                <w:sz w:val="22"/>
              </w:rPr>
              <w:t>（2）新型成膜墨水笔≥3支（红色蓝色黑色各1支）；环保墨水≥3瓶（红色蓝色黑色各1瓶），墨水容量每瓶100ml；板擦≥1个；黑板专用清洁毛巾 ≥1条。</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4D15">
            <w:pPr>
              <w:widowControl/>
              <w:jc w:val="center"/>
              <w:rPr>
                <w:rFonts w:ascii="宋体" w:hAnsi="宋体" w:cs="宋体"/>
                <w:kern w:val="0"/>
                <w:sz w:val="22"/>
              </w:rPr>
            </w:pPr>
            <w:r>
              <w:rPr>
                <w:rFonts w:hint="eastAsia" w:ascii="宋体" w:hAnsi="宋体" w:cs="宋体"/>
                <w:kern w:val="0"/>
                <w:sz w:val="22"/>
              </w:rPr>
              <w:t>套</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0043">
            <w:pPr>
              <w:widowControl/>
              <w:jc w:val="center"/>
              <w:rPr>
                <w:rFonts w:ascii="宋体" w:hAnsi="宋体" w:cs="宋体"/>
                <w:kern w:val="0"/>
                <w:sz w:val="22"/>
              </w:rPr>
            </w:pPr>
            <w:r>
              <w:rPr>
                <w:rFonts w:hint="eastAsia" w:ascii="宋体" w:hAnsi="宋体" w:cs="宋体"/>
                <w:kern w:val="0"/>
                <w:sz w:val="22"/>
              </w:rPr>
              <w:t>33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D7D2">
            <w:pPr>
              <w:widowControl/>
              <w:jc w:val="center"/>
              <w:rPr>
                <w:rFonts w:ascii="宋体" w:hAnsi="宋体" w:cs="宋体"/>
                <w:kern w:val="0"/>
                <w:sz w:val="22"/>
              </w:rPr>
            </w:pPr>
            <w:r>
              <w:rPr>
                <w:rFonts w:hint="eastAsia" w:ascii="宋体" w:hAnsi="宋体" w:cs="宋体"/>
                <w:kern w:val="0"/>
                <w:sz w:val="22"/>
              </w:rPr>
              <w:t>1300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3FB9">
            <w:pPr>
              <w:widowControl/>
              <w:jc w:val="center"/>
              <w:rPr>
                <w:rFonts w:ascii="宋体" w:hAnsi="宋体" w:cs="宋体"/>
                <w:kern w:val="0"/>
                <w:sz w:val="22"/>
              </w:rPr>
            </w:pPr>
            <w:r>
              <w:rPr>
                <w:rFonts w:hint="eastAsia" w:ascii="宋体" w:hAnsi="宋体" w:cs="宋体"/>
                <w:kern w:val="0"/>
                <w:sz w:val="22"/>
              </w:rPr>
              <w:t>42900</w:t>
            </w:r>
          </w:p>
        </w:tc>
      </w:tr>
      <w:tr w14:paraId="49C76A5A">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EF0C">
            <w:pPr>
              <w:widowControl/>
              <w:jc w:val="center"/>
              <w:rPr>
                <w:rFonts w:ascii="宋体" w:hAnsi="宋体" w:cs="宋体"/>
                <w:kern w:val="0"/>
                <w:sz w:val="22"/>
              </w:rPr>
            </w:pPr>
            <w:r>
              <w:rPr>
                <w:rFonts w:hint="eastAsia" w:ascii="宋体" w:hAnsi="宋体" w:cs="宋体"/>
                <w:kern w:val="0"/>
                <w:sz w:val="22"/>
              </w:rPr>
              <w:t>5</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4A5E">
            <w:pPr>
              <w:widowControl/>
              <w:jc w:val="center"/>
              <w:rPr>
                <w:rFonts w:ascii="宋体" w:hAnsi="宋体" w:cs="宋体"/>
                <w:kern w:val="0"/>
                <w:sz w:val="22"/>
              </w:rPr>
            </w:pPr>
            <w:r>
              <w:rPr>
                <w:rFonts w:hint="eastAsia" w:ascii="宋体" w:hAnsi="宋体" w:cs="宋体"/>
                <w:kern w:val="0"/>
                <w:sz w:val="22"/>
              </w:rPr>
              <w:t>音响话筒</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DC07">
            <w:pPr>
              <w:widowControl/>
              <w:jc w:val="left"/>
              <w:rPr>
                <w:rFonts w:ascii="宋体" w:hAnsi="宋体" w:cs="宋体"/>
                <w:kern w:val="0"/>
                <w:sz w:val="22"/>
              </w:rPr>
            </w:pPr>
            <w:r>
              <w:rPr>
                <w:rFonts w:hint="eastAsia" w:ascii="宋体" w:hAnsi="宋体" w:cs="宋体"/>
                <w:kern w:val="0"/>
                <w:sz w:val="22"/>
              </w:rPr>
              <w:t>一、音箱</w:t>
            </w:r>
          </w:p>
          <w:p w14:paraId="75EDD740">
            <w:pPr>
              <w:widowControl/>
              <w:jc w:val="left"/>
              <w:rPr>
                <w:rFonts w:ascii="宋体" w:hAnsi="宋体" w:cs="宋体"/>
                <w:kern w:val="0"/>
                <w:sz w:val="22"/>
              </w:rPr>
            </w:pPr>
            <w:r>
              <w:rPr>
                <w:rFonts w:hint="eastAsia" w:ascii="宋体" w:hAnsi="宋体" w:cs="宋体"/>
                <w:kern w:val="0"/>
                <w:sz w:val="22"/>
              </w:rPr>
              <w:t>▲1.采用功放与有源音箱一体化设计，内置麦克风无线接收模块。</w:t>
            </w:r>
          </w:p>
          <w:p w14:paraId="4067A2DE">
            <w:pPr>
              <w:widowControl/>
              <w:jc w:val="left"/>
              <w:rPr>
                <w:rFonts w:ascii="宋体" w:hAnsi="宋体" w:cs="宋体"/>
                <w:kern w:val="0"/>
                <w:sz w:val="22"/>
              </w:rPr>
            </w:pPr>
            <w:r>
              <w:rPr>
                <w:rFonts w:hint="eastAsia" w:ascii="宋体" w:hAnsi="宋体" w:cs="宋体"/>
                <w:kern w:val="0"/>
                <w:sz w:val="22"/>
              </w:rPr>
              <w:t>2.双音箱有线连接，机箱采用塑胶材质，保护设备免受环境影响。</w:t>
            </w:r>
          </w:p>
          <w:p w14:paraId="62DFF8C9">
            <w:pPr>
              <w:widowControl/>
              <w:jc w:val="left"/>
              <w:rPr>
                <w:rFonts w:ascii="宋体" w:hAnsi="宋体" w:cs="宋体"/>
                <w:kern w:val="0"/>
                <w:sz w:val="22"/>
              </w:rPr>
            </w:pPr>
            <w:r>
              <w:rPr>
                <w:rFonts w:hint="eastAsia" w:ascii="宋体" w:hAnsi="宋体" w:cs="宋体"/>
                <w:kern w:val="0"/>
                <w:sz w:val="22"/>
              </w:rPr>
              <w:t>3.输出额定功率: 2*15W，喇叭单元尺寸≥5寸。</w:t>
            </w:r>
          </w:p>
          <w:p w14:paraId="45582491">
            <w:pPr>
              <w:widowControl/>
              <w:jc w:val="left"/>
              <w:rPr>
                <w:rFonts w:ascii="宋体" w:hAnsi="宋体" w:cs="宋体"/>
                <w:kern w:val="0"/>
                <w:sz w:val="22"/>
              </w:rPr>
            </w:pPr>
            <w:r>
              <w:rPr>
                <w:rFonts w:hint="eastAsia" w:ascii="宋体" w:hAnsi="宋体" w:cs="宋体"/>
                <w:kern w:val="0"/>
                <w:sz w:val="22"/>
              </w:rPr>
              <w:t>4.端口：220V电源接口*1、Line in*1、USB*1。</w:t>
            </w:r>
          </w:p>
          <w:p w14:paraId="617F9794">
            <w:pPr>
              <w:widowControl/>
              <w:jc w:val="left"/>
              <w:rPr>
                <w:rFonts w:ascii="宋体" w:hAnsi="宋体" w:cs="宋体"/>
                <w:kern w:val="0"/>
                <w:sz w:val="22"/>
              </w:rPr>
            </w:pPr>
            <w:r>
              <w:rPr>
                <w:rFonts w:hint="eastAsia" w:ascii="宋体" w:hAnsi="宋体" w:cs="宋体"/>
                <w:kern w:val="0"/>
                <w:sz w:val="22"/>
              </w:rPr>
              <w:t>5.麦克风和功放音箱之间采用数字U段传输技术，有效避免环境中2.4G信号干扰，例如蓝牙及WIFI设备。</w:t>
            </w:r>
          </w:p>
          <w:p w14:paraId="76E6FED9">
            <w:pPr>
              <w:widowControl/>
              <w:jc w:val="left"/>
              <w:rPr>
                <w:rFonts w:ascii="宋体" w:hAnsi="宋体" w:cs="宋体"/>
                <w:kern w:val="0"/>
                <w:sz w:val="22"/>
              </w:rPr>
            </w:pPr>
            <w:r>
              <w:rPr>
                <w:rFonts w:hint="eastAsia" w:ascii="宋体" w:hAnsi="宋体" w:cs="宋体"/>
                <w:kern w:val="0"/>
                <w:sz w:val="22"/>
              </w:rPr>
              <w:t>6.配置独立音频数字信号处理芯片，支持啸叫抑制功能。</w:t>
            </w:r>
          </w:p>
          <w:p w14:paraId="16CBD53A">
            <w:pPr>
              <w:widowControl/>
              <w:jc w:val="left"/>
              <w:rPr>
                <w:rFonts w:ascii="宋体" w:hAnsi="宋体" w:cs="宋体"/>
                <w:kern w:val="0"/>
                <w:sz w:val="22"/>
              </w:rPr>
            </w:pPr>
            <w:r>
              <w:rPr>
                <w:rFonts w:hint="eastAsia" w:ascii="宋体" w:hAnsi="宋体" w:cs="宋体"/>
                <w:kern w:val="0"/>
                <w:sz w:val="22"/>
              </w:rPr>
              <w:t>7.支持教师扩声和输入音源叠加输出，可对接录播系统实现教师扩声音频的纯净采集，避免环境杂音干扰采集效果。</w:t>
            </w:r>
          </w:p>
          <w:p w14:paraId="24BFD86E">
            <w:pPr>
              <w:widowControl/>
              <w:jc w:val="left"/>
              <w:rPr>
                <w:rFonts w:ascii="宋体" w:hAnsi="宋体" w:cs="宋体"/>
                <w:kern w:val="0"/>
                <w:sz w:val="22"/>
              </w:rPr>
            </w:pPr>
            <w:r>
              <w:rPr>
                <w:rFonts w:hint="eastAsia" w:ascii="宋体" w:hAnsi="宋体" w:cs="宋体"/>
                <w:kern w:val="0"/>
                <w:sz w:val="22"/>
              </w:rPr>
              <w:t>二、无线麦克风</w:t>
            </w:r>
          </w:p>
          <w:p w14:paraId="6EDEBCF0">
            <w:pPr>
              <w:widowControl/>
              <w:jc w:val="left"/>
              <w:rPr>
                <w:rFonts w:ascii="宋体" w:hAnsi="宋体" w:cs="宋体"/>
                <w:kern w:val="0"/>
                <w:sz w:val="22"/>
              </w:rPr>
            </w:pPr>
            <w:r>
              <w:rPr>
                <w:rFonts w:hint="eastAsia" w:ascii="宋体" w:hAnsi="宋体" w:cs="宋体"/>
                <w:kern w:val="0"/>
                <w:sz w:val="22"/>
              </w:rPr>
              <w:t>▲1.无线麦克风集音频发射处理器、天线、电池、拾音麦克风于一体，配合一体化有源音箱，无需任何外接辅助设备即可实现本地扩声功能。</w:t>
            </w:r>
          </w:p>
          <w:p w14:paraId="7203403D">
            <w:pPr>
              <w:widowControl/>
              <w:jc w:val="left"/>
              <w:rPr>
                <w:rFonts w:ascii="宋体" w:hAnsi="宋体" w:cs="宋体"/>
                <w:kern w:val="0"/>
                <w:sz w:val="22"/>
              </w:rPr>
            </w:pPr>
            <w:r>
              <w:rPr>
                <w:rFonts w:hint="eastAsia" w:ascii="宋体" w:hAnsi="宋体" w:cs="宋体"/>
                <w:kern w:val="0"/>
                <w:sz w:val="22"/>
              </w:rPr>
              <w:t>2.采用U段传输，有效避免环境中2.4G信号干扰，例如蓝牙及WIFI设备。</w:t>
            </w:r>
          </w:p>
          <w:p w14:paraId="01C46A83">
            <w:pPr>
              <w:widowControl/>
              <w:jc w:val="left"/>
              <w:rPr>
                <w:rFonts w:ascii="宋体" w:hAnsi="宋体" w:cs="宋体"/>
                <w:kern w:val="0"/>
                <w:sz w:val="22"/>
              </w:rPr>
            </w:pPr>
            <w:r>
              <w:rPr>
                <w:rFonts w:hint="eastAsia" w:ascii="宋体" w:hAnsi="宋体" w:cs="宋体"/>
                <w:kern w:val="0"/>
                <w:sz w:val="22"/>
              </w:rPr>
              <w:t>3.采用红外对码方式连接，避免连接到其他教室音箱。可在2s内快速完成与教学扩声音箱对码，无需繁琐操作。</w:t>
            </w:r>
          </w:p>
          <w:p w14:paraId="6736CAED">
            <w:pPr>
              <w:widowControl/>
              <w:jc w:val="left"/>
              <w:rPr>
                <w:rFonts w:ascii="宋体" w:hAnsi="宋体" w:cs="宋体"/>
                <w:kern w:val="0"/>
                <w:sz w:val="22"/>
              </w:rPr>
            </w:pPr>
            <w:r>
              <w:rPr>
                <w:rFonts w:hint="eastAsia" w:ascii="宋体" w:hAnsi="宋体" w:cs="宋体"/>
                <w:kern w:val="0"/>
                <w:sz w:val="22"/>
              </w:rPr>
              <w:t>4.配合USB麦克风接收器连接一体机，具备翻页键功能，可远程操控一体机设备进行课件软件翻页功能。</w:t>
            </w:r>
          </w:p>
          <w:p w14:paraId="3C13CDCD">
            <w:pPr>
              <w:widowControl/>
              <w:jc w:val="left"/>
              <w:rPr>
                <w:rFonts w:ascii="宋体" w:hAnsi="宋体" w:cs="宋体"/>
                <w:kern w:val="0"/>
                <w:sz w:val="22"/>
              </w:rPr>
            </w:pPr>
            <w:r>
              <w:rPr>
                <w:rFonts w:hint="eastAsia" w:ascii="宋体" w:hAnsi="宋体" w:cs="宋体"/>
                <w:kern w:val="0"/>
                <w:sz w:val="22"/>
              </w:rPr>
              <w:t>5.配合USB接收器连接一体机，可通过一体机对老师的声音进行录制。</w:t>
            </w:r>
          </w:p>
          <w:p w14:paraId="5ECB0AEF">
            <w:pPr>
              <w:widowControl/>
              <w:jc w:val="left"/>
              <w:rPr>
                <w:rFonts w:ascii="宋体" w:hAnsi="宋体" w:cs="宋体"/>
                <w:kern w:val="0"/>
                <w:sz w:val="22"/>
              </w:rPr>
            </w:pPr>
            <w:r>
              <w:rPr>
                <w:rFonts w:hint="eastAsia" w:ascii="宋体" w:hAnsi="宋体" w:cs="宋体"/>
                <w:kern w:val="0"/>
                <w:sz w:val="22"/>
              </w:rPr>
              <w:t>6.采用触点磁吸式充电方式，充电10分钟，可扩音80分钟。</w:t>
            </w:r>
          </w:p>
          <w:p w14:paraId="2E6F6E62">
            <w:pPr>
              <w:widowControl/>
              <w:jc w:val="left"/>
              <w:rPr>
                <w:rFonts w:ascii="宋体" w:hAnsi="宋体" w:cs="宋体"/>
                <w:kern w:val="0"/>
                <w:sz w:val="22"/>
              </w:rPr>
            </w:pPr>
            <w:r>
              <w:rPr>
                <w:rFonts w:hint="eastAsia" w:ascii="宋体" w:hAnsi="宋体" w:cs="宋体"/>
                <w:kern w:val="0"/>
                <w:sz w:val="22"/>
              </w:rPr>
              <w:t>7.具备磁吸式触点接口，与充电接口复用，保证整机的整洁、平整性，无易损的插入式接口。</w:t>
            </w:r>
          </w:p>
          <w:p w14:paraId="03EA6D3D">
            <w:pPr>
              <w:widowControl/>
              <w:jc w:val="left"/>
              <w:rPr>
                <w:rFonts w:ascii="宋体" w:hAnsi="宋体" w:cs="宋体"/>
                <w:kern w:val="0"/>
                <w:sz w:val="22"/>
              </w:rPr>
            </w:pPr>
            <w:r>
              <w:rPr>
                <w:rFonts w:hint="eastAsia" w:ascii="宋体" w:hAnsi="宋体" w:cs="宋体"/>
                <w:kern w:val="0"/>
                <w:sz w:val="22"/>
              </w:rPr>
              <w:t>8.无遮挡情况下，有效工作距离≥10米，保证全教室覆盖。</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6326">
            <w:pPr>
              <w:widowControl/>
              <w:jc w:val="center"/>
              <w:rPr>
                <w:rFonts w:ascii="宋体" w:hAnsi="宋体" w:cs="宋体"/>
                <w:kern w:val="0"/>
                <w:sz w:val="22"/>
              </w:rPr>
            </w:pPr>
            <w:r>
              <w:rPr>
                <w:rFonts w:hint="eastAsia" w:ascii="宋体" w:hAnsi="宋体" w:cs="宋体"/>
                <w:kern w:val="0"/>
                <w:sz w:val="22"/>
              </w:rPr>
              <w:t>套</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862B">
            <w:pPr>
              <w:widowControl/>
              <w:jc w:val="center"/>
              <w:rPr>
                <w:rFonts w:ascii="宋体" w:hAnsi="宋体" w:cs="宋体"/>
                <w:kern w:val="0"/>
                <w:sz w:val="22"/>
              </w:rPr>
            </w:pPr>
            <w:r>
              <w:rPr>
                <w:rFonts w:hint="eastAsia" w:ascii="宋体" w:hAnsi="宋体" w:cs="宋体"/>
                <w:kern w:val="0"/>
                <w:sz w:val="22"/>
              </w:rPr>
              <w:t>33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DF89">
            <w:pPr>
              <w:widowControl/>
              <w:jc w:val="center"/>
              <w:rPr>
                <w:rFonts w:ascii="宋体" w:hAnsi="宋体" w:cs="宋体"/>
                <w:kern w:val="0"/>
                <w:sz w:val="22"/>
              </w:rPr>
            </w:pPr>
            <w:r>
              <w:rPr>
                <w:rFonts w:hint="eastAsia" w:ascii="宋体" w:hAnsi="宋体" w:cs="宋体"/>
                <w:kern w:val="0"/>
                <w:sz w:val="22"/>
              </w:rPr>
              <w:t>1300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624A">
            <w:pPr>
              <w:widowControl/>
              <w:jc w:val="center"/>
              <w:rPr>
                <w:rFonts w:ascii="宋体" w:hAnsi="宋体" w:cs="宋体"/>
                <w:kern w:val="0"/>
                <w:sz w:val="22"/>
              </w:rPr>
            </w:pPr>
            <w:r>
              <w:rPr>
                <w:rFonts w:hint="eastAsia" w:ascii="宋体" w:hAnsi="宋体" w:cs="宋体"/>
                <w:kern w:val="0"/>
                <w:sz w:val="22"/>
              </w:rPr>
              <w:t>42900</w:t>
            </w:r>
          </w:p>
        </w:tc>
      </w:tr>
      <w:tr w14:paraId="507FE17F">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E4C0">
            <w:pPr>
              <w:widowControl/>
              <w:jc w:val="center"/>
              <w:rPr>
                <w:rFonts w:ascii="宋体" w:hAnsi="宋体" w:cs="宋体"/>
                <w:kern w:val="0"/>
                <w:sz w:val="22"/>
              </w:rPr>
            </w:pPr>
            <w:r>
              <w:rPr>
                <w:rFonts w:hint="eastAsia" w:ascii="宋体" w:hAnsi="宋体" w:cs="宋体"/>
                <w:kern w:val="0"/>
                <w:sz w:val="22"/>
              </w:rPr>
              <w:t>6</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5C5D">
            <w:pPr>
              <w:widowControl/>
              <w:jc w:val="center"/>
              <w:rPr>
                <w:rFonts w:ascii="宋体" w:hAnsi="宋体" w:cs="宋体"/>
                <w:kern w:val="0"/>
                <w:sz w:val="22"/>
              </w:rPr>
            </w:pPr>
            <w:r>
              <w:rPr>
                <w:rFonts w:hint="eastAsia" w:ascii="宋体" w:hAnsi="宋体" w:cs="宋体"/>
                <w:kern w:val="0"/>
                <w:sz w:val="22"/>
              </w:rPr>
              <w:t>教学讲台</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21A0">
            <w:pPr>
              <w:widowControl/>
              <w:jc w:val="left"/>
              <w:rPr>
                <w:rFonts w:ascii="宋体" w:hAnsi="宋体" w:cs="宋体"/>
                <w:kern w:val="0"/>
                <w:sz w:val="22"/>
              </w:rPr>
            </w:pPr>
            <w:r>
              <w:rPr>
                <w:rFonts w:hint="eastAsia" w:ascii="宋体" w:hAnsi="宋体" w:cs="宋体"/>
                <w:kern w:val="0"/>
                <w:sz w:val="22"/>
              </w:rPr>
              <w:t>1.规格：≥1100mm×500mm×900mm（长×宽×高）（±5mm）；</w:t>
            </w:r>
          </w:p>
          <w:p w14:paraId="0141A655">
            <w:pPr>
              <w:widowControl/>
              <w:jc w:val="left"/>
              <w:rPr>
                <w:rFonts w:ascii="宋体" w:hAnsi="宋体" w:cs="宋体"/>
                <w:kern w:val="0"/>
                <w:sz w:val="22"/>
              </w:rPr>
            </w:pPr>
            <w:r>
              <w:rPr>
                <w:rFonts w:hint="eastAsia" w:ascii="宋体" w:hAnsi="宋体" w:cs="宋体"/>
                <w:kern w:val="0"/>
                <w:sz w:val="22"/>
              </w:rPr>
              <w:t>2.基材：多层实木，经防腐、防虫处理，外贴木皮；抗划耐磨防撞，硬度强。</w:t>
            </w:r>
          </w:p>
          <w:p w14:paraId="4E96CEFD">
            <w:pPr>
              <w:widowControl/>
              <w:jc w:val="left"/>
              <w:rPr>
                <w:rFonts w:ascii="宋体" w:hAnsi="宋体" w:cs="宋体"/>
                <w:kern w:val="0"/>
                <w:sz w:val="22"/>
              </w:rPr>
            </w:pPr>
            <w:r>
              <w:rPr>
                <w:rFonts w:hint="eastAsia" w:ascii="宋体" w:hAnsi="宋体" w:cs="宋体"/>
                <w:kern w:val="0"/>
                <w:sz w:val="22"/>
              </w:rPr>
              <w:t>3.脚底面采用橡胶垫以减少噪声，并到达防潮效果；</w:t>
            </w:r>
          </w:p>
          <w:p w14:paraId="0A8F9E06">
            <w:pPr>
              <w:widowControl/>
              <w:jc w:val="left"/>
              <w:rPr>
                <w:rFonts w:ascii="宋体" w:hAnsi="宋体" w:cs="宋体"/>
                <w:kern w:val="0"/>
                <w:sz w:val="22"/>
              </w:rPr>
            </w:pPr>
            <w:r>
              <w:rPr>
                <w:rFonts w:hint="eastAsia" w:ascii="宋体" w:hAnsi="宋体" w:cs="宋体"/>
                <w:kern w:val="0"/>
                <w:sz w:val="22"/>
              </w:rPr>
              <w:t>4.桌竖向边角作半径为30mm的圆弧处理；</w:t>
            </w:r>
          </w:p>
          <w:p w14:paraId="42AE1084">
            <w:pPr>
              <w:widowControl/>
              <w:jc w:val="left"/>
              <w:rPr>
                <w:rFonts w:ascii="宋体" w:hAnsi="宋体" w:cs="宋体"/>
                <w:kern w:val="0"/>
                <w:sz w:val="22"/>
              </w:rPr>
            </w:pPr>
            <w:r>
              <w:rPr>
                <w:rFonts w:hint="eastAsia" w:ascii="宋体" w:hAnsi="宋体" w:cs="宋体"/>
                <w:kern w:val="0"/>
                <w:sz w:val="22"/>
              </w:rPr>
              <w:t>5.讲桌边板（靠近黑板面除外）高出台面30mm作为台面围边。</w:t>
            </w:r>
          </w:p>
          <w:p w14:paraId="2ABC649B">
            <w:pPr>
              <w:widowControl/>
              <w:jc w:val="left"/>
              <w:rPr>
                <w:rFonts w:ascii="宋体" w:hAnsi="宋体" w:cs="宋体"/>
                <w:kern w:val="0"/>
                <w:sz w:val="22"/>
              </w:rPr>
            </w:pPr>
            <w:r>
              <w:rPr>
                <w:rFonts w:hint="eastAsia" w:ascii="宋体" w:hAnsi="宋体" w:cs="宋体"/>
                <w:kern w:val="0"/>
                <w:sz w:val="22"/>
              </w:rPr>
              <w:t>6.结构：</w:t>
            </w:r>
          </w:p>
          <w:p w14:paraId="186C612F">
            <w:pPr>
              <w:widowControl/>
              <w:jc w:val="left"/>
              <w:rPr>
                <w:rFonts w:ascii="宋体" w:hAnsi="宋体" w:cs="宋体"/>
                <w:kern w:val="0"/>
                <w:sz w:val="22"/>
              </w:rPr>
            </w:pPr>
            <w:r>
              <w:rPr>
                <w:rFonts w:hint="eastAsia" w:ascii="宋体" w:hAnsi="宋体" w:cs="宋体"/>
                <w:kern w:val="0"/>
                <w:sz w:val="22"/>
              </w:rPr>
              <w:t>（1）桌面下部有搁板，隔板厚度不小于18mm；</w:t>
            </w:r>
          </w:p>
          <w:p w14:paraId="10D8F782">
            <w:pPr>
              <w:widowControl/>
              <w:jc w:val="left"/>
              <w:rPr>
                <w:rFonts w:ascii="宋体" w:hAnsi="宋体" w:cs="宋体"/>
                <w:kern w:val="0"/>
                <w:sz w:val="22"/>
              </w:rPr>
            </w:pPr>
            <w:r>
              <w:rPr>
                <w:rFonts w:hint="eastAsia" w:ascii="宋体" w:hAnsi="宋体" w:cs="宋体"/>
                <w:kern w:val="0"/>
                <w:sz w:val="22"/>
              </w:rPr>
              <w:t>（2）隔板和桌面之间配有两个抽屉；</w:t>
            </w:r>
          </w:p>
          <w:p w14:paraId="6E9BE8E0">
            <w:pPr>
              <w:widowControl/>
              <w:jc w:val="left"/>
              <w:rPr>
                <w:rFonts w:ascii="宋体" w:hAnsi="宋体" w:cs="宋体"/>
                <w:kern w:val="0"/>
                <w:sz w:val="22"/>
              </w:rPr>
            </w:pPr>
            <w:r>
              <w:rPr>
                <w:rFonts w:hint="eastAsia" w:ascii="宋体" w:hAnsi="宋体" w:cs="宋体"/>
                <w:kern w:val="0"/>
                <w:sz w:val="22"/>
              </w:rPr>
              <w:t>（3）隔板和桌面在靠近讲台侧边开直径50mm圆孔，便于走线；圆孔下方均钉有配线固定夹或固定扣，便于理线。</w:t>
            </w:r>
          </w:p>
          <w:p w14:paraId="6E41D17C">
            <w:pPr>
              <w:widowControl/>
              <w:jc w:val="left"/>
              <w:rPr>
                <w:rFonts w:ascii="宋体" w:hAnsi="宋体" w:cs="宋体"/>
                <w:kern w:val="0"/>
                <w:sz w:val="22"/>
              </w:rPr>
            </w:pPr>
            <w:r>
              <w:rPr>
                <w:rFonts w:hint="eastAsia" w:ascii="宋体" w:hAnsi="宋体" w:cs="宋体"/>
                <w:kern w:val="0"/>
                <w:sz w:val="22"/>
              </w:rPr>
              <w:t>7.台面宽度须大于立脚宽度。</w:t>
            </w:r>
          </w:p>
          <w:p w14:paraId="6E0E627A">
            <w:pPr>
              <w:widowControl/>
              <w:jc w:val="left"/>
              <w:rPr>
                <w:rFonts w:ascii="宋体" w:hAnsi="宋体" w:cs="宋体"/>
                <w:kern w:val="0"/>
                <w:sz w:val="22"/>
              </w:rPr>
            </w:pPr>
            <w:r>
              <w:rPr>
                <w:rFonts w:hint="eastAsia" w:ascii="宋体" w:hAnsi="宋体" w:cs="宋体"/>
                <w:kern w:val="0"/>
                <w:sz w:val="22"/>
              </w:rPr>
              <w:t>▲8.中标人根据学校实际环境及用户需求出具设计图纸。</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D9D5">
            <w:pPr>
              <w:widowControl/>
              <w:jc w:val="center"/>
              <w:rPr>
                <w:rFonts w:ascii="宋体" w:hAnsi="宋体" w:cs="宋体"/>
                <w:kern w:val="0"/>
                <w:sz w:val="22"/>
              </w:rPr>
            </w:pPr>
            <w:r>
              <w:rPr>
                <w:rFonts w:hint="eastAsia" w:ascii="宋体" w:hAnsi="宋体" w:cs="宋体"/>
                <w:kern w:val="0"/>
                <w:sz w:val="22"/>
              </w:rPr>
              <w:t>张</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8F6E">
            <w:pPr>
              <w:widowControl/>
              <w:jc w:val="center"/>
              <w:rPr>
                <w:rFonts w:ascii="宋体" w:hAnsi="宋体" w:cs="宋体"/>
                <w:kern w:val="0"/>
                <w:sz w:val="22"/>
              </w:rPr>
            </w:pPr>
            <w:r>
              <w:rPr>
                <w:rFonts w:hint="eastAsia" w:ascii="宋体" w:hAnsi="宋体" w:cs="宋体"/>
                <w:kern w:val="0"/>
                <w:sz w:val="22"/>
              </w:rPr>
              <w:t>33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3AA4">
            <w:pPr>
              <w:widowControl/>
              <w:jc w:val="center"/>
              <w:rPr>
                <w:rFonts w:ascii="宋体" w:hAnsi="宋体" w:cs="宋体"/>
                <w:kern w:val="0"/>
                <w:sz w:val="22"/>
              </w:rPr>
            </w:pPr>
            <w:r>
              <w:rPr>
                <w:rFonts w:hint="eastAsia" w:ascii="宋体" w:hAnsi="宋体" w:cs="宋体"/>
                <w:kern w:val="0"/>
                <w:sz w:val="22"/>
              </w:rPr>
              <w:t>1000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6A97">
            <w:pPr>
              <w:widowControl/>
              <w:jc w:val="center"/>
              <w:rPr>
                <w:rFonts w:ascii="宋体" w:hAnsi="宋体" w:cs="宋体"/>
                <w:kern w:val="0"/>
                <w:sz w:val="22"/>
              </w:rPr>
            </w:pPr>
            <w:r>
              <w:rPr>
                <w:rFonts w:hint="eastAsia" w:ascii="宋体" w:hAnsi="宋体" w:cs="宋体"/>
                <w:kern w:val="0"/>
                <w:sz w:val="22"/>
              </w:rPr>
              <w:t>33000</w:t>
            </w:r>
          </w:p>
        </w:tc>
      </w:tr>
      <w:tr w14:paraId="1B12F778">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9948">
            <w:pPr>
              <w:widowControl/>
              <w:jc w:val="center"/>
              <w:rPr>
                <w:rFonts w:ascii="宋体" w:hAnsi="宋体" w:cs="宋体"/>
                <w:kern w:val="0"/>
                <w:sz w:val="22"/>
              </w:rPr>
            </w:pPr>
            <w:r>
              <w:rPr>
                <w:rFonts w:hint="eastAsia" w:ascii="宋体" w:hAnsi="宋体" w:cs="宋体"/>
                <w:kern w:val="0"/>
                <w:sz w:val="22"/>
              </w:rPr>
              <w:t>7</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3853">
            <w:pPr>
              <w:widowControl/>
              <w:jc w:val="center"/>
              <w:rPr>
                <w:rFonts w:ascii="宋体" w:hAnsi="宋体" w:cs="宋体"/>
                <w:kern w:val="0"/>
                <w:sz w:val="22"/>
              </w:rPr>
            </w:pPr>
            <w:r>
              <w:rPr>
                <w:rFonts w:hint="eastAsia" w:ascii="宋体" w:hAnsi="宋体" w:cs="宋体"/>
                <w:kern w:val="0"/>
                <w:sz w:val="22"/>
              </w:rPr>
              <w:t>教辅设备</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8179">
            <w:pPr>
              <w:widowControl/>
              <w:numPr>
                <w:ilvl w:val="0"/>
                <w:numId w:val="5"/>
              </w:numPr>
              <w:jc w:val="left"/>
              <w:rPr>
                <w:rFonts w:ascii="宋体" w:hAnsi="宋体" w:cs="宋体"/>
                <w:kern w:val="0"/>
                <w:sz w:val="22"/>
              </w:rPr>
            </w:pPr>
            <w:r>
              <w:rPr>
                <w:rFonts w:hint="eastAsia" w:ascii="宋体" w:hAnsi="宋体" w:cs="宋体"/>
                <w:kern w:val="0"/>
                <w:sz w:val="22"/>
              </w:rPr>
              <w:t>电子教鞭×2支：</w:t>
            </w:r>
          </w:p>
          <w:p w14:paraId="10ABD713">
            <w:pPr>
              <w:widowControl/>
              <w:jc w:val="left"/>
              <w:rPr>
                <w:rFonts w:ascii="宋体" w:hAnsi="宋体" w:cs="宋体"/>
                <w:kern w:val="0"/>
                <w:sz w:val="22"/>
              </w:rPr>
            </w:pPr>
            <w:r>
              <w:rPr>
                <w:rFonts w:hint="eastAsia" w:ascii="宋体" w:hAnsi="宋体" w:cs="宋体"/>
                <w:kern w:val="0"/>
                <w:sz w:val="22"/>
              </w:rPr>
              <w:t>▲（1）采用笔型设计，具有三个遥控按键（上下翻页和功能键），既可用于触摸书写，也可用于远程操控。</w:t>
            </w:r>
          </w:p>
          <w:p w14:paraId="2B66BEC2">
            <w:pPr>
              <w:widowControl/>
              <w:jc w:val="left"/>
              <w:rPr>
                <w:rFonts w:ascii="宋体" w:hAnsi="宋体" w:cs="宋体"/>
                <w:kern w:val="0"/>
                <w:sz w:val="22"/>
              </w:rPr>
            </w:pPr>
            <w:r>
              <w:rPr>
                <w:rFonts w:hint="eastAsia" w:ascii="宋体" w:hAnsi="宋体" w:cs="宋体"/>
                <w:kern w:val="0"/>
                <w:sz w:val="22"/>
              </w:rPr>
              <w:t>（2）采用2.4G无线连接技术，无线接收距离最大可达15米。</w:t>
            </w:r>
          </w:p>
          <w:p w14:paraId="1FB0DD90">
            <w:pPr>
              <w:widowControl/>
              <w:jc w:val="left"/>
              <w:rPr>
                <w:rFonts w:ascii="宋体" w:hAnsi="宋体" w:cs="宋体"/>
                <w:kern w:val="0"/>
                <w:sz w:val="22"/>
              </w:rPr>
            </w:pPr>
            <w:r>
              <w:rPr>
                <w:rFonts w:hint="eastAsia" w:ascii="宋体" w:hAnsi="宋体" w:cs="宋体"/>
                <w:kern w:val="0"/>
                <w:sz w:val="22"/>
              </w:rPr>
              <w:t>（3）无线接收器采用微型nano设计，并能收纳在笔上。</w:t>
            </w:r>
          </w:p>
          <w:p w14:paraId="5F30A2EB">
            <w:pPr>
              <w:widowControl/>
              <w:jc w:val="left"/>
              <w:rPr>
                <w:rFonts w:ascii="宋体" w:hAnsi="宋体" w:cs="宋体"/>
                <w:kern w:val="0"/>
                <w:sz w:val="22"/>
              </w:rPr>
            </w:pPr>
            <w:r>
              <w:rPr>
                <w:rFonts w:hint="eastAsia" w:ascii="宋体" w:hAnsi="宋体" w:cs="宋体"/>
                <w:kern w:val="0"/>
                <w:sz w:val="22"/>
              </w:rPr>
              <w:t>（4）使用单节7号电池驱动，并带自动休眠节电设计。</w:t>
            </w:r>
          </w:p>
          <w:p w14:paraId="67E707C1">
            <w:pPr>
              <w:widowControl/>
              <w:jc w:val="left"/>
              <w:rPr>
                <w:rFonts w:ascii="宋体" w:hAnsi="宋体" w:cs="宋体"/>
                <w:kern w:val="0"/>
                <w:sz w:val="22"/>
              </w:rPr>
            </w:pPr>
            <w:r>
              <w:rPr>
                <w:rFonts w:hint="eastAsia" w:ascii="宋体" w:hAnsi="宋体" w:cs="宋体"/>
                <w:kern w:val="0"/>
                <w:sz w:val="22"/>
              </w:rPr>
              <w:t>▲（5）单接收器设计，android、windows双系统同时响应。只需安装一个接收器，双系统都能响应智能笔的操作指令。</w:t>
            </w:r>
          </w:p>
          <w:p w14:paraId="25217705">
            <w:pPr>
              <w:widowControl/>
              <w:jc w:val="left"/>
              <w:rPr>
                <w:rFonts w:ascii="宋体" w:hAnsi="宋体" w:cs="宋体"/>
                <w:kern w:val="0"/>
                <w:sz w:val="22"/>
              </w:rPr>
            </w:pPr>
            <w:r>
              <w:rPr>
                <w:rFonts w:hint="eastAsia" w:ascii="宋体" w:hAnsi="宋体" w:cs="宋体"/>
                <w:kern w:val="0"/>
                <w:sz w:val="22"/>
              </w:rPr>
              <w:t>（6）支持白板课件、PPT、PDF等多种格式的课件进行远程无线翻页。</w:t>
            </w:r>
          </w:p>
          <w:p w14:paraId="0FDFB09E">
            <w:pPr>
              <w:widowControl/>
              <w:jc w:val="left"/>
              <w:rPr>
                <w:rFonts w:ascii="宋体" w:hAnsi="宋体" w:cs="宋体"/>
                <w:kern w:val="0"/>
                <w:sz w:val="22"/>
              </w:rPr>
            </w:pPr>
            <w:r>
              <w:rPr>
                <w:rFonts w:hint="eastAsia" w:ascii="宋体" w:hAnsi="宋体" w:cs="宋体"/>
                <w:kern w:val="0"/>
                <w:sz w:val="22"/>
              </w:rPr>
              <w:t>▲（7）功能按键可通过长按/短按实现两种快捷功能，方便教师操作。</w:t>
            </w:r>
          </w:p>
          <w:p w14:paraId="138760E9">
            <w:pPr>
              <w:widowControl/>
              <w:jc w:val="left"/>
              <w:rPr>
                <w:rFonts w:ascii="宋体" w:hAnsi="宋体" w:cs="宋体"/>
                <w:kern w:val="0"/>
                <w:sz w:val="22"/>
              </w:rPr>
            </w:pPr>
            <w:r>
              <w:rPr>
                <w:rFonts w:hint="eastAsia" w:ascii="宋体" w:hAnsi="宋体" w:cs="宋体"/>
                <w:kern w:val="0"/>
                <w:sz w:val="22"/>
              </w:rPr>
              <w:t>▲（8）支持自定义按键功能，可选功能包括：一键启动任意通道批注、一键启动/退出PPT播放、一键启动PPT批注、一键启动任意通道冻结与放大屏幕内容。</w:t>
            </w:r>
          </w:p>
          <w:p w14:paraId="4B9D975F">
            <w:pPr>
              <w:widowControl/>
              <w:jc w:val="left"/>
              <w:rPr>
                <w:rFonts w:ascii="宋体" w:hAnsi="宋体" w:cs="宋体"/>
                <w:kern w:val="0"/>
                <w:sz w:val="22"/>
              </w:rPr>
            </w:pPr>
            <w:r>
              <w:rPr>
                <w:rFonts w:hint="eastAsia" w:ascii="宋体" w:hAnsi="宋体" w:cs="宋体"/>
                <w:kern w:val="0"/>
                <w:sz w:val="22"/>
              </w:rPr>
              <w:t>▲2.小蜜蜂便携式扩音器×5个；</w:t>
            </w:r>
          </w:p>
          <w:p w14:paraId="77C4F159">
            <w:pPr>
              <w:widowControl/>
              <w:jc w:val="left"/>
              <w:rPr>
                <w:rFonts w:ascii="宋体" w:hAnsi="宋体" w:cs="宋体"/>
                <w:kern w:val="0"/>
                <w:sz w:val="22"/>
              </w:rPr>
            </w:pPr>
            <w:r>
              <w:rPr>
                <w:rFonts w:hint="eastAsia" w:ascii="宋体" w:hAnsi="宋体" w:cs="宋体"/>
                <w:kern w:val="0"/>
                <w:sz w:val="22"/>
              </w:rPr>
              <w:t>3.双音圈喇叭（66mm/2欧姆）+双通道功放；</w:t>
            </w:r>
          </w:p>
          <w:p w14:paraId="596BDB5E">
            <w:pPr>
              <w:widowControl/>
              <w:jc w:val="left"/>
              <w:rPr>
                <w:rFonts w:ascii="宋体" w:hAnsi="宋体" w:cs="宋体"/>
                <w:kern w:val="0"/>
                <w:sz w:val="22"/>
              </w:rPr>
            </w:pPr>
            <w:r>
              <w:rPr>
                <w:rFonts w:hint="eastAsia" w:ascii="宋体" w:hAnsi="宋体" w:cs="宋体"/>
                <w:kern w:val="0"/>
                <w:sz w:val="22"/>
              </w:rPr>
              <w:t>▲4.3.7V/1500mAH锂离子电池，micro USB A充电口；</w:t>
            </w:r>
          </w:p>
          <w:p w14:paraId="19CB7EB1">
            <w:pPr>
              <w:widowControl/>
              <w:jc w:val="left"/>
              <w:rPr>
                <w:rFonts w:ascii="宋体" w:hAnsi="宋体" w:cs="宋体"/>
                <w:kern w:val="0"/>
                <w:sz w:val="22"/>
              </w:rPr>
            </w:pPr>
            <w:r>
              <w:rPr>
                <w:rFonts w:hint="eastAsia" w:ascii="宋体" w:hAnsi="宋体" w:cs="宋体"/>
                <w:kern w:val="0"/>
                <w:sz w:val="22"/>
              </w:rPr>
              <w:t>5.AUX音频输入，MIC有线麦输入接口；</w:t>
            </w:r>
          </w:p>
          <w:p w14:paraId="2EC8021A">
            <w:pPr>
              <w:widowControl/>
              <w:jc w:val="left"/>
              <w:rPr>
                <w:rFonts w:ascii="宋体" w:hAnsi="宋体" w:cs="宋体"/>
                <w:kern w:val="0"/>
                <w:sz w:val="22"/>
              </w:rPr>
            </w:pPr>
            <w:r>
              <w:rPr>
                <w:rFonts w:hint="eastAsia" w:ascii="宋体" w:hAnsi="宋体" w:cs="宋体"/>
                <w:kern w:val="0"/>
                <w:sz w:val="22"/>
              </w:rPr>
              <w:t>6.有线麦克风头戴式，3.5MM插头线长约1米；</w:t>
            </w:r>
          </w:p>
          <w:p w14:paraId="4A0562F5">
            <w:pPr>
              <w:widowControl/>
              <w:jc w:val="left"/>
              <w:rPr>
                <w:rFonts w:ascii="宋体" w:hAnsi="宋体" w:cs="宋体"/>
                <w:kern w:val="0"/>
                <w:sz w:val="22"/>
              </w:rPr>
            </w:pPr>
            <w:r>
              <w:rPr>
                <w:rFonts w:hint="eastAsia" w:ascii="宋体" w:hAnsi="宋体" w:cs="宋体"/>
                <w:kern w:val="0"/>
                <w:sz w:val="22"/>
              </w:rPr>
              <w:t>7.信噪比≥50dB。</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1DBB">
            <w:pPr>
              <w:widowControl/>
              <w:jc w:val="center"/>
              <w:rPr>
                <w:rFonts w:ascii="宋体" w:hAnsi="宋体" w:cs="宋体"/>
                <w:kern w:val="0"/>
                <w:sz w:val="22"/>
              </w:rPr>
            </w:pPr>
            <w:r>
              <w:rPr>
                <w:rFonts w:hint="eastAsia" w:ascii="宋体" w:hAnsi="宋体" w:cs="宋体"/>
                <w:kern w:val="0"/>
                <w:sz w:val="22"/>
              </w:rPr>
              <w:t>批</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68C7">
            <w:pPr>
              <w:widowControl/>
              <w:jc w:val="center"/>
              <w:rPr>
                <w:rFonts w:ascii="宋体" w:hAnsi="宋体" w:cs="宋体"/>
                <w:kern w:val="0"/>
                <w:sz w:val="22"/>
              </w:rPr>
            </w:pPr>
            <w:r>
              <w:rPr>
                <w:rFonts w:hint="eastAsia" w:ascii="宋体" w:hAnsi="宋体" w:cs="宋体"/>
                <w:kern w:val="0"/>
                <w:sz w:val="22"/>
              </w:rPr>
              <w:t>33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459B">
            <w:pPr>
              <w:widowControl/>
              <w:jc w:val="center"/>
              <w:rPr>
                <w:rFonts w:ascii="宋体" w:hAnsi="宋体" w:cs="宋体"/>
                <w:kern w:val="0"/>
                <w:sz w:val="22"/>
              </w:rPr>
            </w:pPr>
            <w:r>
              <w:rPr>
                <w:rFonts w:hint="eastAsia" w:ascii="宋体" w:hAnsi="宋体" w:cs="宋体"/>
                <w:kern w:val="0"/>
                <w:sz w:val="22"/>
              </w:rPr>
              <w:t>300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FE56">
            <w:pPr>
              <w:widowControl/>
              <w:jc w:val="center"/>
              <w:rPr>
                <w:rFonts w:ascii="宋体" w:hAnsi="宋体" w:cs="宋体"/>
                <w:kern w:val="0"/>
                <w:sz w:val="22"/>
              </w:rPr>
            </w:pPr>
            <w:r>
              <w:rPr>
                <w:rFonts w:hint="eastAsia" w:ascii="宋体" w:hAnsi="宋体" w:cs="宋体"/>
                <w:kern w:val="0"/>
                <w:sz w:val="22"/>
              </w:rPr>
              <w:t>9900</w:t>
            </w:r>
          </w:p>
        </w:tc>
      </w:tr>
      <w:tr w14:paraId="255639E8">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8259">
            <w:pPr>
              <w:widowControl/>
              <w:jc w:val="center"/>
              <w:rPr>
                <w:rFonts w:ascii="宋体" w:hAnsi="宋体" w:cs="宋体"/>
                <w:kern w:val="0"/>
                <w:sz w:val="22"/>
              </w:rPr>
            </w:pPr>
            <w:r>
              <w:rPr>
                <w:rFonts w:hint="eastAsia" w:ascii="宋体" w:hAnsi="宋体" w:cs="宋体"/>
                <w:kern w:val="0"/>
                <w:sz w:val="22"/>
              </w:rPr>
              <w:t>8</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5C50">
            <w:pPr>
              <w:widowControl/>
              <w:jc w:val="center"/>
              <w:rPr>
                <w:rFonts w:ascii="宋体" w:hAnsi="宋体" w:cs="宋体"/>
                <w:kern w:val="0"/>
                <w:sz w:val="22"/>
              </w:rPr>
            </w:pPr>
            <w:r>
              <w:rPr>
                <w:rFonts w:hint="eastAsia" w:ascii="宋体" w:hAnsi="宋体" w:cs="宋体"/>
                <w:kern w:val="0"/>
                <w:sz w:val="22"/>
              </w:rPr>
              <w:t>周边配套设备及辅助材料及安装要求</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2395">
            <w:pPr>
              <w:widowControl/>
              <w:jc w:val="left"/>
              <w:rPr>
                <w:rFonts w:ascii="宋体" w:hAnsi="宋体" w:cs="宋体"/>
                <w:kern w:val="0"/>
                <w:sz w:val="22"/>
              </w:rPr>
            </w:pPr>
            <w:r>
              <w:rPr>
                <w:rFonts w:hint="eastAsia" w:ascii="宋体" w:hAnsi="宋体" w:cs="宋体"/>
                <w:kern w:val="0"/>
                <w:sz w:val="22"/>
              </w:rPr>
              <w:t>1、材料：国产优质10米HDMI线缆，国产优质铜线电源线：RVV 3*2.5mm，国产优质音频线：100芯*2股，10米  接头3.5mm，国产优质五孔明装插座等必备配件。国产优质六类非屏蔽网线、 20*15PVC不燃线槽（管）、视频线接头、电源插座等线材设备以及相关的周边设备、音视频线接头及相关配件、材料全部包干并安装、调试、培训直至设备正常使用；</w:t>
            </w:r>
          </w:p>
          <w:p w14:paraId="42D4DFA6">
            <w:pPr>
              <w:widowControl/>
              <w:jc w:val="left"/>
              <w:rPr>
                <w:rFonts w:ascii="宋体" w:hAnsi="宋体" w:cs="宋体"/>
                <w:kern w:val="0"/>
                <w:sz w:val="22"/>
              </w:rPr>
            </w:pPr>
            <w:r>
              <w:rPr>
                <w:rFonts w:hint="eastAsia" w:ascii="宋体" w:hAnsi="宋体" w:cs="宋体"/>
                <w:kern w:val="0"/>
                <w:sz w:val="22"/>
              </w:rPr>
              <w:t>2、安装工艺：安装前要把安装方案的思路、优点、可能存在的问题事先与学校沟通好，形成书面协议，由学校盖章确认后再实施。</w:t>
            </w:r>
          </w:p>
          <w:p w14:paraId="7B94B8F2">
            <w:pPr>
              <w:widowControl/>
              <w:jc w:val="left"/>
              <w:rPr>
                <w:rFonts w:ascii="宋体" w:hAnsi="宋体" w:cs="宋体"/>
                <w:kern w:val="0"/>
                <w:sz w:val="22"/>
              </w:rPr>
            </w:pPr>
            <w:r>
              <w:rPr>
                <w:rFonts w:hint="eastAsia" w:ascii="宋体" w:hAnsi="宋体" w:cs="宋体"/>
                <w:kern w:val="0"/>
                <w:sz w:val="22"/>
              </w:rPr>
              <w:t>3、中标人负责拆除旧班班通设备并搬运至学校指定地点。</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0D5C">
            <w:pPr>
              <w:widowControl/>
              <w:jc w:val="center"/>
              <w:rPr>
                <w:rFonts w:ascii="宋体" w:hAnsi="宋体" w:cs="宋体"/>
                <w:kern w:val="0"/>
                <w:sz w:val="22"/>
              </w:rPr>
            </w:pPr>
            <w:r>
              <w:rPr>
                <w:rFonts w:hint="eastAsia" w:ascii="宋体" w:hAnsi="宋体" w:cs="宋体"/>
                <w:kern w:val="0"/>
                <w:sz w:val="22"/>
              </w:rPr>
              <w:t>项</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3632">
            <w:pPr>
              <w:widowControl/>
              <w:jc w:val="center"/>
              <w:rPr>
                <w:rFonts w:ascii="宋体" w:hAnsi="宋体" w:cs="宋体"/>
                <w:kern w:val="0"/>
                <w:sz w:val="22"/>
              </w:rPr>
            </w:pPr>
            <w:r>
              <w:rPr>
                <w:rFonts w:hint="eastAsia" w:ascii="宋体" w:hAnsi="宋体" w:cs="宋体"/>
                <w:kern w:val="0"/>
                <w:sz w:val="22"/>
              </w:rPr>
              <w:t>33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09B5">
            <w:pPr>
              <w:widowControl/>
              <w:jc w:val="center"/>
              <w:rPr>
                <w:rFonts w:ascii="宋体" w:hAnsi="宋体" w:cs="宋体"/>
                <w:kern w:val="0"/>
                <w:sz w:val="22"/>
              </w:rPr>
            </w:pPr>
            <w:r>
              <w:rPr>
                <w:rFonts w:hint="eastAsia" w:ascii="宋体" w:hAnsi="宋体" w:cs="宋体"/>
                <w:kern w:val="0"/>
                <w:sz w:val="22"/>
              </w:rPr>
              <w:t>400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5405">
            <w:pPr>
              <w:widowControl/>
              <w:jc w:val="center"/>
              <w:rPr>
                <w:rFonts w:ascii="宋体" w:hAnsi="宋体" w:cs="宋体"/>
                <w:kern w:val="0"/>
                <w:sz w:val="22"/>
              </w:rPr>
            </w:pPr>
            <w:r>
              <w:rPr>
                <w:rFonts w:hint="eastAsia" w:ascii="宋体" w:hAnsi="宋体" w:cs="宋体"/>
                <w:kern w:val="0"/>
                <w:sz w:val="22"/>
              </w:rPr>
              <w:t>13200</w:t>
            </w:r>
          </w:p>
        </w:tc>
      </w:tr>
      <w:tr w14:paraId="0860CE90">
        <w:tblPrEx>
          <w:tblCellMar>
            <w:top w:w="0" w:type="dxa"/>
            <w:left w:w="108" w:type="dxa"/>
            <w:bottom w:w="0" w:type="dxa"/>
            <w:right w:w="108" w:type="dxa"/>
          </w:tblCellMar>
        </w:tblPrEx>
        <w:trPr>
          <w:trHeight w:val="591" w:hRule="atLeast"/>
        </w:trPr>
        <w:tc>
          <w:tcPr>
            <w:tcW w:w="1015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36F2">
            <w:pPr>
              <w:widowControl/>
              <w:textAlignment w:val="center"/>
              <w:rPr>
                <w:rFonts w:ascii="宋体" w:hAnsi="宋体" w:cs="宋体"/>
                <w:color w:val="000000"/>
                <w:sz w:val="22"/>
                <w:szCs w:val="22"/>
              </w:rPr>
            </w:pPr>
            <w:r>
              <w:rPr>
                <w:rFonts w:hint="eastAsia" w:ascii="宋体" w:hAnsi="宋体" w:cs="宋体"/>
                <w:b/>
                <w:bCs/>
                <w:kern w:val="0"/>
                <w:sz w:val="22"/>
              </w:rPr>
              <w:t>二、计算机（教室）</w:t>
            </w:r>
          </w:p>
        </w:tc>
      </w:tr>
      <w:tr w14:paraId="6F9959E7">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2C7A">
            <w:pPr>
              <w:widowControl/>
              <w:jc w:val="center"/>
              <w:rPr>
                <w:rFonts w:ascii="宋体" w:hAnsi="宋体" w:cs="宋体"/>
                <w:kern w:val="0"/>
                <w:sz w:val="22"/>
              </w:rPr>
            </w:pPr>
            <w:r>
              <w:rPr>
                <w:rFonts w:hint="eastAsia" w:ascii="宋体" w:hAnsi="宋体" w:cs="宋体"/>
                <w:kern w:val="0"/>
                <w:sz w:val="22"/>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06B5">
            <w:pPr>
              <w:widowControl/>
              <w:jc w:val="center"/>
              <w:rPr>
                <w:rFonts w:ascii="宋体" w:hAnsi="宋体" w:cs="宋体"/>
                <w:kern w:val="0"/>
                <w:sz w:val="22"/>
              </w:rPr>
            </w:pPr>
            <w:r>
              <w:rPr>
                <w:rFonts w:hint="eastAsia" w:ascii="宋体" w:hAnsi="宋体" w:cs="宋体"/>
                <w:kern w:val="0"/>
                <w:sz w:val="22"/>
              </w:rPr>
              <w:t>操作终端</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250B">
            <w:pPr>
              <w:widowControl/>
              <w:jc w:val="left"/>
              <w:rPr>
                <w:rFonts w:ascii="宋体" w:hAnsi="宋体" w:cs="宋体"/>
                <w:kern w:val="0"/>
                <w:sz w:val="22"/>
              </w:rPr>
            </w:pPr>
            <w:r>
              <w:rPr>
                <w:rFonts w:hint="eastAsia" w:ascii="宋体" w:hAnsi="宋体" w:cs="宋体"/>
                <w:kern w:val="0"/>
                <w:sz w:val="22"/>
              </w:rPr>
              <w:t>▲1、处理器核数≥8，线程数≥12线程，主频≥1.3GHz，最高睿频≥4.4GHz，三级缓存≥10MB;</w:t>
            </w:r>
            <w:r>
              <w:rPr>
                <w:rFonts w:hint="eastAsia" w:ascii="宋体" w:hAnsi="宋体" w:cs="宋体"/>
                <w:kern w:val="0"/>
                <w:sz w:val="22"/>
              </w:rPr>
              <w:br w:type="textWrapping"/>
            </w:r>
            <w:r>
              <w:rPr>
                <w:rFonts w:hint="eastAsia" w:ascii="宋体" w:hAnsi="宋体" w:cs="宋体"/>
                <w:kern w:val="0"/>
                <w:sz w:val="22"/>
              </w:rPr>
              <w:t>▲2、内存:16G DDR4内存或以上，最大支持64G内存容量；</w:t>
            </w:r>
            <w:r>
              <w:rPr>
                <w:rFonts w:hint="eastAsia" w:ascii="宋体" w:hAnsi="宋体" w:cs="宋体"/>
                <w:kern w:val="0"/>
                <w:sz w:val="22"/>
              </w:rPr>
              <w:br w:type="textWrapping"/>
            </w:r>
            <w:r>
              <w:rPr>
                <w:rFonts w:hint="eastAsia" w:ascii="宋体" w:hAnsi="宋体" w:cs="宋体"/>
                <w:kern w:val="0"/>
                <w:sz w:val="22"/>
              </w:rPr>
              <w:t>▲3、硬盘:≥512G M.2 SSD硬盘；</w:t>
            </w:r>
            <w:r>
              <w:rPr>
                <w:rFonts w:hint="eastAsia" w:ascii="宋体" w:hAnsi="宋体" w:cs="宋体"/>
                <w:kern w:val="0"/>
                <w:sz w:val="22"/>
              </w:rPr>
              <w:br w:type="textWrapping"/>
            </w:r>
            <w:r>
              <w:rPr>
                <w:rFonts w:hint="eastAsia" w:ascii="宋体" w:hAnsi="宋体" w:cs="宋体"/>
                <w:kern w:val="0"/>
                <w:sz w:val="22"/>
              </w:rPr>
              <w:t>4、显卡：集成显卡；</w:t>
            </w:r>
            <w:r>
              <w:rPr>
                <w:rFonts w:hint="eastAsia" w:ascii="宋体" w:hAnsi="宋体" w:cs="宋体"/>
                <w:kern w:val="0"/>
                <w:sz w:val="22"/>
              </w:rPr>
              <w:br w:type="textWrapping"/>
            </w:r>
            <w:r>
              <w:rPr>
                <w:rFonts w:hint="eastAsia" w:ascii="宋体" w:hAnsi="宋体" w:cs="宋体"/>
                <w:kern w:val="0"/>
                <w:sz w:val="22"/>
              </w:rPr>
              <w:t>▲5、显示器：≥23.8英寸，分辨率≥1920*1080,IPS，支持TÜV硬件级低蓝光与无频闪认证，显示器提供阅读模式，显示屏幕DCI-P3色域覆盖率≥ 99%；</w:t>
            </w:r>
            <w:r>
              <w:rPr>
                <w:rFonts w:hint="eastAsia" w:ascii="宋体" w:hAnsi="宋体" w:cs="宋体"/>
                <w:kern w:val="0"/>
                <w:sz w:val="22"/>
              </w:rPr>
              <w:br w:type="textWrapping"/>
            </w:r>
            <w:r>
              <w:rPr>
                <w:rFonts w:hint="eastAsia" w:ascii="宋体" w:hAnsi="宋体" w:cs="宋体"/>
                <w:kern w:val="0"/>
                <w:sz w:val="22"/>
              </w:rPr>
              <w:t>6、键鼠：同品牌USB光电鼠标、键盘；</w:t>
            </w:r>
            <w:r>
              <w:rPr>
                <w:rFonts w:hint="eastAsia" w:ascii="宋体" w:hAnsi="宋体" w:cs="宋体"/>
                <w:kern w:val="0"/>
                <w:sz w:val="22"/>
              </w:rPr>
              <w:br w:type="textWrapping"/>
            </w:r>
            <w:r>
              <w:rPr>
                <w:rFonts w:hint="eastAsia" w:ascii="宋体" w:hAnsi="宋体" w:cs="宋体"/>
                <w:kern w:val="0"/>
                <w:sz w:val="22"/>
              </w:rPr>
              <w:t>7、接口：USB2.0接口≥4个，USB3.2接口≥5个（至少包含1个Type-C接口），≥集成1个VGA、1个HDMI，主板集成2个千兆网口；</w:t>
            </w:r>
            <w:r>
              <w:rPr>
                <w:rFonts w:hint="eastAsia" w:ascii="宋体" w:hAnsi="宋体" w:cs="宋体"/>
                <w:kern w:val="0"/>
                <w:sz w:val="22"/>
              </w:rPr>
              <w:br w:type="textWrapping"/>
            </w:r>
            <w:r>
              <w:rPr>
                <w:rFonts w:hint="eastAsia" w:ascii="宋体" w:hAnsi="宋体" w:cs="宋体"/>
                <w:kern w:val="0"/>
                <w:sz w:val="22"/>
              </w:rPr>
              <w:t>▲8、操作系统：预装正版操作系统（带永久授权），正版WPS办公软件；</w:t>
            </w:r>
            <w:r>
              <w:rPr>
                <w:rFonts w:hint="eastAsia" w:ascii="宋体" w:hAnsi="宋体" w:cs="宋体"/>
                <w:kern w:val="0"/>
                <w:sz w:val="22"/>
              </w:rPr>
              <w:br w:type="textWrapping"/>
            </w:r>
            <w:r>
              <w:rPr>
                <w:rFonts w:hint="eastAsia" w:ascii="宋体" w:hAnsi="宋体" w:cs="宋体"/>
                <w:kern w:val="0"/>
                <w:sz w:val="22"/>
              </w:rPr>
              <w:t xml:space="preserve">9、电源：220V AC 功率小于等于350W； </w:t>
            </w:r>
            <w:r>
              <w:rPr>
                <w:rFonts w:hint="eastAsia" w:ascii="宋体" w:hAnsi="宋体" w:cs="宋体"/>
                <w:kern w:val="0"/>
                <w:sz w:val="22"/>
              </w:rPr>
              <w:br w:type="textWrapping"/>
            </w:r>
            <w:r>
              <w:rPr>
                <w:rFonts w:hint="eastAsia" w:ascii="宋体" w:hAnsi="宋体" w:cs="宋体"/>
                <w:kern w:val="0"/>
                <w:sz w:val="22"/>
              </w:rPr>
              <w:t xml:space="preserve">10、开机LOGO定制，开机时显示“隆安县2024年配备”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0849">
            <w:pPr>
              <w:widowControl/>
              <w:jc w:val="center"/>
              <w:rPr>
                <w:rFonts w:ascii="宋体" w:hAnsi="宋体" w:cs="宋体"/>
                <w:kern w:val="0"/>
                <w:sz w:val="22"/>
              </w:rPr>
            </w:pPr>
            <w:r>
              <w:rPr>
                <w:rFonts w:hint="eastAsia" w:ascii="宋体" w:hAnsi="宋体" w:cs="宋体"/>
                <w:kern w:val="0"/>
                <w:sz w:val="22"/>
              </w:rPr>
              <w:t>台</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CAEF">
            <w:pPr>
              <w:widowControl/>
              <w:jc w:val="center"/>
              <w:rPr>
                <w:rFonts w:ascii="宋体" w:hAnsi="宋体" w:cs="宋体"/>
                <w:kern w:val="0"/>
                <w:sz w:val="22"/>
              </w:rPr>
            </w:pPr>
            <w:r>
              <w:rPr>
                <w:rFonts w:hint="eastAsia" w:ascii="宋体" w:hAnsi="宋体" w:cs="宋体"/>
                <w:kern w:val="0"/>
                <w:sz w:val="22"/>
              </w:rPr>
              <w:t>201</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1AAD">
            <w:pPr>
              <w:widowControl/>
              <w:jc w:val="center"/>
              <w:rPr>
                <w:rFonts w:ascii="宋体" w:hAnsi="宋体" w:cs="宋体"/>
                <w:kern w:val="0"/>
                <w:sz w:val="22"/>
              </w:rPr>
            </w:pPr>
            <w:r>
              <w:rPr>
                <w:rFonts w:hint="eastAsia" w:ascii="宋体" w:hAnsi="宋体" w:cs="宋体"/>
                <w:kern w:val="0"/>
                <w:sz w:val="22"/>
              </w:rPr>
              <w:t>4060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2F3F">
            <w:pPr>
              <w:widowControl/>
              <w:jc w:val="center"/>
              <w:rPr>
                <w:rFonts w:ascii="宋体" w:hAnsi="宋体" w:cs="宋体"/>
                <w:kern w:val="0"/>
                <w:sz w:val="22"/>
              </w:rPr>
            </w:pPr>
            <w:r>
              <w:rPr>
                <w:rFonts w:hint="eastAsia" w:ascii="宋体" w:hAnsi="宋体" w:cs="宋体"/>
                <w:kern w:val="0"/>
                <w:sz w:val="22"/>
              </w:rPr>
              <w:t>816060</w:t>
            </w:r>
          </w:p>
        </w:tc>
      </w:tr>
      <w:tr w14:paraId="40D09EDE">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E0D6">
            <w:pPr>
              <w:widowControl/>
              <w:jc w:val="center"/>
              <w:rPr>
                <w:rFonts w:ascii="宋体" w:hAnsi="宋体" w:cs="宋体"/>
                <w:kern w:val="0"/>
                <w:sz w:val="22"/>
              </w:rPr>
            </w:pPr>
            <w:r>
              <w:rPr>
                <w:rFonts w:hint="eastAsia" w:ascii="宋体" w:hAnsi="宋体" w:cs="宋体"/>
                <w:kern w:val="0"/>
                <w:sz w:val="22"/>
              </w:rPr>
              <w:t>2</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5D90">
            <w:pPr>
              <w:widowControl/>
              <w:jc w:val="center"/>
              <w:rPr>
                <w:rFonts w:ascii="宋体" w:hAnsi="宋体" w:cs="宋体"/>
                <w:kern w:val="0"/>
                <w:sz w:val="22"/>
              </w:rPr>
            </w:pPr>
            <w:r>
              <w:rPr>
                <w:rFonts w:hint="eastAsia" w:ascii="宋体" w:hAnsi="宋体" w:cs="宋体"/>
                <w:kern w:val="0"/>
                <w:sz w:val="22"/>
              </w:rPr>
              <w:t>配套管理软件</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45C4">
            <w:pPr>
              <w:widowControl/>
              <w:jc w:val="left"/>
              <w:rPr>
                <w:rFonts w:ascii="宋体" w:hAnsi="宋体" w:cs="宋体"/>
                <w:kern w:val="0"/>
                <w:sz w:val="22"/>
              </w:rPr>
            </w:pPr>
            <w:r>
              <w:rPr>
                <w:rFonts w:hint="eastAsia" w:ascii="宋体" w:hAnsi="宋体" w:cs="宋体"/>
                <w:kern w:val="0"/>
                <w:sz w:val="22"/>
              </w:rPr>
              <w:t>▲1.操作终端配套管理软件：云桌面管理系统，B/S架构，提供用户统一登录认证功能，包括：手机号码注册、登录、忘记密码、扫码登录、账号管理功能；教职工管理：支持管理员手动添加教职工，教职工信息包括：教工号，姓名，手机号码，角色，管理范围；支持标准镜像格式QCOW2，可基于标准格式镜像创建和更新用于VDI/IDV/TCI云桌面的镜像，实现多种不同桌面架构下的镜像统一管理；支持查看终端设备信息，支持查看终端设备型号、序列号、磁盘容量、内存容量、CPU型号、设备ID等信息；硬盘保护功能；差异增量拷贝功能等。</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2BA0">
            <w:pPr>
              <w:widowControl/>
              <w:jc w:val="center"/>
              <w:rPr>
                <w:rFonts w:ascii="宋体" w:hAnsi="宋体" w:cs="宋体"/>
                <w:kern w:val="0"/>
                <w:sz w:val="22"/>
              </w:rPr>
            </w:pPr>
            <w:r>
              <w:rPr>
                <w:rFonts w:hint="eastAsia" w:ascii="宋体" w:hAnsi="宋体" w:cs="宋体"/>
                <w:kern w:val="0"/>
                <w:sz w:val="22"/>
              </w:rPr>
              <w:t>套</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4E2C">
            <w:pPr>
              <w:widowControl/>
              <w:jc w:val="center"/>
              <w:rPr>
                <w:rFonts w:ascii="宋体" w:hAnsi="宋体" w:cs="宋体"/>
                <w:kern w:val="0"/>
                <w:sz w:val="22"/>
              </w:rPr>
            </w:pPr>
            <w:r>
              <w:rPr>
                <w:rFonts w:hint="eastAsia" w:ascii="宋体" w:hAnsi="宋体" w:cs="宋体"/>
                <w:kern w:val="0"/>
                <w:sz w:val="22"/>
              </w:rPr>
              <w:t>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DEE7">
            <w:pPr>
              <w:widowControl/>
              <w:jc w:val="center"/>
              <w:rPr>
                <w:rFonts w:ascii="宋体" w:hAnsi="宋体" w:cs="宋体"/>
                <w:kern w:val="0"/>
                <w:sz w:val="22"/>
              </w:rPr>
            </w:pPr>
            <w:r>
              <w:rPr>
                <w:rFonts w:hint="eastAsia" w:ascii="宋体" w:hAnsi="宋体" w:cs="宋体"/>
                <w:kern w:val="0"/>
                <w:sz w:val="22"/>
              </w:rPr>
              <w:t>5000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137E">
            <w:pPr>
              <w:widowControl/>
              <w:jc w:val="center"/>
              <w:rPr>
                <w:rFonts w:ascii="宋体" w:hAnsi="宋体" w:cs="宋体"/>
                <w:kern w:val="0"/>
                <w:sz w:val="22"/>
              </w:rPr>
            </w:pPr>
            <w:r>
              <w:rPr>
                <w:rFonts w:hint="eastAsia" w:ascii="宋体" w:hAnsi="宋体" w:cs="宋体"/>
                <w:kern w:val="0"/>
                <w:sz w:val="22"/>
              </w:rPr>
              <w:t>15000</w:t>
            </w:r>
          </w:p>
        </w:tc>
      </w:tr>
      <w:tr w14:paraId="03E59F46">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792D">
            <w:pPr>
              <w:widowControl/>
              <w:jc w:val="center"/>
              <w:rPr>
                <w:rFonts w:ascii="宋体" w:hAnsi="宋体" w:cs="宋体"/>
                <w:kern w:val="0"/>
                <w:sz w:val="22"/>
              </w:rPr>
            </w:pPr>
            <w:r>
              <w:rPr>
                <w:rFonts w:hint="eastAsia" w:ascii="宋体" w:hAnsi="宋体" w:cs="宋体"/>
                <w:kern w:val="0"/>
                <w:sz w:val="22"/>
              </w:rPr>
              <w:t>3</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749D">
            <w:pPr>
              <w:widowControl/>
              <w:jc w:val="center"/>
              <w:rPr>
                <w:rFonts w:ascii="宋体" w:hAnsi="宋体" w:cs="宋体"/>
                <w:kern w:val="0"/>
                <w:sz w:val="22"/>
              </w:rPr>
            </w:pPr>
            <w:r>
              <w:rPr>
                <w:rFonts w:hint="eastAsia" w:ascii="宋体" w:hAnsi="宋体" w:cs="宋体"/>
                <w:kern w:val="0"/>
                <w:sz w:val="22"/>
              </w:rPr>
              <w:t>教室广播软件</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6687">
            <w:pPr>
              <w:widowControl/>
              <w:jc w:val="left"/>
              <w:rPr>
                <w:rFonts w:ascii="宋体" w:hAnsi="宋体" w:cs="宋体"/>
                <w:kern w:val="0"/>
                <w:sz w:val="22"/>
              </w:rPr>
            </w:pPr>
            <w:r>
              <w:rPr>
                <w:rFonts w:hint="eastAsia" w:ascii="宋体" w:hAnsi="宋体" w:cs="宋体"/>
                <w:kern w:val="0"/>
                <w:sz w:val="22"/>
              </w:rPr>
              <w:t>▲1.基本功能：广播教学，语音教学，语音对讲，学生演示，遥控辅导，分组教学，屏幕录制，屏幕回放，网络影院，文件分发，文件收集，电子教鞭，黑屏肃静，远程命令，远程设置，远程重启，远程关机，远程开机，远程退出，学生属性，阅卷评分,共享白板， 程序限制, 上网限制，打印设备限制，USB限制，光驱限制，考试，学生签到，语音广播，系统设置，远程消息，电子举手，文件提交，系统锁定，语音讨论，视频直播，系统日志，查看作业等。</w:t>
            </w:r>
            <w:r>
              <w:rPr>
                <w:rFonts w:hint="eastAsia" w:ascii="宋体" w:hAnsi="宋体" w:cs="宋体"/>
                <w:kern w:val="0"/>
                <w:sz w:val="22"/>
              </w:rPr>
              <w:br w:type="textWrapping"/>
            </w:r>
            <w:r>
              <w:rPr>
                <w:rFonts w:hint="eastAsia" w:ascii="宋体" w:hAnsi="宋体" w:cs="宋体"/>
                <w:kern w:val="0"/>
                <w:sz w:val="22"/>
              </w:rPr>
              <w:t>▲2.控制终端数不少于70台。</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2B6D">
            <w:pPr>
              <w:widowControl/>
              <w:jc w:val="center"/>
              <w:rPr>
                <w:rFonts w:ascii="宋体" w:hAnsi="宋体" w:cs="宋体"/>
                <w:kern w:val="0"/>
                <w:sz w:val="22"/>
              </w:rPr>
            </w:pPr>
            <w:r>
              <w:rPr>
                <w:rFonts w:hint="eastAsia" w:ascii="宋体" w:hAnsi="宋体" w:cs="宋体"/>
                <w:kern w:val="0"/>
                <w:sz w:val="22"/>
              </w:rPr>
              <w:t>套</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BB07">
            <w:pPr>
              <w:widowControl/>
              <w:jc w:val="center"/>
              <w:rPr>
                <w:rFonts w:ascii="宋体" w:hAnsi="宋体" w:cs="宋体"/>
                <w:kern w:val="0"/>
                <w:sz w:val="22"/>
              </w:rPr>
            </w:pPr>
            <w:r>
              <w:rPr>
                <w:rFonts w:hint="eastAsia" w:ascii="宋体" w:hAnsi="宋体" w:cs="宋体"/>
                <w:kern w:val="0"/>
                <w:sz w:val="22"/>
              </w:rPr>
              <w:t>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F1DC">
            <w:pPr>
              <w:widowControl/>
              <w:jc w:val="center"/>
              <w:rPr>
                <w:rFonts w:ascii="宋体" w:hAnsi="宋体" w:cs="宋体"/>
                <w:kern w:val="0"/>
                <w:sz w:val="22"/>
              </w:rPr>
            </w:pPr>
            <w:r>
              <w:rPr>
                <w:rFonts w:hint="eastAsia" w:ascii="宋体" w:hAnsi="宋体" w:cs="宋体"/>
                <w:kern w:val="0"/>
                <w:sz w:val="22"/>
              </w:rPr>
              <w:t>1250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3121">
            <w:pPr>
              <w:widowControl/>
              <w:jc w:val="center"/>
              <w:rPr>
                <w:rFonts w:ascii="宋体" w:hAnsi="宋体" w:cs="宋体"/>
                <w:kern w:val="0"/>
                <w:sz w:val="22"/>
              </w:rPr>
            </w:pPr>
            <w:r>
              <w:rPr>
                <w:rFonts w:hint="eastAsia" w:ascii="宋体" w:hAnsi="宋体" w:cs="宋体"/>
                <w:kern w:val="0"/>
                <w:sz w:val="22"/>
              </w:rPr>
              <w:t>3750</w:t>
            </w:r>
          </w:p>
        </w:tc>
      </w:tr>
      <w:tr w14:paraId="174BF45E">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0391">
            <w:pPr>
              <w:widowControl/>
              <w:jc w:val="center"/>
              <w:rPr>
                <w:rFonts w:ascii="宋体" w:hAnsi="宋体" w:cs="宋体"/>
                <w:kern w:val="0"/>
                <w:sz w:val="22"/>
              </w:rPr>
            </w:pPr>
            <w:r>
              <w:rPr>
                <w:rFonts w:hint="eastAsia" w:ascii="宋体" w:hAnsi="宋体" w:cs="宋体"/>
                <w:kern w:val="0"/>
                <w:sz w:val="22"/>
              </w:rPr>
              <w:t>4</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A1ED">
            <w:pPr>
              <w:widowControl/>
              <w:jc w:val="center"/>
              <w:rPr>
                <w:rFonts w:ascii="宋体" w:hAnsi="宋体" w:cs="宋体"/>
                <w:kern w:val="0"/>
                <w:sz w:val="22"/>
              </w:rPr>
            </w:pPr>
            <w:r>
              <w:rPr>
                <w:rFonts w:hint="eastAsia" w:ascii="宋体" w:hAnsi="宋体" w:cs="宋体"/>
                <w:kern w:val="0"/>
                <w:sz w:val="22"/>
              </w:rPr>
              <w:t>交换机</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C92E">
            <w:pPr>
              <w:widowControl/>
              <w:jc w:val="left"/>
              <w:rPr>
                <w:rFonts w:ascii="宋体" w:hAnsi="宋体" w:cs="宋体"/>
                <w:kern w:val="0"/>
                <w:sz w:val="22"/>
              </w:rPr>
            </w:pPr>
            <w:r>
              <w:rPr>
                <w:rFonts w:hint="eastAsia" w:ascii="宋体" w:hAnsi="宋体" w:cs="宋体"/>
                <w:kern w:val="0"/>
                <w:sz w:val="22"/>
              </w:rPr>
              <w:t>▲1、24个10/100/1000Base-T，4个100/1000Base-X SFP；</w:t>
            </w:r>
            <w:r>
              <w:rPr>
                <w:rFonts w:hint="eastAsia" w:ascii="宋体" w:hAnsi="宋体" w:cs="宋体"/>
                <w:kern w:val="0"/>
                <w:sz w:val="22"/>
              </w:rPr>
              <w:br w:type="textWrapping"/>
            </w:r>
            <w:r>
              <w:rPr>
                <w:rFonts w:hint="eastAsia" w:ascii="宋体" w:hAnsi="宋体" w:cs="宋体"/>
                <w:kern w:val="0"/>
                <w:sz w:val="22"/>
              </w:rPr>
              <w:t>2、转发能力要求整机达全线速转发能力；</w:t>
            </w:r>
            <w:r>
              <w:rPr>
                <w:rFonts w:hint="eastAsia" w:ascii="宋体" w:hAnsi="宋体" w:cs="宋体"/>
                <w:kern w:val="0"/>
                <w:sz w:val="22"/>
              </w:rPr>
              <w:br w:type="textWrapping"/>
            </w:r>
            <w:r>
              <w:rPr>
                <w:rFonts w:hint="eastAsia" w:ascii="宋体" w:hAnsi="宋体" w:cs="宋体"/>
                <w:kern w:val="0"/>
                <w:sz w:val="22"/>
              </w:rPr>
              <w:t>3、支持USB接口；</w:t>
            </w:r>
            <w:r>
              <w:rPr>
                <w:rFonts w:hint="eastAsia" w:ascii="宋体" w:hAnsi="宋体" w:cs="宋体"/>
                <w:kern w:val="0"/>
                <w:sz w:val="22"/>
              </w:rPr>
              <w:br w:type="textWrapping"/>
            </w:r>
            <w:r>
              <w:rPr>
                <w:rFonts w:hint="eastAsia" w:ascii="宋体" w:hAnsi="宋体" w:cs="宋体"/>
                <w:kern w:val="0"/>
                <w:sz w:val="22"/>
              </w:rPr>
              <w:t>▲4、电口和光口都支持端口休眠功能，支持整机休眠，支持802.3az能效以太网EEE，整机功耗≤25W；</w:t>
            </w:r>
            <w:r>
              <w:rPr>
                <w:rFonts w:hint="eastAsia" w:ascii="宋体" w:hAnsi="宋体" w:cs="宋体"/>
                <w:kern w:val="0"/>
                <w:sz w:val="22"/>
              </w:rPr>
              <w:br w:type="textWrapping"/>
            </w:r>
            <w:r>
              <w:rPr>
                <w:rFonts w:hint="eastAsia" w:ascii="宋体" w:hAnsi="宋体" w:cs="宋体"/>
                <w:kern w:val="0"/>
                <w:sz w:val="22"/>
              </w:rPr>
              <w:t>▲5、24端口交换容量≥208Gbps；包转发率≥42Mpps；</w:t>
            </w:r>
            <w:r>
              <w:rPr>
                <w:rFonts w:hint="eastAsia" w:ascii="宋体" w:hAnsi="宋体" w:cs="宋体"/>
                <w:kern w:val="0"/>
                <w:sz w:val="22"/>
              </w:rPr>
              <w:br w:type="textWrapping"/>
            </w:r>
            <w:r>
              <w:rPr>
                <w:rFonts w:hint="eastAsia" w:ascii="宋体" w:hAnsi="宋体" w:cs="宋体"/>
                <w:kern w:val="0"/>
                <w:sz w:val="22"/>
              </w:rPr>
              <w:t>6、支持DHCP Snooping trust， 防止私设DHCP服务器；</w:t>
            </w:r>
            <w:r>
              <w:rPr>
                <w:rFonts w:hint="eastAsia" w:ascii="宋体" w:hAnsi="宋体" w:cs="宋体"/>
                <w:kern w:val="0"/>
                <w:sz w:val="22"/>
              </w:rPr>
              <w:br w:type="textWrapping"/>
            </w:r>
            <w:r>
              <w:rPr>
                <w:rFonts w:hint="eastAsia" w:ascii="宋体" w:hAnsi="宋体" w:cs="宋体"/>
                <w:kern w:val="0"/>
                <w:sz w:val="22"/>
              </w:rPr>
              <w:t>7、支持用户间的二层隔离；</w:t>
            </w:r>
            <w:r>
              <w:rPr>
                <w:rFonts w:hint="eastAsia" w:ascii="宋体" w:hAnsi="宋体" w:cs="宋体"/>
                <w:kern w:val="0"/>
                <w:sz w:val="22"/>
              </w:rPr>
              <w:br w:type="textWrapping"/>
            </w:r>
            <w:r>
              <w:rPr>
                <w:rFonts w:hint="eastAsia" w:ascii="宋体" w:hAnsi="宋体" w:cs="宋体"/>
                <w:kern w:val="0"/>
                <w:sz w:val="22"/>
              </w:rPr>
              <w:t>8、支持基于第二层、第三层和第四层的ACL，支持双向ACL，支持VLAN ACL和IPv6 ACL；</w:t>
            </w:r>
            <w:r>
              <w:rPr>
                <w:rFonts w:hint="eastAsia" w:ascii="宋体" w:hAnsi="宋体" w:cs="宋体"/>
                <w:kern w:val="0"/>
                <w:sz w:val="22"/>
              </w:rPr>
              <w:br w:type="textWrapping"/>
            </w:r>
            <w:r>
              <w:rPr>
                <w:rFonts w:hint="eastAsia" w:ascii="宋体" w:hAnsi="宋体" w:cs="宋体"/>
                <w:kern w:val="0"/>
                <w:sz w:val="22"/>
              </w:rPr>
              <w:t>9、支持IP/Port/MAC的绑定功能；</w:t>
            </w:r>
            <w:r>
              <w:rPr>
                <w:rFonts w:hint="eastAsia" w:ascii="宋体" w:hAnsi="宋体" w:cs="宋体"/>
                <w:kern w:val="0"/>
                <w:sz w:val="22"/>
              </w:rPr>
              <w:br w:type="textWrapping"/>
            </w:r>
            <w:r>
              <w:rPr>
                <w:rFonts w:hint="eastAsia" w:ascii="宋体" w:hAnsi="宋体" w:cs="宋体"/>
                <w:kern w:val="0"/>
                <w:sz w:val="22"/>
              </w:rPr>
              <w:t>10、支持QinQ； 灵活QinQ.，支持1：1，N：1 VLAN mapping支持VLAN内端口隔离，支持Smart link；</w:t>
            </w:r>
            <w:r>
              <w:rPr>
                <w:rFonts w:hint="eastAsia" w:ascii="宋体" w:hAnsi="宋体" w:cs="宋体"/>
                <w:kern w:val="0"/>
                <w:sz w:val="22"/>
              </w:rPr>
              <w:br w:type="textWrapping"/>
            </w:r>
            <w:r>
              <w:rPr>
                <w:rFonts w:hint="eastAsia" w:ascii="宋体" w:hAnsi="宋体" w:cs="宋体"/>
                <w:kern w:val="0"/>
                <w:sz w:val="22"/>
              </w:rPr>
              <w:t>11、支持SNMP V1/V2/V3、Telnet、RMON、SSHV2支持通过命令行、Web、中文图形化配置软件等方式进行配置和管理。</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B982">
            <w:pPr>
              <w:widowControl/>
              <w:jc w:val="center"/>
              <w:rPr>
                <w:rFonts w:ascii="宋体" w:hAnsi="宋体" w:cs="宋体"/>
                <w:kern w:val="0"/>
                <w:sz w:val="22"/>
              </w:rPr>
            </w:pPr>
            <w:r>
              <w:rPr>
                <w:rFonts w:hint="eastAsia" w:ascii="宋体" w:hAnsi="宋体" w:cs="宋体"/>
                <w:kern w:val="0"/>
                <w:sz w:val="22"/>
              </w:rPr>
              <w:t>台</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9B3A">
            <w:pPr>
              <w:widowControl/>
              <w:jc w:val="center"/>
              <w:rPr>
                <w:rFonts w:ascii="宋体" w:hAnsi="宋体" w:cs="宋体"/>
                <w:kern w:val="0"/>
                <w:sz w:val="22"/>
              </w:rPr>
            </w:pPr>
            <w:r>
              <w:rPr>
                <w:rFonts w:hint="eastAsia" w:ascii="宋体" w:hAnsi="宋体" w:cs="宋体"/>
                <w:kern w:val="0"/>
                <w:sz w:val="22"/>
              </w:rPr>
              <w:t>12</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C23B">
            <w:pPr>
              <w:widowControl/>
              <w:jc w:val="center"/>
              <w:rPr>
                <w:rFonts w:ascii="宋体" w:hAnsi="宋体" w:cs="宋体"/>
                <w:kern w:val="0"/>
                <w:sz w:val="22"/>
              </w:rPr>
            </w:pPr>
            <w:r>
              <w:rPr>
                <w:rFonts w:hint="eastAsia" w:ascii="宋体" w:hAnsi="宋体" w:cs="宋体"/>
                <w:kern w:val="0"/>
                <w:sz w:val="22"/>
              </w:rPr>
              <w:t>2000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3A30">
            <w:pPr>
              <w:widowControl/>
              <w:jc w:val="center"/>
              <w:rPr>
                <w:rFonts w:ascii="宋体" w:hAnsi="宋体" w:cs="宋体"/>
                <w:kern w:val="0"/>
                <w:sz w:val="22"/>
              </w:rPr>
            </w:pPr>
            <w:r>
              <w:rPr>
                <w:rFonts w:hint="eastAsia" w:ascii="宋体" w:hAnsi="宋体" w:cs="宋体"/>
                <w:kern w:val="0"/>
                <w:sz w:val="22"/>
              </w:rPr>
              <w:t>24000</w:t>
            </w:r>
          </w:p>
        </w:tc>
      </w:tr>
      <w:tr w14:paraId="1E29F877">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A8513">
            <w:pPr>
              <w:widowControl/>
              <w:jc w:val="center"/>
              <w:rPr>
                <w:rFonts w:ascii="宋体" w:hAnsi="宋体" w:cs="宋体"/>
                <w:kern w:val="0"/>
                <w:sz w:val="22"/>
              </w:rPr>
            </w:pPr>
            <w:r>
              <w:rPr>
                <w:rFonts w:hint="eastAsia" w:ascii="宋体" w:hAnsi="宋体" w:cs="宋体"/>
                <w:kern w:val="0"/>
                <w:sz w:val="22"/>
              </w:rPr>
              <w:t>5</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1C51">
            <w:pPr>
              <w:widowControl/>
              <w:jc w:val="center"/>
              <w:rPr>
                <w:rFonts w:ascii="宋体" w:hAnsi="宋体" w:cs="宋体"/>
                <w:kern w:val="0"/>
                <w:sz w:val="22"/>
              </w:rPr>
            </w:pPr>
            <w:r>
              <w:rPr>
                <w:rFonts w:hint="eastAsia" w:ascii="宋体" w:hAnsi="宋体" w:cs="宋体"/>
                <w:kern w:val="0"/>
                <w:sz w:val="22"/>
              </w:rPr>
              <w:t>机柜</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3747">
            <w:pPr>
              <w:widowControl/>
              <w:jc w:val="left"/>
              <w:rPr>
                <w:rFonts w:ascii="宋体" w:hAnsi="宋体" w:cs="宋体"/>
                <w:kern w:val="0"/>
                <w:sz w:val="22"/>
              </w:rPr>
            </w:pPr>
            <w:r>
              <w:rPr>
                <w:rFonts w:hint="eastAsia" w:ascii="宋体" w:hAnsi="宋体" w:cs="宋体"/>
                <w:kern w:val="0"/>
                <w:sz w:val="22"/>
              </w:rPr>
              <w:t>1、产品主要规格及性能:</w:t>
            </w:r>
            <w:r>
              <w:rPr>
                <w:rFonts w:hint="eastAsia" w:ascii="宋体" w:hAnsi="宋体" w:cs="宋体"/>
                <w:kern w:val="0"/>
                <w:sz w:val="22"/>
              </w:rPr>
              <w:br w:type="textWrapping"/>
            </w:r>
            <w:r>
              <w:rPr>
                <w:rFonts w:hint="eastAsia" w:ascii="宋体" w:hAnsi="宋体" w:cs="宋体"/>
                <w:kern w:val="0"/>
                <w:sz w:val="22"/>
              </w:rPr>
              <w:t>机柜 宽600*深960*高1166MM（含脚轮高度）  容量22U ；</w:t>
            </w:r>
            <w:r>
              <w:rPr>
                <w:rFonts w:hint="eastAsia" w:ascii="宋体" w:hAnsi="宋体" w:cs="宋体"/>
                <w:kern w:val="0"/>
                <w:sz w:val="22"/>
              </w:rPr>
              <w:br w:type="textWrapping"/>
            </w:r>
            <w:r>
              <w:rPr>
                <w:rFonts w:hint="eastAsia" w:ascii="宋体" w:hAnsi="宋体" w:cs="宋体"/>
                <w:kern w:val="0"/>
                <w:sz w:val="22"/>
              </w:rPr>
              <w:t>2、标准:符合ANSI/EIA RS-310-D、IEC297-2、DIN41491; PART1、DIN41494; PART7、 GB/T3047.2- 92标准;兼容ETSI标准；</w:t>
            </w:r>
            <w:r>
              <w:rPr>
                <w:rFonts w:hint="eastAsia" w:ascii="宋体" w:hAnsi="宋体" w:cs="宋体"/>
                <w:kern w:val="0"/>
                <w:sz w:val="22"/>
              </w:rPr>
              <w:br w:type="textWrapping"/>
            </w:r>
            <w:r>
              <w:rPr>
                <w:rFonts w:hint="eastAsia" w:ascii="宋体" w:hAnsi="宋体" w:cs="宋体"/>
                <w:kern w:val="0"/>
                <w:sz w:val="22"/>
              </w:rPr>
              <w:t>3、特点:白色透明钢化玻璃前门，玻璃上下两边丝印黑色网纹；前后为圆形通风孔的上下框；主体颜色为国际流行RAL9004；可同时安装脚轮和支撑脚；结构坚固，最大静载达1000KG；可关闭的上部、下部多处走线通道，底部大走线孔尺寸可按需调整；可选配安装底座，达到固定机柜、底部过线、底部送冷风、防鼠的要求；可方便拆卸的左右侧门和前后门；齐全的可选配件；防护等级:IP20；</w:t>
            </w:r>
            <w:r>
              <w:rPr>
                <w:rFonts w:hint="eastAsia" w:ascii="宋体" w:hAnsi="宋体" w:cs="宋体"/>
                <w:kern w:val="0"/>
                <w:sz w:val="22"/>
              </w:rPr>
              <w:br w:type="textWrapping"/>
            </w:r>
            <w:r>
              <w:rPr>
                <w:rFonts w:hint="eastAsia" w:ascii="宋体" w:hAnsi="宋体" w:cs="宋体"/>
                <w:kern w:val="0"/>
                <w:sz w:val="22"/>
              </w:rPr>
              <w:t>4、主要材料:SPCC优质冷轧钢板制作；厚度：方孔条2.0mm,框架1.5mm,其他1.2mm；</w:t>
            </w:r>
            <w:r>
              <w:rPr>
                <w:rFonts w:hint="eastAsia" w:ascii="宋体" w:hAnsi="宋体" w:cs="宋体"/>
                <w:kern w:val="0"/>
                <w:sz w:val="22"/>
              </w:rPr>
              <w:br w:type="textWrapping"/>
            </w:r>
            <w:r>
              <w:rPr>
                <w:rFonts w:hint="eastAsia" w:ascii="宋体" w:hAnsi="宋体" w:cs="宋体"/>
                <w:kern w:val="0"/>
                <w:sz w:val="22"/>
              </w:rPr>
              <w:t>5、表面处理:脱脂、酸洗、磷化、静电喷塑；</w:t>
            </w:r>
            <w:r>
              <w:rPr>
                <w:rFonts w:hint="eastAsia" w:ascii="宋体" w:hAnsi="宋体" w:cs="宋体"/>
                <w:kern w:val="0"/>
                <w:sz w:val="22"/>
              </w:rPr>
              <w:br w:type="textWrapping"/>
            </w:r>
            <w:r>
              <w:rPr>
                <w:rFonts w:hint="eastAsia" w:ascii="宋体" w:hAnsi="宋体" w:cs="宋体"/>
                <w:kern w:val="0"/>
                <w:sz w:val="22"/>
              </w:rPr>
              <w:t>6、配备机柜专用PDU电源，不得使用家用类插排。</w:t>
            </w:r>
            <w:r>
              <w:rPr>
                <w:rFonts w:hint="eastAsia" w:ascii="宋体" w:hAnsi="宋体" w:cs="宋体"/>
                <w:kern w:val="0"/>
                <w:sz w:val="22"/>
              </w:rPr>
              <w:br w:type="textWrapping"/>
            </w:r>
            <w:r>
              <w:rPr>
                <w:rFonts w:hint="eastAsia" w:ascii="宋体" w:hAnsi="宋体" w:cs="宋体"/>
                <w:kern w:val="0"/>
                <w:sz w:val="22"/>
              </w:rPr>
              <w:t>7、机柜配备静音风扇。</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6F32">
            <w:pPr>
              <w:widowControl/>
              <w:jc w:val="center"/>
              <w:rPr>
                <w:rFonts w:ascii="宋体" w:hAnsi="宋体" w:cs="宋体"/>
                <w:kern w:val="0"/>
                <w:sz w:val="22"/>
              </w:rPr>
            </w:pPr>
            <w:r>
              <w:rPr>
                <w:rFonts w:hint="eastAsia" w:ascii="宋体" w:hAnsi="宋体" w:cs="宋体"/>
                <w:kern w:val="0"/>
                <w:sz w:val="22"/>
              </w:rPr>
              <w:t>个</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80D1">
            <w:pPr>
              <w:widowControl/>
              <w:jc w:val="center"/>
              <w:rPr>
                <w:rFonts w:ascii="宋体" w:hAnsi="宋体" w:cs="宋体"/>
                <w:kern w:val="0"/>
                <w:sz w:val="22"/>
              </w:rPr>
            </w:pPr>
            <w:r>
              <w:rPr>
                <w:rFonts w:hint="eastAsia" w:ascii="宋体" w:hAnsi="宋体" w:cs="宋体"/>
                <w:kern w:val="0"/>
                <w:sz w:val="22"/>
              </w:rPr>
              <w:t>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BFD9">
            <w:pPr>
              <w:widowControl/>
              <w:jc w:val="center"/>
              <w:rPr>
                <w:rFonts w:ascii="宋体" w:hAnsi="宋体" w:cs="宋体"/>
                <w:kern w:val="0"/>
                <w:sz w:val="22"/>
              </w:rPr>
            </w:pPr>
            <w:r>
              <w:rPr>
                <w:rFonts w:hint="eastAsia" w:ascii="宋体" w:hAnsi="宋体" w:cs="宋体"/>
                <w:kern w:val="0"/>
                <w:sz w:val="22"/>
              </w:rPr>
              <w:t>1000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AD38">
            <w:pPr>
              <w:widowControl/>
              <w:jc w:val="center"/>
              <w:rPr>
                <w:rFonts w:ascii="宋体" w:hAnsi="宋体" w:cs="宋体"/>
                <w:kern w:val="0"/>
                <w:sz w:val="22"/>
              </w:rPr>
            </w:pPr>
            <w:r>
              <w:rPr>
                <w:rFonts w:hint="eastAsia" w:ascii="宋体" w:hAnsi="宋体" w:cs="宋体"/>
                <w:kern w:val="0"/>
                <w:sz w:val="22"/>
              </w:rPr>
              <w:t>3000</w:t>
            </w:r>
          </w:p>
        </w:tc>
      </w:tr>
      <w:tr w14:paraId="25A4D7BF">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ACC5">
            <w:pPr>
              <w:widowControl/>
              <w:jc w:val="center"/>
              <w:rPr>
                <w:rFonts w:ascii="宋体" w:hAnsi="宋体" w:cs="宋体"/>
                <w:kern w:val="0"/>
                <w:sz w:val="22"/>
              </w:rPr>
            </w:pPr>
            <w:r>
              <w:rPr>
                <w:rFonts w:hint="eastAsia" w:ascii="宋体" w:hAnsi="宋体" w:cs="宋体"/>
                <w:kern w:val="0"/>
                <w:sz w:val="22"/>
              </w:rPr>
              <w:t>6</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DC9B">
            <w:pPr>
              <w:widowControl/>
              <w:jc w:val="center"/>
              <w:rPr>
                <w:rFonts w:ascii="宋体" w:hAnsi="宋体" w:cs="宋体"/>
                <w:kern w:val="0"/>
                <w:sz w:val="22"/>
              </w:rPr>
            </w:pPr>
            <w:r>
              <w:rPr>
                <w:rFonts w:hint="eastAsia" w:ascii="宋体" w:hAnsi="宋体" w:cs="宋体"/>
                <w:kern w:val="0"/>
                <w:sz w:val="22"/>
              </w:rPr>
              <w:t>双人学生桌</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F462">
            <w:pPr>
              <w:widowControl/>
              <w:jc w:val="left"/>
              <w:rPr>
                <w:rFonts w:ascii="宋体" w:hAnsi="宋体" w:cs="宋体"/>
                <w:kern w:val="0"/>
                <w:sz w:val="22"/>
              </w:rPr>
            </w:pPr>
            <w:r>
              <w:rPr>
                <w:rFonts w:hint="eastAsia" w:ascii="宋体" w:hAnsi="宋体" w:cs="宋体"/>
                <w:kern w:val="0"/>
                <w:sz w:val="22"/>
              </w:rPr>
              <w:t>1、材质：台面选用22mm厚，其它16mm优质橡胶木材质，经干燥、防虫、防腐处理，木材含水率符合国家标准，不翘曲、变形、无节疤，无虫眼。橡胶木符合GB/T 3324-2017、GB 18584-2001、GB/T 35607-2017、GB/T 29894-2013要求，含水率≤9.4%；甲醛释放量0.08mg/L；苯、甲苯、二甲苯、总挥发性有机物(TVOC)应未检出；家具涂层可迁移元素-铅、镉、铬、汞、锑、钡、硒、砷应未检出；可接触的实木部件中五氯苯酚≤0.1mg/kg；树种鉴定，样品所用木材的宏观特征及微观构造与大戟科橡胶树属木材的特征相符</w:t>
            </w:r>
            <w:r>
              <w:rPr>
                <w:rFonts w:hint="eastAsia" w:ascii="宋体" w:hAnsi="宋体" w:cs="宋体"/>
                <w:kern w:val="0"/>
                <w:sz w:val="22"/>
              </w:rPr>
              <w:br w:type="textWrapping"/>
            </w:r>
            <w:r>
              <w:rPr>
                <w:rFonts w:hint="eastAsia" w:ascii="宋体" w:hAnsi="宋体" w:cs="宋体"/>
                <w:kern w:val="0"/>
                <w:sz w:val="22"/>
              </w:rPr>
              <w:t>2，桌子整体结构采用连接板固定，为方便布线，桌子后方预留有走线槽，要求桌子设计大方体；</w:t>
            </w:r>
            <w:r>
              <w:rPr>
                <w:rFonts w:hint="eastAsia" w:ascii="宋体" w:hAnsi="宋体" w:cs="宋体"/>
                <w:kern w:val="0"/>
                <w:sz w:val="22"/>
              </w:rPr>
              <w:br w:type="textWrapping"/>
            </w:r>
            <w:r>
              <w:rPr>
                <w:rFonts w:hint="eastAsia" w:ascii="宋体" w:hAnsi="宋体" w:cs="宋体"/>
                <w:kern w:val="0"/>
                <w:sz w:val="22"/>
              </w:rPr>
              <w:t>3、配件：采用优质五金配件。</w:t>
            </w:r>
            <w:r>
              <w:rPr>
                <w:rFonts w:hint="eastAsia" w:ascii="宋体" w:hAnsi="宋体" w:cs="宋体"/>
                <w:kern w:val="0"/>
                <w:sz w:val="22"/>
              </w:rPr>
              <w:br w:type="textWrapping"/>
            </w:r>
            <w:r>
              <w:rPr>
                <w:rFonts w:hint="eastAsia" w:ascii="宋体" w:hAnsi="宋体" w:cs="宋体"/>
                <w:kern w:val="0"/>
                <w:sz w:val="22"/>
              </w:rPr>
              <w:t>4、桌面高请在订货前与项目学校确认。</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37C7">
            <w:pPr>
              <w:widowControl/>
              <w:jc w:val="center"/>
              <w:rPr>
                <w:rFonts w:ascii="宋体" w:hAnsi="宋体" w:cs="宋体"/>
                <w:kern w:val="0"/>
                <w:sz w:val="22"/>
              </w:rPr>
            </w:pPr>
            <w:r>
              <w:rPr>
                <w:rFonts w:hint="eastAsia" w:ascii="宋体" w:hAnsi="宋体" w:cs="宋体"/>
                <w:kern w:val="0"/>
                <w:sz w:val="22"/>
              </w:rPr>
              <w:t>张</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C7DF">
            <w:pPr>
              <w:widowControl/>
              <w:jc w:val="center"/>
              <w:rPr>
                <w:rFonts w:ascii="宋体" w:hAnsi="宋体" w:cs="宋体"/>
                <w:kern w:val="0"/>
                <w:sz w:val="22"/>
              </w:rPr>
            </w:pPr>
            <w:r>
              <w:rPr>
                <w:rFonts w:hint="eastAsia" w:ascii="宋体" w:hAnsi="宋体" w:cs="宋体"/>
                <w:kern w:val="0"/>
                <w:sz w:val="22"/>
              </w:rPr>
              <w:t>33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BC82">
            <w:pPr>
              <w:widowControl/>
              <w:jc w:val="center"/>
              <w:rPr>
                <w:rFonts w:ascii="宋体" w:hAnsi="宋体" w:cs="宋体"/>
                <w:kern w:val="0"/>
                <w:sz w:val="22"/>
              </w:rPr>
            </w:pPr>
            <w:r>
              <w:rPr>
                <w:rFonts w:hint="eastAsia" w:ascii="宋体" w:hAnsi="宋体" w:cs="宋体"/>
                <w:kern w:val="0"/>
                <w:sz w:val="22"/>
              </w:rPr>
              <w:t>500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A2DD">
            <w:pPr>
              <w:widowControl/>
              <w:jc w:val="center"/>
              <w:rPr>
                <w:rFonts w:ascii="宋体" w:hAnsi="宋体" w:cs="宋体"/>
                <w:kern w:val="0"/>
                <w:sz w:val="22"/>
              </w:rPr>
            </w:pPr>
            <w:r>
              <w:rPr>
                <w:rFonts w:hint="eastAsia" w:ascii="宋体" w:hAnsi="宋体" w:cs="宋体"/>
                <w:kern w:val="0"/>
                <w:sz w:val="22"/>
              </w:rPr>
              <w:t>16500</w:t>
            </w:r>
          </w:p>
        </w:tc>
      </w:tr>
      <w:tr w14:paraId="313447D5">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7D99">
            <w:pPr>
              <w:widowControl/>
              <w:jc w:val="center"/>
              <w:rPr>
                <w:rFonts w:ascii="宋体" w:hAnsi="宋体" w:cs="宋体"/>
                <w:kern w:val="0"/>
                <w:sz w:val="22"/>
              </w:rPr>
            </w:pPr>
            <w:r>
              <w:rPr>
                <w:rFonts w:hint="eastAsia" w:ascii="宋体" w:hAnsi="宋体" w:cs="宋体"/>
                <w:kern w:val="0"/>
                <w:sz w:val="22"/>
              </w:rPr>
              <w:t>7</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2DCC">
            <w:pPr>
              <w:widowControl/>
              <w:jc w:val="center"/>
              <w:rPr>
                <w:rFonts w:ascii="宋体" w:hAnsi="宋体" w:cs="宋体"/>
                <w:kern w:val="0"/>
                <w:sz w:val="22"/>
              </w:rPr>
            </w:pPr>
            <w:r>
              <w:rPr>
                <w:rFonts w:hint="eastAsia" w:ascii="宋体" w:hAnsi="宋体" w:cs="宋体"/>
                <w:kern w:val="0"/>
                <w:sz w:val="22"/>
              </w:rPr>
              <w:t>学生凳</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D56E">
            <w:pPr>
              <w:widowControl/>
              <w:jc w:val="left"/>
              <w:rPr>
                <w:rFonts w:ascii="宋体" w:hAnsi="宋体" w:cs="宋体"/>
                <w:kern w:val="0"/>
                <w:sz w:val="22"/>
              </w:rPr>
            </w:pPr>
            <w:r>
              <w:rPr>
                <w:rFonts w:hint="eastAsia" w:ascii="宋体" w:hAnsi="宋体" w:cs="宋体"/>
                <w:kern w:val="0"/>
                <w:sz w:val="22"/>
              </w:rPr>
              <w:t>1.采用优质橡胶木材质，经干燥、防虫、防腐处理，木材含水率符合国家标准，不翘曲、变形、无节疤，无虫眼。橡胶木符合GB/T 3324-2017、GB 18584-2001、GB/T 35607-2017、GB/T 29894-2013要求，含水率≤9.4%；甲醛释放量0.08mg/L；苯、甲苯、二甲苯、总挥发性有机物(TVOC)应未检出；家具涂层可迁移元素-铅、镉、铬、汞、锑、钡、硒、砷应未检出；可接触的实木部件中五氯苯酚≤0.1mg/kg；树种鉴定，样品所用木材的宏观特征及微观构造与大戟科橡胶树属木材的特征相符。</w:t>
            </w:r>
            <w:r>
              <w:rPr>
                <w:rFonts w:hint="eastAsia" w:ascii="宋体" w:hAnsi="宋体" w:cs="宋体"/>
                <w:kern w:val="0"/>
                <w:sz w:val="22"/>
              </w:rPr>
              <w:br w:type="textWrapping"/>
            </w:r>
            <w:r>
              <w:rPr>
                <w:rFonts w:hint="eastAsia" w:ascii="宋体" w:hAnsi="宋体" w:cs="宋体"/>
                <w:kern w:val="0"/>
                <w:sz w:val="22"/>
              </w:rPr>
              <w:t>2.座面高请在订货前与项目学校确认。</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D37F">
            <w:pPr>
              <w:widowControl/>
              <w:jc w:val="center"/>
              <w:rPr>
                <w:rFonts w:ascii="宋体" w:hAnsi="宋体" w:cs="宋体"/>
                <w:kern w:val="0"/>
                <w:sz w:val="22"/>
              </w:rPr>
            </w:pPr>
            <w:r>
              <w:rPr>
                <w:rFonts w:hint="eastAsia" w:ascii="宋体" w:hAnsi="宋体" w:cs="宋体"/>
                <w:kern w:val="0"/>
                <w:sz w:val="22"/>
              </w:rPr>
              <w:t>张</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96C3">
            <w:pPr>
              <w:widowControl/>
              <w:jc w:val="center"/>
              <w:rPr>
                <w:rFonts w:ascii="宋体" w:hAnsi="宋体" w:cs="宋体"/>
                <w:kern w:val="0"/>
                <w:sz w:val="22"/>
              </w:rPr>
            </w:pPr>
            <w:r>
              <w:rPr>
                <w:rFonts w:hint="eastAsia" w:ascii="宋体" w:hAnsi="宋体" w:cs="宋体"/>
                <w:kern w:val="0"/>
                <w:sz w:val="22"/>
              </w:rPr>
              <w:t>66</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98C5">
            <w:pPr>
              <w:widowControl/>
              <w:jc w:val="center"/>
              <w:rPr>
                <w:rFonts w:ascii="宋体" w:hAnsi="宋体" w:cs="宋体"/>
                <w:kern w:val="0"/>
                <w:sz w:val="22"/>
              </w:rPr>
            </w:pPr>
            <w:r>
              <w:rPr>
                <w:rFonts w:hint="eastAsia" w:ascii="宋体" w:hAnsi="宋体" w:cs="宋体"/>
                <w:kern w:val="0"/>
                <w:sz w:val="22"/>
              </w:rPr>
              <w:t>45</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A6EA">
            <w:pPr>
              <w:widowControl/>
              <w:jc w:val="center"/>
              <w:rPr>
                <w:rFonts w:ascii="宋体" w:hAnsi="宋体" w:cs="宋体"/>
                <w:kern w:val="0"/>
                <w:sz w:val="22"/>
              </w:rPr>
            </w:pPr>
            <w:r>
              <w:rPr>
                <w:rFonts w:hint="eastAsia" w:ascii="宋体" w:hAnsi="宋体" w:cs="宋体"/>
                <w:kern w:val="0"/>
                <w:sz w:val="22"/>
              </w:rPr>
              <w:t>2970</w:t>
            </w:r>
          </w:p>
        </w:tc>
      </w:tr>
      <w:tr w14:paraId="02DE2477">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94A4">
            <w:pPr>
              <w:widowControl/>
              <w:jc w:val="center"/>
              <w:rPr>
                <w:rFonts w:ascii="宋体" w:hAnsi="宋体" w:cs="宋体"/>
                <w:kern w:val="0"/>
                <w:sz w:val="22"/>
              </w:rPr>
            </w:pPr>
            <w:r>
              <w:rPr>
                <w:rFonts w:hint="eastAsia" w:ascii="宋体" w:hAnsi="宋体" w:cs="宋体"/>
                <w:kern w:val="0"/>
                <w:sz w:val="22"/>
              </w:rPr>
              <w:t>8</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1E62">
            <w:pPr>
              <w:widowControl/>
              <w:jc w:val="center"/>
              <w:rPr>
                <w:rFonts w:ascii="宋体" w:hAnsi="宋体" w:cs="宋体"/>
                <w:kern w:val="0"/>
                <w:sz w:val="22"/>
              </w:rPr>
            </w:pPr>
            <w:r>
              <w:rPr>
                <w:rFonts w:hint="eastAsia" w:ascii="宋体" w:hAnsi="宋体" w:cs="宋体"/>
                <w:kern w:val="0"/>
                <w:sz w:val="22"/>
              </w:rPr>
              <w:t>教师讲台和椅子</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8865">
            <w:pPr>
              <w:widowControl/>
              <w:jc w:val="left"/>
              <w:rPr>
                <w:rFonts w:ascii="宋体" w:hAnsi="宋体" w:cs="宋体"/>
                <w:kern w:val="0"/>
                <w:sz w:val="22"/>
              </w:rPr>
            </w:pPr>
            <w:r>
              <w:rPr>
                <w:rFonts w:hint="eastAsia" w:ascii="宋体" w:hAnsi="宋体" w:cs="宋体"/>
                <w:kern w:val="0"/>
                <w:sz w:val="22"/>
              </w:rPr>
              <w:t>一、教师坐式讲台一张：</w:t>
            </w:r>
            <w:r>
              <w:rPr>
                <w:rFonts w:hint="eastAsia" w:ascii="宋体" w:hAnsi="宋体" w:cs="宋体"/>
                <w:kern w:val="0"/>
                <w:sz w:val="22"/>
              </w:rPr>
              <w:br w:type="textWrapping"/>
            </w:r>
            <w:r>
              <w:rPr>
                <w:rFonts w:hint="eastAsia" w:ascii="宋体" w:hAnsi="宋体" w:cs="宋体"/>
                <w:kern w:val="0"/>
                <w:sz w:val="22"/>
              </w:rPr>
              <w:t>1.规格：定制。</w:t>
            </w:r>
            <w:r>
              <w:rPr>
                <w:rFonts w:hint="eastAsia" w:ascii="宋体" w:hAnsi="宋体" w:cs="宋体"/>
                <w:kern w:val="0"/>
                <w:sz w:val="22"/>
              </w:rPr>
              <w:br w:type="textWrapping"/>
            </w:r>
            <w:r>
              <w:rPr>
                <w:rFonts w:hint="eastAsia" w:ascii="宋体" w:hAnsi="宋体" w:cs="宋体"/>
                <w:kern w:val="0"/>
                <w:sz w:val="22"/>
              </w:rPr>
              <w:t>2.支持24寸液晶显示器、主机放置和安装。</w:t>
            </w:r>
            <w:r>
              <w:rPr>
                <w:rFonts w:hint="eastAsia" w:ascii="宋体" w:hAnsi="宋体" w:cs="宋体"/>
                <w:kern w:val="0"/>
                <w:sz w:val="22"/>
              </w:rPr>
              <w:br w:type="textWrapping"/>
            </w:r>
            <w:r>
              <w:rPr>
                <w:rFonts w:hint="eastAsia" w:ascii="宋体" w:hAnsi="宋体" w:cs="宋体"/>
                <w:kern w:val="0"/>
                <w:sz w:val="22"/>
              </w:rPr>
              <w:t>3.用优质冷轧钢板或经防腐防虫处理的多层实木材质，抗划耐磨防撞，硬度强，边角平滑圆弧过渡。</w:t>
            </w:r>
            <w:r>
              <w:rPr>
                <w:rFonts w:hint="eastAsia" w:ascii="宋体" w:hAnsi="宋体" w:cs="宋体"/>
                <w:kern w:val="0"/>
                <w:sz w:val="22"/>
              </w:rPr>
              <w:br w:type="textWrapping"/>
            </w:r>
            <w:r>
              <w:rPr>
                <w:rFonts w:hint="eastAsia" w:ascii="宋体" w:hAnsi="宋体" w:cs="宋体"/>
                <w:kern w:val="0"/>
                <w:sz w:val="22"/>
              </w:rPr>
              <w:t>4.讲台内带有固定线孔位，可对柜内所有设备线进行固定。</w:t>
            </w:r>
            <w:r>
              <w:rPr>
                <w:rFonts w:hint="eastAsia" w:ascii="宋体" w:hAnsi="宋体" w:cs="宋体"/>
                <w:kern w:val="0"/>
                <w:sz w:val="22"/>
              </w:rPr>
              <w:br w:type="textWrapping"/>
            </w:r>
            <w:r>
              <w:rPr>
                <w:rFonts w:hint="eastAsia" w:ascii="宋体" w:hAnsi="宋体" w:cs="宋体"/>
                <w:kern w:val="0"/>
                <w:sz w:val="22"/>
              </w:rPr>
              <w:t>二、小班椅一张：</w:t>
            </w:r>
            <w:r>
              <w:rPr>
                <w:rFonts w:hint="eastAsia" w:ascii="宋体" w:hAnsi="宋体" w:cs="宋体"/>
                <w:kern w:val="0"/>
                <w:sz w:val="22"/>
              </w:rPr>
              <w:br w:type="textWrapping"/>
            </w:r>
            <w:r>
              <w:rPr>
                <w:rFonts w:hint="eastAsia" w:ascii="宋体" w:hAnsi="宋体" w:cs="宋体"/>
                <w:kern w:val="0"/>
                <w:sz w:val="22"/>
              </w:rPr>
              <w:t>1.面料：采用优质阻燃网布面料，外观色泽均匀，自然，手感柔软；</w:t>
            </w:r>
            <w:r>
              <w:rPr>
                <w:rFonts w:hint="eastAsia" w:ascii="宋体" w:hAnsi="宋体" w:cs="宋体"/>
                <w:kern w:val="0"/>
                <w:sz w:val="22"/>
              </w:rPr>
              <w:br w:type="textWrapping"/>
            </w:r>
            <w:r>
              <w:rPr>
                <w:rFonts w:hint="eastAsia" w:ascii="宋体" w:hAnsi="宋体" w:cs="宋体"/>
                <w:kern w:val="0"/>
                <w:sz w:val="22"/>
              </w:rPr>
              <w:t>2.底盘：采用优质底盘，优质冷轧钢板；</w:t>
            </w:r>
            <w:r>
              <w:rPr>
                <w:rFonts w:hint="eastAsia" w:ascii="宋体" w:hAnsi="宋体" w:cs="宋体"/>
                <w:kern w:val="0"/>
                <w:sz w:val="22"/>
              </w:rPr>
              <w:br w:type="textWrapping"/>
            </w:r>
            <w:r>
              <w:rPr>
                <w:rFonts w:hint="eastAsia" w:ascii="宋体" w:hAnsi="宋体" w:cs="宋体"/>
                <w:kern w:val="0"/>
                <w:sz w:val="22"/>
              </w:rPr>
              <w:t>3.气动：采用优质原装气压棒、带前后倾仰功能；</w:t>
            </w:r>
            <w:r>
              <w:rPr>
                <w:rFonts w:hint="eastAsia" w:ascii="宋体" w:hAnsi="宋体" w:cs="宋体"/>
                <w:kern w:val="0"/>
                <w:sz w:val="22"/>
              </w:rPr>
              <w:br w:type="textWrapping"/>
            </w:r>
            <w:r>
              <w:rPr>
                <w:rFonts w:hint="eastAsia" w:ascii="宋体" w:hAnsi="宋体" w:cs="宋体"/>
                <w:kern w:val="0"/>
                <w:sz w:val="22"/>
              </w:rPr>
              <w:t>4.五星脚及扶手采用优质硬塑。</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48A8">
            <w:pPr>
              <w:widowControl/>
              <w:jc w:val="center"/>
              <w:rPr>
                <w:rFonts w:ascii="宋体" w:hAnsi="宋体" w:cs="宋体"/>
                <w:kern w:val="0"/>
                <w:sz w:val="22"/>
              </w:rPr>
            </w:pPr>
            <w:r>
              <w:rPr>
                <w:rFonts w:hint="eastAsia" w:ascii="宋体" w:hAnsi="宋体" w:cs="宋体"/>
                <w:kern w:val="0"/>
                <w:sz w:val="22"/>
              </w:rPr>
              <w:t>套</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3731">
            <w:pPr>
              <w:widowControl/>
              <w:jc w:val="center"/>
              <w:rPr>
                <w:rFonts w:ascii="宋体" w:hAnsi="宋体" w:cs="宋体"/>
                <w:kern w:val="0"/>
                <w:sz w:val="22"/>
              </w:rPr>
            </w:pPr>
            <w:r>
              <w:rPr>
                <w:rFonts w:hint="eastAsia" w:ascii="宋体" w:hAnsi="宋体" w:cs="宋体"/>
                <w:kern w:val="0"/>
                <w:sz w:val="22"/>
              </w:rPr>
              <w:t>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0455">
            <w:pPr>
              <w:widowControl/>
              <w:jc w:val="center"/>
              <w:rPr>
                <w:rFonts w:ascii="宋体" w:hAnsi="宋体" w:cs="宋体"/>
                <w:kern w:val="0"/>
                <w:sz w:val="22"/>
              </w:rPr>
            </w:pPr>
            <w:r>
              <w:rPr>
                <w:rFonts w:hint="eastAsia" w:ascii="宋体" w:hAnsi="宋体" w:cs="宋体"/>
                <w:kern w:val="0"/>
                <w:sz w:val="22"/>
              </w:rPr>
              <w:t>1380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E6D4">
            <w:pPr>
              <w:widowControl/>
              <w:jc w:val="center"/>
              <w:rPr>
                <w:rFonts w:ascii="宋体" w:hAnsi="宋体" w:cs="宋体"/>
                <w:kern w:val="0"/>
                <w:sz w:val="22"/>
              </w:rPr>
            </w:pPr>
            <w:r>
              <w:rPr>
                <w:rFonts w:hint="eastAsia" w:ascii="宋体" w:hAnsi="宋体" w:cs="宋体"/>
                <w:kern w:val="0"/>
                <w:sz w:val="22"/>
              </w:rPr>
              <w:t>4140</w:t>
            </w:r>
          </w:p>
        </w:tc>
      </w:tr>
      <w:tr w14:paraId="78BE7512">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ADB8">
            <w:pPr>
              <w:widowControl/>
              <w:jc w:val="center"/>
              <w:rPr>
                <w:rFonts w:ascii="宋体" w:hAnsi="宋体" w:cs="宋体"/>
                <w:kern w:val="0"/>
                <w:sz w:val="22"/>
              </w:rPr>
            </w:pPr>
            <w:r>
              <w:rPr>
                <w:rFonts w:hint="eastAsia" w:ascii="宋体" w:hAnsi="宋体" w:cs="宋体"/>
                <w:kern w:val="0"/>
                <w:sz w:val="22"/>
              </w:rPr>
              <w:t>9</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2013">
            <w:pPr>
              <w:widowControl/>
              <w:jc w:val="center"/>
              <w:rPr>
                <w:rFonts w:ascii="宋体" w:hAnsi="宋体" w:cs="宋体"/>
                <w:kern w:val="0"/>
                <w:sz w:val="22"/>
              </w:rPr>
            </w:pPr>
            <w:r>
              <w:rPr>
                <w:rFonts w:hint="eastAsia" w:ascii="宋体" w:hAnsi="宋体" w:cs="宋体"/>
                <w:kern w:val="0"/>
                <w:sz w:val="22"/>
              </w:rPr>
              <w:t>交互智能平板一体机</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342C">
            <w:pPr>
              <w:widowControl/>
              <w:jc w:val="left"/>
              <w:rPr>
                <w:rFonts w:ascii="宋体" w:hAnsi="宋体" w:cs="宋体"/>
                <w:kern w:val="0"/>
                <w:sz w:val="22"/>
              </w:rPr>
            </w:pPr>
            <w:r>
              <w:rPr>
                <w:rFonts w:hint="eastAsia" w:ascii="宋体" w:hAnsi="宋体" w:cs="宋体"/>
                <w:kern w:val="0"/>
                <w:sz w:val="22"/>
              </w:rPr>
              <w:t>一、整机屏显、音效设计</w:t>
            </w:r>
            <w:r>
              <w:rPr>
                <w:rFonts w:hint="eastAsia" w:ascii="宋体" w:hAnsi="宋体" w:cs="宋体"/>
                <w:kern w:val="0"/>
                <w:sz w:val="22"/>
              </w:rPr>
              <w:br w:type="textWrapping"/>
            </w:r>
            <w:r>
              <w:rPr>
                <w:rFonts w:hint="eastAsia" w:ascii="宋体" w:hAnsi="宋体" w:cs="宋体"/>
                <w:kern w:val="0"/>
                <w:sz w:val="22"/>
              </w:rPr>
              <w:t>▲1、采用UHD超高清LED防眩光液晶屏，尺寸≥86英寸，显示比例16:9，分辨率≥3840×2160。</w:t>
            </w:r>
            <w:r>
              <w:rPr>
                <w:rFonts w:hint="eastAsia" w:ascii="宋体" w:hAnsi="宋体" w:cs="宋体"/>
                <w:kern w:val="0"/>
                <w:sz w:val="22"/>
              </w:rPr>
              <w:br w:type="textWrapping"/>
            </w:r>
            <w:r>
              <w:rPr>
                <w:rFonts w:hint="eastAsia" w:ascii="宋体" w:hAnsi="宋体" w:cs="宋体"/>
                <w:kern w:val="0"/>
                <w:sz w:val="22"/>
              </w:rPr>
              <w:t>2、采用红外触控技术，支持在内置电脑操作系统中进行20点或以上触控，支持在嵌入式系统中进行10点或以上触控。</w:t>
            </w:r>
            <w:r>
              <w:rPr>
                <w:rFonts w:hint="eastAsia" w:ascii="宋体" w:hAnsi="宋体" w:cs="宋体"/>
                <w:kern w:val="0"/>
                <w:sz w:val="22"/>
              </w:rPr>
              <w:br w:type="textWrapping"/>
            </w:r>
            <w:r>
              <w:rPr>
                <w:rFonts w:hint="eastAsia" w:ascii="宋体" w:hAnsi="宋体" w:cs="宋体"/>
                <w:kern w:val="0"/>
                <w:sz w:val="22"/>
              </w:rPr>
              <w:t>▲3、整机显示灰度等级≥256，支持色彩空间可选，包含标准模式和sRGB模式，在sRGB模式下可做到高色准△E≤1.5。</w:t>
            </w:r>
            <w:r>
              <w:rPr>
                <w:rFonts w:hint="eastAsia" w:ascii="宋体" w:hAnsi="宋体" w:cs="宋体"/>
                <w:kern w:val="0"/>
                <w:sz w:val="22"/>
              </w:rPr>
              <w:br w:type="textWrapping"/>
            </w:r>
            <w:r>
              <w:rPr>
                <w:rFonts w:hint="eastAsia" w:ascii="宋体" w:hAnsi="宋体" w:cs="宋体"/>
                <w:kern w:val="0"/>
                <w:sz w:val="22"/>
              </w:rPr>
              <w:t>4、图像模式：支持标准、多媒体和节能三种图像模式调节；支持可自定义图像设置，可对对比度、屏幕色温、图像亮度、亮度范围、色彩空间进行调节设置。</w:t>
            </w:r>
            <w:r>
              <w:rPr>
                <w:rFonts w:hint="eastAsia" w:ascii="宋体" w:hAnsi="宋体" w:cs="宋体"/>
                <w:kern w:val="0"/>
                <w:sz w:val="22"/>
              </w:rPr>
              <w:br w:type="textWrapping"/>
            </w:r>
            <w:r>
              <w:rPr>
                <w:rFonts w:hint="eastAsia" w:ascii="宋体" w:hAnsi="宋体" w:cs="宋体"/>
                <w:kern w:val="0"/>
                <w:sz w:val="22"/>
              </w:rPr>
              <w:t>▲5、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r>
              <w:rPr>
                <w:rFonts w:hint="eastAsia" w:ascii="宋体" w:hAnsi="宋体" w:cs="宋体"/>
                <w:kern w:val="0"/>
                <w:sz w:val="22"/>
              </w:rPr>
              <w:br w:type="textWrapping"/>
            </w:r>
            <w:r>
              <w:rPr>
                <w:rFonts w:hint="eastAsia" w:ascii="宋体" w:hAnsi="宋体" w:cs="宋体"/>
                <w:kern w:val="0"/>
                <w:sz w:val="22"/>
              </w:rPr>
              <w:t>6、整机内置2.2声道扬声器，支持标准、听力、观影三种音效模式，位于设备上边框，顶置朝前发声，前朝向10W高音扬声器2个，上朝向20W中低音扬声器2个，额定总功率≥60W。</w:t>
            </w:r>
            <w:r>
              <w:rPr>
                <w:rFonts w:hint="eastAsia" w:ascii="宋体" w:hAnsi="宋体" w:cs="宋体"/>
                <w:kern w:val="0"/>
                <w:sz w:val="22"/>
              </w:rPr>
              <w:br w:type="textWrapping"/>
            </w:r>
            <w:r>
              <w:rPr>
                <w:rFonts w:hint="eastAsia" w:ascii="宋体" w:hAnsi="宋体" w:cs="宋体"/>
                <w:kern w:val="0"/>
                <w:sz w:val="22"/>
              </w:rPr>
              <w:t>7、整机内置扬声器采用缝隙发声技术，喇叭采用槽式开口设计，不大于5.8mm；在100%音量下，可做到1米处声压级≥80db，10米处声压级≥70dB。</w:t>
            </w:r>
            <w:r>
              <w:rPr>
                <w:rFonts w:hint="eastAsia" w:ascii="宋体" w:hAnsi="宋体" w:cs="宋体"/>
                <w:kern w:val="0"/>
                <w:sz w:val="22"/>
              </w:rPr>
              <w:br w:type="textWrapping"/>
            </w:r>
            <w:r>
              <w:rPr>
                <w:rFonts w:hint="eastAsia" w:ascii="宋体" w:hAnsi="宋体" w:cs="宋体"/>
                <w:kern w:val="0"/>
                <w:sz w:val="22"/>
              </w:rPr>
              <w:t>二、PC配置要求</w:t>
            </w:r>
            <w:r>
              <w:rPr>
                <w:rFonts w:hint="eastAsia" w:ascii="宋体" w:hAnsi="宋体" w:cs="宋体"/>
                <w:kern w:val="0"/>
                <w:sz w:val="22"/>
              </w:rPr>
              <w:br w:type="textWrapping"/>
            </w:r>
            <w:r>
              <w:rPr>
                <w:rFonts w:hint="eastAsia" w:ascii="宋体" w:hAnsi="宋体" w:cs="宋体"/>
                <w:kern w:val="0"/>
                <w:sz w:val="22"/>
              </w:rPr>
              <w:t>▲1、处理器：4核8线程或以上配置CPU，主频≥2.4Ghz。</w:t>
            </w:r>
            <w:r>
              <w:rPr>
                <w:rFonts w:hint="eastAsia" w:ascii="宋体" w:hAnsi="宋体" w:cs="宋体"/>
                <w:kern w:val="0"/>
                <w:sz w:val="22"/>
              </w:rPr>
              <w:br w:type="textWrapping"/>
            </w:r>
            <w:r>
              <w:rPr>
                <w:rFonts w:hint="eastAsia" w:ascii="宋体" w:hAnsi="宋体" w:cs="宋体"/>
                <w:kern w:val="0"/>
                <w:sz w:val="22"/>
              </w:rPr>
              <w:t>▲2、内存：≥16GB DDR4或以上配置。</w:t>
            </w:r>
            <w:r>
              <w:rPr>
                <w:rFonts w:hint="eastAsia" w:ascii="宋体" w:hAnsi="宋体" w:cs="宋体"/>
                <w:kern w:val="0"/>
                <w:sz w:val="22"/>
              </w:rPr>
              <w:br w:type="textWrapping"/>
            </w:r>
            <w:r>
              <w:rPr>
                <w:rFonts w:hint="eastAsia" w:ascii="宋体" w:hAnsi="宋体" w:cs="宋体"/>
                <w:kern w:val="0"/>
                <w:sz w:val="22"/>
              </w:rPr>
              <w:t>▲3、硬盘：≥512GB或以上SSD固态硬盘配置。</w:t>
            </w:r>
            <w:r>
              <w:rPr>
                <w:rFonts w:hint="eastAsia" w:ascii="宋体" w:hAnsi="宋体" w:cs="宋体"/>
                <w:kern w:val="0"/>
                <w:sz w:val="22"/>
              </w:rPr>
              <w:br w:type="textWrapping"/>
            </w:r>
            <w:r>
              <w:rPr>
                <w:rFonts w:hint="eastAsia" w:ascii="宋体" w:hAnsi="宋体" w:cs="宋体"/>
                <w:kern w:val="0"/>
                <w:sz w:val="22"/>
              </w:rPr>
              <w:t>4、机身采用热浸镀锌金属材质，采用智能风扇低噪音散热设计。</w:t>
            </w:r>
            <w:r>
              <w:rPr>
                <w:rFonts w:hint="eastAsia" w:ascii="宋体" w:hAnsi="宋体" w:cs="宋体"/>
                <w:kern w:val="0"/>
                <w:sz w:val="22"/>
              </w:rPr>
              <w:br w:type="textWrapping"/>
            </w:r>
            <w:r>
              <w:rPr>
                <w:rFonts w:hint="eastAsia" w:ascii="宋体" w:hAnsi="宋体" w:cs="宋体"/>
                <w:kern w:val="0"/>
                <w:sz w:val="22"/>
              </w:rPr>
              <w:t>5、模块主体尺寸不小于22cm*17cm*3cm以预留足够散热空间，确保封闭空间内有效散热。</w:t>
            </w:r>
            <w:r>
              <w:rPr>
                <w:rFonts w:hint="eastAsia" w:ascii="宋体" w:hAnsi="宋体" w:cs="宋体"/>
                <w:kern w:val="0"/>
                <w:sz w:val="22"/>
              </w:rPr>
              <w:br w:type="textWrapping"/>
            </w:r>
            <w:r>
              <w:rPr>
                <w:rFonts w:hint="eastAsia" w:ascii="宋体" w:hAnsi="宋体" w:cs="宋体"/>
                <w:kern w:val="0"/>
                <w:sz w:val="22"/>
              </w:rPr>
              <w:t>6、和整机的连接采用万兆级接口，传输速率≥10Gbps。</w:t>
            </w:r>
            <w:r>
              <w:rPr>
                <w:rFonts w:hint="eastAsia" w:ascii="宋体" w:hAnsi="宋体" w:cs="宋体"/>
                <w:kern w:val="0"/>
                <w:sz w:val="22"/>
              </w:rPr>
              <w:br w:type="textWrapping"/>
            </w:r>
            <w:r>
              <w:rPr>
                <w:rFonts w:hint="eastAsia" w:ascii="宋体" w:hAnsi="宋体" w:cs="宋体"/>
                <w:kern w:val="0"/>
                <w:sz w:val="22"/>
              </w:rPr>
              <w:t>7、具有独立非外扩展的视频输出接口：≥1路HDMI ，≥3路USB。</w:t>
            </w:r>
            <w:r>
              <w:rPr>
                <w:rFonts w:hint="eastAsia" w:ascii="宋体" w:hAnsi="宋体" w:cs="宋体"/>
                <w:kern w:val="0"/>
                <w:sz w:val="22"/>
              </w:rPr>
              <w:br w:type="textWrapping"/>
            </w:r>
            <w:r>
              <w:rPr>
                <w:rFonts w:hint="eastAsia" w:ascii="宋体" w:hAnsi="宋体" w:cs="宋体"/>
                <w:kern w:val="0"/>
                <w:sz w:val="22"/>
              </w:rPr>
              <w:t>8、PC模块可通过抽拉方式插入整机，可实现无单独接线的插拔。安全性保障：具有标准PC防盗锁孔。</w:t>
            </w:r>
            <w:r>
              <w:rPr>
                <w:rFonts w:hint="eastAsia" w:ascii="宋体" w:hAnsi="宋体" w:cs="宋体"/>
                <w:kern w:val="0"/>
                <w:sz w:val="22"/>
              </w:rPr>
              <w:br w:type="textWrapping"/>
            </w:r>
            <w:r>
              <w:rPr>
                <w:rFonts w:hint="eastAsia" w:ascii="宋体" w:hAnsi="宋体" w:cs="宋体"/>
                <w:kern w:val="0"/>
                <w:sz w:val="22"/>
              </w:rPr>
              <w:t>9、PC模块的USB接口须为冗余备份接口，在正常使用整机的内置摄像头、内置麦克风功能时，USB接口不被占用，确保教师有足够的接口外接存储设备及显示设备。</w:t>
            </w:r>
            <w:r>
              <w:rPr>
                <w:rFonts w:hint="eastAsia" w:ascii="宋体" w:hAnsi="宋体" w:cs="宋体"/>
                <w:kern w:val="0"/>
                <w:sz w:val="22"/>
              </w:rPr>
              <w:br w:type="textWrapping"/>
            </w:r>
            <w:r>
              <w:rPr>
                <w:rFonts w:hint="eastAsia" w:ascii="宋体" w:hAnsi="宋体" w:cs="宋体"/>
                <w:kern w:val="0"/>
                <w:sz w:val="22"/>
              </w:rPr>
              <w:t>▲10、正版电脑操作系统，带永久授权。中标人须完成正版激活流程。</w:t>
            </w:r>
            <w:r>
              <w:rPr>
                <w:rFonts w:hint="eastAsia" w:ascii="宋体" w:hAnsi="宋体" w:cs="宋体"/>
                <w:kern w:val="0"/>
                <w:sz w:val="22"/>
              </w:rPr>
              <w:br w:type="textWrapping"/>
            </w:r>
            <w:r>
              <w:rPr>
                <w:rFonts w:hint="eastAsia" w:ascii="宋体" w:hAnsi="宋体" w:cs="宋体"/>
                <w:kern w:val="0"/>
                <w:sz w:val="22"/>
              </w:rPr>
              <w:t>三、按键和接口设计</w:t>
            </w:r>
            <w:r>
              <w:rPr>
                <w:rFonts w:hint="eastAsia" w:ascii="宋体" w:hAnsi="宋体" w:cs="宋体"/>
                <w:kern w:val="0"/>
                <w:sz w:val="22"/>
              </w:rPr>
              <w:br w:type="textWrapping"/>
            </w:r>
            <w:r>
              <w:rPr>
                <w:rFonts w:hint="eastAsia" w:ascii="宋体" w:hAnsi="宋体" w:cs="宋体"/>
                <w:kern w:val="0"/>
                <w:sz w:val="22"/>
              </w:rPr>
              <w:t>▲1、前置 USB 接口具备防撞挡板设计，防撞挡板采用转轴式翻转。</w:t>
            </w:r>
            <w:r>
              <w:rPr>
                <w:rFonts w:hint="eastAsia" w:ascii="宋体" w:hAnsi="宋体" w:cs="宋体"/>
                <w:kern w:val="0"/>
                <w:sz w:val="22"/>
              </w:rPr>
              <w:br w:type="textWrapping"/>
            </w:r>
            <w:r>
              <w:rPr>
                <w:rFonts w:hint="eastAsia" w:ascii="宋体" w:hAnsi="宋体" w:cs="宋体"/>
                <w:kern w:val="0"/>
                <w:sz w:val="22"/>
              </w:rPr>
              <w:t>2、整机具备至少6个前置按键，实现老师开关机、调出中控菜单、音量+/-、护眼、录屏的操作。</w:t>
            </w:r>
            <w:r>
              <w:rPr>
                <w:rFonts w:hint="eastAsia" w:ascii="宋体" w:hAnsi="宋体" w:cs="宋体"/>
                <w:kern w:val="0"/>
                <w:sz w:val="22"/>
              </w:rPr>
              <w:br w:type="textWrapping"/>
            </w:r>
            <w:r>
              <w:rPr>
                <w:rFonts w:hint="eastAsia" w:ascii="宋体" w:hAnsi="宋体" w:cs="宋体"/>
                <w:kern w:val="0"/>
                <w:sz w:val="22"/>
              </w:rPr>
              <w:t>3、智能电子产品一键式设计：三合一电源按键，同一电源物理按键完成完成嵌入式系统和电脑系统的开机、节能熄屏、关机操作；关机状态下按按键开机；开机状态下按按键实现节能熄屏/唤醒，长按按键实现关机。</w:t>
            </w:r>
            <w:r>
              <w:rPr>
                <w:rFonts w:hint="eastAsia" w:ascii="宋体" w:hAnsi="宋体" w:cs="宋体"/>
                <w:kern w:val="0"/>
                <w:sz w:val="22"/>
              </w:rPr>
              <w:br w:type="textWrapping"/>
            </w:r>
            <w:r>
              <w:rPr>
                <w:rFonts w:hint="eastAsia" w:ascii="宋体" w:hAnsi="宋体" w:cs="宋体"/>
                <w:kern w:val="0"/>
                <w:sz w:val="22"/>
              </w:rPr>
              <w:t>4、支持锁定屏幕触摸和整机前置按键，可通过遥控器、十指长按屏幕5秒、软件菜单（调试菜单）实现该功能，也可通过前置面板的物理按键以组合按键的形式进行锁定/解锁。</w:t>
            </w:r>
            <w:r>
              <w:rPr>
                <w:rFonts w:hint="eastAsia" w:ascii="宋体" w:hAnsi="宋体" w:cs="宋体"/>
                <w:kern w:val="0"/>
                <w:sz w:val="22"/>
              </w:rPr>
              <w:br w:type="textWrapping"/>
            </w:r>
            <w:r>
              <w:rPr>
                <w:rFonts w:hint="eastAsia" w:ascii="宋体" w:hAnsi="宋体" w:cs="宋体"/>
                <w:kern w:val="0"/>
                <w:sz w:val="22"/>
              </w:rPr>
              <w:t>▲5、设备支持自定义前置“设置”按键，可通过自定义设置实现前置面板功能按键一键启用任一全局小工具（批注、截屏、计时、降半屏、放大镜、倒数日、日历）、快捷开关（节能模式、纸质护眼模式、经典护眼模式、自动亮度模式）。</w:t>
            </w:r>
            <w:r>
              <w:rPr>
                <w:rFonts w:hint="eastAsia" w:ascii="宋体" w:hAnsi="宋体" w:cs="宋体"/>
                <w:kern w:val="0"/>
                <w:sz w:val="22"/>
              </w:rPr>
              <w:br w:type="textWrapping"/>
            </w:r>
            <w:r>
              <w:rPr>
                <w:rFonts w:hint="eastAsia" w:ascii="宋体" w:hAnsi="宋体" w:cs="宋体"/>
                <w:kern w:val="0"/>
                <w:sz w:val="22"/>
              </w:rPr>
              <w:t>▲6、支持前置Type-C接口，通过Type-C接口实现音视频输入，外接电脑设备通过双头TypeC线连接至整机，即可把外接电脑设备画面投到整机上，同时在整机上操作画面，可实现触摸电脑的操作，无需再连接触控USB线。</w:t>
            </w:r>
            <w:r>
              <w:rPr>
                <w:rFonts w:hint="eastAsia" w:ascii="宋体" w:hAnsi="宋体" w:cs="宋体"/>
                <w:kern w:val="0"/>
                <w:sz w:val="22"/>
              </w:rPr>
              <w:br w:type="textWrapping"/>
            </w:r>
            <w:r>
              <w:rPr>
                <w:rFonts w:hint="eastAsia" w:ascii="宋体" w:hAnsi="宋体" w:cs="宋体"/>
                <w:kern w:val="0"/>
                <w:sz w:val="22"/>
              </w:rPr>
              <w:t>▲7、外接电脑设备通过双头TypeC线连接至整机，可直接调用整机内置的摄像头、麦克风、扬声器，通过外接电脑可拍摄教室画面。</w:t>
            </w:r>
            <w:r>
              <w:rPr>
                <w:rFonts w:hint="eastAsia" w:ascii="宋体" w:hAnsi="宋体" w:cs="宋体"/>
                <w:kern w:val="0"/>
                <w:sz w:val="22"/>
              </w:rPr>
              <w:br w:type="textWrapping"/>
            </w:r>
            <w:r>
              <w:rPr>
                <w:rFonts w:hint="eastAsia" w:ascii="宋体" w:hAnsi="宋体" w:cs="宋体"/>
                <w:kern w:val="0"/>
                <w:sz w:val="22"/>
              </w:rPr>
              <w:t>8、前置Type-C接口，支持通过外部线缆，实现外接电脑HDMI信号的接入显示。</w:t>
            </w:r>
            <w:r>
              <w:rPr>
                <w:rFonts w:hint="eastAsia" w:ascii="宋体" w:hAnsi="宋体" w:cs="宋体"/>
                <w:kern w:val="0"/>
                <w:sz w:val="22"/>
              </w:rPr>
              <w:br w:type="textWrapping"/>
            </w:r>
            <w:r>
              <w:rPr>
                <w:rFonts w:hint="eastAsia" w:ascii="宋体" w:hAnsi="宋体" w:cs="宋体"/>
                <w:kern w:val="0"/>
                <w:sz w:val="22"/>
              </w:rPr>
              <w:t>9、外接电脑设备连接整机且触摸信号连通时，外接电脑设备可直接读取整机前置USB接口的移动存储设备数据，连接整机前置USB接口的翻页笔和无线键鼠可直接使用于外接电脑。</w:t>
            </w:r>
            <w:r>
              <w:rPr>
                <w:rFonts w:hint="eastAsia" w:ascii="宋体" w:hAnsi="宋体" w:cs="宋体"/>
                <w:kern w:val="0"/>
                <w:sz w:val="22"/>
              </w:rPr>
              <w:br w:type="textWrapping"/>
            </w:r>
            <w:r>
              <w:rPr>
                <w:rFonts w:hint="eastAsia" w:ascii="宋体" w:hAnsi="宋体" w:cs="宋体"/>
                <w:kern w:val="0"/>
                <w:sz w:val="22"/>
              </w:rPr>
              <w:t>10、整机具备不少于1路侧置双通道USB接口，双系统USB接口支持Windows和Android双系统读取外接存储设备数据和识别展台信号。</w:t>
            </w:r>
            <w:r>
              <w:rPr>
                <w:rFonts w:hint="eastAsia" w:ascii="宋体" w:hAnsi="宋体" w:cs="宋体"/>
                <w:kern w:val="0"/>
                <w:sz w:val="22"/>
              </w:rPr>
              <w:br w:type="textWrapping"/>
            </w:r>
            <w:r>
              <w:rPr>
                <w:rFonts w:hint="eastAsia" w:ascii="宋体" w:hAnsi="宋体" w:cs="宋体"/>
                <w:kern w:val="0"/>
                <w:sz w:val="22"/>
              </w:rPr>
              <w:t>11、外接电脑设备通过HDMI线投送画面至整机时，再连接TypeB USB线至整机触控输出接口，即可直接调用整机内置的摄像头、麦克风、扬声器，在外接电脑即可拍摄教室画面。</w:t>
            </w:r>
            <w:r>
              <w:rPr>
                <w:rFonts w:hint="eastAsia" w:ascii="宋体" w:hAnsi="宋体" w:cs="宋体"/>
                <w:kern w:val="0"/>
                <w:sz w:val="22"/>
              </w:rPr>
              <w:br w:type="textWrapping"/>
            </w:r>
            <w:r>
              <w:rPr>
                <w:rFonts w:hint="eastAsia" w:ascii="宋体" w:hAnsi="宋体" w:cs="宋体"/>
                <w:kern w:val="0"/>
                <w:sz w:val="22"/>
              </w:rPr>
              <w:t>12、支持通道自动跳转功能，如整机处于正常使用状态，HDMI信号接入时，能自动识别并切换到对应的HDMI信号源通道，且断开后能回到上一通道，自动跳转前支持选择确认，待确认后再跳转。</w:t>
            </w:r>
            <w:r>
              <w:rPr>
                <w:rFonts w:hint="eastAsia" w:ascii="宋体" w:hAnsi="宋体" w:cs="宋体"/>
                <w:kern w:val="0"/>
                <w:sz w:val="22"/>
              </w:rPr>
              <w:br w:type="textWrapping"/>
            </w:r>
            <w:r>
              <w:rPr>
                <w:rFonts w:hint="eastAsia" w:ascii="宋体" w:hAnsi="宋体" w:cs="宋体"/>
                <w:kern w:val="0"/>
                <w:sz w:val="22"/>
              </w:rPr>
              <w:t>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t>四、教学工具设计</w:t>
            </w:r>
            <w:r>
              <w:rPr>
                <w:rFonts w:hint="eastAsia" w:ascii="宋体" w:hAnsi="宋体" w:cs="宋体"/>
                <w:kern w:val="0"/>
                <w:sz w:val="22"/>
              </w:rPr>
              <w:br w:type="textWrapping"/>
            </w:r>
            <w:r>
              <w:rPr>
                <w:rFonts w:hint="eastAsia" w:ascii="宋体" w:hAnsi="宋体" w:cs="宋体"/>
                <w:kern w:val="0"/>
                <w:sz w:val="22"/>
              </w:rPr>
              <w:t>▲1、支持统一互通的用户身份认证服务，账号登录后，打开教学白板软件、学生行为评价软件的教学应用工具时无需再次输入账号密码重复登录。</w:t>
            </w:r>
            <w:r>
              <w:rPr>
                <w:rFonts w:hint="eastAsia" w:ascii="宋体" w:hAnsi="宋体" w:cs="宋体"/>
                <w:kern w:val="0"/>
                <w:sz w:val="22"/>
              </w:rPr>
              <w:br w:type="textWrapping"/>
            </w:r>
            <w:r>
              <w:rPr>
                <w:rFonts w:hint="eastAsia" w:ascii="宋体" w:hAnsi="宋体" w:cs="宋体"/>
                <w:kern w:val="0"/>
                <w:sz w:val="22"/>
              </w:rPr>
              <w:t>2、整机全通道侧边栏支持快速将设备屏幕降低为半屏幕状态，点击上半屏幕可快速返回全屏状态。</w:t>
            </w:r>
            <w:r>
              <w:rPr>
                <w:rFonts w:hint="eastAsia" w:ascii="宋体" w:hAnsi="宋体" w:cs="宋体"/>
                <w:kern w:val="0"/>
                <w:sz w:val="22"/>
              </w:rPr>
              <w:br w:type="textWrapping"/>
            </w:r>
            <w:r>
              <w:rPr>
                <w:rFonts w:hint="eastAsia" w:ascii="宋体" w:hAnsi="宋体" w:cs="宋体"/>
                <w:kern w:val="0"/>
                <w:sz w:val="22"/>
              </w:rPr>
              <w:t>3、整机全通道侧边栏快捷菜单包含如下小工具：批注、截屏、计时、降半屏、放大镜、日历。</w:t>
            </w:r>
            <w:r>
              <w:rPr>
                <w:rFonts w:hint="eastAsia" w:ascii="宋体" w:hAnsi="宋体" w:cs="宋体"/>
                <w:kern w:val="0"/>
                <w:sz w:val="22"/>
              </w:rPr>
              <w:br w:type="textWrapping"/>
            </w:r>
            <w:r>
              <w:rPr>
                <w:rFonts w:hint="eastAsia" w:ascii="宋体" w:hAnsi="宋体" w:cs="宋体"/>
                <w:kern w:val="0"/>
                <w:sz w:val="22"/>
              </w:rPr>
              <w:t>4、整机具备智能手势识别功能，在任意信号源通道下可识别五指上、下、左、右方向手势、支持将各手势滑动方向自定义设置为无操作、熄屏、批注、桌面、半屏模式。</w:t>
            </w:r>
            <w:r>
              <w:rPr>
                <w:rFonts w:hint="eastAsia" w:ascii="宋体" w:hAnsi="宋体" w:cs="宋体"/>
                <w:kern w:val="0"/>
                <w:sz w:val="22"/>
              </w:rPr>
              <w:br w:type="textWrapping"/>
            </w:r>
            <w:r>
              <w:rPr>
                <w:rFonts w:hint="eastAsia" w:ascii="宋体" w:hAnsi="宋体" w:cs="宋体"/>
                <w:kern w:val="0"/>
                <w:sz w:val="22"/>
              </w:rPr>
              <w:t>▲5、整机全通道侧边栏支持在任意通道、页面使用批注小工具进行批注讲解，可根据手与屏幕的接触面积自动调整板擦工具的大小，可切换书写笔颜色、截屏保存批注内容、快速清屏。</w:t>
            </w:r>
            <w:r>
              <w:rPr>
                <w:rFonts w:hint="eastAsia" w:ascii="宋体" w:hAnsi="宋体" w:cs="宋体"/>
                <w:kern w:val="0"/>
                <w:sz w:val="22"/>
              </w:rPr>
              <w:br w:type="textWrapping"/>
            </w:r>
            <w:r>
              <w:rPr>
                <w:rFonts w:hint="eastAsia" w:ascii="宋体" w:hAnsi="宋体" w:cs="宋体"/>
                <w:kern w:val="0"/>
                <w:sz w:val="22"/>
              </w:rPr>
              <w:t xml:space="preserve">6、整机内置无线网络模块，PC模块无任何外接或转接天线、网卡可实现Wi-Fi无线上网连接和AP无线热点发射。 </w:t>
            </w:r>
            <w:r>
              <w:rPr>
                <w:rFonts w:hint="eastAsia" w:ascii="宋体" w:hAnsi="宋体" w:cs="宋体"/>
                <w:kern w:val="0"/>
                <w:sz w:val="22"/>
              </w:rPr>
              <w:br w:type="textWrapping"/>
            </w:r>
            <w:r>
              <w:rPr>
                <w:rFonts w:hint="eastAsia" w:ascii="宋体" w:hAnsi="宋体" w:cs="宋体"/>
                <w:kern w:val="0"/>
                <w:sz w:val="22"/>
              </w:rPr>
              <w:t>▲7、Wi-Fi和AP热点均支持频段 2.4GHz/5GHz ，Wi-Fi制式支持IEEE 802.11 a/b/g/n/ac/ax；支持版本Wi-Fi6。</w:t>
            </w:r>
            <w:r>
              <w:rPr>
                <w:rFonts w:hint="eastAsia" w:ascii="宋体" w:hAnsi="宋体" w:cs="宋体"/>
                <w:kern w:val="0"/>
                <w:sz w:val="22"/>
              </w:rPr>
              <w:br w:type="textWrapping"/>
            </w:r>
            <w:r>
              <w:rPr>
                <w:rFonts w:hint="eastAsia" w:ascii="宋体" w:hAnsi="宋体" w:cs="宋体"/>
                <w:kern w:val="0"/>
                <w:sz w:val="22"/>
              </w:rPr>
              <w:t>8、Wi-Fi和AP热点工作距离≥8米。</w:t>
            </w:r>
            <w:r>
              <w:rPr>
                <w:rFonts w:hint="eastAsia" w:ascii="宋体" w:hAnsi="宋体" w:cs="宋体"/>
                <w:kern w:val="0"/>
                <w:sz w:val="22"/>
              </w:rPr>
              <w:br w:type="textWrapping"/>
            </w:r>
            <w:r>
              <w:rPr>
                <w:rFonts w:hint="eastAsia" w:ascii="宋体" w:hAnsi="宋体" w:cs="宋体"/>
                <w:kern w:val="0"/>
                <w:sz w:val="22"/>
              </w:rPr>
              <w:t>▲9、整机内置非独立的高清摄像头，像素≥1200万，支持输出4K分辨率；视场角≥135度且水平视场角≥120度；可用于远程巡课，拍摄范围可以涵盖整机距离摄像头垂直法线左右水平距离各≥4米，左右最边缘深度≥2米范围内，并且可以AI识别人像。</w:t>
            </w:r>
            <w:r>
              <w:rPr>
                <w:rFonts w:hint="eastAsia" w:ascii="宋体" w:hAnsi="宋体" w:cs="宋体"/>
                <w:kern w:val="0"/>
                <w:sz w:val="22"/>
              </w:rPr>
              <w:br w:type="textWrapping"/>
            </w:r>
            <w:r>
              <w:rPr>
                <w:rFonts w:hint="eastAsia" w:ascii="宋体" w:hAnsi="宋体" w:cs="宋体"/>
                <w:kern w:val="0"/>
                <w:sz w:val="22"/>
              </w:rPr>
              <w:t>10、整机摄像头支持环境色温判断，根据环境调节合适的显示图像效果。</w:t>
            </w:r>
            <w:r>
              <w:rPr>
                <w:rFonts w:hint="eastAsia" w:ascii="宋体" w:hAnsi="宋体" w:cs="宋体"/>
                <w:kern w:val="0"/>
                <w:sz w:val="22"/>
              </w:rPr>
              <w:br w:type="textWrapping"/>
            </w:r>
            <w:r>
              <w:rPr>
                <w:rFonts w:hint="eastAsia" w:ascii="宋体" w:hAnsi="宋体" w:cs="宋体"/>
                <w:kern w:val="0"/>
                <w:sz w:val="22"/>
              </w:rPr>
              <w:t>▲11、整机摄像头支持人脸识别、快速点人数、随机抽人；识别所有学生，显示标记，然后随机抽选，同时显示标记≥55人。</w:t>
            </w:r>
            <w:r>
              <w:rPr>
                <w:rFonts w:hint="eastAsia" w:ascii="宋体" w:hAnsi="宋体" w:cs="宋体"/>
                <w:kern w:val="0"/>
                <w:sz w:val="22"/>
              </w:rPr>
              <w:br w:type="textWrapping"/>
            </w:r>
            <w:r>
              <w:rPr>
                <w:rFonts w:hint="eastAsia" w:ascii="宋体" w:hAnsi="宋体" w:cs="宋体"/>
                <w:kern w:val="0"/>
                <w:sz w:val="22"/>
              </w:rPr>
              <w:t>▲12、整机内置非独立外扩展的4阵列麦克风，可用于对教室环境音频进行采集，拾音距离≥10m。</w:t>
            </w:r>
            <w:r>
              <w:rPr>
                <w:rFonts w:hint="eastAsia" w:ascii="宋体" w:hAnsi="宋体" w:cs="宋体"/>
                <w:kern w:val="0"/>
                <w:sz w:val="22"/>
              </w:rPr>
              <w:br w:type="textWrapping"/>
            </w:r>
            <w:r>
              <w:rPr>
                <w:rFonts w:hint="eastAsia" w:ascii="宋体" w:hAnsi="宋体" w:cs="宋体"/>
                <w:kern w:val="0"/>
                <w:sz w:val="22"/>
              </w:rPr>
              <w:t>13、整机支持蓝牙Bluetooth 5.2标准，固件版本号HCI11.20/LMP11.20；蓝牙模块工作距离≥8m。</w:t>
            </w:r>
            <w:r>
              <w:rPr>
                <w:rFonts w:hint="eastAsia" w:ascii="宋体" w:hAnsi="宋体" w:cs="宋体"/>
                <w:kern w:val="0"/>
                <w:sz w:val="22"/>
              </w:rPr>
              <w:br w:type="textWrapping"/>
            </w:r>
            <w:r>
              <w:rPr>
                <w:rFonts w:hint="eastAsia" w:ascii="宋体" w:hAnsi="宋体" w:cs="宋体"/>
                <w:kern w:val="0"/>
                <w:sz w:val="22"/>
              </w:rPr>
              <w:t>14、整机支持搭配具有NFC功能的手机、平板，通过接触整机设备上的NFC标签，即可实现手机、平板与大屏的连接并同步手机、平板的画面到设备上，无需其它操作设置，支持≥4台手机、平板同时连接并显示。</w:t>
            </w:r>
            <w:r>
              <w:rPr>
                <w:rFonts w:hint="eastAsia" w:ascii="宋体" w:hAnsi="宋体" w:cs="宋体"/>
                <w:kern w:val="0"/>
                <w:sz w:val="22"/>
              </w:rPr>
              <w:br w:type="textWrapping"/>
            </w:r>
            <w:r>
              <w:rPr>
                <w:rFonts w:hint="eastAsia" w:ascii="宋体" w:hAnsi="宋体" w:cs="宋体"/>
                <w:kern w:val="0"/>
                <w:sz w:val="22"/>
              </w:rPr>
              <w:t>五、嵌入式操作系统设计</w:t>
            </w:r>
            <w:r>
              <w:rPr>
                <w:rFonts w:hint="eastAsia" w:ascii="宋体" w:hAnsi="宋体" w:cs="宋体"/>
                <w:kern w:val="0"/>
                <w:sz w:val="22"/>
              </w:rPr>
              <w:br w:type="textWrapping"/>
            </w:r>
            <w:r>
              <w:rPr>
                <w:rFonts w:hint="eastAsia" w:ascii="宋体" w:hAnsi="宋体" w:cs="宋体"/>
                <w:kern w:val="0"/>
                <w:sz w:val="22"/>
              </w:rPr>
              <w:t>▲1、嵌入式系统硬件配置，内存≥2GB，存储空间≥8GB。</w:t>
            </w:r>
            <w:r>
              <w:rPr>
                <w:rFonts w:hint="eastAsia" w:ascii="宋体" w:hAnsi="宋体" w:cs="宋体"/>
                <w:kern w:val="0"/>
                <w:sz w:val="22"/>
              </w:rPr>
              <w:br w:type="textWrapping"/>
            </w:r>
            <w:r>
              <w:rPr>
                <w:rFonts w:hint="eastAsia" w:ascii="宋体" w:hAnsi="宋体" w:cs="宋体"/>
                <w:kern w:val="0"/>
                <w:sz w:val="22"/>
              </w:rPr>
              <w:t>2、无PC状态下，嵌入式操作系统下可实现电脑操作系统中常用的教学应用功能，如白板书写、WPS软件使用、网页浏览。</w:t>
            </w:r>
            <w:r>
              <w:rPr>
                <w:rFonts w:hint="eastAsia" w:ascii="宋体" w:hAnsi="宋体" w:cs="宋体"/>
                <w:kern w:val="0"/>
                <w:sz w:val="22"/>
              </w:rPr>
              <w:br w:type="textWrapping"/>
            </w:r>
            <w:r>
              <w:rPr>
                <w:rFonts w:hint="eastAsia" w:ascii="宋体" w:hAnsi="宋体" w:cs="宋体"/>
                <w:kern w:val="0"/>
                <w:sz w:val="22"/>
              </w:rPr>
              <w:t>3、嵌入式操作系统下，互动白板可支持不同背景颜色，同时提供学科专用背景，如：五线谱、信纸、田字格、英文格、篮球和足球场地平面图。</w:t>
            </w:r>
            <w:r>
              <w:rPr>
                <w:rFonts w:hint="eastAsia" w:ascii="宋体" w:hAnsi="宋体" w:cs="宋体"/>
                <w:kern w:val="0"/>
                <w:sz w:val="22"/>
              </w:rPr>
              <w:br w:type="textWrapping"/>
            </w:r>
            <w:r>
              <w:rPr>
                <w:rFonts w:hint="eastAsia" w:ascii="宋体" w:hAnsi="宋体" w:cs="宋体"/>
                <w:kern w:val="0"/>
                <w:sz w:val="22"/>
              </w:rPr>
              <w:t>▲4、在嵌入式操作系统下，能对TV多媒体USB所读取到的文件进行自动归类，可快速分类查找文档、板书、音视频，检索后可直接在界面中打开。</w:t>
            </w:r>
            <w:r>
              <w:rPr>
                <w:rFonts w:hint="eastAsia" w:ascii="宋体" w:hAnsi="宋体" w:cs="宋体"/>
                <w:kern w:val="0"/>
                <w:sz w:val="22"/>
              </w:rPr>
              <w:br w:type="textWrapping"/>
            </w:r>
            <w:r>
              <w:rPr>
                <w:rFonts w:hint="eastAsia" w:ascii="宋体" w:hAnsi="宋体" w:cs="宋体"/>
                <w:kern w:val="0"/>
                <w:sz w:val="22"/>
              </w:rPr>
              <w:t>5、无PC状态下，嵌入式系统内置互动白板支持十笔书写及手掌擦除（手掌擦除面积根据手掌与屏幕的接触面大小自动调整），白板书写内容可导出PDF、IWB、SVG格式。支持8种以上平面图形工具，支持6种以上立体图形工具。</w:t>
            </w:r>
            <w:r>
              <w:rPr>
                <w:rFonts w:hint="eastAsia" w:ascii="宋体" w:hAnsi="宋体" w:cs="宋体"/>
                <w:kern w:val="0"/>
                <w:sz w:val="22"/>
              </w:rPr>
              <w:br w:type="textWrapping"/>
            </w:r>
            <w:r>
              <w:rPr>
                <w:rFonts w:hint="eastAsia" w:ascii="宋体" w:hAnsi="宋体" w:cs="宋体"/>
                <w:kern w:val="0"/>
                <w:sz w:val="22"/>
              </w:rPr>
              <w:t>6、无PC状态下，嵌入式系统内置互动白板支持全局漫游，并能在工具栏中对全局内容进行预览和移动。</w:t>
            </w:r>
            <w:r>
              <w:rPr>
                <w:rFonts w:hint="eastAsia" w:ascii="宋体" w:hAnsi="宋体" w:cs="宋体"/>
                <w:kern w:val="0"/>
                <w:sz w:val="22"/>
              </w:rPr>
              <w:br w:type="textWrapping"/>
            </w:r>
            <w:r>
              <w:rPr>
                <w:rFonts w:hint="eastAsia" w:ascii="宋体" w:hAnsi="宋体" w:cs="宋体"/>
                <w:kern w:val="0"/>
                <w:sz w:val="22"/>
              </w:rPr>
              <w:t>六、教学白板软件</w:t>
            </w:r>
            <w:r>
              <w:rPr>
                <w:rFonts w:hint="eastAsia" w:ascii="宋体" w:hAnsi="宋体" w:cs="宋体"/>
                <w:kern w:val="0"/>
                <w:sz w:val="22"/>
              </w:rPr>
              <w:br w:type="textWrapping"/>
            </w:r>
            <w:r>
              <w:rPr>
                <w:rFonts w:hint="eastAsia" w:ascii="宋体" w:hAnsi="宋体" w:cs="宋体"/>
                <w:kern w:val="0"/>
                <w:sz w:val="22"/>
              </w:rPr>
              <w:t>1.备授课一体化，具有备课模式及授课模式，且操作界面根据备课和授课使用场景不同而区别设计，符合用户使用需求。</w:t>
            </w:r>
            <w:r>
              <w:rPr>
                <w:rFonts w:hint="eastAsia" w:ascii="宋体" w:hAnsi="宋体" w:cs="宋体"/>
                <w:kern w:val="0"/>
                <w:sz w:val="22"/>
              </w:rPr>
              <w:br w:type="textWrapping"/>
            </w:r>
            <w:r>
              <w:rPr>
                <w:rFonts w:hint="eastAsia" w:ascii="宋体" w:hAnsi="宋体" w:cs="宋体"/>
                <w:kern w:val="0"/>
                <w:sz w:val="22"/>
              </w:rPr>
              <w:t>▲2.备课模式工具栏会自动根据老师账号中关联的学科不同而提供相对应的教学工具，例如语文学科会出现田字格工具，数学学科则出现几何工具，无需用户自行选择。</w:t>
            </w:r>
            <w:r>
              <w:rPr>
                <w:rFonts w:hint="eastAsia" w:ascii="宋体" w:hAnsi="宋体" w:cs="宋体"/>
                <w:kern w:val="0"/>
                <w:sz w:val="22"/>
              </w:rPr>
              <w:br w:type="textWrapping"/>
            </w:r>
            <w:r>
              <w:rPr>
                <w:rFonts w:hint="eastAsia" w:ascii="宋体" w:hAnsi="宋体" w:cs="宋体"/>
                <w:kern w:val="0"/>
                <w:sz w:val="22"/>
              </w:rPr>
              <w:t>3.支持课件云存储，无需使用 U 盘等存储设备，用户只需联网登录即可在交互式白板软件中获取云课件，并支持课件云分享，可将课件直接分享给其他用户，只需输入其他用户手持终端号即可。</w:t>
            </w:r>
            <w:r>
              <w:rPr>
                <w:rFonts w:hint="eastAsia" w:ascii="宋体" w:hAnsi="宋体" w:cs="宋体"/>
                <w:kern w:val="0"/>
                <w:sz w:val="22"/>
              </w:rPr>
              <w:br w:type="textWrapping"/>
            </w:r>
            <w:r>
              <w:rPr>
                <w:rFonts w:hint="eastAsia" w:ascii="宋体" w:hAnsi="宋体" w:cs="宋体"/>
                <w:kern w:val="0"/>
                <w:sz w:val="22"/>
              </w:rPr>
              <w:t>4.支持课件云同步，课件上的所有修改、操作均可实时同步至云端，无需单独保存上传，确保多终端调用同个课件均为最新版本。</w:t>
            </w:r>
            <w:r>
              <w:rPr>
                <w:rFonts w:hint="eastAsia" w:ascii="宋体" w:hAnsi="宋体" w:cs="宋体"/>
                <w:kern w:val="0"/>
                <w:sz w:val="22"/>
              </w:rPr>
              <w:br w:type="textWrapping"/>
            </w:r>
            <w:r>
              <w:rPr>
                <w:rFonts w:hint="eastAsia" w:ascii="宋体" w:hAnsi="宋体" w:cs="宋体"/>
                <w:kern w:val="0"/>
                <w:sz w:val="22"/>
              </w:rPr>
              <w:t>5.游戏教学功能：支持创建互动分类式游戏，可自定义不同类别及相对应的对象，实现将不同对象拖拽到对应的类别容器中可自动辨识分类，分类正确或错误均有相应提示。类别和对象的样式、数量均可以自定义设置。系统需提供不少于 20种游戏模板，直接选择并输入相应内容即可轻松生成互动分类式游戏，提升课堂趣味性。</w:t>
            </w:r>
            <w:r>
              <w:rPr>
                <w:rFonts w:hint="eastAsia" w:ascii="宋体" w:hAnsi="宋体" w:cs="宋体"/>
                <w:kern w:val="0"/>
                <w:sz w:val="22"/>
              </w:rPr>
              <w:br w:type="textWrapping"/>
            </w:r>
            <w:r>
              <w:rPr>
                <w:rFonts w:hint="eastAsia" w:ascii="宋体" w:hAnsi="宋体" w:cs="宋体"/>
                <w:kern w:val="0"/>
                <w:sz w:val="22"/>
              </w:rPr>
              <w:t>6.支持软件联网自动静默升级，无需用户手动更新。</w:t>
            </w:r>
            <w:r>
              <w:rPr>
                <w:rFonts w:hint="eastAsia" w:ascii="宋体" w:hAnsi="宋体" w:cs="宋体"/>
                <w:kern w:val="0"/>
                <w:sz w:val="22"/>
              </w:rPr>
              <w:br w:type="textWrapping"/>
            </w:r>
            <w:r>
              <w:rPr>
                <w:rFonts w:hint="eastAsia" w:ascii="宋体" w:hAnsi="宋体" w:cs="宋体"/>
                <w:kern w:val="0"/>
                <w:sz w:val="22"/>
              </w:rPr>
              <w:t>7.课件背景：提供不少于12 种以上背景模板供用户选择，持自定义背景。</w:t>
            </w:r>
            <w:r>
              <w:rPr>
                <w:rFonts w:hint="eastAsia" w:ascii="宋体" w:hAnsi="宋体" w:cs="宋体"/>
                <w:kern w:val="0"/>
                <w:sz w:val="22"/>
              </w:rPr>
              <w:br w:type="textWrapping"/>
            </w:r>
            <w:r>
              <w:rPr>
                <w:rFonts w:hint="eastAsia" w:ascii="宋体" w:hAnsi="宋体" w:cs="宋体"/>
                <w:kern w:val="0"/>
                <w:sz w:val="22"/>
              </w:rPr>
              <w:t>8.美术画板：支持美术画板工具，提供铅笔、毛笔、油画笔，可实现模拟调色盘功能，用户可自由选择不同颜色进行混合调色，搭配出任意色彩。</w:t>
            </w:r>
            <w:r>
              <w:rPr>
                <w:rFonts w:hint="eastAsia" w:ascii="宋体" w:hAnsi="宋体" w:cs="宋体"/>
                <w:kern w:val="0"/>
                <w:sz w:val="22"/>
              </w:rPr>
              <w:br w:type="textWrapping"/>
            </w:r>
            <w:r>
              <w:rPr>
                <w:rFonts w:hint="eastAsia" w:ascii="宋体" w:hAnsi="宋体" w:cs="宋体"/>
                <w:kern w:val="0"/>
                <w:sz w:val="22"/>
              </w:rPr>
              <w:t>9.快捷抠图：无需借助专业图片处理软件，即可在白板软件中对导入的图片进行快捷抠图、去背景，处理后的图片主体边缘没有明显毛边，可导出保存成 PNG 格式。</w:t>
            </w:r>
            <w:r>
              <w:rPr>
                <w:rFonts w:hint="eastAsia" w:ascii="宋体" w:hAnsi="宋体" w:cs="宋体"/>
                <w:kern w:val="0"/>
                <w:sz w:val="22"/>
              </w:rPr>
              <w:br w:type="textWrapping"/>
            </w:r>
            <w:r>
              <w:rPr>
                <w:rFonts w:hint="eastAsia" w:ascii="宋体" w:hAnsi="宋体" w:cs="宋体"/>
                <w:kern w:val="0"/>
                <w:sz w:val="22"/>
              </w:rPr>
              <w:t>10.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宋体" w:hAnsi="宋体" w:cs="宋体"/>
                <w:kern w:val="0"/>
                <w:sz w:val="22"/>
              </w:rPr>
              <w:br w:type="textWrapping"/>
            </w:r>
            <w:r>
              <w:rPr>
                <w:rFonts w:hint="eastAsia" w:ascii="宋体" w:hAnsi="宋体" w:cs="宋体"/>
                <w:kern w:val="0"/>
                <w:sz w:val="22"/>
              </w:rPr>
              <w:t>11.数学公式编辑器：支持复杂数学公式输入，提供不少于 20 个数学符号及和不少于15种公式模板，输出的公式内容支持不同颜色标记及二次编辑。</w:t>
            </w:r>
            <w:r>
              <w:rPr>
                <w:rFonts w:hint="eastAsia" w:ascii="宋体" w:hAnsi="宋体" w:cs="宋体"/>
                <w:kern w:val="0"/>
                <w:sz w:val="22"/>
              </w:rPr>
              <w:br w:type="textWrapping"/>
            </w:r>
            <w:r>
              <w:rPr>
                <w:rFonts w:hint="eastAsia" w:ascii="宋体" w:hAnsi="宋体" w:cs="宋体"/>
                <w:kern w:val="0"/>
                <w:sz w:val="22"/>
              </w:rPr>
              <w:t xml:space="preserve">12.3D星球模型：提供3D立体星球模型，包括地球、太阳、火星、水星等太阳系行星，支持360°自由旋转、缩放展示；并支持在立体地球模型清晰展现地球表面的六大板块、降水分布、气温分布、气候分布、人口分布、表层洋流、陆地自然带、海平面等压线等内容；且支持三维、二维切换展示，方便地理学科教学。 </w:t>
            </w:r>
            <w:r>
              <w:rPr>
                <w:rFonts w:hint="eastAsia" w:ascii="宋体" w:hAnsi="宋体" w:cs="宋体"/>
                <w:kern w:val="0"/>
                <w:sz w:val="22"/>
              </w:rPr>
              <w:br w:type="textWrapping"/>
            </w:r>
            <w:r>
              <w:rPr>
                <w:rFonts w:hint="eastAsia" w:ascii="宋体" w:hAnsi="宋体" w:cs="宋体"/>
                <w:kern w:val="0"/>
                <w:sz w:val="22"/>
              </w:rPr>
              <w:t>▲13.古诗词资源：</w:t>
            </w:r>
            <w:r>
              <w:rPr>
                <w:rFonts w:hint="eastAsia" w:ascii="宋体" w:hAnsi="宋体" w:cs="宋体"/>
                <w:kern w:val="0"/>
                <w:sz w:val="22"/>
              </w:rPr>
              <w:br w:type="textWrapping"/>
            </w:r>
            <w:r>
              <w:rPr>
                <w:rFonts w:hint="eastAsia" w:ascii="宋体" w:hAnsi="宋体" w:cs="宋体"/>
                <w:kern w:val="0"/>
                <w:sz w:val="22"/>
              </w:rPr>
              <w:t>（1）提供覆盖小学、初中、高中的古诗词资源，包含原文、翻译、背景介绍、作者介绍、朗诵音频等。</w:t>
            </w:r>
            <w:r>
              <w:rPr>
                <w:rFonts w:hint="eastAsia" w:ascii="宋体" w:hAnsi="宋体" w:cs="宋体"/>
                <w:kern w:val="0"/>
                <w:sz w:val="22"/>
              </w:rPr>
              <w:br w:type="textWrapping"/>
            </w:r>
            <w:r>
              <w:rPr>
                <w:rFonts w:hint="eastAsia" w:ascii="宋体" w:hAnsi="宋体" w:cs="宋体"/>
                <w:kern w:val="0"/>
                <w:sz w:val="22"/>
              </w:rPr>
              <w:t>（2）支持用户根据年级、朝代、诗人等进行分类查找，也可直接搜索诗词、古文名称或作者名查找。</w:t>
            </w:r>
            <w:r>
              <w:rPr>
                <w:rFonts w:hint="eastAsia" w:ascii="宋体" w:hAnsi="宋体" w:cs="宋体"/>
                <w:kern w:val="0"/>
                <w:sz w:val="22"/>
              </w:rPr>
              <w:br w:type="textWrapping"/>
            </w:r>
            <w:r>
              <w:rPr>
                <w:rFonts w:hint="eastAsia" w:ascii="宋体" w:hAnsi="宋体" w:cs="宋体"/>
                <w:kern w:val="0"/>
                <w:sz w:val="22"/>
              </w:rPr>
              <w:t>（3）提供不少于9种古诗词专用背景模板，用户可贴合古诗词意境选择合适背景进行教学。</w:t>
            </w:r>
            <w:r>
              <w:rPr>
                <w:rFonts w:hint="eastAsia" w:ascii="宋体" w:hAnsi="宋体" w:cs="宋体"/>
                <w:kern w:val="0"/>
                <w:sz w:val="22"/>
              </w:rPr>
              <w:br w:type="textWrapping"/>
            </w:r>
            <w:r>
              <w:rPr>
                <w:rFonts w:hint="eastAsia" w:ascii="宋体" w:hAnsi="宋体" w:cs="宋体"/>
                <w:kern w:val="0"/>
                <w:sz w:val="22"/>
              </w:rPr>
              <w:t>（4）古诗词、古文提供原文及翻译、背景介绍、作者介绍等，同时支持一键跳转打开网页，展示对应的背景或者介绍。</w:t>
            </w:r>
            <w:r>
              <w:rPr>
                <w:rFonts w:hint="eastAsia" w:ascii="宋体" w:hAnsi="宋体" w:cs="宋体"/>
                <w:kern w:val="0"/>
                <w:sz w:val="22"/>
              </w:rPr>
              <w:br w:type="textWrapping"/>
            </w:r>
            <w:r>
              <w:rPr>
                <w:rFonts w:hint="eastAsia" w:ascii="宋体" w:hAnsi="宋体" w:cs="宋体"/>
                <w:kern w:val="0"/>
                <w:sz w:val="22"/>
              </w:rPr>
              <w:t>（5）提供原文朗读功能，全部诗词、古文均配备专业朗读配音，且支持用户在备课时对朗读音频进行打点操作，上课时可播放提前选择好的片段。</w:t>
            </w:r>
            <w:r>
              <w:rPr>
                <w:rFonts w:hint="eastAsia" w:ascii="宋体" w:hAnsi="宋体" w:cs="宋体"/>
                <w:kern w:val="0"/>
                <w:sz w:val="22"/>
              </w:rPr>
              <w:br w:type="textWrapping"/>
            </w:r>
            <w:r>
              <w:rPr>
                <w:rFonts w:hint="eastAsia" w:ascii="宋体" w:hAnsi="宋体" w:cs="宋体"/>
                <w:kern w:val="0"/>
                <w:sz w:val="22"/>
              </w:rPr>
              <w:t>（6）支持用户备课时对原文进行注释、标重点等操作，方便用户讲解重点字词。</w:t>
            </w:r>
            <w:r>
              <w:rPr>
                <w:rFonts w:hint="eastAsia" w:ascii="宋体" w:hAnsi="宋体" w:cs="宋体"/>
                <w:kern w:val="0"/>
                <w:sz w:val="22"/>
              </w:rPr>
              <w:br w:type="textWrapping"/>
            </w:r>
            <w:r>
              <w:rPr>
                <w:rFonts w:hint="eastAsia" w:ascii="宋体" w:hAnsi="宋体" w:cs="宋体"/>
                <w:kern w:val="0"/>
                <w:sz w:val="22"/>
              </w:rPr>
              <w:t>▲14.立体几何：</w:t>
            </w:r>
            <w:r>
              <w:rPr>
                <w:rFonts w:hint="eastAsia" w:ascii="宋体" w:hAnsi="宋体" w:cs="宋体"/>
                <w:kern w:val="0"/>
                <w:sz w:val="22"/>
              </w:rPr>
              <w:br w:type="textWrapping"/>
            </w:r>
            <w:r>
              <w:rPr>
                <w:rFonts w:hint="eastAsia" w:ascii="宋体" w:hAnsi="宋体" w:cs="宋体"/>
                <w:kern w:val="0"/>
                <w:sz w:val="22"/>
              </w:rPr>
              <w:t>（1）支持绘制立方体、圆柱体等立体几何图形。</w:t>
            </w:r>
            <w:r>
              <w:rPr>
                <w:rFonts w:hint="eastAsia" w:ascii="宋体" w:hAnsi="宋体" w:cs="宋体"/>
                <w:kern w:val="0"/>
                <w:sz w:val="22"/>
              </w:rPr>
              <w:br w:type="textWrapping"/>
            </w:r>
            <w:r>
              <w:rPr>
                <w:rFonts w:hint="eastAsia" w:ascii="宋体" w:hAnsi="宋体" w:cs="宋体"/>
                <w:kern w:val="0"/>
                <w:sz w:val="22"/>
              </w:rPr>
              <w:t>（2）支持任意调节立体几何图形的尺寸，改变长宽高比例。</w:t>
            </w:r>
            <w:r>
              <w:rPr>
                <w:rFonts w:hint="eastAsia" w:ascii="宋体" w:hAnsi="宋体" w:cs="宋体"/>
                <w:kern w:val="0"/>
                <w:sz w:val="22"/>
              </w:rPr>
              <w:br w:type="textWrapping"/>
            </w:r>
            <w:r>
              <w:rPr>
                <w:rFonts w:hint="eastAsia" w:ascii="宋体" w:hAnsi="宋体" w:cs="宋体"/>
                <w:kern w:val="0"/>
                <w:sz w:val="22"/>
              </w:rPr>
              <w:t>（3）支持沿任意方向旋转立体几何。</w:t>
            </w:r>
            <w:r>
              <w:rPr>
                <w:rFonts w:hint="eastAsia" w:ascii="宋体" w:hAnsi="宋体" w:cs="宋体"/>
                <w:kern w:val="0"/>
                <w:sz w:val="22"/>
              </w:rPr>
              <w:br w:type="textWrapping"/>
            </w:r>
            <w:r>
              <w:rPr>
                <w:rFonts w:hint="eastAsia" w:ascii="宋体" w:hAnsi="宋体" w:cs="宋体"/>
                <w:kern w:val="0"/>
                <w:sz w:val="22"/>
              </w:rPr>
              <w:t>（4）支持为长方体6个面分别涂色，并且可通过任意旋转观察涂色与未涂色的表面</w:t>
            </w:r>
            <w:r>
              <w:rPr>
                <w:rFonts w:hint="eastAsia" w:ascii="宋体" w:hAnsi="宋体" w:cs="宋体"/>
                <w:kern w:val="0"/>
                <w:sz w:val="22"/>
              </w:rPr>
              <w:br w:type="textWrapping"/>
            </w:r>
            <w:r>
              <w:rPr>
                <w:rFonts w:hint="eastAsia" w:ascii="宋体" w:hAnsi="宋体" w:cs="宋体"/>
                <w:kern w:val="0"/>
                <w:sz w:val="22"/>
              </w:rPr>
              <w:t>15.数学画板功能：</w:t>
            </w:r>
            <w:r>
              <w:rPr>
                <w:rFonts w:hint="eastAsia" w:ascii="宋体" w:hAnsi="宋体" w:cs="宋体"/>
                <w:kern w:val="0"/>
                <w:sz w:val="22"/>
              </w:rPr>
              <w:br w:type="textWrapping"/>
            </w:r>
            <w:r>
              <w:rPr>
                <w:rFonts w:hint="eastAsia" w:ascii="宋体" w:hAnsi="宋体" w:cs="宋体"/>
                <w:kern w:val="0"/>
                <w:sz w:val="22"/>
              </w:rPr>
              <w:t>（1）支持在白板中插入在线画板，授课时可以一键打开,方便老师配合课件内容进行讲解。</w:t>
            </w:r>
            <w:r>
              <w:rPr>
                <w:rFonts w:hint="eastAsia" w:ascii="宋体" w:hAnsi="宋体" w:cs="宋体"/>
                <w:kern w:val="0"/>
                <w:sz w:val="22"/>
              </w:rPr>
              <w:br w:type="textWrapping"/>
            </w:r>
            <w:r>
              <w:rPr>
                <w:rFonts w:hint="eastAsia" w:ascii="宋体" w:hAnsi="宋体" w:cs="宋体"/>
                <w:kern w:val="0"/>
                <w:sz w:val="22"/>
              </w:rPr>
              <w:t>（2）提供超过500个数学画板资源，覆盖小学、初中、高中学段数学学科主要知识点，并按照知识点分类，便于老师查找。</w:t>
            </w:r>
            <w:r>
              <w:rPr>
                <w:rFonts w:hint="eastAsia" w:ascii="宋体" w:hAnsi="宋体" w:cs="宋体"/>
                <w:kern w:val="0"/>
                <w:sz w:val="22"/>
              </w:rPr>
              <w:br w:type="textWrapping"/>
            </w:r>
            <w:r>
              <w:rPr>
                <w:rFonts w:hint="eastAsia" w:ascii="宋体" w:hAnsi="宋体" w:cs="宋体"/>
                <w:kern w:val="0"/>
                <w:sz w:val="22"/>
              </w:rPr>
              <w:t>（3）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宋体" w:hAnsi="宋体" w:cs="宋体"/>
                <w:kern w:val="0"/>
                <w:sz w:val="22"/>
              </w:rPr>
              <w:br w:type="textWrapping"/>
            </w:r>
            <w:r>
              <w:rPr>
                <w:rFonts w:hint="eastAsia" w:ascii="宋体" w:hAnsi="宋体" w:cs="宋体"/>
                <w:kern w:val="0"/>
                <w:sz w:val="22"/>
              </w:rPr>
              <w:t>（4）支持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宋体" w:hAnsi="宋体" w:cs="宋体"/>
                <w:kern w:val="0"/>
                <w:sz w:val="22"/>
              </w:rPr>
              <w:br w:type="textWrapping"/>
            </w:r>
            <w:r>
              <w:rPr>
                <w:rFonts w:hint="eastAsia" w:ascii="宋体" w:hAnsi="宋体" w:cs="宋体"/>
                <w:kern w:val="0"/>
                <w:sz w:val="22"/>
              </w:rPr>
              <w:t>▲16.多学科题库：</w:t>
            </w:r>
            <w:r>
              <w:rPr>
                <w:rFonts w:hint="eastAsia" w:ascii="宋体" w:hAnsi="宋体" w:cs="宋体"/>
                <w:kern w:val="0"/>
                <w:sz w:val="22"/>
              </w:rPr>
              <w:br w:type="textWrapping"/>
            </w:r>
            <w:r>
              <w:rPr>
                <w:rFonts w:hint="eastAsia" w:ascii="宋体" w:hAnsi="宋体" w:cs="宋体"/>
                <w:kern w:val="0"/>
                <w:sz w:val="22"/>
              </w:rPr>
              <w:t>（1）提供不少于30万道试题给老师使用。</w:t>
            </w:r>
            <w:r>
              <w:rPr>
                <w:rFonts w:hint="eastAsia" w:ascii="宋体" w:hAnsi="宋体" w:cs="宋体"/>
                <w:kern w:val="0"/>
                <w:sz w:val="22"/>
              </w:rPr>
              <w:br w:type="textWrapping"/>
            </w:r>
            <w:r>
              <w:rPr>
                <w:rFonts w:hint="eastAsia" w:ascii="宋体" w:hAnsi="宋体" w:cs="宋体"/>
                <w:kern w:val="0"/>
                <w:sz w:val="22"/>
              </w:rPr>
              <w:t>（2）涵盖小学、初中、高中，其中中学部分包含语文、数学、英语、物理、化学、生物、政治、历史、地理等多个学科。</w:t>
            </w:r>
            <w:r>
              <w:rPr>
                <w:rFonts w:hint="eastAsia" w:ascii="宋体" w:hAnsi="宋体" w:cs="宋体"/>
                <w:kern w:val="0"/>
                <w:sz w:val="22"/>
              </w:rPr>
              <w:br w:type="textWrapping"/>
            </w:r>
            <w:r>
              <w:rPr>
                <w:rFonts w:hint="eastAsia" w:ascii="宋体" w:hAnsi="宋体" w:cs="宋体"/>
                <w:kern w:val="0"/>
                <w:sz w:val="22"/>
              </w:rPr>
              <w:t>（3）题库总知识点不少于9000个，除选择、填空、判断等基本题型外，还包含诗歌阅读、完形填空、阅读理解、辨析题、材料题、实验题、作图题等。</w:t>
            </w:r>
            <w:r>
              <w:rPr>
                <w:rFonts w:hint="eastAsia" w:ascii="宋体" w:hAnsi="宋体" w:cs="宋体"/>
                <w:kern w:val="0"/>
                <w:sz w:val="22"/>
              </w:rPr>
              <w:br w:type="textWrapping"/>
            </w:r>
            <w:r>
              <w:rPr>
                <w:rFonts w:hint="eastAsia" w:ascii="宋体" w:hAnsi="宋体" w:cs="宋体"/>
                <w:kern w:val="0"/>
                <w:sz w:val="22"/>
              </w:rPr>
              <w:t>（4）可批量选择多题并以交互式试题卡的形式插入到白板中。试题卡包含题干、答案和解析，并可一键实时展开、收起答案和解析。</w:t>
            </w:r>
            <w:r>
              <w:rPr>
                <w:rFonts w:hint="eastAsia" w:ascii="宋体" w:hAnsi="宋体" w:cs="宋体"/>
                <w:kern w:val="0"/>
                <w:sz w:val="22"/>
              </w:rPr>
              <w:br w:type="textWrapping"/>
            </w:r>
            <w:r>
              <w:rPr>
                <w:rFonts w:hint="eastAsia" w:ascii="宋体" w:hAnsi="宋体" w:cs="宋体"/>
                <w:kern w:val="0"/>
                <w:sz w:val="22"/>
              </w:rPr>
              <w:t>17.课堂小测：提供不少于40000道初中数学试题。</w:t>
            </w:r>
            <w:r>
              <w:rPr>
                <w:rFonts w:hint="eastAsia" w:ascii="宋体" w:hAnsi="宋体" w:cs="宋体"/>
                <w:kern w:val="0"/>
                <w:sz w:val="22"/>
              </w:rPr>
              <w:br w:type="textWrapping"/>
            </w:r>
            <w:r>
              <w:rPr>
                <w:rFonts w:hint="eastAsia" w:ascii="宋体" w:hAnsi="宋体" w:cs="宋体"/>
                <w:kern w:val="0"/>
                <w:sz w:val="22"/>
              </w:rPr>
              <w:t>（1）老师可根据所使用教材版本自由选择人教新版、苏科新版、北师大版、北京课改新版等不同版本试题。</w:t>
            </w:r>
            <w:r>
              <w:rPr>
                <w:rFonts w:hint="eastAsia" w:ascii="宋体" w:hAnsi="宋体" w:cs="宋体"/>
                <w:kern w:val="0"/>
                <w:sz w:val="22"/>
              </w:rPr>
              <w:br w:type="textWrapping"/>
            </w:r>
            <w:r>
              <w:rPr>
                <w:rFonts w:hint="eastAsia" w:ascii="宋体" w:hAnsi="宋体" w:cs="宋体"/>
                <w:kern w:val="0"/>
                <w:sz w:val="22"/>
              </w:rPr>
              <w:t>（2）试题按照教学进度分类，精确到每一章每一节，方便老师查找。</w:t>
            </w:r>
            <w:r>
              <w:rPr>
                <w:rFonts w:hint="eastAsia" w:ascii="宋体" w:hAnsi="宋体" w:cs="宋体"/>
                <w:kern w:val="0"/>
                <w:sz w:val="22"/>
              </w:rPr>
              <w:br w:type="textWrapping"/>
            </w:r>
            <w:r>
              <w:rPr>
                <w:rFonts w:hint="eastAsia" w:ascii="宋体" w:hAnsi="宋体" w:cs="宋体"/>
                <w:kern w:val="0"/>
                <w:sz w:val="22"/>
              </w:rPr>
              <w:t>（3）试题按照使用场景分类，分为课堂小测、课时练习、课后基础、课后提高等，方便老师在不同场景下选择。</w:t>
            </w:r>
            <w:r>
              <w:rPr>
                <w:rFonts w:hint="eastAsia" w:ascii="宋体" w:hAnsi="宋体" w:cs="宋体"/>
                <w:kern w:val="0"/>
                <w:sz w:val="22"/>
              </w:rPr>
              <w:br w:type="textWrapping"/>
            </w:r>
            <w:r>
              <w:rPr>
                <w:rFonts w:hint="eastAsia" w:ascii="宋体" w:hAnsi="宋体" w:cs="宋体"/>
                <w:kern w:val="0"/>
                <w:sz w:val="22"/>
              </w:rPr>
              <w:t>（4）题目已根据老师使用需要，组成套题，老师可一键批量选择；同时也支持老师自由组题，形成个性化套题。</w:t>
            </w:r>
            <w:r>
              <w:rPr>
                <w:rFonts w:hint="eastAsia" w:ascii="宋体" w:hAnsi="宋体" w:cs="宋体"/>
                <w:kern w:val="0"/>
                <w:sz w:val="22"/>
              </w:rPr>
              <w:br w:type="textWrapping"/>
            </w:r>
            <w:r>
              <w:rPr>
                <w:rFonts w:hint="eastAsia" w:ascii="宋体" w:hAnsi="宋体" w:cs="宋体"/>
                <w:kern w:val="0"/>
                <w:sz w:val="22"/>
              </w:rPr>
              <w:t>18.表格工具：</w:t>
            </w:r>
            <w:r>
              <w:rPr>
                <w:rFonts w:hint="eastAsia" w:ascii="宋体" w:hAnsi="宋体" w:cs="宋体"/>
                <w:kern w:val="0"/>
                <w:sz w:val="22"/>
              </w:rPr>
              <w:br w:type="textWrapping"/>
            </w:r>
            <w:r>
              <w:rPr>
                <w:rFonts w:hint="eastAsia" w:ascii="宋体" w:hAnsi="宋体" w:cs="宋体"/>
                <w:kern w:val="0"/>
                <w:sz w:val="22"/>
              </w:rPr>
              <w:t>（1）支持老师插入表格，并提供5种以上表格样式供老师选择。</w:t>
            </w:r>
            <w:r>
              <w:rPr>
                <w:rFonts w:hint="eastAsia" w:ascii="宋体" w:hAnsi="宋体" w:cs="宋体"/>
                <w:kern w:val="0"/>
                <w:sz w:val="22"/>
              </w:rPr>
              <w:br w:type="textWrapping"/>
            </w:r>
            <w:r>
              <w:rPr>
                <w:rFonts w:hint="eastAsia" w:ascii="宋体" w:hAnsi="宋体" w:cs="宋体"/>
                <w:kern w:val="0"/>
                <w:sz w:val="22"/>
              </w:rPr>
              <w:t>（2）支持表格自适应，可一键将表格的行、列调整到最合适的大小。</w:t>
            </w:r>
            <w:r>
              <w:rPr>
                <w:rFonts w:hint="eastAsia" w:ascii="宋体" w:hAnsi="宋体" w:cs="宋体"/>
                <w:kern w:val="0"/>
                <w:sz w:val="22"/>
              </w:rPr>
              <w:br w:type="textWrapping"/>
            </w:r>
            <w:r>
              <w:rPr>
                <w:rFonts w:hint="eastAsia" w:ascii="宋体" w:hAnsi="宋体" w:cs="宋体"/>
                <w:kern w:val="0"/>
                <w:sz w:val="22"/>
              </w:rPr>
              <w:t>（3）支持表格遮罩功能，可对表格中任意一格添加遮罩，在授课模式下通过点击可消除遮罩，方便老师设置互动活动。</w:t>
            </w:r>
            <w:r>
              <w:rPr>
                <w:rFonts w:hint="eastAsia" w:ascii="宋体" w:hAnsi="宋体" w:cs="宋体"/>
                <w:kern w:val="0"/>
                <w:sz w:val="22"/>
              </w:rPr>
              <w:br w:type="textWrapping"/>
            </w:r>
            <w:r>
              <w:rPr>
                <w:rFonts w:hint="eastAsia" w:ascii="宋体" w:hAnsi="宋体" w:cs="宋体"/>
                <w:kern w:val="0"/>
                <w:sz w:val="22"/>
              </w:rPr>
              <w:t>（4）在授课模式下，支持表格克隆功能，可克隆出多个相同表格，方便老师请多位同学进行答题互动。</w:t>
            </w:r>
            <w:r>
              <w:rPr>
                <w:rFonts w:hint="eastAsia" w:ascii="宋体" w:hAnsi="宋体" w:cs="宋体"/>
                <w:kern w:val="0"/>
                <w:sz w:val="22"/>
              </w:rPr>
              <w:br w:type="textWrapping"/>
            </w:r>
            <w:r>
              <w:rPr>
                <w:rFonts w:hint="eastAsia" w:ascii="宋体" w:hAnsi="宋体" w:cs="宋体"/>
                <w:kern w:val="0"/>
                <w:sz w:val="22"/>
              </w:rPr>
              <w:t>七、学生行为评价软件</w:t>
            </w:r>
            <w:r>
              <w:rPr>
                <w:rFonts w:hint="eastAsia" w:ascii="宋体" w:hAnsi="宋体" w:cs="宋体"/>
                <w:kern w:val="0"/>
                <w:sz w:val="22"/>
              </w:rPr>
              <w:br w:type="textWrapping"/>
            </w:r>
            <w:r>
              <w:rPr>
                <w:rFonts w:hint="eastAsia" w:ascii="宋体" w:hAnsi="宋体" w:cs="宋体"/>
                <w:kern w:val="0"/>
                <w:sz w:val="22"/>
              </w:rPr>
              <w:t>1.学生行为评价系统，集成三大功能模块：基础信息管理、课堂表现评价、家校互联互通，功能及操作均统一在同一软件平台同一账号体系实现。</w:t>
            </w:r>
            <w:r>
              <w:rPr>
                <w:rFonts w:hint="eastAsia" w:ascii="宋体" w:hAnsi="宋体" w:cs="宋体"/>
                <w:kern w:val="0"/>
                <w:sz w:val="22"/>
              </w:rPr>
              <w:br w:type="textWrapping"/>
            </w:r>
            <w:r>
              <w:rPr>
                <w:rFonts w:hint="eastAsia" w:ascii="宋体" w:hAnsi="宋体" w:cs="宋体"/>
                <w:kern w:val="0"/>
                <w:sz w:val="22"/>
              </w:rPr>
              <w:t>2.支持 PC客户端、PC 网页端、安卓手持终端端、苹果手持终端端登陆使用，且各个端的数据是互通的，方便用户随时随地对学生进行管理与评价。</w:t>
            </w:r>
            <w:r>
              <w:rPr>
                <w:rFonts w:hint="eastAsia" w:ascii="宋体" w:hAnsi="宋体" w:cs="宋体"/>
                <w:kern w:val="0"/>
                <w:sz w:val="22"/>
              </w:rPr>
              <w:br w:type="textWrapping"/>
            </w:r>
            <w:r>
              <w:rPr>
                <w:rFonts w:hint="eastAsia" w:ascii="宋体" w:hAnsi="宋体" w:cs="宋体"/>
                <w:kern w:val="0"/>
                <w:sz w:val="22"/>
              </w:rPr>
              <w:t>3.支持多个用户管理同一个班级，从而满足一个班级有班主任和多个任课用户的实际情况。</w:t>
            </w:r>
            <w:r>
              <w:rPr>
                <w:rFonts w:hint="eastAsia" w:ascii="宋体" w:hAnsi="宋体" w:cs="宋体"/>
                <w:kern w:val="0"/>
                <w:sz w:val="22"/>
              </w:rPr>
              <w:br w:type="textWrapping"/>
            </w:r>
            <w:r>
              <w:rPr>
                <w:rFonts w:hint="eastAsia" w:ascii="宋体" w:hAnsi="宋体" w:cs="宋体"/>
                <w:kern w:val="0"/>
                <w:sz w:val="22"/>
              </w:rPr>
              <w:t>4.支持邀请家长入班，使家长可查看到自己的孩子在学校的各种表现。</w:t>
            </w:r>
            <w:r>
              <w:rPr>
                <w:rFonts w:hint="eastAsia" w:ascii="宋体" w:hAnsi="宋体" w:cs="宋体"/>
                <w:kern w:val="0"/>
                <w:sz w:val="22"/>
              </w:rPr>
              <w:br w:type="textWrapping"/>
            </w:r>
            <w:r>
              <w:rPr>
                <w:rFonts w:hint="eastAsia" w:ascii="宋体" w:hAnsi="宋体" w:cs="宋体"/>
                <w:kern w:val="0"/>
                <w:sz w:val="22"/>
              </w:rPr>
              <w:t>5.用户可通过移动端、PC端及网页端对学生、小组及班级进行行为评价，通过卡通游戏化的方式对学生进行表扬或提醒。</w:t>
            </w:r>
            <w:r>
              <w:rPr>
                <w:rFonts w:hint="eastAsia" w:ascii="宋体" w:hAnsi="宋体" w:cs="宋体"/>
                <w:kern w:val="0"/>
                <w:sz w:val="22"/>
              </w:rPr>
              <w:br w:type="textWrapping"/>
            </w:r>
            <w:r>
              <w:rPr>
                <w:rFonts w:hint="eastAsia" w:ascii="宋体" w:hAnsi="宋体" w:cs="宋体"/>
                <w:kern w:val="0"/>
                <w:sz w:val="22"/>
              </w:rPr>
              <w:t>6.支持查看课堂表现评价统计报表，按饼状图形式展现学生课堂表现情况，支持查看班级或学生个人的评价情况，并可具体查看到每一条评价的原因、对象、分值，便于用户做统计分析。</w:t>
            </w:r>
            <w:r>
              <w:rPr>
                <w:rFonts w:hint="eastAsia" w:ascii="宋体" w:hAnsi="宋体" w:cs="宋体"/>
                <w:kern w:val="0"/>
                <w:sz w:val="22"/>
              </w:rPr>
              <w:br w:type="textWrapping"/>
            </w:r>
            <w:r>
              <w:rPr>
                <w:rFonts w:hint="eastAsia" w:ascii="宋体" w:hAnsi="宋体" w:cs="宋体"/>
                <w:kern w:val="0"/>
                <w:sz w:val="22"/>
              </w:rPr>
              <w:t>八、大小屏互动软件</w:t>
            </w:r>
            <w:r>
              <w:rPr>
                <w:rFonts w:hint="eastAsia" w:ascii="宋体" w:hAnsi="宋体" w:cs="宋体"/>
                <w:kern w:val="0"/>
                <w:sz w:val="22"/>
              </w:rPr>
              <w:br w:type="textWrapping"/>
            </w:r>
            <w:r>
              <w:rPr>
                <w:rFonts w:hint="eastAsia" w:ascii="宋体" w:hAnsi="宋体" w:cs="宋体"/>
                <w:kern w:val="0"/>
                <w:sz w:val="22"/>
              </w:rPr>
              <w:t>1.如手机、PAD等移动终端，可通过本软件与交互智能平板实现无线连接，可对连接的设备进行密码的权限管理，支持二维码扫码自连接服务器功能。</w:t>
            </w:r>
            <w:r>
              <w:rPr>
                <w:rFonts w:hint="eastAsia" w:ascii="宋体" w:hAnsi="宋体" w:cs="宋体"/>
                <w:kern w:val="0"/>
                <w:sz w:val="22"/>
              </w:rPr>
              <w:br w:type="textWrapping"/>
            </w:r>
            <w:r>
              <w:rPr>
                <w:rFonts w:hint="eastAsia" w:ascii="宋体" w:hAnsi="宋体" w:cs="宋体"/>
                <w:kern w:val="0"/>
                <w:sz w:val="22"/>
              </w:rPr>
              <w:t>2.支持多图对比展示功能，可将多位学生的作业、试卷或实验结果进行拍摄，并上传至智能平板的互动教学软件里进行对比展示，支持点评功能，可给每位同学的作品以不同的奖章。</w:t>
            </w:r>
            <w:r>
              <w:rPr>
                <w:rFonts w:hint="eastAsia" w:ascii="宋体" w:hAnsi="宋体" w:cs="宋体"/>
                <w:kern w:val="0"/>
                <w:sz w:val="22"/>
              </w:rPr>
              <w:br w:type="textWrapping"/>
            </w:r>
            <w:r>
              <w:rPr>
                <w:rFonts w:hint="eastAsia" w:ascii="宋体" w:hAnsi="宋体" w:cs="宋体"/>
                <w:kern w:val="0"/>
                <w:sz w:val="22"/>
              </w:rP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r>
              <w:rPr>
                <w:rFonts w:hint="eastAsia" w:ascii="宋体" w:hAnsi="宋体" w:cs="宋体"/>
                <w:kern w:val="0"/>
                <w:sz w:val="22"/>
              </w:rPr>
              <w:br w:type="textWrapping"/>
            </w:r>
            <w:r>
              <w:rPr>
                <w:rFonts w:hint="eastAsia" w:ascii="宋体" w:hAnsi="宋体" w:cs="宋体"/>
                <w:kern w:val="0"/>
                <w:sz w:val="22"/>
              </w:rP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t>九、其它要求：</w:t>
            </w:r>
            <w:r>
              <w:rPr>
                <w:rFonts w:hint="eastAsia" w:ascii="宋体" w:hAnsi="宋体" w:cs="宋体"/>
                <w:kern w:val="0"/>
                <w:sz w:val="22"/>
              </w:rPr>
              <w:br w:type="textWrapping"/>
            </w:r>
            <w:r>
              <w:rPr>
                <w:rFonts w:hint="eastAsia" w:ascii="宋体" w:hAnsi="宋体" w:cs="宋体"/>
                <w:kern w:val="0"/>
                <w:sz w:val="22"/>
              </w:rPr>
              <w:t>1.全国24小时免费400/800等电话保修、二维码扫描保修、区域化驻地技术工程师专线保修。</w:t>
            </w:r>
            <w:r>
              <w:rPr>
                <w:rFonts w:hint="eastAsia" w:ascii="宋体" w:hAnsi="宋体" w:cs="宋体"/>
                <w:kern w:val="0"/>
                <w:sz w:val="22"/>
              </w:rPr>
              <w:br w:type="textWrapping"/>
            </w:r>
            <w:r>
              <w:rPr>
                <w:rFonts w:hint="eastAsia" w:ascii="宋体" w:hAnsi="宋体" w:cs="宋体"/>
                <w:kern w:val="0"/>
                <w:sz w:val="22"/>
              </w:rPr>
              <w:t>▲2.针对投标产品，供货时中标人提供有资质的检测机构出具的有效检测报告并加盖投标人公章。</w:t>
            </w:r>
            <w:r>
              <w:rPr>
                <w:rFonts w:hint="eastAsia" w:ascii="宋体" w:hAnsi="宋体" w:cs="宋体"/>
                <w:kern w:val="0"/>
                <w:sz w:val="22"/>
              </w:rPr>
              <w:br w:type="textWrapping"/>
            </w:r>
            <w:r>
              <w:rPr>
                <w:rFonts w:hint="eastAsia" w:ascii="宋体" w:hAnsi="宋体" w:cs="宋体"/>
                <w:kern w:val="0"/>
                <w:sz w:val="22"/>
              </w:rPr>
              <w:t>3.开机LOGO定制，开机时显示“隆安县教育局2024年配备”。</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4977">
            <w:pPr>
              <w:widowControl/>
              <w:jc w:val="center"/>
              <w:rPr>
                <w:rFonts w:ascii="宋体" w:hAnsi="宋体" w:cs="宋体"/>
                <w:kern w:val="0"/>
                <w:sz w:val="22"/>
              </w:rPr>
            </w:pPr>
            <w:r>
              <w:rPr>
                <w:rFonts w:hint="eastAsia" w:ascii="宋体" w:hAnsi="宋体" w:cs="宋体"/>
                <w:kern w:val="0"/>
                <w:sz w:val="22"/>
              </w:rPr>
              <w:t>台</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06A9">
            <w:pPr>
              <w:widowControl/>
              <w:jc w:val="center"/>
              <w:rPr>
                <w:rFonts w:ascii="宋体" w:hAnsi="宋体" w:cs="宋体"/>
                <w:kern w:val="0"/>
                <w:sz w:val="22"/>
              </w:rPr>
            </w:pPr>
            <w:r>
              <w:rPr>
                <w:rFonts w:hint="eastAsia" w:ascii="宋体" w:hAnsi="宋体" w:cs="宋体"/>
                <w:kern w:val="0"/>
                <w:sz w:val="22"/>
              </w:rPr>
              <w:t>2</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7695">
            <w:pPr>
              <w:widowControl/>
              <w:jc w:val="center"/>
              <w:rPr>
                <w:rFonts w:ascii="宋体" w:hAnsi="宋体" w:cs="宋体"/>
                <w:kern w:val="0"/>
                <w:sz w:val="22"/>
              </w:rPr>
            </w:pPr>
            <w:r>
              <w:rPr>
                <w:rFonts w:hint="eastAsia" w:ascii="宋体" w:hAnsi="宋体" w:cs="宋体"/>
                <w:kern w:val="0"/>
                <w:sz w:val="22"/>
              </w:rPr>
              <w:t>24000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0F44">
            <w:pPr>
              <w:widowControl/>
              <w:jc w:val="center"/>
              <w:rPr>
                <w:rFonts w:ascii="宋体" w:hAnsi="宋体" w:cs="宋体"/>
                <w:kern w:val="0"/>
                <w:sz w:val="22"/>
              </w:rPr>
            </w:pPr>
            <w:r>
              <w:rPr>
                <w:rFonts w:hint="eastAsia" w:ascii="宋体" w:hAnsi="宋体" w:cs="宋体"/>
                <w:kern w:val="0"/>
                <w:sz w:val="22"/>
              </w:rPr>
              <w:t>48000</w:t>
            </w:r>
          </w:p>
        </w:tc>
      </w:tr>
      <w:tr w14:paraId="4C2B51D7">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3DC8">
            <w:pPr>
              <w:widowControl/>
              <w:jc w:val="center"/>
              <w:rPr>
                <w:rFonts w:ascii="宋体" w:hAnsi="宋体" w:cs="宋体"/>
                <w:kern w:val="0"/>
                <w:sz w:val="22"/>
              </w:rPr>
            </w:pPr>
            <w:r>
              <w:rPr>
                <w:rFonts w:hint="eastAsia" w:ascii="宋体" w:hAnsi="宋体" w:cs="宋体"/>
                <w:kern w:val="0"/>
                <w:sz w:val="22"/>
              </w:rPr>
              <w:t>10</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0070">
            <w:pPr>
              <w:widowControl/>
              <w:jc w:val="center"/>
              <w:rPr>
                <w:rFonts w:ascii="宋体" w:hAnsi="宋体" w:cs="宋体"/>
                <w:kern w:val="0"/>
                <w:sz w:val="22"/>
              </w:rPr>
            </w:pPr>
            <w:r>
              <w:rPr>
                <w:rFonts w:hint="eastAsia" w:ascii="宋体" w:hAnsi="宋体" w:cs="宋体"/>
                <w:kern w:val="0"/>
                <w:sz w:val="22"/>
              </w:rPr>
              <w:t>终端配套监测软件</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C047">
            <w:pPr>
              <w:widowControl/>
              <w:jc w:val="left"/>
              <w:rPr>
                <w:rFonts w:ascii="宋体" w:hAnsi="宋体" w:cs="宋体"/>
                <w:kern w:val="0"/>
                <w:sz w:val="22"/>
              </w:rPr>
            </w:pPr>
            <w:r>
              <w:rPr>
                <w:rFonts w:hint="eastAsia" w:ascii="宋体" w:hAnsi="宋体" w:cs="宋体"/>
                <w:kern w:val="0"/>
                <w:sz w:val="22"/>
              </w:rPr>
              <w:t>▲1、厂家提供终端配套监测软件后端管理平台供学校统一管理。</w:t>
            </w:r>
            <w:r>
              <w:rPr>
                <w:rFonts w:hint="eastAsia" w:ascii="宋体" w:hAnsi="宋体" w:cs="宋体"/>
                <w:kern w:val="0"/>
                <w:sz w:val="22"/>
              </w:rPr>
              <w:br w:type="textWrapping"/>
            </w:r>
            <w:r>
              <w:rPr>
                <w:rFonts w:hint="eastAsia" w:ascii="宋体" w:hAnsi="宋体" w:cs="宋体"/>
                <w:kern w:val="0"/>
                <w:sz w:val="22"/>
              </w:rPr>
              <w:t>2、Windows、Linux、Android、IOS等多种操作系统通过网页浏览器登陆操作，提供多种智能身份识别方式：支持通过账号登录、手机扫码登录等方式，方便用户使用。管理平台提供管理员移动管理平台，免安装并支持Android、IOS等多种移动操作系统，便于远程管理及告警信息通知。</w:t>
            </w:r>
            <w:r>
              <w:rPr>
                <w:rFonts w:hint="eastAsia" w:ascii="宋体" w:hAnsi="宋体" w:cs="宋体"/>
                <w:kern w:val="0"/>
                <w:sz w:val="22"/>
              </w:rPr>
              <w:br w:type="textWrapping"/>
            </w:r>
            <w:r>
              <w:rPr>
                <w:rFonts w:hint="eastAsia" w:ascii="宋体" w:hAnsi="宋体" w:cs="宋体"/>
                <w:kern w:val="0"/>
                <w:sz w:val="22"/>
              </w:rPr>
              <w:t>3、平台支持对全校智慧教室所安装的教学信息化设备进行集中运维管理和策略部署。</w:t>
            </w:r>
            <w:r>
              <w:rPr>
                <w:rFonts w:hint="eastAsia" w:ascii="宋体" w:hAnsi="宋体" w:cs="宋体"/>
                <w:kern w:val="0"/>
                <w:sz w:val="22"/>
              </w:rPr>
              <w:br w:type="textWrapping"/>
            </w:r>
            <w:r>
              <w:rPr>
                <w:rFonts w:hint="eastAsia" w:ascii="宋体" w:hAnsi="宋体" w:cs="宋体"/>
                <w:kern w:val="0"/>
                <w:sz w:val="22"/>
              </w:rPr>
              <w:t>4、管理平台可远程对选定的交互智能平板一体机推送动态文字滚动公告，可对公告文字的颜色、粗体以及播放次数、推送时间进行设置。</w:t>
            </w:r>
            <w:r>
              <w:rPr>
                <w:rFonts w:hint="eastAsia" w:ascii="宋体" w:hAnsi="宋体" w:cs="宋体"/>
                <w:kern w:val="0"/>
                <w:sz w:val="22"/>
              </w:rPr>
              <w:br w:type="textWrapping"/>
            </w:r>
            <w:r>
              <w:rPr>
                <w:rFonts w:hint="eastAsia" w:ascii="宋体" w:hAnsi="宋体" w:cs="宋体"/>
                <w:kern w:val="0"/>
                <w:sz w:val="22"/>
              </w:rPr>
              <w:t>5、管理平台可远程开启指定交互智能平板一体机倒计日功能并设定倒计日截止日期，便于重大教学安排的提醒提示。</w:t>
            </w:r>
            <w:r>
              <w:rPr>
                <w:rFonts w:hint="eastAsia" w:ascii="宋体" w:hAnsi="宋体" w:cs="宋体"/>
                <w:kern w:val="0"/>
                <w:sz w:val="22"/>
              </w:rPr>
              <w:br w:type="textWrapping"/>
            </w:r>
            <w:r>
              <w:rPr>
                <w:rFonts w:hint="eastAsia" w:ascii="宋体" w:hAnsi="宋体" w:cs="宋体"/>
                <w:kern w:val="0"/>
                <w:sz w:val="22"/>
              </w:rPr>
              <w:t>6、管理平台支持批量对交互智能平板一体机进行软件远程部署，配套专用教学软件批量部署支持静默安装。</w:t>
            </w:r>
            <w:r>
              <w:rPr>
                <w:rFonts w:hint="eastAsia" w:ascii="宋体" w:hAnsi="宋体" w:cs="宋体"/>
                <w:kern w:val="0"/>
                <w:sz w:val="22"/>
              </w:rPr>
              <w:br w:type="textWrapping"/>
            </w:r>
            <w:r>
              <w:rPr>
                <w:rFonts w:hint="eastAsia" w:ascii="宋体" w:hAnsi="宋体" w:cs="宋体"/>
                <w:kern w:val="0"/>
                <w:sz w:val="22"/>
              </w:rPr>
              <w:t>7、管理平台提供巡课值守模式，自动轮循显示处于运行状态的交互智能平板一体机使用界面。</w:t>
            </w:r>
            <w:r>
              <w:rPr>
                <w:rFonts w:hint="eastAsia" w:ascii="宋体" w:hAnsi="宋体" w:cs="宋体"/>
                <w:kern w:val="0"/>
                <w:sz w:val="22"/>
              </w:rPr>
              <w:br w:type="textWrapping"/>
            </w:r>
            <w:r>
              <w:rPr>
                <w:rFonts w:hint="eastAsia" w:ascii="宋体" w:hAnsi="宋体" w:cs="宋体"/>
                <w:kern w:val="0"/>
                <w:sz w:val="22"/>
              </w:rPr>
              <w:t>8、管理平台实时显示交互智能平板一体机异常的告警提示，并同步将异常信息推送至管理员移动端工作平台。</w:t>
            </w:r>
            <w:r>
              <w:rPr>
                <w:rFonts w:hint="eastAsia" w:ascii="宋体" w:hAnsi="宋体" w:cs="宋体"/>
                <w:kern w:val="0"/>
                <w:sz w:val="22"/>
              </w:rPr>
              <w:br w:type="textWrapping"/>
            </w:r>
            <w:r>
              <w:rPr>
                <w:rFonts w:hint="eastAsia" w:ascii="宋体" w:hAnsi="宋体" w:cs="宋体"/>
                <w:kern w:val="0"/>
                <w:sz w:val="22"/>
              </w:rPr>
              <w:t>9、管理平台根据设备日常运行状况综合生成设备健康值，可查看设备健康值排名并进行正序、反序排列。</w:t>
            </w:r>
            <w:r>
              <w:rPr>
                <w:rFonts w:hint="eastAsia" w:ascii="宋体" w:hAnsi="宋体" w:cs="宋体"/>
                <w:kern w:val="0"/>
                <w:sz w:val="22"/>
              </w:rPr>
              <w:br w:type="textWrapping"/>
            </w:r>
            <w:r>
              <w:rPr>
                <w:rFonts w:hint="eastAsia" w:ascii="宋体" w:hAnsi="宋体" w:cs="宋体"/>
                <w:kern w:val="0"/>
                <w:sz w:val="22"/>
              </w:rPr>
              <w:t>10、管理平台为学校提供专属识别代码，互联网环境下的交互智能平板一体机输入专属代码接入管理平台即可在通过管理平台对设备进行远程管理。支持按照年级、班级自定义交互智能平板一体机名称，方便管理员对应管理。</w:t>
            </w:r>
            <w:r>
              <w:rPr>
                <w:rFonts w:hint="eastAsia" w:ascii="宋体" w:hAnsi="宋体" w:cs="宋体"/>
                <w:kern w:val="0"/>
                <w:sz w:val="22"/>
              </w:rPr>
              <w:br w:type="textWrapping"/>
            </w:r>
            <w:r>
              <w:rPr>
                <w:rFonts w:hint="eastAsia" w:ascii="宋体" w:hAnsi="宋体" w:cs="宋体"/>
                <w:kern w:val="0"/>
                <w:sz w:val="22"/>
              </w:rPr>
              <w:t>11、交互智能平板一体机支持磁盘级系统还原保护，可根据教学需要自由选择磁盘分区冻结、解冻还原保护。</w:t>
            </w:r>
            <w:r>
              <w:rPr>
                <w:rFonts w:hint="eastAsia" w:ascii="宋体" w:hAnsi="宋体" w:cs="宋体"/>
                <w:kern w:val="0"/>
                <w:sz w:val="22"/>
              </w:rPr>
              <w:br w:type="textWrapping"/>
            </w:r>
            <w:r>
              <w:rPr>
                <w:rFonts w:hint="eastAsia" w:ascii="宋体" w:hAnsi="宋体" w:cs="宋体"/>
                <w:kern w:val="0"/>
                <w:sz w:val="22"/>
              </w:rPr>
              <w:t>12、可在交互智能平板一体机查看设备基本信息，如：系统、CPU、内存、硬盘、MCU、TV、触摸框等信息，方便老师管理设备。</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135F">
            <w:pPr>
              <w:widowControl/>
              <w:jc w:val="center"/>
              <w:rPr>
                <w:rFonts w:ascii="宋体" w:hAnsi="宋体" w:cs="宋体"/>
                <w:kern w:val="0"/>
                <w:sz w:val="22"/>
              </w:rPr>
            </w:pPr>
            <w:r>
              <w:rPr>
                <w:rFonts w:hint="eastAsia" w:ascii="宋体" w:hAnsi="宋体" w:cs="宋体"/>
                <w:kern w:val="0"/>
                <w:sz w:val="22"/>
              </w:rPr>
              <w:t>套</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0A77">
            <w:pPr>
              <w:widowControl/>
              <w:jc w:val="center"/>
              <w:rPr>
                <w:rFonts w:ascii="宋体" w:hAnsi="宋体" w:cs="宋体"/>
                <w:kern w:val="0"/>
                <w:sz w:val="22"/>
              </w:rPr>
            </w:pPr>
            <w:r>
              <w:rPr>
                <w:rFonts w:hint="eastAsia" w:ascii="宋体" w:hAnsi="宋体" w:cs="宋体"/>
                <w:kern w:val="0"/>
                <w:sz w:val="22"/>
              </w:rPr>
              <w:t>2</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40BC">
            <w:pPr>
              <w:widowControl/>
              <w:jc w:val="center"/>
              <w:rPr>
                <w:rFonts w:ascii="宋体" w:hAnsi="宋体" w:cs="宋体"/>
                <w:kern w:val="0"/>
                <w:sz w:val="22"/>
              </w:rPr>
            </w:pPr>
            <w:r>
              <w:rPr>
                <w:rFonts w:hint="eastAsia" w:ascii="宋体" w:hAnsi="宋体" w:cs="宋体"/>
                <w:kern w:val="0"/>
                <w:sz w:val="22"/>
              </w:rPr>
              <w:t>800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4D68">
            <w:pPr>
              <w:widowControl/>
              <w:jc w:val="center"/>
              <w:rPr>
                <w:rFonts w:ascii="宋体" w:hAnsi="宋体" w:cs="宋体"/>
                <w:kern w:val="0"/>
                <w:sz w:val="22"/>
              </w:rPr>
            </w:pPr>
            <w:r>
              <w:rPr>
                <w:rFonts w:hint="eastAsia" w:ascii="宋体" w:hAnsi="宋体" w:cs="宋体"/>
                <w:kern w:val="0"/>
                <w:sz w:val="22"/>
              </w:rPr>
              <w:t>1600</w:t>
            </w:r>
          </w:p>
        </w:tc>
      </w:tr>
      <w:tr w14:paraId="46CDC408">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94C0">
            <w:pPr>
              <w:widowControl/>
              <w:jc w:val="center"/>
              <w:rPr>
                <w:rFonts w:ascii="宋体" w:hAnsi="宋体" w:cs="宋体"/>
                <w:kern w:val="0"/>
                <w:sz w:val="22"/>
              </w:rPr>
            </w:pPr>
            <w:r>
              <w:rPr>
                <w:rFonts w:hint="eastAsia" w:ascii="宋体" w:hAnsi="宋体" w:cs="宋体"/>
                <w:kern w:val="0"/>
                <w:sz w:val="22"/>
              </w:rPr>
              <w:t>11</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55F3">
            <w:pPr>
              <w:widowControl/>
              <w:jc w:val="center"/>
              <w:rPr>
                <w:rFonts w:ascii="宋体" w:hAnsi="宋体" w:cs="宋体"/>
                <w:kern w:val="0"/>
                <w:sz w:val="22"/>
              </w:rPr>
            </w:pPr>
            <w:r>
              <w:rPr>
                <w:rFonts w:hint="eastAsia" w:ascii="宋体" w:hAnsi="宋体" w:cs="宋体"/>
                <w:kern w:val="0"/>
                <w:sz w:val="22"/>
              </w:rPr>
              <w:t>推拉黑板</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4112">
            <w:pPr>
              <w:widowControl/>
              <w:jc w:val="left"/>
              <w:rPr>
                <w:rFonts w:ascii="宋体" w:hAnsi="宋体" w:cs="宋体"/>
                <w:kern w:val="0"/>
                <w:sz w:val="22"/>
              </w:rPr>
            </w:pPr>
            <w:r>
              <w:rPr>
                <w:rFonts w:hint="eastAsia" w:ascii="宋体" w:hAnsi="宋体" w:cs="宋体"/>
                <w:kern w:val="0"/>
                <w:sz w:val="22"/>
              </w:rPr>
              <w:t>1、结构：推拉板由大框及四块同等大小的书写板组装而成，书写板分内外双层结构，内层为两块固定书写板与液晶一体机正面平齐，外层为两块滑动书写板，滑动板配装刻有黑板品牌LOGO标识的挂锁，开闭自如确保液晶一体机的安全管理。（中标人提供图样，经使用人同意后方可实施）</w:t>
            </w:r>
            <w:r>
              <w:rPr>
                <w:rFonts w:hint="eastAsia" w:ascii="宋体" w:hAnsi="宋体" w:cs="宋体"/>
                <w:kern w:val="0"/>
                <w:sz w:val="22"/>
              </w:rPr>
              <w:br w:type="textWrapping"/>
            </w:r>
            <w:r>
              <w:rPr>
                <w:rFonts w:hint="eastAsia" w:ascii="宋体" w:hAnsi="宋体" w:cs="宋体"/>
                <w:kern w:val="0"/>
                <w:sz w:val="22"/>
              </w:rPr>
              <w:t>2、基本尺寸：≥4300mm×1300mm，可根据所配电子产品适当调整，确保与电子产品的有效配套。</w:t>
            </w:r>
            <w:r>
              <w:rPr>
                <w:rFonts w:hint="eastAsia" w:ascii="宋体" w:hAnsi="宋体" w:cs="宋体"/>
                <w:kern w:val="0"/>
                <w:sz w:val="22"/>
              </w:rPr>
              <w:br w:type="textWrapping"/>
            </w:r>
            <w:r>
              <w:rPr>
                <w:rFonts w:hint="eastAsia" w:ascii="宋体" w:hAnsi="宋体" w:cs="宋体"/>
                <w:kern w:val="0"/>
                <w:sz w:val="22"/>
              </w:rPr>
              <w:t>3、书写板面：采用280℃高温烤漆板面，具体面板颜色根据使用人要求定、亚光，厚度≥0.32mm，漆膜硬度6H，粗糙度Ra1.6-3.2um，光泽度≤6﹪，没有明显眩光，板面表面附有一层透明保护膜，符合GB/T 28231-2011《书写板安全卫生要求》（中标人提供图样，经使用人同意后方可实施）。</w:t>
            </w:r>
            <w:r>
              <w:rPr>
                <w:rFonts w:hint="eastAsia" w:ascii="宋体" w:hAnsi="宋体" w:cs="宋体"/>
                <w:kern w:val="0"/>
                <w:sz w:val="22"/>
              </w:rPr>
              <w:br w:type="textWrapping"/>
            </w:r>
            <w:r>
              <w:rPr>
                <w:rFonts w:hint="eastAsia" w:ascii="宋体" w:hAnsi="宋体" w:cs="宋体"/>
                <w:kern w:val="0"/>
                <w:sz w:val="22"/>
              </w:rPr>
              <w:t>4、内芯材料：高强度、吸音、聚苯乙烯泡沫板，采用国际适用工艺，书写无吱咔声，改善书写手感。</w:t>
            </w:r>
            <w:r>
              <w:rPr>
                <w:rFonts w:hint="eastAsia" w:ascii="宋体" w:hAnsi="宋体" w:cs="宋体"/>
                <w:kern w:val="0"/>
                <w:sz w:val="22"/>
              </w:rPr>
              <w:br w:type="textWrapping"/>
            </w:r>
            <w:r>
              <w:rPr>
                <w:rFonts w:hint="eastAsia" w:ascii="宋体" w:hAnsi="宋体" w:cs="宋体"/>
                <w:kern w:val="0"/>
                <w:sz w:val="22"/>
              </w:rPr>
              <w:t>5、背板：采用优质防锈热镀锌钢板，厚度≥0.25mm，流水线一次成型，间隔80mm压有20mm凹槽加强筋,确保均布承压不低于635N，凹槽造型美观、增加强度，更加耐用。</w:t>
            </w:r>
            <w:r>
              <w:rPr>
                <w:rFonts w:hint="eastAsia" w:ascii="宋体" w:hAnsi="宋体" w:cs="宋体"/>
                <w:kern w:val="0"/>
                <w:sz w:val="22"/>
              </w:rPr>
              <w:br w:type="textWrapping"/>
            </w:r>
            <w:r>
              <w:rPr>
                <w:rFonts w:hint="eastAsia" w:ascii="宋体" w:hAnsi="宋体" w:cs="宋体"/>
                <w:kern w:val="0"/>
                <w:sz w:val="22"/>
              </w:rPr>
              <w:t>6、板面与衬板粘贴：采用环保型双组份聚氨酯胶水1:1配置，使用自动化覆板流水线作业，喷胶、压固、切割下料一次成型，确保粘接牢固板面平整。</w:t>
            </w:r>
            <w:r>
              <w:rPr>
                <w:rFonts w:hint="eastAsia" w:ascii="宋体" w:hAnsi="宋体" w:cs="宋体"/>
                <w:kern w:val="0"/>
                <w:sz w:val="22"/>
              </w:rPr>
              <w:br w:type="textWrapping"/>
            </w:r>
            <w:r>
              <w:rPr>
                <w:rFonts w:hint="eastAsia" w:ascii="宋体" w:hAnsi="宋体" w:cs="宋体"/>
                <w:kern w:val="0"/>
                <w:sz w:val="22"/>
              </w:rPr>
              <w:t>7、边框：采用工业用高强度铝合金型材，电泳香槟色，模具挤压一次成型，上框规格57mm×100mm，左右框规格29mm×100mm，横（立）框采用双层加强结构，厚度≥15mm。轨道上置隐藏式平滑轮滑道，结构性解决滑轮受粉尘影响的情况，配有宽度≥30mm的粉尘槽，粉尘槽与滑动系统分离，与边框一次模具成形，防止粉尘垂直落地。</w:t>
            </w:r>
            <w:r>
              <w:rPr>
                <w:rFonts w:hint="eastAsia" w:ascii="宋体" w:hAnsi="宋体" w:cs="宋体"/>
                <w:kern w:val="0"/>
                <w:sz w:val="22"/>
              </w:rPr>
              <w:br w:type="textWrapping"/>
            </w:r>
            <w:r>
              <w:rPr>
                <w:rFonts w:hint="eastAsia" w:ascii="宋体" w:hAnsi="宋体" w:cs="宋体"/>
                <w:kern w:val="0"/>
                <w:sz w:val="22"/>
              </w:rPr>
              <w:t>◆8、包角材料：采用抗老化高强度ABS工程塑料注塑成型。规格：100mm×29mm×29mm，采用双壁成腔流线型设计，≥R25mm的圆角，正面带黑板品牌LOGO标识，无尖角毛刺，符合JY0001-2003《教学仪器设备产品一般质量要求》。</w:t>
            </w:r>
            <w:r>
              <w:rPr>
                <w:rFonts w:hint="eastAsia" w:ascii="宋体" w:hAnsi="宋体" w:cs="宋体"/>
                <w:kern w:val="0"/>
                <w:sz w:val="22"/>
              </w:rPr>
              <w:br w:type="textWrapping"/>
            </w:r>
            <w:r>
              <w:rPr>
                <w:rFonts w:hint="eastAsia" w:ascii="宋体" w:hAnsi="宋体" w:cs="宋体"/>
                <w:kern w:val="0"/>
                <w:sz w:val="22"/>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r>
              <w:rPr>
                <w:rFonts w:hint="eastAsia" w:ascii="宋体" w:hAnsi="宋体" w:cs="宋体"/>
                <w:kern w:val="0"/>
                <w:sz w:val="22"/>
              </w:rPr>
              <w:br w:type="textWrapping"/>
            </w:r>
            <w:r>
              <w:rPr>
                <w:rFonts w:hint="eastAsia" w:ascii="宋体" w:hAnsi="宋体" w:cs="宋体"/>
                <w:kern w:val="0"/>
                <w:sz w:val="22"/>
              </w:rPr>
              <w:t>10、除尘装置：外下框两侧各开一个直径25mm的圆孔，配置100*80mm的抽拉式粉尘盒，粉尘盒可拆卸清洁。</w:t>
            </w:r>
            <w:r>
              <w:rPr>
                <w:rFonts w:hint="eastAsia" w:ascii="宋体" w:hAnsi="宋体" w:cs="宋体"/>
                <w:kern w:val="0"/>
                <w:sz w:val="22"/>
              </w:rPr>
              <w:br w:type="textWrapping"/>
            </w:r>
            <w:r>
              <w:rPr>
                <w:rFonts w:hint="eastAsia" w:ascii="宋体" w:hAnsi="宋体" w:cs="宋体"/>
                <w:kern w:val="0"/>
                <w:sz w:val="22"/>
              </w:rPr>
              <w:t>11、限位档：黑板边框内部两侧安装滑动板限位档，防止活动黑板开启时撞击立框。</w:t>
            </w:r>
            <w:r>
              <w:rPr>
                <w:rFonts w:hint="eastAsia" w:ascii="宋体" w:hAnsi="宋体" w:cs="宋体"/>
                <w:kern w:val="0"/>
                <w:sz w:val="22"/>
              </w:rPr>
              <w:br w:type="textWrapping"/>
            </w:r>
            <w:r>
              <w:rPr>
                <w:rFonts w:hint="eastAsia" w:ascii="宋体" w:hAnsi="宋体" w:cs="宋体"/>
                <w:kern w:val="0"/>
                <w:sz w:val="22"/>
              </w:rPr>
              <w:t>12、易维护性：一体机上下配同色同质书写板，上下可根据一体机尺寸进行微调，两侧用H型边框与固定板配合，可自由拆装。使一体机不用拆整个黑板即可直接拆装维护，减少麻烦，延长使用寿命。</w:t>
            </w:r>
            <w:r>
              <w:rPr>
                <w:rFonts w:hint="eastAsia" w:ascii="宋体" w:hAnsi="宋体" w:cs="宋体"/>
                <w:kern w:val="0"/>
                <w:sz w:val="22"/>
              </w:rPr>
              <w:br w:type="textWrapping"/>
            </w:r>
            <w:r>
              <w:rPr>
                <w:rFonts w:hint="eastAsia" w:ascii="宋体" w:hAnsi="宋体" w:cs="宋体"/>
                <w:kern w:val="0"/>
                <w:sz w:val="22"/>
              </w:rPr>
              <w:t>13、安全性：一把锁实现对滑动黑板的锁定，钥匙通用，方便实用。</w:t>
            </w:r>
            <w:r>
              <w:rPr>
                <w:rFonts w:hint="eastAsia" w:ascii="宋体" w:hAnsi="宋体" w:cs="宋体"/>
                <w:kern w:val="0"/>
                <w:sz w:val="22"/>
              </w:rPr>
              <w:br w:type="textWrapping"/>
            </w:r>
            <w:r>
              <w:rPr>
                <w:rFonts w:hint="eastAsia" w:ascii="宋体" w:hAnsi="宋体" w:cs="宋体"/>
                <w:kern w:val="0"/>
                <w:sz w:val="22"/>
              </w:rPr>
              <w:t>14、根据所选黑板，提供书写耗材一套：</w:t>
            </w:r>
            <w:r>
              <w:rPr>
                <w:rFonts w:hint="eastAsia" w:ascii="宋体" w:hAnsi="宋体" w:cs="宋体"/>
                <w:kern w:val="0"/>
                <w:sz w:val="22"/>
              </w:rPr>
              <w:br w:type="textWrapping"/>
            </w:r>
            <w:r>
              <w:rPr>
                <w:rFonts w:hint="eastAsia" w:ascii="宋体" w:hAnsi="宋体" w:cs="宋体"/>
                <w:kern w:val="0"/>
                <w:sz w:val="22"/>
              </w:rPr>
              <w:t>（1）不同颜色的水溶性粉笔各一盒，盒装≥20支/盒；专用笔套≥2支；清洗装置≥1套，专用板擦≥1个。</w:t>
            </w:r>
            <w:r>
              <w:rPr>
                <w:rFonts w:hint="eastAsia" w:ascii="宋体" w:hAnsi="宋体" w:cs="宋体"/>
                <w:kern w:val="0"/>
                <w:sz w:val="22"/>
              </w:rPr>
              <w:br w:type="textWrapping"/>
            </w:r>
            <w:r>
              <w:rPr>
                <w:rFonts w:hint="eastAsia" w:ascii="宋体" w:hAnsi="宋体" w:cs="宋体"/>
                <w:kern w:val="0"/>
                <w:sz w:val="22"/>
              </w:rPr>
              <w:t>或者</w:t>
            </w:r>
            <w:r>
              <w:rPr>
                <w:rFonts w:hint="eastAsia" w:ascii="宋体" w:hAnsi="宋体" w:cs="宋体"/>
                <w:kern w:val="0"/>
                <w:sz w:val="22"/>
              </w:rPr>
              <w:br w:type="textWrapping"/>
            </w:r>
            <w:r>
              <w:rPr>
                <w:rFonts w:hint="eastAsia" w:ascii="宋体" w:hAnsi="宋体" w:cs="宋体"/>
                <w:kern w:val="0"/>
                <w:sz w:val="22"/>
              </w:rPr>
              <w:t>（2）新型成膜墨水笔≥3支（红色蓝色黑色各1支）；环保墨水≥3瓶（红色蓝色黑色各1瓶），墨水容量每瓶100ml；板擦≥1个；黑板专用清洁毛巾 ≥1条。</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F155">
            <w:pPr>
              <w:widowControl/>
              <w:jc w:val="center"/>
              <w:rPr>
                <w:rFonts w:ascii="宋体" w:hAnsi="宋体" w:cs="宋体"/>
                <w:kern w:val="0"/>
                <w:sz w:val="22"/>
              </w:rPr>
            </w:pPr>
            <w:r>
              <w:rPr>
                <w:rFonts w:hint="eastAsia" w:ascii="宋体" w:hAnsi="宋体" w:cs="宋体"/>
                <w:kern w:val="0"/>
                <w:sz w:val="22"/>
              </w:rPr>
              <w:t>套</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20A6">
            <w:pPr>
              <w:widowControl/>
              <w:jc w:val="center"/>
              <w:rPr>
                <w:rFonts w:ascii="宋体" w:hAnsi="宋体" w:cs="宋体"/>
                <w:kern w:val="0"/>
                <w:sz w:val="22"/>
              </w:rPr>
            </w:pPr>
            <w:r>
              <w:rPr>
                <w:rFonts w:hint="eastAsia" w:ascii="宋体" w:hAnsi="宋体" w:cs="宋体"/>
                <w:kern w:val="0"/>
                <w:sz w:val="22"/>
              </w:rPr>
              <w:t>2</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4C52">
            <w:pPr>
              <w:widowControl/>
              <w:jc w:val="center"/>
              <w:rPr>
                <w:rFonts w:ascii="宋体" w:hAnsi="宋体" w:cs="宋体"/>
                <w:kern w:val="0"/>
                <w:sz w:val="22"/>
              </w:rPr>
            </w:pPr>
            <w:r>
              <w:rPr>
                <w:rFonts w:hint="eastAsia" w:ascii="宋体" w:hAnsi="宋体" w:cs="宋体"/>
                <w:kern w:val="0"/>
                <w:sz w:val="22"/>
              </w:rPr>
              <w:t>1300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B703">
            <w:pPr>
              <w:widowControl/>
              <w:jc w:val="center"/>
              <w:rPr>
                <w:rFonts w:ascii="宋体" w:hAnsi="宋体" w:cs="宋体"/>
                <w:kern w:val="0"/>
                <w:sz w:val="22"/>
              </w:rPr>
            </w:pPr>
            <w:r>
              <w:rPr>
                <w:rFonts w:hint="eastAsia" w:ascii="宋体" w:hAnsi="宋体" w:cs="宋体"/>
                <w:kern w:val="0"/>
                <w:sz w:val="22"/>
              </w:rPr>
              <w:t>2600</w:t>
            </w:r>
          </w:p>
        </w:tc>
      </w:tr>
      <w:tr w14:paraId="7705A39D">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4DDB">
            <w:pPr>
              <w:widowControl/>
              <w:jc w:val="center"/>
              <w:rPr>
                <w:rFonts w:ascii="宋体" w:hAnsi="宋体" w:cs="宋体"/>
                <w:kern w:val="0"/>
                <w:sz w:val="22"/>
              </w:rPr>
            </w:pPr>
            <w:r>
              <w:rPr>
                <w:rFonts w:hint="eastAsia" w:ascii="宋体" w:hAnsi="宋体" w:cs="宋体"/>
                <w:kern w:val="0"/>
                <w:sz w:val="22"/>
              </w:rPr>
              <w:t>12</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BA6D">
            <w:pPr>
              <w:widowControl/>
              <w:jc w:val="center"/>
              <w:rPr>
                <w:rFonts w:ascii="宋体" w:hAnsi="宋体" w:cs="宋体"/>
                <w:kern w:val="0"/>
                <w:sz w:val="22"/>
              </w:rPr>
            </w:pPr>
            <w:r>
              <w:rPr>
                <w:rFonts w:hint="eastAsia" w:ascii="宋体" w:hAnsi="宋体" w:cs="宋体"/>
                <w:kern w:val="0"/>
                <w:sz w:val="22"/>
              </w:rPr>
              <w:t>音响话筒</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C8B4">
            <w:pPr>
              <w:widowControl/>
              <w:jc w:val="left"/>
              <w:rPr>
                <w:rFonts w:ascii="宋体" w:hAnsi="宋体" w:cs="宋体"/>
                <w:kern w:val="0"/>
                <w:sz w:val="22"/>
              </w:rPr>
            </w:pPr>
            <w:r>
              <w:rPr>
                <w:rFonts w:hint="eastAsia" w:ascii="宋体" w:hAnsi="宋体" w:cs="宋体"/>
                <w:kern w:val="0"/>
                <w:sz w:val="22"/>
              </w:rPr>
              <w:t>一、音箱</w:t>
            </w:r>
            <w:r>
              <w:rPr>
                <w:rFonts w:hint="eastAsia" w:ascii="宋体" w:hAnsi="宋体" w:cs="宋体"/>
                <w:kern w:val="0"/>
                <w:sz w:val="22"/>
              </w:rPr>
              <w:br w:type="textWrapping"/>
            </w:r>
            <w:r>
              <w:rPr>
                <w:rFonts w:hint="eastAsia" w:ascii="宋体" w:hAnsi="宋体" w:cs="宋体"/>
                <w:kern w:val="0"/>
                <w:sz w:val="22"/>
              </w:rPr>
              <w:t>▲1.采用功放与有源音箱一体化设计，内置麦克风无线接收模块。</w:t>
            </w:r>
            <w:r>
              <w:rPr>
                <w:rFonts w:hint="eastAsia" w:ascii="宋体" w:hAnsi="宋体" w:cs="宋体"/>
                <w:kern w:val="0"/>
                <w:sz w:val="22"/>
              </w:rPr>
              <w:br w:type="textWrapping"/>
            </w:r>
            <w:r>
              <w:rPr>
                <w:rFonts w:hint="eastAsia" w:ascii="宋体" w:hAnsi="宋体" w:cs="宋体"/>
                <w:kern w:val="0"/>
                <w:sz w:val="22"/>
              </w:rPr>
              <w:t>2.双音箱有线连接，机箱采用塑胶材质，保护设备免受环境影响。</w:t>
            </w:r>
            <w:r>
              <w:rPr>
                <w:rFonts w:hint="eastAsia" w:ascii="宋体" w:hAnsi="宋体" w:cs="宋体"/>
                <w:kern w:val="0"/>
                <w:sz w:val="22"/>
              </w:rPr>
              <w:br w:type="textWrapping"/>
            </w:r>
            <w:r>
              <w:rPr>
                <w:rFonts w:hint="eastAsia" w:ascii="宋体" w:hAnsi="宋体" w:cs="宋体"/>
                <w:kern w:val="0"/>
                <w:sz w:val="22"/>
              </w:rPr>
              <w:t>3.输出额定功率: 2*15W，喇叭单元尺寸≥5寸。</w:t>
            </w:r>
            <w:r>
              <w:rPr>
                <w:rFonts w:hint="eastAsia" w:ascii="宋体" w:hAnsi="宋体" w:cs="宋体"/>
                <w:kern w:val="0"/>
                <w:sz w:val="22"/>
              </w:rPr>
              <w:br w:type="textWrapping"/>
            </w:r>
            <w:r>
              <w:rPr>
                <w:rFonts w:hint="eastAsia" w:ascii="宋体" w:hAnsi="宋体" w:cs="宋体"/>
                <w:kern w:val="0"/>
                <w:sz w:val="22"/>
              </w:rPr>
              <w:t>4.端口：220V电源接口*1、Line in*1、USB*1。</w:t>
            </w:r>
            <w:r>
              <w:rPr>
                <w:rFonts w:hint="eastAsia" w:ascii="宋体" w:hAnsi="宋体" w:cs="宋体"/>
                <w:kern w:val="0"/>
                <w:sz w:val="22"/>
              </w:rPr>
              <w:br w:type="textWrapping"/>
            </w:r>
            <w:r>
              <w:rPr>
                <w:rFonts w:hint="eastAsia" w:ascii="宋体" w:hAnsi="宋体" w:cs="宋体"/>
                <w:kern w:val="0"/>
                <w:sz w:val="22"/>
              </w:rPr>
              <w:t>5.麦克风和功放音箱之间采用数字U段传输技术，有效避免环境中2.4G信号干扰，例如蓝牙及WIFI设备。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6.配置独立音频数字信号处理芯片，支持啸叫抑制功能。</w:t>
            </w:r>
            <w:r>
              <w:rPr>
                <w:rFonts w:hint="eastAsia" w:ascii="宋体" w:hAnsi="宋体" w:cs="宋体"/>
                <w:kern w:val="0"/>
                <w:sz w:val="22"/>
              </w:rPr>
              <w:br w:type="textWrapping"/>
            </w:r>
            <w:r>
              <w:rPr>
                <w:rFonts w:hint="eastAsia" w:ascii="宋体" w:hAnsi="宋体" w:cs="宋体"/>
                <w:kern w:val="0"/>
                <w:sz w:val="22"/>
              </w:rPr>
              <w:t>7.支持教师扩声和输入音源叠加输出，可对接录播系统实现教师扩声音频的纯净采集，避免环境杂音干扰采集效果。</w:t>
            </w:r>
            <w:r>
              <w:rPr>
                <w:rFonts w:hint="eastAsia" w:ascii="宋体" w:hAnsi="宋体" w:cs="宋体"/>
                <w:kern w:val="0"/>
                <w:sz w:val="22"/>
              </w:rPr>
              <w:br w:type="textWrapping"/>
            </w:r>
            <w:r>
              <w:rPr>
                <w:rFonts w:hint="eastAsia" w:ascii="宋体" w:hAnsi="宋体" w:cs="宋体"/>
                <w:kern w:val="0"/>
                <w:sz w:val="22"/>
              </w:rPr>
              <w:t>二、无线麦克风</w:t>
            </w:r>
            <w:r>
              <w:rPr>
                <w:rFonts w:hint="eastAsia" w:ascii="宋体" w:hAnsi="宋体" w:cs="宋体"/>
                <w:kern w:val="0"/>
                <w:sz w:val="22"/>
              </w:rPr>
              <w:br w:type="textWrapping"/>
            </w:r>
            <w:r>
              <w:rPr>
                <w:rFonts w:hint="eastAsia" w:ascii="宋体" w:hAnsi="宋体" w:cs="宋体"/>
                <w:kern w:val="0"/>
                <w:sz w:val="22"/>
              </w:rPr>
              <w:t>▲1.无线麦克风集音频发射处理器、天线、电池、拾音麦克风于一体，配合一体化有源音箱，无需任何外接辅助设备即可实现本地扩声功能。</w:t>
            </w:r>
            <w:r>
              <w:rPr>
                <w:rFonts w:hint="eastAsia" w:ascii="宋体" w:hAnsi="宋体" w:cs="宋体"/>
                <w:kern w:val="0"/>
                <w:sz w:val="22"/>
              </w:rPr>
              <w:br w:type="textWrapping"/>
            </w:r>
            <w:r>
              <w:rPr>
                <w:rFonts w:hint="eastAsia" w:ascii="宋体" w:hAnsi="宋体" w:cs="宋体"/>
                <w:kern w:val="0"/>
                <w:sz w:val="22"/>
              </w:rPr>
              <w:t>2.采用U段传输，有效避免环境中2.4G信号干扰，例如蓝牙及WIFI设备。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3.采用红外对码方式连接，避免连接到其他教室音箱。可在2s内快速完成与教学扩声音箱对码，无需繁琐操作。</w:t>
            </w:r>
            <w:r>
              <w:rPr>
                <w:rFonts w:hint="eastAsia" w:ascii="宋体" w:hAnsi="宋体" w:cs="宋体"/>
                <w:kern w:val="0"/>
                <w:sz w:val="22"/>
              </w:rPr>
              <w:br w:type="textWrapping"/>
            </w:r>
            <w:r>
              <w:rPr>
                <w:rFonts w:hint="eastAsia" w:ascii="宋体" w:hAnsi="宋体" w:cs="宋体"/>
                <w:kern w:val="0"/>
                <w:sz w:val="22"/>
              </w:rPr>
              <w:t>4.配合USB麦克风接收器连接一体机，具备翻页键功能，可远程操控一体机设备进行课件软件翻页功能。</w:t>
            </w:r>
            <w:r>
              <w:rPr>
                <w:rFonts w:hint="eastAsia" w:ascii="宋体" w:hAnsi="宋体" w:cs="宋体"/>
                <w:kern w:val="0"/>
                <w:sz w:val="22"/>
              </w:rPr>
              <w:br w:type="textWrapping"/>
            </w:r>
            <w:r>
              <w:rPr>
                <w:rFonts w:hint="eastAsia" w:ascii="宋体" w:hAnsi="宋体" w:cs="宋体"/>
                <w:kern w:val="0"/>
                <w:sz w:val="22"/>
              </w:rPr>
              <w:t>5.配合USB接收器连接一体机，可通过一体机对老师的声音进行录制。</w:t>
            </w:r>
            <w:r>
              <w:rPr>
                <w:rFonts w:hint="eastAsia" w:ascii="宋体" w:hAnsi="宋体" w:cs="宋体"/>
                <w:kern w:val="0"/>
                <w:sz w:val="22"/>
              </w:rPr>
              <w:br w:type="textWrapping"/>
            </w:r>
            <w:r>
              <w:rPr>
                <w:rFonts w:hint="eastAsia" w:ascii="宋体" w:hAnsi="宋体" w:cs="宋体"/>
                <w:kern w:val="0"/>
                <w:sz w:val="22"/>
              </w:rPr>
              <w:t>6.采用触点磁吸式充电方式，充电10分钟，可扩音80分钟。</w:t>
            </w:r>
            <w:r>
              <w:rPr>
                <w:rFonts w:hint="eastAsia" w:ascii="宋体" w:hAnsi="宋体" w:cs="宋体"/>
                <w:kern w:val="0"/>
                <w:sz w:val="22"/>
              </w:rPr>
              <w:br w:type="textWrapping"/>
            </w:r>
            <w:r>
              <w:rPr>
                <w:rFonts w:hint="eastAsia" w:ascii="宋体" w:hAnsi="宋体" w:cs="宋体"/>
                <w:kern w:val="0"/>
                <w:sz w:val="22"/>
              </w:rPr>
              <w:t>7.具备磁吸式触点接口，与充电接口复用，保证整机的整洁、平整性，无易损的插入式接口。</w:t>
            </w:r>
            <w:r>
              <w:rPr>
                <w:rFonts w:hint="eastAsia" w:ascii="宋体" w:hAnsi="宋体" w:cs="宋体"/>
                <w:kern w:val="0"/>
                <w:sz w:val="22"/>
              </w:rPr>
              <w:br w:type="textWrapping"/>
            </w:r>
            <w:r>
              <w:rPr>
                <w:rFonts w:hint="eastAsia" w:ascii="宋体" w:hAnsi="宋体" w:cs="宋体"/>
                <w:kern w:val="0"/>
                <w:sz w:val="22"/>
              </w:rPr>
              <w:t>8.无遮挡情况下，有效工作距离≥10米，保证全教室覆盖。</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8AD1">
            <w:pPr>
              <w:widowControl/>
              <w:jc w:val="center"/>
              <w:rPr>
                <w:rFonts w:ascii="宋体" w:hAnsi="宋体" w:cs="宋体"/>
                <w:kern w:val="0"/>
                <w:sz w:val="22"/>
              </w:rPr>
            </w:pPr>
            <w:r>
              <w:rPr>
                <w:rFonts w:hint="eastAsia" w:ascii="宋体" w:hAnsi="宋体" w:cs="宋体"/>
                <w:kern w:val="0"/>
                <w:sz w:val="22"/>
              </w:rPr>
              <w:t>套</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3D35">
            <w:pPr>
              <w:widowControl/>
              <w:jc w:val="center"/>
              <w:rPr>
                <w:rFonts w:ascii="宋体" w:hAnsi="宋体" w:cs="宋体"/>
                <w:kern w:val="0"/>
                <w:sz w:val="22"/>
              </w:rPr>
            </w:pPr>
            <w:r>
              <w:rPr>
                <w:rFonts w:hint="eastAsia" w:ascii="宋体" w:hAnsi="宋体" w:cs="宋体"/>
                <w:kern w:val="0"/>
                <w:sz w:val="22"/>
              </w:rPr>
              <w:t>2</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E675">
            <w:pPr>
              <w:widowControl/>
              <w:jc w:val="center"/>
              <w:rPr>
                <w:rFonts w:ascii="宋体" w:hAnsi="宋体" w:cs="宋体"/>
                <w:kern w:val="0"/>
                <w:sz w:val="22"/>
              </w:rPr>
            </w:pPr>
            <w:r>
              <w:rPr>
                <w:rFonts w:hint="eastAsia" w:ascii="宋体" w:hAnsi="宋体" w:cs="宋体"/>
                <w:kern w:val="0"/>
                <w:sz w:val="22"/>
              </w:rPr>
              <w:t>1300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E5ED">
            <w:pPr>
              <w:widowControl/>
              <w:jc w:val="center"/>
              <w:rPr>
                <w:rFonts w:ascii="宋体" w:hAnsi="宋体" w:cs="宋体"/>
                <w:kern w:val="0"/>
                <w:sz w:val="22"/>
              </w:rPr>
            </w:pPr>
            <w:r>
              <w:rPr>
                <w:rFonts w:hint="eastAsia" w:ascii="宋体" w:hAnsi="宋体" w:cs="宋体"/>
                <w:kern w:val="0"/>
                <w:sz w:val="22"/>
              </w:rPr>
              <w:t>2600</w:t>
            </w:r>
          </w:p>
        </w:tc>
      </w:tr>
      <w:tr w14:paraId="44E056A4">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BB3E">
            <w:pPr>
              <w:widowControl/>
              <w:jc w:val="center"/>
              <w:rPr>
                <w:rFonts w:ascii="宋体" w:hAnsi="宋体" w:cs="宋体"/>
                <w:kern w:val="0"/>
                <w:sz w:val="22"/>
              </w:rPr>
            </w:pPr>
            <w:r>
              <w:rPr>
                <w:rFonts w:hint="eastAsia" w:ascii="宋体" w:hAnsi="宋体" w:cs="宋体"/>
                <w:kern w:val="0"/>
                <w:sz w:val="22"/>
              </w:rPr>
              <w:t>13</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0115">
            <w:pPr>
              <w:widowControl/>
              <w:jc w:val="center"/>
              <w:rPr>
                <w:rFonts w:ascii="宋体" w:hAnsi="宋体" w:cs="宋体"/>
                <w:kern w:val="0"/>
                <w:sz w:val="22"/>
              </w:rPr>
            </w:pPr>
            <w:r>
              <w:rPr>
                <w:rFonts w:hint="eastAsia" w:ascii="宋体" w:hAnsi="宋体" w:cs="宋体"/>
                <w:kern w:val="0"/>
                <w:sz w:val="22"/>
              </w:rPr>
              <w:t>教辅设备</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4804">
            <w:pPr>
              <w:widowControl/>
              <w:jc w:val="left"/>
              <w:rPr>
                <w:rFonts w:ascii="宋体" w:hAnsi="宋体" w:cs="宋体"/>
                <w:kern w:val="0"/>
                <w:sz w:val="22"/>
              </w:rPr>
            </w:pPr>
            <w:r>
              <w:rPr>
                <w:rFonts w:hint="eastAsia" w:ascii="宋体" w:hAnsi="宋体" w:cs="宋体"/>
                <w:kern w:val="0"/>
                <w:sz w:val="22"/>
              </w:rPr>
              <w:t>1.电子教鞭×2支：</w:t>
            </w:r>
            <w:r>
              <w:rPr>
                <w:rFonts w:hint="eastAsia" w:ascii="宋体" w:hAnsi="宋体" w:cs="宋体"/>
                <w:kern w:val="0"/>
                <w:sz w:val="22"/>
              </w:rPr>
              <w:br w:type="textWrapping"/>
            </w:r>
            <w:r>
              <w:rPr>
                <w:rFonts w:hint="eastAsia" w:ascii="宋体" w:hAnsi="宋体" w:cs="宋体"/>
                <w:kern w:val="0"/>
                <w:sz w:val="22"/>
              </w:rPr>
              <w:t>▲（1）采用笔型设计，具有三个遥控按键（上下翻页和功能键），既可用于触摸书写，也可用于远程操控。</w:t>
            </w:r>
            <w:r>
              <w:rPr>
                <w:rFonts w:hint="eastAsia" w:ascii="宋体" w:hAnsi="宋体" w:cs="宋体"/>
                <w:kern w:val="0"/>
                <w:sz w:val="22"/>
              </w:rPr>
              <w:br w:type="textWrapping"/>
            </w:r>
            <w:r>
              <w:rPr>
                <w:rFonts w:hint="eastAsia" w:ascii="宋体" w:hAnsi="宋体" w:cs="宋体"/>
                <w:kern w:val="0"/>
                <w:sz w:val="22"/>
              </w:rPr>
              <w:t>（2）采用2.4G无线连接技术，无线接收距离最大可达15米。</w:t>
            </w:r>
            <w:r>
              <w:rPr>
                <w:rFonts w:hint="eastAsia" w:ascii="宋体" w:hAnsi="宋体" w:cs="宋体"/>
                <w:kern w:val="0"/>
                <w:sz w:val="22"/>
              </w:rPr>
              <w:br w:type="textWrapping"/>
            </w:r>
            <w:r>
              <w:rPr>
                <w:rFonts w:hint="eastAsia" w:ascii="宋体" w:hAnsi="宋体" w:cs="宋体"/>
                <w:kern w:val="0"/>
                <w:sz w:val="22"/>
              </w:rPr>
              <w:t>（3）无线接收器采用微型nano设计，并能收纳在笔上。</w:t>
            </w:r>
            <w:r>
              <w:rPr>
                <w:rFonts w:hint="eastAsia" w:ascii="宋体" w:hAnsi="宋体" w:cs="宋体"/>
                <w:kern w:val="0"/>
                <w:sz w:val="22"/>
              </w:rPr>
              <w:br w:type="textWrapping"/>
            </w:r>
            <w:r>
              <w:rPr>
                <w:rFonts w:hint="eastAsia" w:ascii="宋体" w:hAnsi="宋体" w:cs="宋体"/>
                <w:kern w:val="0"/>
                <w:sz w:val="22"/>
              </w:rPr>
              <w:t>（4）使用单节7号电池驱动，并带自动休眠节电设计。</w:t>
            </w:r>
            <w:r>
              <w:rPr>
                <w:rFonts w:hint="eastAsia" w:ascii="宋体" w:hAnsi="宋体" w:cs="宋体"/>
                <w:kern w:val="0"/>
                <w:sz w:val="22"/>
              </w:rPr>
              <w:br w:type="textWrapping"/>
            </w:r>
            <w:r>
              <w:rPr>
                <w:rFonts w:hint="eastAsia" w:ascii="宋体" w:hAnsi="宋体" w:cs="宋体"/>
                <w:kern w:val="0"/>
                <w:sz w:val="22"/>
              </w:rPr>
              <w:t>▲（5）单接收器设计，android、windows双系统同时响应。只需安装一个接收器，双系统都能响应智能笔的操作指令。</w:t>
            </w:r>
            <w:r>
              <w:rPr>
                <w:rFonts w:hint="eastAsia" w:ascii="宋体" w:hAnsi="宋体" w:cs="宋体"/>
                <w:kern w:val="0"/>
                <w:sz w:val="22"/>
              </w:rPr>
              <w:br w:type="textWrapping"/>
            </w:r>
            <w:r>
              <w:rPr>
                <w:rFonts w:hint="eastAsia" w:ascii="宋体" w:hAnsi="宋体" w:cs="宋体"/>
                <w:kern w:val="0"/>
                <w:sz w:val="22"/>
              </w:rPr>
              <w:t>（6）支持白板课件、PPT、PDF等多种格式的课件进行远程无线翻页。</w:t>
            </w:r>
            <w:r>
              <w:rPr>
                <w:rFonts w:hint="eastAsia" w:ascii="宋体" w:hAnsi="宋体" w:cs="宋体"/>
                <w:kern w:val="0"/>
                <w:sz w:val="22"/>
              </w:rPr>
              <w:br w:type="textWrapping"/>
            </w:r>
            <w:r>
              <w:rPr>
                <w:rFonts w:hint="eastAsia" w:ascii="宋体" w:hAnsi="宋体" w:cs="宋体"/>
                <w:kern w:val="0"/>
                <w:sz w:val="22"/>
              </w:rPr>
              <w:t>▲（7）功能按键可通过长按/短按实现两种快捷功能，方便教师操作。</w:t>
            </w:r>
            <w:r>
              <w:rPr>
                <w:rFonts w:hint="eastAsia" w:ascii="宋体" w:hAnsi="宋体" w:cs="宋体"/>
                <w:kern w:val="0"/>
                <w:sz w:val="22"/>
              </w:rPr>
              <w:br w:type="textWrapping"/>
            </w:r>
            <w:r>
              <w:rPr>
                <w:rFonts w:hint="eastAsia" w:ascii="宋体" w:hAnsi="宋体" w:cs="宋体"/>
                <w:kern w:val="0"/>
                <w:sz w:val="22"/>
              </w:rPr>
              <w:t>▲（8）支持自定义按键功能，可选功能包括：一键启动任意通道批注、一键启动/退出PPT播放、一键启动PPT批注、一键启动任意通道冻结与放大屏幕内容。</w:t>
            </w:r>
            <w:r>
              <w:rPr>
                <w:rFonts w:hint="eastAsia" w:ascii="宋体" w:hAnsi="宋体" w:cs="宋体"/>
                <w:kern w:val="0"/>
                <w:sz w:val="22"/>
              </w:rPr>
              <w:br w:type="textWrapping"/>
            </w:r>
            <w:r>
              <w:rPr>
                <w:rFonts w:hint="eastAsia" w:ascii="宋体" w:hAnsi="宋体" w:cs="宋体"/>
                <w:kern w:val="0"/>
                <w:sz w:val="22"/>
              </w:rPr>
              <w:t>▲2.小蜜蜂便携式扩音器×5个；</w:t>
            </w:r>
            <w:r>
              <w:rPr>
                <w:rFonts w:hint="eastAsia" w:ascii="宋体" w:hAnsi="宋体" w:cs="宋体"/>
                <w:kern w:val="0"/>
                <w:sz w:val="22"/>
              </w:rPr>
              <w:br w:type="textWrapping"/>
            </w:r>
            <w:r>
              <w:rPr>
                <w:rFonts w:hint="eastAsia" w:ascii="宋体" w:hAnsi="宋体" w:cs="宋体"/>
                <w:kern w:val="0"/>
                <w:sz w:val="22"/>
              </w:rPr>
              <w:t>3.双音圈喇叭（66mm/2欧姆）+双通道功放；</w:t>
            </w:r>
            <w:r>
              <w:rPr>
                <w:rFonts w:hint="eastAsia" w:ascii="宋体" w:hAnsi="宋体" w:cs="宋体"/>
                <w:kern w:val="0"/>
                <w:sz w:val="22"/>
              </w:rPr>
              <w:br w:type="textWrapping"/>
            </w:r>
            <w:r>
              <w:rPr>
                <w:rFonts w:hint="eastAsia" w:ascii="宋体" w:hAnsi="宋体" w:cs="宋体"/>
                <w:kern w:val="0"/>
                <w:sz w:val="22"/>
              </w:rPr>
              <w:t>▲4.3.7V/1500mAH锂离子电池，micro USB A充电口；</w:t>
            </w:r>
            <w:r>
              <w:rPr>
                <w:rFonts w:hint="eastAsia" w:ascii="宋体" w:hAnsi="宋体" w:cs="宋体"/>
                <w:kern w:val="0"/>
                <w:sz w:val="22"/>
              </w:rPr>
              <w:br w:type="textWrapping"/>
            </w:r>
            <w:r>
              <w:rPr>
                <w:rFonts w:hint="eastAsia" w:ascii="宋体" w:hAnsi="宋体" w:cs="宋体"/>
                <w:kern w:val="0"/>
                <w:sz w:val="22"/>
              </w:rPr>
              <w:t>5.AUX音频输入，MIC有线麦输入接口；</w:t>
            </w:r>
            <w:r>
              <w:rPr>
                <w:rFonts w:hint="eastAsia" w:ascii="宋体" w:hAnsi="宋体" w:cs="宋体"/>
                <w:kern w:val="0"/>
                <w:sz w:val="22"/>
              </w:rPr>
              <w:br w:type="textWrapping"/>
            </w:r>
            <w:r>
              <w:rPr>
                <w:rFonts w:hint="eastAsia" w:ascii="宋体" w:hAnsi="宋体" w:cs="宋体"/>
                <w:kern w:val="0"/>
                <w:sz w:val="22"/>
              </w:rPr>
              <w:t>6.有线麦克风头戴式，3.5MM插头线长约1米；</w:t>
            </w:r>
            <w:r>
              <w:rPr>
                <w:rFonts w:hint="eastAsia" w:ascii="宋体" w:hAnsi="宋体" w:cs="宋体"/>
                <w:kern w:val="0"/>
                <w:sz w:val="22"/>
              </w:rPr>
              <w:br w:type="textWrapping"/>
            </w:r>
            <w:r>
              <w:rPr>
                <w:rFonts w:hint="eastAsia" w:ascii="宋体" w:hAnsi="宋体" w:cs="宋体"/>
                <w:kern w:val="0"/>
                <w:sz w:val="22"/>
              </w:rPr>
              <w:t>7.信噪比≥50dB。</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7C92">
            <w:pPr>
              <w:widowControl/>
              <w:jc w:val="center"/>
              <w:rPr>
                <w:rFonts w:ascii="宋体" w:hAnsi="宋体" w:cs="宋体"/>
                <w:kern w:val="0"/>
                <w:sz w:val="22"/>
              </w:rPr>
            </w:pPr>
            <w:r>
              <w:rPr>
                <w:rFonts w:hint="eastAsia" w:ascii="宋体" w:hAnsi="宋体" w:cs="宋体"/>
                <w:kern w:val="0"/>
                <w:sz w:val="22"/>
              </w:rPr>
              <w:t>批</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D2F1">
            <w:pPr>
              <w:widowControl/>
              <w:jc w:val="center"/>
              <w:rPr>
                <w:rFonts w:ascii="宋体" w:hAnsi="宋体" w:cs="宋体"/>
                <w:kern w:val="0"/>
                <w:sz w:val="22"/>
              </w:rPr>
            </w:pPr>
            <w:r>
              <w:rPr>
                <w:rFonts w:hint="eastAsia" w:ascii="宋体" w:hAnsi="宋体" w:cs="宋体"/>
                <w:kern w:val="0"/>
                <w:sz w:val="22"/>
              </w:rPr>
              <w:t>2</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4296">
            <w:pPr>
              <w:widowControl/>
              <w:jc w:val="center"/>
              <w:rPr>
                <w:rFonts w:ascii="宋体" w:hAnsi="宋体" w:cs="宋体"/>
                <w:kern w:val="0"/>
                <w:sz w:val="22"/>
              </w:rPr>
            </w:pPr>
            <w:r>
              <w:rPr>
                <w:rFonts w:hint="eastAsia" w:ascii="宋体" w:hAnsi="宋体" w:cs="宋体"/>
                <w:kern w:val="0"/>
                <w:sz w:val="22"/>
              </w:rPr>
              <w:t>300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68EE">
            <w:pPr>
              <w:widowControl/>
              <w:jc w:val="center"/>
              <w:rPr>
                <w:rFonts w:ascii="宋体" w:hAnsi="宋体" w:cs="宋体"/>
                <w:kern w:val="0"/>
                <w:sz w:val="22"/>
              </w:rPr>
            </w:pPr>
            <w:r>
              <w:rPr>
                <w:rFonts w:hint="eastAsia" w:ascii="宋体" w:hAnsi="宋体" w:cs="宋体"/>
                <w:kern w:val="0"/>
                <w:sz w:val="22"/>
              </w:rPr>
              <w:t>600</w:t>
            </w:r>
          </w:p>
        </w:tc>
      </w:tr>
      <w:tr w14:paraId="466445E0">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8A5DF">
            <w:pPr>
              <w:widowControl/>
              <w:jc w:val="center"/>
              <w:rPr>
                <w:rFonts w:ascii="宋体" w:hAnsi="宋体" w:cs="宋体"/>
                <w:kern w:val="0"/>
                <w:sz w:val="22"/>
              </w:rPr>
            </w:pPr>
            <w:r>
              <w:rPr>
                <w:rFonts w:hint="eastAsia" w:ascii="宋体" w:hAnsi="宋体" w:cs="宋体"/>
                <w:kern w:val="0"/>
                <w:sz w:val="22"/>
              </w:rPr>
              <w:t>14</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431C">
            <w:pPr>
              <w:widowControl/>
              <w:jc w:val="center"/>
              <w:rPr>
                <w:rFonts w:ascii="宋体" w:hAnsi="宋体" w:cs="宋体"/>
                <w:kern w:val="0"/>
                <w:sz w:val="22"/>
              </w:rPr>
            </w:pPr>
            <w:r>
              <w:rPr>
                <w:rFonts w:hint="eastAsia" w:ascii="宋体" w:hAnsi="宋体" w:cs="宋体"/>
                <w:kern w:val="0"/>
                <w:sz w:val="22"/>
              </w:rPr>
              <w:t>项目集成</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86FB">
            <w:pPr>
              <w:widowControl/>
              <w:jc w:val="left"/>
              <w:rPr>
                <w:rFonts w:ascii="宋体" w:hAnsi="宋体" w:cs="宋体"/>
                <w:kern w:val="0"/>
                <w:sz w:val="22"/>
              </w:rPr>
            </w:pPr>
            <w:r>
              <w:rPr>
                <w:rFonts w:hint="eastAsia" w:ascii="宋体" w:hAnsi="宋体" w:cs="宋体"/>
                <w:kern w:val="0"/>
                <w:sz w:val="22"/>
              </w:rPr>
              <w:t>▲包含拆旧、布线、供电及项目集成、使用培训</w:t>
            </w:r>
            <w:r>
              <w:rPr>
                <w:rFonts w:hint="eastAsia" w:ascii="宋体" w:hAnsi="宋体" w:cs="宋体"/>
                <w:kern w:val="0"/>
                <w:sz w:val="22"/>
              </w:rPr>
              <w:br w:type="textWrapping"/>
            </w:r>
            <w:r>
              <w:rPr>
                <w:rFonts w:hint="eastAsia" w:ascii="宋体" w:hAnsi="宋体" w:cs="宋体"/>
                <w:kern w:val="0"/>
                <w:sz w:val="22"/>
              </w:rPr>
              <w:t>1.所有货物到学校的运输以及到用户指定教室的搬运；</w:t>
            </w:r>
            <w:r>
              <w:rPr>
                <w:rFonts w:hint="eastAsia" w:ascii="宋体" w:hAnsi="宋体" w:cs="宋体"/>
                <w:kern w:val="0"/>
                <w:sz w:val="22"/>
              </w:rPr>
              <w:br w:type="textWrapping"/>
            </w:r>
            <w:r>
              <w:rPr>
                <w:rFonts w:hint="eastAsia" w:ascii="宋体" w:hAnsi="宋体" w:cs="宋体"/>
                <w:kern w:val="0"/>
                <w:sz w:val="22"/>
              </w:rPr>
              <w:t>2.系统集成所需辅材辅料由中标商提供并要求符合国标标准。采用达到国标要求的空气开关、漏电保护开关、超六类网线、水晶头、电源插座、电源线（主干6平方铜芯；2.5平方铜芯）、PVC线槽、抗踩踏线槽、钉子、胶布等全部包干并安装、调试、培训直至设备正常使用；</w:t>
            </w:r>
            <w:r>
              <w:rPr>
                <w:rFonts w:hint="eastAsia" w:ascii="宋体" w:hAnsi="宋体" w:cs="宋体"/>
                <w:kern w:val="0"/>
                <w:sz w:val="22"/>
              </w:rPr>
              <w:br w:type="textWrapping"/>
            </w:r>
            <w:r>
              <w:rPr>
                <w:rFonts w:hint="eastAsia" w:ascii="宋体" w:hAnsi="宋体" w:cs="宋体"/>
                <w:kern w:val="0"/>
                <w:sz w:val="22"/>
              </w:rPr>
              <w:t>3.按所在学校授课方式进行课桌摆放及布线。</w:t>
            </w:r>
            <w:r>
              <w:rPr>
                <w:rFonts w:hint="eastAsia" w:ascii="宋体" w:hAnsi="宋体" w:cs="宋体"/>
                <w:kern w:val="0"/>
                <w:sz w:val="22"/>
              </w:rPr>
              <w:br w:type="textWrapping"/>
            </w:r>
            <w:r>
              <w:rPr>
                <w:rFonts w:hint="eastAsia" w:ascii="宋体" w:hAnsi="宋体" w:cs="宋体"/>
                <w:kern w:val="0"/>
                <w:sz w:val="22"/>
              </w:rPr>
              <w:t>4.如有开槽施工，开槽、回填等方案由使用方签字确认后实施。</w:t>
            </w:r>
            <w:r>
              <w:rPr>
                <w:rFonts w:hint="eastAsia" w:ascii="宋体" w:hAnsi="宋体" w:cs="宋体"/>
                <w:kern w:val="0"/>
                <w:sz w:val="22"/>
              </w:rPr>
              <w:br w:type="textWrapping"/>
            </w:r>
            <w:r>
              <w:rPr>
                <w:rFonts w:hint="eastAsia" w:ascii="宋体" w:hAnsi="宋体" w:cs="宋体"/>
                <w:kern w:val="0"/>
                <w:sz w:val="22"/>
              </w:rPr>
              <w:t>4.按学校要求到达每所学校对管理员及使用老师进行管理及使用培训。</w:t>
            </w:r>
            <w:r>
              <w:rPr>
                <w:rFonts w:hint="eastAsia" w:ascii="宋体" w:hAnsi="宋体" w:cs="宋体"/>
                <w:kern w:val="0"/>
                <w:sz w:val="22"/>
              </w:rPr>
              <w:br w:type="textWrapping"/>
            </w:r>
            <w:r>
              <w:rPr>
                <w:rFonts w:hint="eastAsia" w:ascii="宋体" w:hAnsi="宋体" w:cs="宋体"/>
                <w:kern w:val="0"/>
                <w:sz w:val="22"/>
              </w:rPr>
              <w:t>5.质保期不少于5年。</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FDB0">
            <w:pPr>
              <w:widowControl/>
              <w:jc w:val="center"/>
              <w:rPr>
                <w:rFonts w:ascii="宋体" w:hAnsi="宋体" w:cs="宋体"/>
                <w:kern w:val="0"/>
                <w:sz w:val="22"/>
              </w:rPr>
            </w:pPr>
            <w:r>
              <w:rPr>
                <w:rFonts w:hint="eastAsia" w:ascii="宋体" w:hAnsi="宋体" w:cs="宋体"/>
                <w:kern w:val="0"/>
                <w:sz w:val="22"/>
              </w:rPr>
              <w:t>项</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0CBF">
            <w:pPr>
              <w:widowControl/>
              <w:jc w:val="center"/>
              <w:rPr>
                <w:rFonts w:ascii="宋体" w:hAnsi="宋体" w:cs="宋体"/>
                <w:kern w:val="0"/>
                <w:sz w:val="22"/>
              </w:rPr>
            </w:pPr>
            <w:r>
              <w:rPr>
                <w:rFonts w:hint="eastAsia" w:ascii="宋体" w:hAnsi="宋体" w:cs="宋体"/>
                <w:kern w:val="0"/>
                <w:sz w:val="22"/>
              </w:rPr>
              <w:t>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E3FD">
            <w:pPr>
              <w:widowControl/>
              <w:jc w:val="center"/>
              <w:rPr>
                <w:rFonts w:ascii="宋体" w:hAnsi="宋体" w:cs="宋体"/>
                <w:kern w:val="0"/>
                <w:sz w:val="22"/>
              </w:rPr>
            </w:pPr>
            <w:r>
              <w:rPr>
                <w:rFonts w:hint="eastAsia" w:ascii="宋体" w:hAnsi="宋体" w:cs="宋体"/>
                <w:kern w:val="0"/>
                <w:sz w:val="22"/>
              </w:rPr>
              <w:t>19720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2A44">
            <w:pPr>
              <w:widowControl/>
              <w:jc w:val="center"/>
              <w:rPr>
                <w:rFonts w:ascii="宋体" w:hAnsi="宋体" w:cs="宋体"/>
                <w:kern w:val="0"/>
                <w:sz w:val="22"/>
              </w:rPr>
            </w:pPr>
            <w:r>
              <w:rPr>
                <w:rFonts w:hint="eastAsia" w:ascii="宋体" w:hAnsi="宋体" w:cs="宋体"/>
                <w:kern w:val="0"/>
                <w:sz w:val="22"/>
              </w:rPr>
              <w:t>59160</w:t>
            </w:r>
          </w:p>
        </w:tc>
      </w:tr>
      <w:tr w14:paraId="75EA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1" w:hRule="atLeast"/>
        </w:trPr>
        <w:tc>
          <w:tcPr>
            <w:tcW w:w="10158" w:type="dxa"/>
            <w:gridSpan w:val="7"/>
            <w:shd w:val="clear" w:color="auto" w:fill="auto"/>
            <w:vAlign w:val="center"/>
          </w:tcPr>
          <w:tbl>
            <w:tblPr>
              <w:tblStyle w:val="24"/>
              <w:tblW w:w="10202" w:type="dxa"/>
              <w:tblInd w:w="-120" w:type="dxa"/>
              <w:tblLayout w:type="fixed"/>
              <w:tblCellMar>
                <w:top w:w="0" w:type="dxa"/>
                <w:left w:w="108" w:type="dxa"/>
                <w:bottom w:w="0" w:type="dxa"/>
                <w:right w:w="108" w:type="dxa"/>
              </w:tblCellMar>
            </w:tblPr>
            <w:tblGrid>
              <w:gridCol w:w="10202"/>
            </w:tblGrid>
            <w:tr w14:paraId="235174BE">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0FD96DAE">
                  <w:pPr>
                    <w:widowControl/>
                    <w:rPr>
                      <w:rFonts w:ascii="宋体" w:hAnsi="宋体" w:cs="宋体"/>
                      <w:kern w:val="0"/>
                      <w:sz w:val="20"/>
                      <w:szCs w:val="20"/>
                    </w:rPr>
                  </w:pPr>
                  <w:r>
                    <w:rPr>
                      <w:rFonts w:hint="eastAsia"/>
                      <w:b/>
                      <w:bCs/>
                    </w:rPr>
                    <w:t>商务条款</w:t>
                  </w:r>
                </w:p>
              </w:tc>
            </w:tr>
            <w:tr w14:paraId="03F7D957">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06F87046">
                  <w:pPr>
                    <w:widowControl/>
                    <w:jc w:val="left"/>
                    <w:rPr>
                      <w:rFonts w:ascii="宋体" w:hAnsi="宋体" w:cs="宋体"/>
                      <w:kern w:val="0"/>
                      <w:sz w:val="20"/>
                      <w:szCs w:val="20"/>
                    </w:rPr>
                  </w:pPr>
                  <w:r>
                    <w:rPr>
                      <w:rFonts w:hint="eastAsia"/>
                    </w:rPr>
                    <w:t>▲一、合同签订期：自中标通知书发出之日起5日内。</w:t>
                  </w:r>
                </w:p>
              </w:tc>
            </w:tr>
            <w:tr w14:paraId="47CFA413">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5659A304">
                  <w:pPr>
                    <w:widowControl/>
                    <w:jc w:val="left"/>
                    <w:rPr>
                      <w:rFonts w:ascii="宋体" w:hAnsi="宋体" w:cs="宋体"/>
                      <w:kern w:val="0"/>
                      <w:sz w:val="20"/>
                      <w:szCs w:val="20"/>
                    </w:rPr>
                  </w:pPr>
                  <w:r>
                    <w:rPr>
                      <w:rFonts w:hint="eastAsia"/>
                    </w:rPr>
                    <w:t>▲二、交货时间：自签订合同之日起30日内完成供货、安装、调试、培训及验收。</w:t>
                  </w:r>
                </w:p>
              </w:tc>
            </w:tr>
            <w:tr w14:paraId="4CBB4BD6">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03D63BA8">
                  <w:pPr>
                    <w:widowControl/>
                    <w:jc w:val="left"/>
                    <w:rPr>
                      <w:rFonts w:ascii="宋体" w:hAnsi="宋体" w:cs="宋体"/>
                      <w:kern w:val="0"/>
                      <w:sz w:val="20"/>
                      <w:szCs w:val="20"/>
                    </w:rPr>
                  </w:pPr>
                  <w:r>
                    <w:rPr>
                      <w:rFonts w:hint="eastAsia"/>
                    </w:rPr>
                    <w:t>三、提交货物地点：采购人指定地点。</w:t>
                  </w:r>
                </w:p>
              </w:tc>
            </w:tr>
            <w:tr w14:paraId="1F1CAF4E">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4859263C">
                  <w:pPr>
                    <w:jc w:val="left"/>
                    <w:rPr>
                      <w:rFonts w:ascii="宋体" w:hAnsi="宋体" w:cs="宋体"/>
                      <w:kern w:val="0"/>
                      <w:sz w:val="20"/>
                      <w:szCs w:val="20"/>
                    </w:rPr>
                  </w:pPr>
                  <w:r>
                    <w:rPr>
                      <w:rFonts w:hint="eastAsia"/>
                    </w:rPr>
                    <w:t>四、交货方式：现场交货。</w:t>
                  </w:r>
                </w:p>
              </w:tc>
            </w:tr>
            <w:tr w14:paraId="3EB44CC0">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2A7DFF35">
                  <w:pPr>
                    <w:jc w:val="left"/>
                  </w:pPr>
                  <w:r>
                    <w:rPr>
                      <w:rFonts w:hint="eastAsia"/>
                    </w:rPr>
                    <w:t>▲五、付款方式：本项目无预付款。中标供应商交货安装完毕后，经采购人书面验收合格，并按采购人要求提交项目请款有关资料，在财政部门审批同意用款计划后30日内，支付合同款。如因客观原因造成设备无法正常安装，乙方可在已部分供货的前提下向甲方申请支付项目进度款，甲方根据乙方供货进度并结合当时审批部门有关要求酌情办理进度款支付。</w:t>
                  </w:r>
                </w:p>
              </w:tc>
            </w:tr>
            <w:tr w14:paraId="2F1EA0EF">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25F139F1">
                  <w:pPr>
                    <w:jc w:val="left"/>
                  </w:pPr>
                  <w:r>
                    <w:rPr>
                      <w:rFonts w:hint="eastAsia"/>
                    </w:rPr>
                    <w:t xml:space="preserve">六、验收标准、规范： </w:t>
                  </w:r>
                </w:p>
                <w:p w14:paraId="3248A460">
                  <w:pPr>
                    <w:widowControl/>
                    <w:jc w:val="left"/>
                  </w:pPr>
                  <w:r>
                    <w:rPr>
                      <w:rFonts w:hint="eastAsia"/>
                    </w:rPr>
                    <w:t>1.符合合同要求及国家相关标准。</w:t>
                  </w:r>
                </w:p>
                <w:p w14:paraId="27D6B7D7">
                  <w:pPr>
                    <w:widowControl/>
                    <w:jc w:val="left"/>
                  </w:pPr>
                  <w:r>
                    <w:rPr>
                      <w:rFonts w:hint="eastAsia"/>
                    </w:rPr>
                    <w:t>2.参数配置符合或优于合同要求。</w:t>
                  </w:r>
                </w:p>
                <w:p w14:paraId="73577916">
                  <w:pPr>
                    <w:widowControl/>
                    <w:jc w:val="left"/>
                  </w:pPr>
                  <w:r>
                    <w:rPr>
                      <w:rFonts w:hint="eastAsia"/>
                    </w:rPr>
                    <w:t>3.中标人提供所招标采购的货物、配套设备、所属装置等有关技术资料作为验收的参考依据。</w:t>
                  </w:r>
                </w:p>
                <w:p w14:paraId="7DCD33DB">
                  <w:pPr>
                    <w:widowControl/>
                    <w:jc w:val="left"/>
                  </w:pPr>
                  <w:r>
                    <w:rPr>
                      <w:rFonts w:hint="eastAsia"/>
                    </w:rPr>
                    <w:t>4.本项目由采购人、设备使用单位联合开展全程监理和验收工作。如验收结果不合格的，须按采购人要求及时整改，因此过程耽误交货时间导致采购人造成损失的，中标人承担由此所造成全部损失。</w:t>
                  </w:r>
                </w:p>
                <w:p w14:paraId="444B43EE">
                  <w:pPr>
                    <w:widowControl/>
                    <w:jc w:val="left"/>
                  </w:pPr>
                  <w:r>
                    <w:rPr>
                      <w:rFonts w:hint="eastAsia"/>
                    </w:rPr>
                    <w:t>5.验收所产生的费用由中标人承担。</w:t>
                  </w:r>
                </w:p>
                <w:p w14:paraId="1679E68B">
                  <w:pPr>
                    <w:widowControl/>
                    <w:jc w:val="left"/>
                  </w:pPr>
                  <w:r>
                    <w:rPr>
                      <w:rFonts w:hint="eastAsia"/>
                    </w:rPr>
                    <w:t>6.在约定的期限内完成本项目开发过程中采购人最终确认的需求，认为可以验收的，中标人以书面方式通知采购人。交付验收前，中标人须对所交付的项目进行功能和运行检测，以确认交付项目符合本项目技术参数要求。</w:t>
                  </w:r>
                </w:p>
                <w:p w14:paraId="5D8E173E">
                  <w:pPr>
                    <w:widowControl/>
                    <w:jc w:val="left"/>
                  </w:pPr>
                  <w:r>
                    <w:rPr>
                      <w:rFonts w:hint="eastAsia"/>
                    </w:rPr>
                    <w:t>7.交付验收应按本项目约定的时间进行，如因采购人的原因而导致不能按时交付，将按延期时间顺延交付时间。</w:t>
                  </w:r>
                </w:p>
              </w:tc>
            </w:tr>
            <w:tr w14:paraId="40069212">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4510AA85">
                  <w:pPr>
                    <w:jc w:val="left"/>
                  </w:pPr>
                  <w:r>
                    <w:rPr>
                      <w:rFonts w:hint="eastAsia"/>
                    </w:rPr>
                    <w:t>七、售后服务要求：</w:t>
                  </w:r>
                </w:p>
                <w:p w14:paraId="2B6A84E9">
                  <w:pPr>
                    <w:jc w:val="left"/>
                  </w:pPr>
                  <w:r>
                    <w:rPr>
                      <w:rFonts w:hint="eastAsia"/>
                    </w:rPr>
                    <w:t>1. 项目整体质保期1年，个别品目质保期以采购需求一览表、投标产品技术资料表、商务条款偏离表、售后服务承诺等资料中最长的质保期为准。（自提交成果并验收合格之日起计）。</w:t>
                  </w:r>
                </w:p>
                <w:p w14:paraId="3079BB42">
                  <w:pPr>
                    <w:jc w:val="left"/>
                  </w:pPr>
                  <w:r>
                    <w:rPr>
                      <w:rFonts w:hint="eastAsia"/>
                    </w:rPr>
                    <w:t>2.响应时间：接到采购人处理问题通知后24小时内到达采购人指定现场，按国家及行业标准对故障进行及时处理；在36小时内不能解决的，供应商须在3个工作日内提供与原设备技术参数要求相同或高于原设备技术参数要求的备用产品，以保证采购人的正常工作。</w:t>
                  </w:r>
                </w:p>
                <w:p w14:paraId="491199EF">
                  <w:pPr>
                    <w:jc w:val="left"/>
                  </w:pPr>
                  <w:r>
                    <w:rPr>
                      <w:rFonts w:hint="eastAsia"/>
                    </w:rPr>
                    <w:t>3.售后服务技术人员要求：专职/兼职人员。</w:t>
                  </w:r>
                </w:p>
                <w:p w14:paraId="434B4030">
                  <w:pPr>
                    <w:jc w:val="left"/>
                  </w:pPr>
                  <w:r>
                    <w:rPr>
                      <w:rFonts w:hint="eastAsia"/>
                    </w:rPr>
                    <w:t>4.备品备件要求：中标人随时优惠提供备品备件，优惠提供产品更新、改造服务。</w:t>
                  </w:r>
                </w:p>
                <w:p w14:paraId="38EA4D86">
                  <w:pPr>
                    <w:jc w:val="left"/>
                  </w:pPr>
                  <w:r>
                    <w:rPr>
                      <w:rFonts w:hint="eastAsia"/>
                    </w:rPr>
                    <w:t>5.其他：</w:t>
                  </w:r>
                </w:p>
                <w:p w14:paraId="0FACF097">
                  <w:pPr>
                    <w:jc w:val="left"/>
                  </w:pPr>
                  <w:r>
                    <w:rPr>
                      <w:rFonts w:hint="eastAsia"/>
                    </w:rPr>
                    <w:t>（1）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超过质量保证期的货物，中标人提供终生维修、保养服务，维修时只收部件成本费。</w:t>
                  </w:r>
                </w:p>
                <w:p w14:paraId="78967B56">
                  <w:pPr>
                    <w:jc w:val="left"/>
                    <w:rPr>
                      <w:rFonts w:ascii="宋体" w:hAnsi="宋体" w:cs="宋体"/>
                      <w:kern w:val="0"/>
                      <w:sz w:val="20"/>
                      <w:szCs w:val="20"/>
                    </w:rPr>
                  </w:pPr>
                  <w:r>
                    <w:rPr>
                      <w:rFonts w:hint="eastAsia"/>
                    </w:rPr>
                    <w:t>（2）中标人根据售后服务方案开展回访、设备保养等工作后，5个工作日内向采购人提供书面巡检报告、售后情况记录汇总表和售后情况记录表（PDF版1份，纸质版1份，PDF版和纸质版须使用方签字并加盖公章）。格式自拟。</w:t>
                  </w:r>
                </w:p>
              </w:tc>
            </w:tr>
            <w:tr w14:paraId="45DFE219">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571E91E2">
                  <w:pPr>
                    <w:jc w:val="left"/>
                  </w:pPr>
                  <w:r>
                    <w:rPr>
                      <w:rFonts w:hint="eastAsia"/>
                    </w:rPr>
                    <w:t>八、其他要求：</w:t>
                  </w:r>
                </w:p>
                <w:p w14:paraId="4ACF60AB">
                  <w:pPr>
                    <w:jc w:val="left"/>
                  </w:pPr>
                  <w:r>
                    <w:rPr>
                      <w:rFonts w:hint="eastAsia"/>
                    </w:rPr>
                    <w:t>1. 投标方所投设备（货物）产品除满足《货物需求一览表》的技术参数及性能（配置）要求外，还应当符合国家现行的相关安全、环保、使用与保管的标准及规范的规定，应取得通过资质认定的专业检测机构出具的符合相关标准的检测报告。</w:t>
                  </w:r>
                </w:p>
                <w:p w14:paraId="10BC6A99">
                  <w:pPr>
                    <w:jc w:val="left"/>
                  </w:pPr>
                  <w:r>
                    <w:rPr>
                      <w:rFonts w:hint="eastAsia"/>
                    </w:rPr>
                    <w:t>2.凡是进入学校的教学仪器设备产品（含乐器类产品），除必须的实验用化学药品外，不得含有国家明令禁止的有毒材料，各项指标要应符合国家相关安全、环保、使用与保管的标准；乐器、乐器配件以及置于室内的乐器包装物的有害物质限量应符合GB/T28489—2012的要求；体育器材所用的材料、外形和结构设计、主要零部件静负荷能力、稳定性、安全警示要求除应符合相应产品标准外，应分别符合GB19272-2011的5.2、5.3、5.4、5.5、5.6的规定；需要安装的体育器材设施应严格按照相应的国家标准或行业标准要求进行安装，同时应符合GB19272—2011的5.7的规定；单杠、双杠、秋千、肋木、平梯、爬竿、爬绳等涉及上下运动弹跳或可能从空中跌落的器材，其跌落防护应符合GB19272-2011的5.3.3；体育器材的安全使用寿命及疲劳性能、环保要求、表面质量、管理与维护应分别符合GB19272-2011的5.8、5.9、5.10和第8章的规定；器材的标志和使用说明应符合GB19272-2011的7.1、7.1.1、7.1.2、7.1.3的规定。</w:t>
                  </w:r>
                </w:p>
                <w:p w14:paraId="27522755">
                  <w:pPr>
                    <w:jc w:val="left"/>
                  </w:pPr>
                  <w:r>
                    <w:rPr>
                      <w:rFonts w:hint="eastAsia"/>
                    </w:rPr>
                    <w:t>3.本项目中所有计算机或具有计算机功能的信息化设备，必须预装正版操作系统，操作系统软件价格包含在计算机硬件价格中，不单独计算。</w:t>
                  </w:r>
                </w:p>
                <w:p w14:paraId="15BBA0C1">
                  <w:pPr>
                    <w:jc w:val="left"/>
                  </w:pPr>
                  <w:r>
                    <w:rPr>
                      <w:rFonts w:hint="eastAsia"/>
                    </w:rPr>
                    <w:t>4.报价必须含以下部分，包括：</w:t>
                  </w:r>
                </w:p>
                <w:p w14:paraId="5A12BA6B">
                  <w:pPr>
                    <w:jc w:val="left"/>
                  </w:pPr>
                  <w:r>
                    <w:rPr>
                      <w:rFonts w:hint="eastAsia"/>
                    </w:rPr>
                    <w:t>（1）货物及标准附件、备品备件、专用工具的价格；</w:t>
                  </w:r>
                </w:p>
                <w:p w14:paraId="1B867E74">
                  <w:pPr>
                    <w:jc w:val="left"/>
                  </w:pPr>
                  <w:r>
                    <w:rPr>
                      <w:rFonts w:hint="eastAsia"/>
                    </w:rPr>
                    <w:t>（2）必要的保险费用和各项税金、招标代理服务等费用；</w:t>
                  </w:r>
                </w:p>
                <w:p w14:paraId="11ADEAFB">
                  <w:pPr>
                    <w:jc w:val="left"/>
                  </w:pPr>
                  <w:r>
                    <w:rPr>
                      <w:rFonts w:hint="eastAsia"/>
                    </w:rPr>
                    <w:t>（3）其他：外购软件费、运输、装卸、施工（安装）、调试、仪器上架及粘贴标签、培训、技术支持、售后服务、更新升级、到现场验收、拆旧等费用，系统安装调试需要的线材、接插件、安装配件、标签等，须满足本项目建设的需要，所需费用含在设备报价中，不单独计费。</w:t>
                  </w:r>
                </w:p>
                <w:p w14:paraId="581C538F">
                  <w:pPr>
                    <w:jc w:val="left"/>
                  </w:pPr>
                  <w:r>
                    <w:rPr>
                      <w:rFonts w:hint="eastAsia"/>
                    </w:rPr>
                    <w:t>5.实施和安装要求：</w:t>
                  </w:r>
                </w:p>
                <w:p w14:paraId="51BE6D84">
                  <w:pPr>
                    <w:jc w:val="left"/>
                  </w:pPr>
                  <w:r>
                    <w:rPr>
                      <w:rFonts w:hint="eastAsia"/>
                    </w:rPr>
                    <w:t>（1）中标人必须服从采购人现场负责人的指挥，按指定地点进行安装；</w:t>
                  </w:r>
                </w:p>
                <w:p w14:paraId="117C2F42">
                  <w:pPr>
                    <w:jc w:val="left"/>
                  </w:pPr>
                  <w:r>
                    <w:rPr>
                      <w:rFonts w:hint="eastAsia"/>
                    </w:rPr>
                    <w:t>（2）安装过程中的所有安全保障由中标人自行负责；</w:t>
                  </w:r>
                </w:p>
                <w:p w14:paraId="642DA355">
                  <w:pPr>
                    <w:jc w:val="left"/>
                    <w:rPr>
                      <w:rFonts w:ascii="宋体" w:hAnsi="宋体" w:cs="宋体"/>
                      <w:kern w:val="0"/>
                      <w:sz w:val="20"/>
                      <w:szCs w:val="20"/>
                    </w:rPr>
                  </w:pPr>
                  <w:r>
                    <w:rPr>
                      <w:rFonts w:hint="eastAsia"/>
                    </w:rPr>
                    <w:t>（3）严格按投标产品的安装规范要求进行安装，确保安全。</w:t>
                  </w:r>
                </w:p>
              </w:tc>
            </w:tr>
            <w:tr w14:paraId="496D2764">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38F1BA57">
                  <w:r>
                    <w:rPr>
                      <w:rFonts w:hint="eastAsia"/>
                    </w:rPr>
                    <w:t>九、培训要求</w:t>
                  </w:r>
                </w:p>
                <w:p w14:paraId="2C866C9B">
                  <w:r>
                    <w:rPr>
                      <w:rFonts w:hint="eastAsia"/>
                    </w:rPr>
                    <w:t>▲</w:t>
                  </w:r>
                  <w:r>
                    <w:t>1.在项目实施完成后，中标人免费提供各个软件和硬件系统相关的应用培训，投标文件中提供详细的培训方案。培训前将培训方案报采购人确认后方可开展培训。</w:t>
                  </w:r>
                </w:p>
                <w:p w14:paraId="3C013759">
                  <w:r>
                    <w:t>2.中标人负责本地集中培训场地、培训教材、培训讲师以及培训所需的硬软件环境，为培训人员提供培训用中文培训教材（纸质稿和电子稿）、实习资料和讲义等相关用品。培训地点原则上在校内进行；培训时间由采购人根据需要确定，原则上集中培训至少1天，不少于50人次。培训费用及被培训人员所有费用由中标人负责。</w:t>
                  </w:r>
                </w:p>
                <w:p w14:paraId="15B51E49">
                  <w:r>
                    <w:t>3.免费对采购人的管理人员、应用使用人员进行集中培训。通过讲解、学员亲自体验、试用、交流等形式开展培训。确保参与培训人员，能够熟练掌握系统操作流程、各个功能使用方法和应用技巧等，能掌握硬件设备运维和平台应用技巧等。</w:t>
                  </w:r>
                </w:p>
                <w:p w14:paraId="60579EE6">
                  <w:r>
                    <w:rPr>
                      <w:rFonts w:hint="eastAsia"/>
                    </w:rPr>
                    <w:t>▲</w:t>
                  </w:r>
                  <w:r>
                    <w:t>4.培训结束后5个工作日内，中标人向采购人提供以下培训材料：</w:t>
                  </w:r>
                </w:p>
                <w:p w14:paraId="1C77C93B">
                  <w:r>
                    <w:rPr>
                      <w:rFonts w:hint="eastAsia"/>
                    </w:rPr>
                    <w:t>（</w:t>
                  </w:r>
                  <w:r>
                    <w:t>1）参训学员名单、签到表；</w:t>
                  </w:r>
                </w:p>
                <w:p w14:paraId="3A6F9096">
                  <w:r>
                    <w:rPr>
                      <w:rFonts w:hint="eastAsia"/>
                    </w:rPr>
                    <w:t>（</w:t>
                  </w:r>
                  <w:r>
                    <w:t>2）培训具体日程安排表；</w:t>
                  </w:r>
                </w:p>
                <w:p w14:paraId="650A8E27">
                  <w:r>
                    <w:rPr>
                      <w:rFonts w:hint="eastAsia"/>
                    </w:rPr>
                    <w:t>（</w:t>
                  </w:r>
                  <w:r>
                    <w:t>3）培训资料、教材、课件；</w:t>
                  </w:r>
                </w:p>
                <w:p w14:paraId="60FC48D4">
                  <w:r>
                    <w:rPr>
                      <w:rFonts w:hint="eastAsia"/>
                    </w:rPr>
                    <w:t>（</w:t>
                  </w:r>
                  <w:r>
                    <w:t>4）培训简报；</w:t>
                  </w:r>
                </w:p>
                <w:p w14:paraId="4982E4FA">
                  <w:r>
                    <w:rPr>
                      <w:rFonts w:hint="eastAsia"/>
                    </w:rPr>
                    <w:t>（</w:t>
                  </w:r>
                  <w:r>
                    <w:t>5）培训照片（至少五张）；</w:t>
                  </w:r>
                </w:p>
                <w:p w14:paraId="3D971D3E">
                  <w:r>
                    <w:rPr>
                      <w:rFonts w:hint="eastAsia"/>
                    </w:rPr>
                    <w:t>（</w:t>
                  </w:r>
                  <w:r>
                    <w:t>6）培训项目评价反馈汇总表（受训学校盖章）。</w:t>
                  </w:r>
                </w:p>
                <w:p w14:paraId="6949A5DE">
                  <w:pPr>
                    <w:jc w:val="left"/>
                  </w:pPr>
                </w:p>
              </w:tc>
            </w:tr>
            <w:tr w14:paraId="2BC68584">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7B8CF6D3">
                  <w:pPr>
                    <w:jc w:val="left"/>
                  </w:pPr>
                  <w:r>
                    <w:rPr>
                      <w:rFonts w:hint="eastAsia"/>
                    </w:rPr>
                    <w:t>十、其他说明</w:t>
                  </w:r>
                </w:p>
                <w:p w14:paraId="69E5F223">
                  <w:pPr>
                    <w:jc w:val="left"/>
                  </w:pPr>
                  <w:r>
                    <w:rPr>
                      <w:rFonts w:hint="eastAsia"/>
                    </w:rPr>
                    <w:t>1、进口产品说明</w:t>
                  </w:r>
                </w:p>
                <w:p w14:paraId="358721BA">
                  <w:pPr>
                    <w:jc w:val="left"/>
                  </w:pPr>
                  <w:r>
                    <w:rPr>
                      <w:rFonts w:hint="eastAsia"/>
                    </w:rPr>
                    <w:t>本分标货物不接受进口产品（即通过中国海关报关验放进入中国境内且产自关境外的产品）参与响应，如有进口产品参与投标的，其响应文件作无效处理。</w:t>
                  </w:r>
                </w:p>
                <w:p w14:paraId="1C259D76">
                  <w:pPr>
                    <w:jc w:val="left"/>
                  </w:pPr>
                  <w:r>
                    <w:rPr>
                      <w:rFonts w:hint="eastAsia"/>
                    </w:rPr>
                    <w:t>2、与本项目有关的设计图纸、技术规范、文件等附件资料及其获取方式（如有）</w:t>
                  </w:r>
                </w:p>
                <w:p w14:paraId="6A1676E1">
                  <w:pPr>
                    <w:jc w:val="left"/>
                  </w:pPr>
                  <w:r>
                    <w:rPr>
                      <w:rFonts w:hint="eastAsia"/>
                    </w:rPr>
                    <w:t>文件或者资料名称：无</w:t>
                  </w:r>
                </w:p>
                <w:p w14:paraId="7ADB8CB9">
                  <w:pPr>
                    <w:jc w:val="left"/>
                  </w:pPr>
                  <w:r>
                    <w:rPr>
                      <w:rFonts w:hint="eastAsia"/>
                    </w:rPr>
                    <w:t>公布渠道或者获取方式：无</w:t>
                  </w:r>
                </w:p>
                <w:p w14:paraId="53B28021">
                  <w:pPr>
                    <w:jc w:val="left"/>
                  </w:pPr>
                  <w:r>
                    <w:rPr>
                      <w:rFonts w:hint="eastAsia"/>
                    </w:rPr>
                    <w:t>3、核心产品</w:t>
                  </w:r>
                </w:p>
                <w:p w14:paraId="01EA53A0">
                  <w:pPr>
                    <w:jc w:val="left"/>
                  </w:pPr>
                  <w:r>
                    <w:rPr>
                      <w:rFonts w:hint="eastAsia"/>
                    </w:rPr>
                    <w:t>本项目核心产品为“采购清单及技术参数”表中的“交互智能平板一体机”。</w:t>
                  </w:r>
                </w:p>
                <w:p w14:paraId="1596C83E">
                  <w:pPr>
                    <w:jc w:val="left"/>
                  </w:pPr>
                  <w:r>
                    <w:rPr>
                      <w:rFonts w:hint="eastAsia"/>
                    </w:rPr>
                    <w:t>4、其他</w:t>
                  </w:r>
                </w:p>
                <w:p w14:paraId="548C9EF5">
                  <w:pPr>
                    <w:jc w:val="left"/>
                  </w:pPr>
                  <w:r>
                    <w:rPr>
                      <w:rFonts w:hint="eastAsia"/>
                    </w:rPr>
                    <w:t>（1）不进行演示</w:t>
                  </w:r>
                </w:p>
                <w:p w14:paraId="31BB02D5">
                  <w:pPr>
                    <w:jc w:val="left"/>
                  </w:pPr>
                  <w:r>
                    <w:rPr>
                      <w:rFonts w:hint="eastAsia"/>
                    </w:rPr>
                    <w:t>（2）不要求提供样品</w:t>
                  </w:r>
                </w:p>
                <w:p w14:paraId="6E687972">
                  <w:pPr>
                    <w:widowControl/>
                    <w:jc w:val="left"/>
                  </w:pPr>
                </w:p>
                <w:p w14:paraId="390802F9">
                  <w:pPr>
                    <w:widowControl/>
                    <w:jc w:val="left"/>
                  </w:pPr>
                </w:p>
                <w:p w14:paraId="0366EE57">
                  <w:pPr>
                    <w:widowControl/>
                    <w:jc w:val="left"/>
                  </w:pPr>
                </w:p>
                <w:p w14:paraId="1ED237F4">
                  <w:pPr>
                    <w:widowControl/>
                    <w:jc w:val="left"/>
                  </w:pPr>
                </w:p>
                <w:p w14:paraId="01B955E6">
                  <w:pPr>
                    <w:widowControl/>
                    <w:jc w:val="left"/>
                  </w:pPr>
                </w:p>
                <w:p w14:paraId="3E210C41">
                  <w:pPr>
                    <w:widowControl/>
                    <w:jc w:val="left"/>
                  </w:pPr>
                </w:p>
                <w:p w14:paraId="14E00032">
                  <w:pPr>
                    <w:widowControl/>
                    <w:jc w:val="left"/>
                  </w:pPr>
                </w:p>
                <w:p w14:paraId="70743BD4">
                  <w:pPr>
                    <w:widowControl/>
                    <w:jc w:val="left"/>
                  </w:pPr>
                </w:p>
                <w:p w14:paraId="362820AA">
                  <w:pPr>
                    <w:widowControl/>
                    <w:jc w:val="left"/>
                  </w:pPr>
                </w:p>
                <w:p w14:paraId="3C79DBEC">
                  <w:pPr>
                    <w:widowControl/>
                    <w:jc w:val="left"/>
                  </w:pPr>
                </w:p>
                <w:p w14:paraId="29F6AF1F">
                  <w:pPr>
                    <w:widowControl/>
                    <w:jc w:val="left"/>
                  </w:pPr>
                </w:p>
                <w:p w14:paraId="77A90F8D">
                  <w:pPr>
                    <w:widowControl/>
                    <w:jc w:val="left"/>
                  </w:pPr>
                </w:p>
              </w:tc>
            </w:tr>
          </w:tbl>
          <w:p w14:paraId="79FCE501">
            <w:pPr>
              <w:widowControl/>
              <w:jc w:val="center"/>
              <w:textAlignment w:val="center"/>
              <w:rPr>
                <w:rFonts w:cs="宋体"/>
                <w:kern w:val="0"/>
                <w:sz w:val="22"/>
                <w:szCs w:val="22"/>
                <w:lang w:bidi="ar"/>
              </w:rPr>
            </w:pPr>
          </w:p>
        </w:tc>
      </w:tr>
    </w:tbl>
    <w:p w14:paraId="3687F187">
      <w:pPr>
        <w:spacing w:line="360" w:lineRule="auto"/>
        <w:rPr>
          <w:rFonts w:ascii="宋体" w:hAnsi="宋体" w:cs="宋体"/>
        </w:rPr>
      </w:pPr>
    </w:p>
    <w:p w14:paraId="1849AC13">
      <w:pPr>
        <w:spacing w:line="360" w:lineRule="auto"/>
        <w:rPr>
          <w:rFonts w:ascii="宋体" w:hAnsi="宋体" w:cs="宋体"/>
        </w:rPr>
      </w:pPr>
    </w:p>
    <w:p w14:paraId="5D5B1B2F">
      <w:pPr>
        <w:spacing w:line="360" w:lineRule="auto"/>
        <w:rPr>
          <w:rFonts w:ascii="宋体" w:hAnsi="宋体" w:cs="宋体"/>
        </w:rPr>
      </w:pPr>
    </w:p>
    <w:p w14:paraId="0B2EC274">
      <w:pPr>
        <w:spacing w:line="360" w:lineRule="auto"/>
        <w:rPr>
          <w:rFonts w:ascii="宋体" w:hAnsi="宋体" w:cs="宋体"/>
        </w:rPr>
      </w:pPr>
    </w:p>
    <w:p w14:paraId="1BE69098">
      <w:pPr>
        <w:spacing w:line="360" w:lineRule="auto"/>
        <w:rPr>
          <w:rFonts w:ascii="宋体" w:hAnsi="宋体" w:cs="宋体"/>
        </w:rPr>
      </w:pPr>
    </w:p>
    <w:p w14:paraId="7745D063">
      <w:pPr>
        <w:spacing w:line="360" w:lineRule="auto"/>
        <w:rPr>
          <w:rFonts w:ascii="宋体" w:hAnsi="宋体" w:cs="宋体"/>
        </w:rPr>
      </w:pPr>
    </w:p>
    <w:p w14:paraId="4C585682">
      <w:pPr>
        <w:spacing w:line="360" w:lineRule="auto"/>
        <w:rPr>
          <w:rFonts w:ascii="宋体" w:hAnsi="宋体" w:cs="宋体"/>
        </w:rPr>
        <w:sectPr>
          <w:footerReference r:id="rId6" w:type="default"/>
          <w:pgSz w:w="11906" w:h="16838"/>
          <w:pgMar w:top="1440" w:right="1080" w:bottom="1440" w:left="1080" w:header="720" w:footer="720" w:gutter="0"/>
          <w:cols w:space="720" w:num="1"/>
          <w:docGrid w:type="lines" w:linePitch="331" w:charSpace="0"/>
        </w:sectPr>
      </w:pPr>
    </w:p>
    <w:p w14:paraId="73FB8C78">
      <w:pPr>
        <w:rPr>
          <w:b/>
          <w:bCs/>
          <w:sz w:val="28"/>
          <w:szCs w:val="28"/>
        </w:rPr>
      </w:pPr>
      <w:r>
        <w:rPr>
          <w:rFonts w:hint="eastAsia" w:ascii="宋体" w:hAnsi="宋体" w:cs="宋体"/>
          <w:sz w:val="32"/>
          <w:szCs w:val="32"/>
        </w:rPr>
        <w:t>附件1：</w:t>
      </w:r>
    </w:p>
    <w:p w14:paraId="1448D03B">
      <w:pPr>
        <w:jc w:val="center"/>
        <w:rPr>
          <w:b/>
          <w:bCs/>
        </w:rPr>
      </w:pPr>
      <w:bookmarkStart w:id="38" w:name="_Toc31173"/>
      <w:r>
        <w:rPr>
          <w:rFonts w:hint="eastAsia"/>
          <w:b/>
          <w:bCs/>
        </w:rPr>
        <w:t>节能产品政府采购品目清单</w:t>
      </w:r>
      <w:bookmarkEnd w:id="38"/>
    </w:p>
    <w:tbl>
      <w:tblPr>
        <w:tblStyle w:val="24"/>
        <w:tblW w:w="0" w:type="auto"/>
        <w:jc w:val="center"/>
        <w:tblLayout w:type="fixed"/>
        <w:tblCellMar>
          <w:top w:w="0" w:type="dxa"/>
          <w:left w:w="108" w:type="dxa"/>
          <w:bottom w:w="0" w:type="dxa"/>
          <w:right w:w="108" w:type="dxa"/>
        </w:tblCellMar>
      </w:tblPr>
      <w:tblGrid>
        <w:gridCol w:w="641"/>
        <w:gridCol w:w="1116"/>
        <w:gridCol w:w="1516"/>
        <w:gridCol w:w="1612"/>
        <w:gridCol w:w="4335"/>
      </w:tblGrid>
      <w:tr w14:paraId="67433861">
        <w:tblPrEx>
          <w:tblCellMar>
            <w:top w:w="0" w:type="dxa"/>
            <w:left w:w="108" w:type="dxa"/>
            <w:bottom w:w="0" w:type="dxa"/>
            <w:right w:w="108" w:type="dxa"/>
          </w:tblCellMar>
        </w:tblPrEx>
        <w:trPr>
          <w:trHeight w:val="555" w:hRule="atLeast"/>
          <w:jc w:val="center"/>
        </w:trPr>
        <w:tc>
          <w:tcPr>
            <w:tcW w:w="641" w:type="dxa"/>
            <w:tcBorders>
              <w:top w:val="single" w:color="000000" w:sz="8" w:space="0"/>
              <w:left w:val="single" w:color="000000" w:sz="8" w:space="0"/>
              <w:bottom w:val="single" w:color="000000" w:sz="8" w:space="0"/>
              <w:right w:val="single" w:color="000000" w:sz="8" w:space="0"/>
            </w:tcBorders>
          </w:tcPr>
          <w:p w14:paraId="48692BFE">
            <w:pPr>
              <w:widowControl/>
              <w:jc w:val="center"/>
              <w:rPr>
                <w:rFonts w:ascii="宋体" w:hAnsi="宋体" w:cs="宋体"/>
                <w:b/>
                <w:bCs/>
                <w:kern w:val="0"/>
                <w:sz w:val="22"/>
                <w:szCs w:val="22"/>
              </w:rPr>
            </w:pPr>
            <w:r>
              <w:rPr>
                <w:rFonts w:hint="eastAsia" w:ascii="宋体" w:hAnsi="宋体" w:cs="宋体"/>
                <w:b/>
                <w:bCs/>
                <w:kern w:val="0"/>
                <w:sz w:val="22"/>
                <w:szCs w:val="22"/>
              </w:rPr>
              <w:t>品目序号</w:t>
            </w:r>
          </w:p>
        </w:tc>
        <w:tc>
          <w:tcPr>
            <w:tcW w:w="4244" w:type="dxa"/>
            <w:gridSpan w:val="3"/>
            <w:tcBorders>
              <w:top w:val="single" w:color="000000" w:sz="8" w:space="0"/>
              <w:left w:val="nil"/>
              <w:bottom w:val="single" w:color="000000" w:sz="8" w:space="0"/>
              <w:right w:val="single" w:color="000000" w:sz="8" w:space="0"/>
            </w:tcBorders>
            <w:vAlign w:val="center"/>
          </w:tcPr>
          <w:p w14:paraId="05C990D5">
            <w:pPr>
              <w:widowControl/>
              <w:jc w:val="center"/>
              <w:rPr>
                <w:rFonts w:ascii="宋体" w:hAnsi="宋体" w:cs="宋体"/>
                <w:b/>
                <w:bCs/>
                <w:kern w:val="0"/>
                <w:sz w:val="22"/>
                <w:szCs w:val="22"/>
              </w:rPr>
            </w:pPr>
            <w:r>
              <w:rPr>
                <w:rFonts w:hint="eastAsia" w:ascii="宋体" w:hAnsi="宋体" w:cs="宋体"/>
                <w:b/>
                <w:bCs/>
                <w:kern w:val="0"/>
                <w:sz w:val="22"/>
                <w:szCs w:val="22"/>
              </w:rPr>
              <w:t>名称</w:t>
            </w:r>
          </w:p>
        </w:tc>
        <w:tc>
          <w:tcPr>
            <w:tcW w:w="4335" w:type="dxa"/>
            <w:tcBorders>
              <w:top w:val="single" w:color="000000" w:sz="8" w:space="0"/>
              <w:left w:val="nil"/>
              <w:bottom w:val="single" w:color="000000" w:sz="8" w:space="0"/>
              <w:right w:val="single" w:color="000000" w:sz="8" w:space="0"/>
            </w:tcBorders>
            <w:vAlign w:val="center"/>
          </w:tcPr>
          <w:p w14:paraId="20C601E3">
            <w:pPr>
              <w:widowControl/>
              <w:jc w:val="center"/>
              <w:rPr>
                <w:rFonts w:ascii="宋体" w:hAnsi="宋体" w:cs="宋体"/>
                <w:b/>
                <w:bCs/>
                <w:kern w:val="0"/>
                <w:sz w:val="22"/>
                <w:szCs w:val="22"/>
              </w:rPr>
            </w:pPr>
            <w:r>
              <w:rPr>
                <w:rFonts w:hint="eastAsia" w:ascii="宋体" w:hAnsi="宋体" w:cs="宋体"/>
                <w:b/>
                <w:bCs/>
                <w:kern w:val="0"/>
                <w:sz w:val="22"/>
                <w:szCs w:val="22"/>
              </w:rPr>
              <w:t>依据的标准</w:t>
            </w:r>
          </w:p>
        </w:tc>
      </w:tr>
      <w:tr w14:paraId="18EFECD7">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18D6D60E">
            <w:pPr>
              <w:widowControl/>
              <w:jc w:val="center"/>
              <w:rPr>
                <w:rFonts w:ascii="宋体" w:hAnsi="宋体" w:cs="宋体"/>
                <w:kern w:val="0"/>
                <w:sz w:val="20"/>
                <w:szCs w:val="20"/>
              </w:rPr>
            </w:pPr>
            <w:r>
              <w:rPr>
                <w:rFonts w:hint="eastAsia" w:ascii="宋体" w:hAnsi="宋体" w:cs="宋体"/>
                <w:kern w:val="0"/>
                <w:sz w:val="20"/>
                <w:szCs w:val="20"/>
              </w:rPr>
              <w:t>1</w:t>
            </w:r>
          </w:p>
        </w:tc>
        <w:tc>
          <w:tcPr>
            <w:tcW w:w="1116" w:type="dxa"/>
            <w:vMerge w:val="restart"/>
            <w:tcBorders>
              <w:top w:val="nil"/>
              <w:left w:val="single" w:color="000000" w:sz="8" w:space="0"/>
              <w:bottom w:val="single" w:color="000000" w:sz="8" w:space="0"/>
              <w:right w:val="single" w:color="000000" w:sz="8" w:space="0"/>
            </w:tcBorders>
            <w:vAlign w:val="center"/>
          </w:tcPr>
          <w:p w14:paraId="04DE9162">
            <w:pPr>
              <w:widowControl/>
              <w:jc w:val="center"/>
              <w:rPr>
                <w:rFonts w:ascii="宋体" w:hAnsi="宋体" w:cs="宋体"/>
                <w:kern w:val="0"/>
                <w:sz w:val="20"/>
                <w:szCs w:val="20"/>
              </w:rPr>
            </w:pPr>
            <w:r>
              <w:rPr>
                <w:rFonts w:hint="eastAsia" w:ascii="宋体" w:hAnsi="宋体" w:cs="宋体"/>
                <w:kern w:val="0"/>
                <w:sz w:val="20"/>
                <w:szCs w:val="20"/>
              </w:rPr>
              <w:t>A020101计算机设备</w:t>
            </w:r>
          </w:p>
        </w:tc>
        <w:tc>
          <w:tcPr>
            <w:tcW w:w="1516" w:type="dxa"/>
            <w:tcBorders>
              <w:top w:val="nil"/>
              <w:left w:val="nil"/>
              <w:bottom w:val="single" w:color="000000" w:sz="8" w:space="0"/>
              <w:right w:val="single" w:color="000000" w:sz="8" w:space="0"/>
            </w:tcBorders>
            <w:vAlign w:val="center"/>
          </w:tcPr>
          <w:p w14:paraId="697C1C37">
            <w:pPr>
              <w:widowControl/>
              <w:jc w:val="center"/>
              <w:rPr>
                <w:rFonts w:ascii="宋体" w:hAnsi="宋体" w:cs="宋体"/>
                <w:kern w:val="0"/>
                <w:sz w:val="20"/>
                <w:szCs w:val="20"/>
              </w:rPr>
            </w:pPr>
            <w:r>
              <w:rPr>
                <w:rFonts w:hint="eastAsia" w:ascii="宋体" w:hAnsi="宋体" w:cs="宋体"/>
                <w:kern w:val="0"/>
                <w:sz w:val="20"/>
                <w:szCs w:val="20"/>
              </w:rPr>
              <w:t>★A02010104台式计算机</w:t>
            </w:r>
          </w:p>
        </w:tc>
        <w:tc>
          <w:tcPr>
            <w:tcW w:w="1612" w:type="dxa"/>
            <w:tcBorders>
              <w:top w:val="nil"/>
              <w:left w:val="nil"/>
              <w:bottom w:val="single" w:color="000000" w:sz="8" w:space="0"/>
              <w:right w:val="single" w:color="000000" w:sz="8" w:space="0"/>
            </w:tcBorders>
            <w:vAlign w:val="center"/>
          </w:tcPr>
          <w:p w14:paraId="59534BFC">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B96F2DD">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3D446329">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475DC4F4">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3599E1A">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50134700">
            <w:pPr>
              <w:widowControl/>
              <w:jc w:val="center"/>
              <w:rPr>
                <w:rFonts w:ascii="宋体" w:hAnsi="宋体" w:cs="宋体"/>
                <w:kern w:val="0"/>
                <w:sz w:val="20"/>
                <w:szCs w:val="20"/>
              </w:rPr>
            </w:pPr>
            <w:r>
              <w:rPr>
                <w:rFonts w:hint="eastAsia" w:ascii="宋体" w:hAnsi="宋体" w:cs="宋体"/>
                <w:kern w:val="0"/>
                <w:sz w:val="20"/>
                <w:szCs w:val="20"/>
              </w:rPr>
              <w:t>★A02010105便携式计算机</w:t>
            </w:r>
          </w:p>
        </w:tc>
        <w:tc>
          <w:tcPr>
            <w:tcW w:w="1612" w:type="dxa"/>
            <w:tcBorders>
              <w:top w:val="nil"/>
              <w:left w:val="nil"/>
              <w:bottom w:val="single" w:color="000000" w:sz="8" w:space="0"/>
              <w:right w:val="single" w:color="000000" w:sz="8" w:space="0"/>
            </w:tcBorders>
            <w:vAlign w:val="center"/>
          </w:tcPr>
          <w:p w14:paraId="0E97B913">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DA3BADB">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609E77F5">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39D02A0">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97A68BA">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28106EAE">
            <w:pPr>
              <w:widowControl/>
              <w:jc w:val="center"/>
              <w:rPr>
                <w:rFonts w:ascii="宋体" w:hAnsi="宋体" w:cs="宋体"/>
                <w:kern w:val="0"/>
                <w:sz w:val="20"/>
                <w:szCs w:val="20"/>
              </w:rPr>
            </w:pPr>
            <w:r>
              <w:rPr>
                <w:rFonts w:hint="eastAsia" w:ascii="宋体" w:hAnsi="宋体" w:cs="宋体"/>
                <w:kern w:val="0"/>
                <w:sz w:val="20"/>
                <w:szCs w:val="20"/>
              </w:rPr>
              <w:t>★A02010107平板式微型计算机</w:t>
            </w:r>
          </w:p>
        </w:tc>
        <w:tc>
          <w:tcPr>
            <w:tcW w:w="1612" w:type="dxa"/>
            <w:tcBorders>
              <w:top w:val="nil"/>
              <w:left w:val="nil"/>
              <w:bottom w:val="single" w:color="000000" w:sz="8" w:space="0"/>
              <w:right w:val="single" w:color="000000" w:sz="8" w:space="0"/>
            </w:tcBorders>
            <w:vAlign w:val="center"/>
          </w:tcPr>
          <w:p w14:paraId="1972CB27">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3E844A6">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73E79821">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3A6CE22C">
            <w:pPr>
              <w:widowControl/>
              <w:jc w:val="center"/>
              <w:rPr>
                <w:rFonts w:ascii="宋体" w:hAnsi="宋体" w:cs="宋体"/>
                <w:kern w:val="0"/>
                <w:sz w:val="20"/>
                <w:szCs w:val="20"/>
              </w:rPr>
            </w:pPr>
            <w:r>
              <w:rPr>
                <w:rFonts w:hint="eastAsia" w:ascii="宋体" w:hAnsi="宋体" w:cs="宋体"/>
                <w:kern w:val="0"/>
                <w:sz w:val="20"/>
                <w:szCs w:val="20"/>
              </w:rPr>
              <w:t>2</w:t>
            </w:r>
          </w:p>
        </w:tc>
        <w:tc>
          <w:tcPr>
            <w:tcW w:w="1116" w:type="dxa"/>
            <w:vMerge w:val="restart"/>
            <w:tcBorders>
              <w:top w:val="nil"/>
              <w:left w:val="single" w:color="000000" w:sz="8" w:space="0"/>
              <w:bottom w:val="single" w:color="000000" w:sz="8" w:space="0"/>
              <w:right w:val="single" w:color="000000" w:sz="8" w:space="0"/>
            </w:tcBorders>
            <w:vAlign w:val="center"/>
          </w:tcPr>
          <w:p w14:paraId="7E2D8899">
            <w:pPr>
              <w:widowControl/>
              <w:jc w:val="center"/>
              <w:rPr>
                <w:rFonts w:ascii="宋体" w:hAnsi="宋体" w:cs="宋体"/>
                <w:kern w:val="0"/>
                <w:sz w:val="20"/>
                <w:szCs w:val="20"/>
              </w:rPr>
            </w:pPr>
            <w:r>
              <w:rPr>
                <w:rFonts w:hint="eastAsia" w:ascii="宋体" w:hAnsi="宋体" w:cs="宋体"/>
                <w:kern w:val="0"/>
                <w:sz w:val="20"/>
                <w:szCs w:val="20"/>
              </w:rPr>
              <w:t>A020106输入输出设备</w:t>
            </w:r>
          </w:p>
        </w:tc>
        <w:tc>
          <w:tcPr>
            <w:tcW w:w="1516" w:type="dxa"/>
            <w:vMerge w:val="restart"/>
            <w:tcBorders>
              <w:top w:val="nil"/>
              <w:left w:val="single" w:color="000000" w:sz="8" w:space="0"/>
              <w:bottom w:val="single" w:color="000000" w:sz="8" w:space="0"/>
              <w:right w:val="single" w:color="000000" w:sz="8" w:space="0"/>
            </w:tcBorders>
            <w:vAlign w:val="center"/>
          </w:tcPr>
          <w:p w14:paraId="33DE54E3">
            <w:pPr>
              <w:widowControl/>
              <w:jc w:val="center"/>
              <w:rPr>
                <w:rFonts w:ascii="宋体" w:hAnsi="宋体" w:cs="宋体"/>
                <w:kern w:val="0"/>
                <w:sz w:val="20"/>
                <w:szCs w:val="20"/>
              </w:rPr>
            </w:pPr>
            <w:r>
              <w:rPr>
                <w:rFonts w:hint="eastAsia" w:ascii="宋体" w:hAnsi="宋体" w:cs="宋体"/>
                <w:kern w:val="0"/>
                <w:sz w:val="20"/>
                <w:szCs w:val="20"/>
              </w:rPr>
              <w:t>A02010601打印设备</w:t>
            </w:r>
          </w:p>
        </w:tc>
        <w:tc>
          <w:tcPr>
            <w:tcW w:w="1612" w:type="dxa"/>
            <w:tcBorders>
              <w:top w:val="nil"/>
              <w:left w:val="nil"/>
              <w:bottom w:val="single" w:color="000000" w:sz="8" w:space="0"/>
              <w:right w:val="single" w:color="000000" w:sz="8" w:space="0"/>
            </w:tcBorders>
            <w:vAlign w:val="center"/>
          </w:tcPr>
          <w:p w14:paraId="736B5351">
            <w:pPr>
              <w:widowControl/>
              <w:jc w:val="center"/>
              <w:rPr>
                <w:rFonts w:ascii="宋体" w:hAnsi="宋体" w:cs="宋体"/>
                <w:kern w:val="0"/>
                <w:sz w:val="20"/>
                <w:szCs w:val="20"/>
              </w:rPr>
            </w:pPr>
            <w:r>
              <w:rPr>
                <w:rFonts w:hint="eastAsia" w:ascii="宋体" w:hAnsi="宋体" w:cs="宋体"/>
                <w:kern w:val="0"/>
                <w:sz w:val="20"/>
                <w:szCs w:val="20"/>
              </w:rPr>
              <w:t>A0201060101喷墨打印机</w:t>
            </w:r>
          </w:p>
        </w:tc>
        <w:tc>
          <w:tcPr>
            <w:tcW w:w="4335" w:type="dxa"/>
            <w:tcBorders>
              <w:top w:val="nil"/>
              <w:left w:val="nil"/>
              <w:bottom w:val="single" w:color="000000" w:sz="8" w:space="0"/>
              <w:right w:val="single" w:color="000000" w:sz="8" w:space="0"/>
            </w:tcBorders>
            <w:vAlign w:val="center"/>
          </w:tcPr>
          <w:p w14:paraId="776835DF">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57CD4E47">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6C42E64">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F34644D">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17F8E419">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42534BF4">
            <w:pPr>
              <w:widowControl/>
              <w:jc w:val="center"/>
              <w:rPr>
                <w:rFonts w:ascii="宋体" w:hAnsi="宋体" w:cs="宋体"/>
                <w:kern w:val="0"/>
                <w:sz w:val="20"/>
                <w:szCs w:val="20"/>
              </w:rPr>
            </w:pPr>
            <w:r>
              <w:rPr>
                <w:rFonts w:hint="eastAsia" w:ascii="宋体" w:hAnsi="宋体" w:cs="宋体"/>
                <w:kern w:val="0"/>
                <w:sz w:val="20"/>
                <w:szCs w:val="20"/>
              </w:rPr>
              <w:t>★A0201060102激光打印机</w:t>
            </w:r>
          </w:p>
        </w:tc>
        <w:tc>
          <w:tcPr>
            <w:tcW w:w="4335" w:type="dxa"/>
            <w:tcBorders>
              <w:top w:val="nil"/>
              <w:left w:val="nil"/>
              <w:bottom w:val="single" w:color="000000" w:sz="8" w:space="0"/>
              <w:right w:val="single" w:color="000000" w:sz="8" w:space="0"/>
            </w:tcBorders>
            <w:vAlign w:val="center"/>
          </w:tcPr>
          <w:p w14:paraId="1095A450">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1E16BE02">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7A40E2FD">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6510503">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0D3A1CBC">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096D0735">
            <w:pPr>
              <w:widowControl/>
              <w:jc w:val="center"/>
              <w:rPr>
                <w:rFonts w:ascii="宋体" w:hAnsi="宋体" w:cs="宋体"/>
                <w:kern w:val="0"/>
                <w:sz w:val="20"/>
                <w:szCs w:val="20"/>
              </w:rPr>
            </w:pPr>
            <w:r>
              <w:rPr>
                <w:rFonts w:hint="eastAsia" w:ascii="宋体" w:hAnsi="宋体" w:cs="宋体"/>
                <w:kern w:val="0"/>
                <w:sz w:val="20"/>
                <w:szCs w:val="20"/>
              </w:rPr>
              <w:t>★A0201060104针式打印机</w:t>
            </w:r>
          </w:p>
        </w:tc>
        <w:tc>
          <w:tcPr>
            <w:tcW w:w="4335" w:type="dxa"/>
            <w:tcBorders>
              <w:top w:val="nil"/>
              <w:left w:val="nil"/>
              <w:bottom w:val="single" w:color="000000" w:sz="8" w:space="0"/>
              <w:right w:val="single" w:color="000000" w:sz="8" w:space="0"/>
            </w:tcBorders>
            <w:vAlign w:val="center"/>
          </w:tcPr>
          <w:p w14:paraId="36BA247E">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21417A48">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69840A19">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98443D7">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322B5205">
            <w:pPr>
              <w:widowControl/>
              <w:jc w:val="center"/>
              <w:rPr>
                <w:rFonts w:ascii="宋体" w:hAnsi="宋体" w:cs="宋体"/>
                <w:kern w:val="0"/>
                <w:sz w:val="20"/>
                <w:szCs w:val="20"/>
              </w:rPr>
            </w:pPr>
            <w:r>
              <w:rPr>
                <w:rFonts w:hint="eastAsia" w:ascii="宋体" w:hAnsi="宋体" w:cs="宋体"/>
                <w:kern w:val="0"/>
                <w:sz w:val="20"/>
                <w:szCs w:val="20"/>
              </w:rPr>
              <w:t>A02010604显示设备</w:t>
            </w:r>
          </w:p>
        </w:tc>
        <w:tc>
          <w:tcPr>
            <w:tcW w:w="1612" w:type="dxa"/>
            <w:tcBorders>
              <w:top w:val="nil"/>
              <w:left w:val="nil"/>
              <w:bottom w:val="single" w:color="000000" w:sz="8" w:space="0"/>
              <w:right w:val="single" w:color="000000" w:sz="8" w:space="0"/>
            </w:tcBorders>
            <w:vAlign w:val="center"/>
          </w:tcPr>
          <w:p w14:paraId="42F64529">
            <w:pPr>
              <w:widowControl/>
              <w:jc w:val="center"/>
              <w:rPr>
                <w:rFonts w:ascii="宋体" w:hAnsi="宋体" w:cs="宋体"/>
                <w:kern w:val="0"/>
                <w:sz w:val="20"/>
                <w:szCs w:val="20"/>
              </w:rPr>
            </w:pPr>
            <w:r>
              <w:rPr>
                <w:rFonts w:hint="eastAsia" w:ascii="宋体" w:hAnsi="宋体" w:cs="宋体"/>
                <w:kern w:val="0"/>
                <w:sz w:val="20"/>
                <w:szCs w:val="20"/>
              </w:rPr>
              <w:t>★A0201060401液晶显示器</w:t>
            </w:r>
          </w:p>
        </w:tc>
        <w:tc>
          <w:tcPr>
            <w:tcW w:w="4335" w:type="dxa"/>
            <w:tcBorders>
              <w:top w:val="nil"/>
              <w:left w:val="nil"/>
              <w:bottom w:val="single" w:color="000000" w:sz="8" w:space="0"/>
              <w:right w:val="single" w:color="000000" w:sz="8" w:space="0"/>
            </w:tcBorders>
            <w:vAlign w:val="center"/>
          </w:tcPr>
          <w:p w14:paraId="7CC80A56">
            <w:pPr>
              <w:widowControl/>
              <w:jc w:val="left"/>
              <w:rPr>
                <w:rFonts w:ascii="宋体" w:hAnsi="宋体" w:cs="宋体"/>
                <w:kern w:val="0"/>
                <w:sz w:val="20"/>
                <w:szCs w:val="20"/>
              </w:rPr>
            </w:pPr>
            <w:r>
              <w:rPr>
                <w:rFonts w:hint="eastAsia" w:ascii="宋体" w:hAnsi="宋体" w:cs="宋体"/>
                <w:kern w:val="0"/>
                <w:sz w:val="20"/>
                <w:szCs w:val="20"/>
              </w:rPr>
              <w:t>《计算机显示器能效限定值及能效等级》（GB21520）</w:t>
            </w:r>
          </w:p>
        </w:tc>
      </w:tr>
      <w:tr w14:paraId="2FE1A8F1">
        <w:tblPrEx>
          <w:tblCellMar>
            <w:top w:w="0" w:type="dxa"/>
            <w:left w:w="108" w:type="dxa"/>
            <w:bottom w:w="0" w:type="dxa"/>
            <w:right w:w="108" w:type="dxa"/>
          </w:tblCellMar>
        </w:tblPrEx>
        <w:trPr>
          <w:trHeight w:val="97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67FCEB81">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6CE39B69">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72CE0C65">
            <w:pPr>
              <w:widowControl/>
              <w:jc w:val="center"/>
              <w:rPr>
                <w:rFonts w:ascii="宋体" w:hAnsi="宋体" w:cs="宋体"/>
                <w:kern w:val="0"/>
                <w:sz w:val="20"/>
                <w:szCs w:val="20"/>
              </w:rPr>
            </w:pPr>
            <w:r>
              <w:rPr>
                <w:rFonts w:hint="eastAsia" w:ascii="宋体" w:hAnsi="宋体" w:cs="宋体"/>
                <w:kern w:val="0"/>
                <w:sz w:val="20"/>
                <w:szCs w:val="20"/>
              </w:rPr>
              <w:t>A02010609图形图像输入设备</w:t>
            </w:r>
          </w:p>
        </w:tc>
        <w:tc>
          <w:tcPr>
            <w:tcW w:w="1612" w:type="dxa"/>
            <w:tcBorders>
              <w:top w:val="nil"/>
              <w:left w:val="nil"/>
              <w:bottom w:val="single" w:color="000000" w:sz="8" w:space="0"/>
              <w:right w:val="single" w:color="000000" w:sz="8" w:space="0"/>
            </w:tcBorders>
            <w:vAlign w:val="center"/>
          </w:tcPr>
          <w:p w14:paraId="65BE6544">
            <w:pPr>
              <w:widowControl/>
              <w:jc w:val="center"/>
              <w:rPr>
                <w:rFonts w:ascii="宋体" w:hAnsi="宋体" w:cs="宋体"/>
                <w:kern w:val="0"/>
                <w:sz w:val="20"/>
                <w:szCs w:val="20"/>
              </w:rPr>
            </w:pPr>
            <w:r>
              <w:rPr>
                <w:rFonts w:hint="eastAsia" w:ascii="宋体" w:hAnsi="宋体" w:cs="宋体"/>
                <w:kern w:val="0"/>
                <w:sz w:val="20"/>
                <w:szCs w:val="20"/>
              </w:rPr>
              <w:t>A0201060901扫描仪</w:t>
            </w:r>
          </w:p>
        </w:tc>
        <w:tc>
          <w:tcPr>
            <w:tcW w:w="4335" w:type="dxa"/>
            <w:tcBorders>
              <w:top w:val="nil"/>
              <w:left w:val="nil"/>
              <w:bottom w:val="single" w:color="000000" w:sz="8" w:space="0"/>
              <w:right w:val="single" w:color="000000" w:sz="8" w:space="0"/>
            </w:tcBorders>
            <w:vAlign w:val="center"/>
          </w:tcPr>
          <w:p w14:paraId="543FD52B">
            <w:pPr>
              <w:widowControl/>
              <w:jc w:val="left"/>
              <w:rPr>
                <w:rFonts w:ascii="宋体" w:hAnsi="宋体" w:cs="宋体"/>
                <w:kern w:val="0"/>
                <w:sz w:val="20"/>
                <w:szCs w:val="20"/>
              </w:rPr>
            </w:pPr>
            <w:r>
              <w:rPr>
                <w:rFonts w:hint="eastAsia" w:ascii="宋体" w:hAnsi="宋体" w:cs="宋体"/>
                <w:kern w:val="0"/>
                <w:sz w:val="20"/>
                <w:szCs w:val="20"/>
              </w:rPr>
              <w:t>参照《复印机、打印机和传真机能效限定值及能效等级》（GB21521中打印速度为15页/分的针式打印机相关要求中打印速度为15页/分的针式打印机相关要求）</w:t>
            </w:r>
          </w:p>
        </w:tc>
      </w:tr>
      <w:tr w14:paraId="441418EA">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7F1AE29D">
            <w:pPr>
              <w:widowControl/>
              <w:jc w:val="center"/>
              <w:rPr>
                <w:rFonts w:ascii="宋体" w:hAnsi="宋体" w:cs="宋体"/>
                <w:kern w:val="0"/>
                <w:sz w:val="20"/>
                <w:szCs w:val="20"/>
              </w:rPr>
            </w:pPr>
            <w:r>
              <w:rPr>
                <w:rFonts w:hint="eastAsia" w:ascii="宋体" w:hAnsi="宋体" w:cs="宋体"/>
                <w:kern w:val="0"/>
                <w:sz w:val="20"/>
                <w:szCs w:val="20"/>
              </w:rPr>
              <w:t>3</w:t>
            </w:r>
          </w:p>
        </w:tc>
        <w:tc>
          <w:tcPr>
            <w:tcW w:w="1116" w:type="dxa"/>
            <w:tcBorders>
              <w:top w:val="nil"/>
              <w:left w:val="nil"/>
              <w:bottom w:val="single" w:color="000000" w:sz="8" w:space="0"/>
              <w:right w:val="single" w:color="000000" w:sz="8" w:space="0"/>
            </w:tcBorders>
            <w:vAlign w:val="center"/>
          </w:tcPr>
          <w:p w14:paraId="4574A2A9">
            <w:pPr>
              <w:widowControl/>
              <w:jc w:val="center"/>
              <w:rPr>
                <w:rFonts w:ascii="宋体" w:hAnsi="宋体" w:cs="宋体"/>
                <w:kern w:val="0"/>
                <w:sz w:val="20"/>
                <w:szCs w:val="20"/>
              </w:rPr>
            </w:pPr>
            <w:r>
              <w:rPr>
                <w:rFonts w:hint="eastAsia" w:ascii="宋体" w:hAnsi="宋体" w:cs="宋体"/>
                <w:kern w:val="0"/>
                <w:sz w:val="20"/>
                <w:szCs w:val="20"/>
              </w:rPr>
              <w:t>A020202投影仪</w:t>
            </w:r>
          </w:p>
        </w:tc>
        <w:tc>
          <w:tcPr>
            <w:tcW w:w="1516" w:type="dxa"/>
            <w:tcBorders>
              <w:top w:val="nil"/>
              <w:left w:val="nil"/>
              <w:bottom w:val="single" w:color="000000" w:sz="8" w:space="0"/>
              <w:right w:val="single" w:color="000000" w:sz="8" w:space="0"/>
            </w:tcBorders>
            <w:vAlign w:val="center"/>
          </w:tcPr>
          <w:p w14:paraId="26911087">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2633CA6F">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BE9D16D">
            <w:pPr>
              <w:widowControl/>
              <w:jc w:val="left"/>
              <w:rPr>
                <w:rFonts w:ascii="宋体" w:hAnsi="宋体" w:cs="宋体"/>
                <w:kern w:val="0"/>
                <w:sz w:val="20"/>
                <w:szCs w:val="20"/>
              </w:rPr>
            </w:pPr>
            <w:r>
              <w:rPr>
                <w:rFonts w:hint="eastAsia" w:ascii="宋体" w:hAnsi="宋体" w:cs="宋体"/>
                <w:kern w:val="0"/>
                <w:sz w:val="20"/>
                <w:szCs w:val="20"/>
              </w:rPr>
              <w:t>《投影机能效限定值及能效等级》（GB32028）</w:t>
            </w:r>
          </w:p>
        </w:tc>
      </w:tr>
      <w:tr w14:paraId="164587ED">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520CAC70">
            <w:pPr>
              <w:widowControl/>
              <w:jc w:val="center"/>
              <w:rPr>
                <w:rFonts w:ascii="宋体" w:hAnsi="宋体" w:cs="宋体"/>
                <w:kern w:val="0"/>
                <w:sz w:val="20"/>
                <w:szCs w:val="20"/>
              </w:rPr>
            </w:pPr>
            <w:r>
              <w:rPr>
                <w:rFonts w:hint="eastAsia" w:ascii="宋体" w:hAnsi="宋体" w:cs="宋体"/>
                <w:kern w:val="0"/>
                <w:sz w:val="20"/>
                <w:szCs w:val="20"/>
              </w:rPr>
              <w:t>4</w:t>
            </w:r>
          </w:p>
        </w:tc>
        <w:tc>
          <w:tcPr>
            <w:tcW w:w="1116" w:type="dxa"/>
            <w:tcBorders>
              <w:top w:val="nil"/>
              <w:left w:val="nil"/>
              <w:bottom w:val="single" w:color="000000" w:sz="8" w:space="0"/>
              <w:right w:val="single" w:color="000000" w:sz="8" w:space="0"/>
            </w:tcBorders>
            <w:vAlign w:val="center"/>
          </w:tcPr>
          <w:p w14:paraId="4B401FF3">
            <w:pPr>
              <w:widowControl/>
              <w:jc w:val="center"/>
              <w:rPr>
                <w:rFonts w:ascii="宋体" w:hAnsi="宋体" w:cs="宋体"/>
                <w:kern w:val="0"/>
                <w:sz w:val="20"/>
                <w:szCs w:val="20"/>
              </w:rPr>
            </w:pPr>
            <w:r>
              <w:rPr>
                <w:rFonts w:hint="eastAsia" w:ascii="宋体" w:hAnsi="宋体" w:cs="宋体"/>
                <w:kern w:val="0"/>
                <w:sz w:val="20"/>
                <w:szCs w:val="20"/>
              </w:rPr>
              <w:t>A020204多功能一体机</w:t>
            </w:r>
          </w:p>
        </w:tc>
        <w:tc>
          <w:tcPr>
            <w:tcW w:w="1516" w:type="dxa"/>
            <w:tcBorders>
              <w:top w:val="nil"/>
              <w:left w:val="nil"/>
              <w:bottom w:val="single" w:color="000000" w:sz="8" w:space="0"/>
              <w:right w:val="single" w:color="000000" w:sz="8" w:space="0"/>
            </w:tcBorders>
            <w:vAlign w:val="center"/>
          </w:tcPr>
          <w:p w14:paraId="76169041">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5AA90BCB">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2364017">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20E19054">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047C5336">
            <w:pPr>
              <w:widowControl/>
              <w:jc w:val="center"/>
              <w:rPr>
                <w:rFonts w:ascii="宋体" w:hAnsi="宋体" w:cs="宋体"/>
                <w:kern w:val="0"/>
                <w:sz w:val="20"/>
                <w:szCs w:val="20"/>
              </w:rPr>
            </w:pPr>
            <w:r>
              <w:rPr>
                <w:rFonts w:hint="eastAsia" w:ascii="宋体" w:hAnsi="宋体" w:cs="宋体"/>
                <w:kern w:val="0"/>
                <w:sz w:val="20"/>
                <w:szCs w:val="20"/>
              </w:rPr>
              <w:t>5</w:t>
            </w:r>
          </w:p>
        </w:tc>
        <w:tc>
          <w:tcPr>
            <w:tcW w:w="1116" w:type="dxa"/>
            <w:tcBorders>
              <w:top w:val="nil"/>
              <w:left w:val="nil"/>
              <w:bottom w:val="single" w:color="000000" w:sz="8" w:space="0"/>
              <w:right w:val="single" w:color="000000" w:sz="8" w:space="0"/>
            </w:tcBorders>
            <w:vAlign w:val="center"/>
          </w:tcPr>
          <w:p w14:paraId="3090F65D">
            <w:pPr>
              <w:widowControl/>
              <w:jc w:val="center"/>
              <w:rPr>
                <w:rFonts w:ascii="宋体" w:hAnsi="宋体" w:cs="宋体"/>
                <w:kern w:val="0"/>
                <w:sz w:val="20"/>
                <w:szCs w:val="20"/>
              </w:rPr>
            </w:pPr>
            <w:r>
              <w:rPr>
                <w:rFonts w:hint="eastAsia" w:ascii="宋体" w:hAnsi="宋体" w:cs="宋体"/>
                <w:kern w:val="0"/>
                <w:sz w:val="20"/>
                <w:szCs w:val="20"/>
              </w:rPr>
              <w:t>A020519泵</w:t>
            </w:r>
          </w:p>
        </w:tc>
        <w:tc>
          <w:tcPr>
            <w:tcW w:w="1516" w:type="dxa"/>
            <w:tcBorders>
              <w:top w:val="nil"/>
              <w:left w:val="nil"/>
              <w:bottom w:val="single" w:color="000000" w:sz="8" w:space="0"/>
              <w:right w:val="single" w:color="000000" w:sz="8" w:space="0"/>
            </w:tcBorders>
            <w:vAlign w:val="center"/>
          </w:tcPr>
          <w:p w14:paraId="44482D05">
            <w:pPr>
              <w:widowControl/>
              <w:jc w:val="center"/>
              <w:rPr>
                <w:rFonts w:ascii="宋体" w:hAnsi="宋体" w:cs="宋体"/>
                <w:kern w:val="0"/>
                <w:sz w:val="20"/>
                <w:szCs w:val="20"/>
              </w:rPr>
            </w:pPr>
            <w:r>
              <w:rPr>
                <w:rFonts w:hint="eastAsia" w:ascii="宋体" w:hAnsi="宋体" w:cs="宋体"/>
                <w:kern w:val="0"/>
                <w:sz w:val="20"/>
                <w:szCs w:val="20"/>
              </w:rPr>
              <w:t>A02051901离心泵</w:t>
            </w:r>
          </w:p>
        </w:tc>
        <w:tc>
          <w:tcPr>
            <w:tcW w:w="1612" w:type="dxa"/>
            <w:tcBorders>
              <w:top w:val="nil"/>
              <w:left w:val="nil"/>
              <w:bottom w:val="single" w:color="000000" w:sz="8" w:space="0"/>
              <w:right w:val="single" w:color="000000" w:sz="8" w:space="0"/>
            </w:tcBorders>
            <w:vAlign w:val="center"/>
          </w:tcPr>
          <w:p w14:paraId="1FF3ED7D">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BEA91A0">
            <w:pPr>
              <w:widowControl/>
              <w:jc w:val="left"/>
              <w:rPr>
                <w:rFonts w:ascii="宋体" w:hAnsi="宋体" w:cs="宋体"/>
                <w:kern w:val="0"/>
                <w:sz w:val="20"/>
                <w:szCs w:val="20"/>
              </w:rPr>
            </w:pPr>
            <w:r>
              <w:rPr>
                <w:rFonts w:hint="eastAsia" w:ascii="宋体" w:hAnsi="宋体" w:cs="宋体"/>
                <w:kern w:val="0"/>
                <w:sz w:val="20"/>
                <w:szCs w:val="20"/>
              </w:rPr>
              <w:t>《清水离心泵能效限定值及节能评价值》（GB19762）</w:t>
            </w:r>
          </w:p>
        </w:tc>
      </w:tr>
      <w:tr w14:paraId="6CD899EB">
        <w:tblPrEx>
          <w:tblCellMar>
            <w:top w:w="0" w:type="dxa"/>
            <w:left w:w="108" w:type="dxa"/>
            <w:bottom w:w="0" w:type="dxa"/>
            <w:right w:w="108" w:type="dxa"/>
          </w:tblCellMar>
        </w:tblPrEx>
        <w:trPr>
          <w:trHeight w:val="73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086A9AE5">
            <w:pPr>
              <w:widowControl/>
              <w:jc w:val="center"/>
              <w:rPr>
                <w:rFonts w:ascii="宋体" w:hAnsi="宋体" w:cs="宋体"/>
                <w:kern w:val="0"/>
                <w:sz w:val="20"/>
                <w:szCs w:val="20"/>
              </w:rPr>
            </w:pPr>
            <w:r>
              <w:rPr>
                <w:rFonts w:hint="eastAsia" w:ascii="宋体" w:hAnsi="宋体" w:cs="宋体"/>
                <w:kern w:val="0"/>
                <w:sz w:val="20"/>
                <w:szCs w:val="20"/>
              </w:rPr>
              <w:t>6</w:t>
            </w:r>
          </w:p>
        </w:tc>
        <w:tc>
          <w:tcPr>
            <w:tcW w:w="1116" w:type="dxa"/>
            <w:vMerge w:val="restart"/>
            <w:tcBorders>
              <w:top w:val="nil"/>
              <w:left w:val="single" w:color="000000" w:sz="8" w:space="0"/>
              <w:bottom w:val="single" w:color="000000" w:sz="8" w:space="0"/>
              <w:right w:val="single" w:color="000000" w:sz="8" w:space="0"/>
            </w:tcBorders>
            <w:vAlign w:val="center"/>
          </w:tcPr>
          <w:p w14:paraId="7CC4F564">
            <w:pPr>
              <w:widowControl/>
              <w:jc w:val="center"/>
              <w:rPr>
                <w:rFonts w:ascii="宋体" w:hAnsi="宋体" w:cs="宋体"/>
                <w:kern w:val="0"/>
                <w:sz w:val="20"/>
                <w:szCs w:val="20"/>
              </w:rPr>
            </w:pPr>
            <w:r>
              <w:rPr>
                <w:rFonts w:hint="eastAsia" w:ascii="宋体" w:hAnsi="宋体" w:cs="宋体"/>
                <w:kern w:val="0"/>
                <w:sz w:val="20"/>
                <w:szCs w:val="20"/>
              </w:rPr>
              <w:t>A020523制冷空调设备</w:t>
            </w:r>
          </w:p>
        </w:tc>
        <w:tc>
          <w:tcPr>
            <w:tcW w:w="1516" w:type="dxa"/>
            <w:vMerge w:val="restart"/>
            <w:tcBorders>
              <w:top w:val="nil"/>
              <w:left w:val="single" w:color="000000" w:sz="8" w:space="0"/>
              <w:bottom w:val="single" w:color="000000" w:sz="8" w:space="0"/>
              <w:right w:val="single" w:color="000000" w:sz="8" w:space="0"/>
            </w:tcBorders>
            <w:vAlign w:val="center"/>
          </w:tcPr>
          <w:p w14:paraId="2B06F1FE">
            <w:pPr>
              <w:widowControl/>
              <w:jc w:val="center"/>
              <w:rPr>
                <w:rFonts w:ascii="宋体" w:hAnsi="宋体" w:cs="宋体"/>
                <w:kern w:val="0"/>
                <w:sz w:val="20"/>
                <w:szCs w:val="20"/>
              </w:rPr>
            </w:pPr>
            <w:r>
              <w:rPr>
                <w:rFonts w:hint="eastAsia" w:ascii="宋体" w:hAnsi="宋体" w:cs="宋体"/>
                <w:kern w:val="0"/>
                <w:sz w:val="20"/>
                <w:szCs w:val="20"/>
              </w:rPr>
              <w:t>★A02052301制冷压缩机</w:t>
            </w:r>
          </w:p>
        </w:tc>
        <w:tc>
          <w:tcPr>
            <w:tcW w:w="1612" w:type="dxa"/>
            <w:tcBorders>
              <w:top w:val="nil"/>
              <w:left w:val="nil"/>
              <w:bottom w:val="single" w:color="000000" w:sz="8" w:space="0"/>
              <w:right w:val="single" w:color="000000" w:sz="8" w:space="0"/>
            </w:tcBorders>
            <w:vAlign w:val="center"/>
          </w:tcPr>
          <w:p w14:paraId="447E7012">
            <w:pPr>
              <w:widowControl/>
              <w:jc w:val="center"/>
              <w:rPr>
                <w:rFonts w:ascii="宋体" w:hAnsi="宋体" w:cs="宋体"/>
                <w:kern w:val="0"/>
                <w:sz w:val="20"/>
                <w:szCs w:val="20"/>
              </w:rPr>
            </w:pPr>
            <w:r>
              <w:rPr>
                <w:rFonts w:hint="eastAsia" w:ascii="宋体" w:hAnsi="宋体" w:cs="宋体"/>
                <w:kern w:val="0"/>
                <w:sz w:val="20"/>
                <w:szCs w:val="20"/>
              </w:rPr>
              <w:t>冷水机组</w:t>
            </w:r>
          </w:p>
        </w:tc>
        <w:tc>
          <w:tcPr>
            <w:tcW w:w="4335" w:type="dxa"/>
            <w:tcBorders>
              <w:top w:val="nil"/>
              <w:left w:val="nil"/>
              <w:bottom w:val="single" w:color="000000" w:sz="8" w:space="0"/>
              <w:right w:val="single" w:color="000000" w:sz="8" w:space="0"/>
            </w:tcBorders>
            <w:vAlign w:val="center"/>
          </w:tcPr>
          <w:p w14:paraId="419E315D">
            <w:pPr>
              <w:widowControl/>
              <w:jc w:val="left"/>
              <w:rPr>
                <w:rFonts w:ascii="宋体" w:hAnsi="宋体" w:cs="宋体"/>
                <w:kern w:val="0"/>
                <w:sz w:val="20"/>
                <w:szCs w:val="20"/>
              </w:rPr>
            </w:pPr>
            <w:r>
              <w:rPr>
                <w:rFonts w:hint="eastAsia" w:ascii="宋体" w:hAnsi="宋体" w:cs="宋体"/>
                <w:kern w:val="0"/>
                <w:sz w:val="20"/>
                <w:szCs w:val="20"/>
              </w:rPr>
              <w:t>《冷水机组能效限定值及能效等级》（GB19577），《低环境温度空气源热泵（冷水）机组能效限定值及能效等级》（GB37480）</w:t>
            </w:r>
          </w:p>
        </w:tc>
      </w:tr>
      <w:tr w14:paraId="3D4E7368">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4C95C41B">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89123D7">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6318B563">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45F37F57">
            <w:pPr>
              <w:widowControl/>
              <w:jc w:val="center"/>
              <w:rPr>
                <w:rFonts w:ascii="宋体" w:hAnsi="宋体" w:cs="宋体"/>
                <w:kern w:val="0"/>
                <w:sz w:val="20"/>
                <w:szCs w:val="20"/>
              </w:rPr>
            </w:pPr>
            <w:r>
              <w:rPr>
                <w:rFonts w:hint="eastAsia" w:ascii="宋体" w:hAnsi="宋体" w:cs="宋体"/>
                <w:kern w:val="0"/>
                <w:sz w:val="20"/>
                <w:szCs w:val="20"/>
              </w:rPr>
              <w:t>水源热泵机组</w:t>
            </w:r>
          </w:p>
        </w:tc>
        <w:tc>
          <w:tcPr>
            <w:tcW w:w="4335" w:type="dxa"/>
            <w:tcBorders>
              <w:top w:val="nil"/>
              <w:left w:val="nil"/>
              <w:bottom w:val="single" w:color="000000" w:sz="8" w:space="0"/>
              <w:right w:val="single" w:color="000000" w:sz="8" w:space="0"/>
            </w:tcBorders>
            <w:vAlign w:val="center"/>
          </w:tcPr>
          <w:p w14:paraId="2969076C">
            <w:pPr>
              <w:widowControl/>
              <w:jc w:val="left"/>
              <w:rPr>
                <w:rFonts w:ascii="宋体" w:hAnsi="宋体" w:cs="宋体"/>
                <w:kern w:val="0"/>
                <w:sz w:val="20"/>
                <w:szCs w:val="20"/>
              </w:rPr>
            </w:pPr>
            <w:r>
              <w:rPr>
                <w:rFonts w:hint="eastAsia" w:ascii="宋体" w:hAnsi="宋体" w:cs="宋体"/>
                <w:kern w:val="0"/>
                <w:sz w:val="20"/>
                <w:szCs w:val="20"/>
              </w:rPr>
              <w:t>《水（地）源热泵机组能效限定值及能效等级》（GB30721）</w:t>
            </w:r>
          </w:p>
        </w:tc>
      </w:tr>
      <w:tr w14:paraId="7356AAC1">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5AE26F7">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5197E77">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3E155F91">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55000A54">
            <w:pPr>
              <w:widowControl/>
              <w:jc w:val="center"/>
              <w:rPr>
                <w:rFonts w:ascii="宋体" w:hAnsi="宋体" w:cs="宋体"/>
                <w:kern w:val="0"/>
                <w:sz w:val="20"/>
                <w:szCs w:val="20"/>
              </w:rPr>
            </w:pPr>
            <w:r>
              <w:rPr>
                <w:rFonts w:hint="eastAsia" w:ascii="宋体" w:hAnsi="宋体" w:cs="宋体"/>
                <w:kern w:val="0"/>
                <w:sz w:val="20"/>
                <w:szCs w:val="20"/>
              </w:rPr>
              <w:t>溴化锂吸收式冷水机组</w:t>
            </w:r>
          </w:p>
        </w:tc>
        <w:tc>
          <w:tcPr>
            <w:tcW w:w="4335" w:type="dxa"/>
            <w:tcBorders>
              <w:top w:val="nil"/>
              <w:left w:val="nil"/>
              <w:bottom w:val="single" w:color="000000" w:sz="8" w:space="0"/>
              <w:right w:val="single" w:color="000000" w:sz="8" w:space="0"/>
            </w:tcBorders>
            <w:vAlign w:val="center"/>
          </w:tcPr>
          <w:p w14:paraId="7D990B62">
            <w:pPr>
              <w:widowControl/>
              <w:jc w:val="left"/>
              <w:rPr>
                <w:rFonts w:ascii="宋体" w:hAnsi="宋体" w:cs="宋体"/>
                <w:kern w:val="0"/>
                <w:sz w:val="20"/>
                <w:szCs w:val="20"/>
              </w:rPr>
            </w:pPr>
            <w:r>
              <w:rPr>
                <w:rFonts w:hint="eastAsia" w:ascii="宋体" w:hAnsi="宋体" w:cs="宋体"/>
                <w:kern w:val="0"/>
                <w:sz w:val="20"/>
                <w:szCs w:val="20"/>
              </w:rPr>
              <w:t>《溴化锂吸收式冷水机组能效限定值及能效等级》（GB29540）</w:t>
            </w:r>
          </w:p>
        </w:tc>
      </w:tr>
      <w:tr w14:paraId="2EFE0C4D">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EE1AD91">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2CC6C78">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4769F46F">
            <w:pPr>
              <w:widowControl/>
              <w:jc w:val="center"/>
              <w:rPr>
                <w:rFonts w:ascii="宋体" w:hAnsi="宋体" w:cs="宋体"/>
                <w:kern w:val="0"/>
                <w:sz w:val="20"/>
                <w:szCs w:val="20"/>
              </w:rPr>
            </w:pPr>
            <w:r>
              <w:rPr>
                <w:rFonts w:hint="eastAsia" w:ascii="宋体" w:hAnsi="宋体" w:cs="宋体"/>
                <w:kern w:val="0"/>
                <w:sz w:val="20"/>
                <w:szCs w:val="20"/>
              </w:rPr>
              <w:t>★A02052305空调机组</w:t>
            </w:r>
          </w:p>
        </w:tc>
        <w:tc>
          <w:tcPr>
            <w:tcW w:w="1612" w:type="dxa"/>
            <w:tcBorders>
              <w:top w:val="nil"/>
              <w:left w:val="nil"/>
              <w:bottom w:val="single" w:color="000000" w:sz="8" w:space="0"/>
              <w:right w:val="single" w:color="000000" w:sz="8" w:space="0"/>
            </w:tcBorders>
            <w:vAlign w:val="center"/>
          </w:tcPr>
          <w:p w14:paraId="46D3330C">
            <w:pPr>
              <w:widowControl/>
              <w:jc w:val="center"/>
              <w:rPr>
                <w:rFonts w:ascii="宋体" w:hAnsi="宋体" w:cs="宋体"/>
                <w:kern w:val="0"/>
                <w:sz w:val="20"/>
                <w:szCs w:val="20"/>
              </w:rPr>
            </w:pPr>
            <w:r>
              <w:rPr>
                <w:rFonts w:hint="eastAsia" w:ascii="宋体" w:hAnsi="宋体" w:cs="宋体"/>
                <w:kern w:val="0"/>
                <w:sz w:val="20"/>
                <w:szCs w:val="20"/>
              </w:rPr>
              <w:t>多联式空调（热泵）机组（制冷量&gt;14000W)</w:t>
            </w:r>
          </w:p>
        </w:tc>
        <w:tc>
          <w:tcPr>
            <w:tcW w:w="4335" w:type="dxa"/>
            <w:tcBorders>
              <w:top w:val="nil"/>
              <w:left w:val="nil"/>
              <w:bottom w:val="single" w:color="000000" w:sz="8" w:space="0"/>
              <w:right w:val="single" w:color="000000" w:sz="8" w:space="0"/>
            </w:tcBorders>
            <w:vAlign w:val="center"/>
          </w:tcPr>
          <w:p w14:paraId="2F5A1C57">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388E77D3">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632A9F84">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53677F9">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45A5704F">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76D2736B">
            <w:pPr>
              <w:widowControl/>
              <w:jc w:val="center"/>
              <w:rPr>
                <w:rFonts w:ascii="宋体" w:hAnsi="宋体" w:cs="宋体"/>
                <w:kern w:val="0"/>
                <w:sz w:val="20"/>
                <w:szCs w:val="20"/>
              </w:rPr>
            </w:pPr>
            <w:r>
              <w:rPr>
                <w:rFonts w:hint="eastAsia" w:ascii="宋体" w:hAnsi="宋体" w:cs="宋体"/>
                <w:kern w:val="0"/>
                <w:sz w:val="20"/>
                <w:szCs w:val="20"/>
              </w:rPr>
              <w:t>单元式空气调节机（制冷量&gt;14000W</w:t>
            </w:r>
          </w:p>
        </w:tc>
        <w:tc>
          <w:tcPr>
            <w:tcW w:w="4335" w:type="dxa"/>
            <w:tcBorders>
              <w:top w:val="nil"/>
              <w:left w:val="nil"/>
              <w:bottom w:val="single" w:color="000000" w:sz="8" w:space="0"/>
              <w:right w:val="single" w:color="000000" w:sz="8" w:space="0"/>
            </w:tcBorders>
            <w:vAlign w:val="center"/>
          </w:tcPr>
          <w:p w14:paraId="02A2BF38">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《单元式空气调节机能效限定值及能效等级》（GB19576）《风管送风式空调机组能效限定值及能效等级》（GB37479）</w:t>
            </w:r>
          </w:p>
        </w:tc>
      </w:tr>
      <w:tr w14:paraId="428C50BF">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4C97A123">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00D9121">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5385A1E3">
            <w:pPr>
              <w:widowControl/>
              <w:jc w:val="center"/>
              <w:rPr>
                <w:rFonts w:ascii="宋体" w:hAnsi="宋体" w:cs="宋体"/>
                <w:kern w:val="0"/>
                <w:sz w:val="20"/>
                <w:szCs w:val="20"/>
              </w:rPr>
            </w:pPr>
            <w:r>
              <w:rPr>
                <w:rFonts w:hint="eastAsia" w:ascii="宋体" w:hAnsi="宋体" w:cs="宋体"/>
                <w:kern w:val="0"/>
                <w:sz w:val="20"/>
                <w:szCs w:val="20"/>
              </w:rPr>
              <w:t>★A02052309专用制冷、空调设备</w:t>
            </w:r>
          </w:p>
        </w:tc>
        <w:tc>
          <w:tcPr>
            <w:tcW w:w="1612" w:type="dxa"/>
            <w:tcBorders>
              <w:top w:val="nil"/>
              <w:left w:val="nil"/>
              <w:bottom w:val="single" w:color="000000" w:sz="8" w:space="0"/>
              <w:right w:val="single" w:color="000000" w:sz="8" w:space="0"/>
            </w:tcBorders>
            <w:vAlign w:val="center"/>
          </w:tcPr>
          <w:p w14:paraId="48A067E4">
            <w:pPr>
              <w:widowControl/>
              <w:jc w:val="center"/>
              <w:rPr>
                <w:rFonts w:ascii="宋体" w:hAnsi="宋体" w:cs="宋体"/>
                <w:kern w:val="0"/>
                <w:sz w:val="20"/>
                <w:szCs w:val="20"/>
              </w:rPr>
            </w:pPr>
            <w:r>
              <w:rPr>
                <w:rFonts w:hint="eastAsia" w:ascii="宋体" w:hAnsi="宋体" w:cs="宋体"/>
                <w:kern w:val="0"/>
                <w:sz w:val="20"/>
                <w:szCs w:val="20"/>
              </w:rPr>
              <w:t>机房空调</w:t>
            </w:r>
          </w:p>
        </w:tc>
        <w:tc>
          <w:tcPr>
            <w:tcW w:w="4335" w:type="dxa"/>
            <w:tcBorders>
              <w:top w:val="nil"/>
              <w:left w:val="nil"/>
              <w:bottom w:val="single" w:color="000000" w:sz="8" w:space="0"/>
              <w:right w:val="single" w:color="000000" w:sz="8" w:space="0"/>
            </w:tcBorders>
            <w:vAlign w:val="center"/>
          </w:tcPr>
          <w:p w14:paraId="4CBE7B48">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w:t>
            </w:r>
          </w:p>
        </w:tc>
      </w:tr>
      <w:tr w14:paraId="1502CE84">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C029631">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A48915F">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3CFDAC80">
            <w:pPr>
              <w:widowControl/>
              <w:jc w:val="center"/>
              <w:rPr>
                <w:rFonts w:ascii="宋体" w:hAnsi="宋体" w:cs="宋体"/>
                <w:kern w:val="0"/>
                <w:sz w:val="20"/>
                <w:szCs w:val="20"/>
              </w:rPr>
            </w:pPr>
            <w:r>
              <w:rPr>
                <w:rFonts w:hint="eastAsia" w:ascii="宋体" w:hAnsi="宋体" w:cs="宋体"/>
                <w:kern w:val="0"/>
                <w:sz w:val="20"/>
                <w:szCs w:val="20"/>
              </w:rPr>
              <w:t>A02052399其他制冷空调设备</w:t>
            </w:r>
          </w:p>
        </w:tc>
        <w:tc>
          <w:tcPr>
            <w:tcW w:w="1612" w:type="dxa"/>
            <w:tcBorders>
              <w:top w:val="nil"/>
              <w:left w:val="nil"/>
              <w:bottom w:val="single" w:color="000000" w:sz="8" w:space="0"/>
              <w:right w:val="single" w:color="000000" w:sz="8" w:space="0"/>
            </w:tcBorders>
            <w:vAlign w:val="center"/>
          </w:tcPr>
          <w:p w14:paraId="6ACF6CCF">
            <w:pPr>
              <w:widowControl/>
              <w:jc w:val="center"/>
              <w:rPr>
                <w:rFonts w:ascii="宋体" w:hAnsi="宋体" w:cs="宋体"/>
                <w:kern w:val="0"/>
                <w:sz w:val="20"/>
                <w:szCs w:val="20"/>
              </w:rPr>
            </w:pPr>
            <w:r>
              <w:rPr>
                <w:rFonts w:hint="eastAsia" w:ascii="宋体" w:hAnsi="宋体" w:cs="宋体"/>
                <w:kern w:val="0"/>
                <w:sz w:val="20"/>
                <w:szCs w:val="20"/>
              </w:rPr>
              <w:t>冷却塔</w:t>
            </w:r>
          </w:p>
        </w:tc>
        <w:tc>
          <w:tcPr>
            <w:tcW w:w="4335" w:type="dxa"/>
            <w:tcBorders>
              <w:top w:val="nil"/>
              <w:left w:val="nil"/>
              <w:bottom w:val="single" w:color="000000" w:sz="8" w:space="0"/>
              <w:right w:val="single" w:color="000000" w:sz="8" w:space="0"/>
            </w:tcBorders>
            <w:vAlign w:val="center"/>
          </w:tcPr>
          <w:p w14:paraId="328E37E3">
            <w:pPr>
              <w:widowControl/>
              <w:jc w:val="left"/>
              <w:rPr>
                <w:rFonts w:ascii="宋体" w:hAnsi="宋体" w:cs="宋体"/>
                <w:kern w:val="0"/>
                <w:sz w:val="20"/>
                <w:szCs w:val="20"/>
              </w:rPr>
            </w:pPr>
            <w:r>
              <w:rPr>
                <w:rFonts w:hint="eastAsia" w:ascii="宋体" w:hAnsi="宋体" w:cs="宋体"/>
                <w:kern w:val="0"/>
                <w:sz w:val="20"/>
                <w:szCs w:val="20"/>
              </w:rPr>
              <w:t>《机械通风冷却塔第1部分：中小型开式冷却塔》（GB/T7190.1）；《机械通风冷却塔第2部分：大型开式冷却塔》（GB/T7190.2）</w:t>
            </w:r>
          </w:p>
        </w:tc>
      </w:tr>
      <w:tr w14:paraId="5B838A9F">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27B969A2">
            <w:pPr>
              <w:widowControl/>
              <w:jc w:val="center"/>
              <w:rPr>
                <w:rFonts w:ascii="宋体" w:hAnsi="宋体" w:cs="宋体"/>
                <w:kern w:val="0"/>
                <w:sz w:val="20"/>
                <w:szCs w:val="20"/>
              </w:rPr>
            </w:pPr>
            <w:r>
              <w:rPr>
                <w:rFonts w:hint="eastAsia" w:ascii="宋体" w:hAnsi="宋体" w:cs="宋体"/>
                <w:kern w:val="0"/>
                <w:sz w:val="20"/>
                <w:szCs w:val="20"/>
              </w:rPr>
              <w:t>7</w:t>
            </w:r>
          </w:p>
        </w:tc>
        <w:tc>
          <w:tcPr>
            <w:tcW w:w="1116" w:type="dxa"/>
            <w:tcBorders>
              <w:top w:val="nil"/>
              <w:left w:val="nil"/>
              <w:bottom w:val="single" w:color="000000" w:sz="8" w:space="0"/>
              <w:right w:val="single" w:color="000000" w:sz="8" w:space="0"/>
            </w:tcBorders>
            <w:vAlign w:val="center"/>
          </w:tcPr>
          <w:p w14:paraId="0F1630DD">
            <w:pPr>
              <w:widowControl/>
              <w:jc w:val="center"/>
              <w:rPr>
                <w:rFonts w:ascii="宋体" w:hAnsi="宋体" w:cs="宋体"/>
                <w:kern w:val="0"/>
                <w:sz w:val="20"/>
                <w:szCs w:val="20"/>
              </w:rPr>
            </w:pPr>
            <w:r>
              <w:rPr>
                <w:rFonts w:hint="eastAsia" w:ascii="宋体" w:hAnsi="宋体" w:cs="宋体"/>
                <w:kern w:val="0"/>
                <w:sz w:val="20"/>
                <w:szCs w:val="20"/>
              </w:rPr>
              <w:t>A020601电机</w:t>
            </w:r>
          </w:p>
        </w:tc>
        <w:tc>
          <w:tcPr>
            <w:tcW w:w="1516" w:type="dxa"/>
            <w:tcBorders>
              <w:top w:val="nil"/>
              <w:left w:val="nil"/>
              <w:bottom w:val="single" w:color="000000" w:sz="8" w:space="0"/>
              <w:right w:val="single" w:color="000000" w:sz="8" w:space="0"/>
            </w:tcBorders>
            <w:vAlign w:val="center"/>
          </w:tcPr>
          <w:p w14:paraId="615D4CEC">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535CF43E">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012C7B0">
            <w:pPr>
              <w:widowControl/>
              <w:jc w:val="left"/>
              <w:rPr>
                <w:rFonts w:ascii="宋体" w:hAnsi="宋体" w:cs="宋体"/>
                <w:kern w:val="0"/>
                <w:sz w:val="20"/>
                <w:szCs w:val="20"/>
              </w:rPr>
            </w:pPr>
            <w:r>
              <w:rPr>
                <w:rFonts w:hint="eastAsia" w:ascii="宋体" w:hAnsi="宋体" w:cs="宋体"/>
                <w:kern w:val="0"/>
                <w:sz w:val="20"/>
                <w:szCs w:val="20"/>
              </w:rPr>
              <w:t>《中小型三相异步电动机能效限定值及能效等级》（GB18613）</w:t>
            </w:r>
          </w:p>
        </w:tc>
      </w:tr>
      <w:tr w14:paraId="07423BBB">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6069CDE0">
            <w:pPr>
              <w:widowControl/>
              <w:jc w:val="center"/>
              <w:rPr>
                <w:rFonts w:ascii="宋体" w:hAnsi="宋体" w:cs="宋体"/>
                <w:kern w:val="0"/>
                <w:sz w:val="20"/>
                <w:szCs w:val="20"/>
              </w:rPr>
            </w:pPr>
            <w:r>
              <w:rPr>
                <w:rFonts w:hint="eastAsia" w:ascii="宋体" w:hAnsi="宋体" w:cs="宋体"/>
                <w:kern w:val="0"/>
                <w:sz w:val="20"/>
                <w:szCs w:val="20"/>
              </w:rPr>
              <w:t>8</w:t>
            </w:r>
          </w:p>
        </w:tc>
        <w:tc>
          <w:tcPr>
            <w:tcW w:w="1116" w:type="dxa"/>
            <w:tcBorders>
              <w:top w:val="nil"/>
              <w:left w:val="nil"/>
              <w:bottom w:val="single" w:color="000000" w:sz="8" w:space="0"/>
              <w:right w:val="single" w:color="000000" w:sz="8" w:space="0"/>
            </w:tcBorders>
            <w:vAlign w:val="center"/>
          </w:tcPr>
          <w:p w14:paraId="560BFB97">
            <w:pPr>
              <w:widowControl/>
              <w:jc w:val="center"/>
              <w:rPr>
                <w:rFonts w:ascii="宋体" w:hAnsi="宋体" w:cs="宋体"/>
                <w:kern w:val="0"/>
                <w:sz w:val="20"/>
                <w:szCs w:val="20"/>
              </w:rPr>
            </w:pPr>
            <w:r>
              <w:rPr>
                <w:rFonts w:hint="eastAsia" w:ascii="宋体" w:hAnsi="宋体" w:cs="宋体"/>
                <w:kern w:val="0"/>
                <w:sz w:val="20"/>
                <w:szCs w:val="20"/>
              </w:rPr>
              <w:t>A020602变压器</w:t>
            </w:r>
          </w:p>
        </w:tc>
        <w:tc>
          <w:tcPr>
            <w:tcW w:w="1516" w:type="dxa"/>
            <w:tcBorders>
              <w:top w:val="nil"/>
              <w:left w:val="nil"/>
              <w:bottom w:val="single" w:color="000000" w:sz="8" w:space="0"/>
              <w:right w:val="single" w:color="000000" w:sz="8" w:space="0"/>
            </w:tcBorders>
            <w:vAlign w:val="center"/>
          </w:tcPr>
          <w:p w14:paraId="24BFBB4E">
            <w:pPr>
              <w:widowControl/>
              <w:jc w:val="center"/>
              <w:rPr>
                <w:rFonts w:ascii="宋体" w:hAnsi="宋体" w:cs="宋体"/>
                <w:kern w:val="0"/>
                <w:sz w:val="20"/>
                <w:szCs w:val="20"/>
              </w:rPr>
            </w:pPr>
            <w:r>
              <w:rPr>
                <w:rFonts w:hint="eastAsia" w:ascii="宋体" w:hAnsi="宋体" w:cs="宋体"/>
                <w:kern w:val="0"/>
                <w:sz w:val="20"/>
                <w:szCs w:val="20"/>
              </w:rPr>
              <w:t>配电变压器</w:t>
            </w:r>
          </w:p>
        </w:tc>
        <w:tc>
          <w:tcPr>
            <w:tcW w:w="1612" w:type="dxa"/>
            <w:tcBorders>
              <w:top w:val="nil"/>
              <w:left w:val="nil"/>
              <w:bottom w:val="single" w:color="000000" w:sz="8" w:space="0"/>
              <w:right w:val="single" w:color="000000" w:sz="8" w:space="0"/>
            </w:tcBorders>
            <w:vAlign w:val="center"/>
          </w:tcPr>
          <w:p w14:paraId="6A8164F1">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10A67F1">
            <w:pPr>
              <w:widowControl/>
              <w:jc w:val="left"/>
              <w:rPr>
                <w:rFonts w:ascii="宋体" w:hAnsi="宋体" w:cs="宋体"/>
                <w:kern w:val="0"/>
                <w:sz w:val="20"/>
                <w:szCs w:val="20"/>
              </w:rPr>
            </w:pPr>
            <w:r>
              <w:rPr>
                <w:rFonts w:hint="eastAsia" w:ascii="宋体" w:hAnsi="宋体" w:cs="宋体"/>
                <w:kern w:val="0"/>
                <w:sz w:val="20"/>
                <w:szCs w:val="20"/>
              </w:rPr>
              <w:t>《三相配电变压器能效限定值及能效等级》（GB20052）</w:t>
            </w:r>
          </w:p>
        </w:tc>
      </w:tr>
      <w:tr w14:paraId="02D60743">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12FA2ABD">
            <w:pPr>
              <w:widowControl/>
              <w:jc w:val="center"/>
              <w:rPr>
                <w:rFonts w:ascii="宋体" w:hAnsi="宋体" w:cs="宋体"/>
                <w:kern w:val="0"/>
                <w:sz w:val="20"/>
                <w:szCs w:val="20"/>
              </w:rPr>
            </w:pPr>
            <w:r>
              <w:rPr>
                <w:rFonts w:hint="eastAsia" w:ascii="宋体" w:hAnsi="宋体" w:cs="宋体"/>
                <w:kern w:val="0"/>
                <w:sz w:val="20"/>
                <w:szCs w:val="20"/>
              </w:rPr>
              <w:t>9</w:t>
            </w:r>
          </w:p>
        </w:tc>
        <w:tc>
          <w:tcPr>
            <w:tcW w:w="1116" w:type="dxa"/>
            <w:tcBorders>
              <w:top w:val="nil"/>
              <w:left w:val="nil"/>
              <w:bottom w:val="single" w:color="000000" w:sz="8" w:space="0"/>
              <w:right w:val="single" w:color="000000" w:sz="8" w:space="0"/>
            </w:tcBorders>
            <w:vAlign w:val="center"/>
          </w:tcPr>
          <w:p w14:paraId="22463D50">
            <w:pPr>
              <w:widowControl/>
              <w:jc w:val="center"/>
              <w:rPr>
                <w:rFonts w:ascii="宋体" w:hAnsi="宋体" w:cs="宋体"/>
                <w:kern w:val="0"/>
                <w:sz w:val="20"/>
                <w:szCs w:val="20"/>
              </w:rPr>
            </w:pPr>
            <w:r>
              <w:rPr>
                <w:rFonts w:hint="eastAsia" w:ascii="宋体" w:hAnsi="宋体" w:cs="宋体"/>
                <w:kern w:val="0"/>
                <w:sz w:val="20"/>
                <w:szCs w:val="20"/>
              </w:rPr>
              <w:t>★A020609镇流器</w:t>
            </w:r>
          </w:p>
        </w:tc>
        <w:tc>
          <w:tcPr>
            <w:tcW w:w="1516" w:type="dxa"/>
            <w:tcBorders>
              <w:top w:val="nil"/>
              <w:left w:val="nil"/>
              <w:bottom w:val="single" w:color="000000" w:sz="8" w:space="0"/>
              <w:right w:val="single" w:color="000000" w:sz="8" w:space="0"/>
            </w:tcBorders>
            <w:vAlign w:val="center"/>
          </w:tcPr>
          <w:p w14:paraId="7BAADB12">
            <w:pPr>
              <w:widowControl/>
              <w:jc w:val="center"/>
              <w:rPr>
                <w:rFonts w:ascii="宋体" w:hAnsi="宋体" w:cs="宋体"/>
                <w:kern w:val="0"/>
                <w:sz w:val="20"/>
                <w:szCs w:val="20"/>
              </w:rPr>
            </w:pPr>
            <w:r>
              <w:rPr>
                <w:rFonts w:hint="eastAsia" w:ascii="宋体" w:hAnsi="宋体" w:cs="宋体"/>
                <w:kern w:val="0"/>
                <w:sz w:val="20"/>
                <w:szCs w:val="20"/>
              </w:rPr>
              <w:t>管型荧光灯镇流器</w:t>
            </w:r>
          </w:p>
        </w:tc>
        <w:tc>
          <w:tcPr>
            <w:tcW w:w="1612" w:type="dxa"/>
            <w:tcBorders>
              <w:top w:val="nil"/>
              <w:left w:val="nil"/>
              <w:bottom w:val="single" w:color="000000" w:sz="8" w:space="0"/>
              <w:right w:val="single" w:color="000000" w:sz="8" w:space="0"/>
            </w:tcBorders>
            <w:vAlign w:val="center"/>
          </w:tcPr>
          <w:p w14:paraId="64A34227">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62DB718">
            <w:pPr>
              <w:widowControl/>
              <w:jc w:val="left"/>
              <w:rPr>
                <w:rFonts w:ascii="宋体" w:hAnsi="宋体" w:cs="宋体"/>
                <w:kern w:val="0"/>
                <w:sz w:val="20"/>
                <w:szCs w:val="20"/>
              </w:rPr>
            </w:pPr>
            <w:r>
              <w:rPr>
                <w:rFonts w:hint="eastAsia" w:ascii="宋体" w:hAnsi="宋体" w:cs="宋体"/>
                <w:kern w:val="0"/>
                <w:sz w:val="20"/>
                <w:szCs w:val="20"/>
              </w:rPr>
              <w:t>《管形荧光灯镇流器能效限定值及能效等级》（GB17896）</w:t>
            </w:r>
          </w:p>
        </w:tc>
      </w:tr>
      <w:tr w14:paraId="005AEE50">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67E14C43">
            <w:pPr>
              <w:widowControl/>
              <w:jc w:val="center"/>
              <w:rPr>
                <w:rFonts w:ascii="宋体" w:hAnsi="宋体" w:cs="宋体"/>
                <w:kern w:val="0"/>
                <w:sz w:val="20"/>
                <w:szCs w:val="20"/>
              </w:rPr>
            </w:pPr>
            <w:r>
              <w:rPr>
                <w:rFonts w:hint="eastAsia" w:ascii="宋体" w:hAnsi="宋体" w:cs="宋体"/>
                <w:kern w:val="0"/>
                <w:sz w:val="20"/>
                <w:szCs w:val="20"/>
              </w:rPr>
              <w:t>10</w:t>
            </w:r>
          </w:p>
        </w:tc>
        <w:tc>
          <w:tcPr>
            <w:tcW w:w="1116" w:type="dxa"/>
            <w:vMerge w:val="restart"/>
            <w:tcBorders>
              <w:top w:val="nil"/>
              <w:left w:val="single" w:color="000000" w:sz="8" w:space="0"/>
              <w:bottom w:val="single" w:color="000000" w:sz="8" w:space="0"/>
              <w:right w:val="single" w:color="000000" w:sz="8" w:space="0"/>
            </w:tcBorders>
            <w:vAlign w:val="center"/>
          </w:tcPr>
          <w:p w14:paraId="493785A7">
            <w:pPr>
              <w:widowControl/>
              <w:jc w:val="center"/>
              <w:rPr>
                <w:rFonts w:ascii="宋体" w:hAnsi="宋体" w:cs="宋体"/>
                <w:kern w:val="0"/>
                <w:sz w:val="20"/>
                <w:szCs w:val="20"/>
              </w:rPr>
            </w:pPr>
            <w:r>
              <w:rPr>
                <w:rFonts w:hint="eastAsia" w:ascii="宋体" w:hAnsi="宋体" w:cs="宋体"/>
                <w:kern w:val="0"/>
                <w:sz w:val="20"/>
                <w:szCs w:val="20"/>
              </w:rPr>
              <w:t>A020618生活用电器</w:t>
            </w:r>
          </w:p>
        </w:tc>
        <w:tc>
          <w:tcPr>
            <w:tcW w:w="1516" w:type="dxa"/>
            <w:tcBorders>
              <w:top w:val="nil"/>
              <w:left w:val="nil"/>
              <w:bottom w:val="single" w:color="000000" w:sz="8" w:space="0"/>
              <w:right w:val="single" w:color="000000" w:sz="8" w:space="0"/>
            </w:tcBorders>
            <w:vAlign w:val="center"/>
          </w:tcPr>
          <w:p w14:paraId="720F23F1">
            <w:pPr>
              <w:widowControl/>
              <w:jc w:val="center"/>
              <w:rPr>
                <w:rFonts w:ascii="宋体" w:hAnsi="宋体" w:cs="宋体"/>
                <w:kern w:val="0"/>
                <w:sz w:val="20"/>
                <w:szCs w:val="20"/>
              </w:rPr>
            </w:pPr>
            <w:r>
              <w:rPr>
                <w:rFonts w:hint="eastAsia" w:ascii="宋体" w:hAnsi="宋体" w:cs="宋体"/>
                <w:kern w:val="0"/>
                <w:sz w:val="20"/>
                <w:szCs w:val="20"/>
              </w:rPr>
              <w:t>A0206180101电冰箱</w:t>
            </w:r>
          </w:p>
        </w:tc>
        <w:tc>
          <w:tcPr>
            <w:tcW w:w="1612" w:type="dxa"/>
            <w:tcBorders>
              <w:top w:val="nil"/>
              <w:left w:val="nil"/>
              <w:bottom w:val="single" w:color="000000" w:sz="8" w:space="0"/>
              <w:right w:val="single" w:color="000000" w:sz="8" w:space="0"/>
            </w:tcBorders>
            <w:vAlign w:val="center"/>
          </w:tcPr>
          <w:p w14:paraId="49E2D14E">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1D8487D0">
            <w:pPr>
              <w:widowControl/>
              <w:jc w:val="left"/>
              <w:rPr>
                <w:rFonts w:ascii="宋体" w:hAnsi="宋体" w:cs="宋体"/>
                <w:kern w:val="0"/>
                <w:sz w:val="20"/>
                <w:szCs w:val="20"/>
              </w:rPr>
            </w:pPr>
            <w:r>
              <w:rPr>
                <w:rFonts w:hint="eastAsia" w:ascii="宋体" w:hAnsi="宋体" w:cs="宋体"/>
                <w:kern w:val="0"/>
                <w:sz w:val="20"/>
                <w:szCs w:val="20"/>
              </w:rPr>
              <w:t>《家用电冰箱耗电量限定值及能效等级》（GB 12021.2）</w:t>
            </w:r>
          </w:p>
        </w:tc>
      </w:tr>
      <w:tr w14:paraId="02E8F2F6">
        <w:tblPrEx>
          <w:tblCellMar>
            <w:top w:w="0" w:type="dxa"/>
            <w:left w:w="108" w:type="dxa"/>
            <w:bottom w:w="0" w:type="dxa"/>
            <w:right w:w="108" w:type="dxa"/>
          </w:tblCellMar>
        </w:tblPrEx>
        <w:trPr>
          <w:trHeight w:val="97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3B752BE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923447F">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790787BC">
            <w:pPr>
              <w:widowControl/>
              <w:jc w:val="center"/>
              <w:rPr>
                <w:rFonts w:ascii="宋体" w:hAnsi="宋体" w:cs="宋体"/>
                <w:kern w:val="0"/>
                <w:sz w:val="20"/>
                <w:szCs w:val="20"/>
              </w:rPr>
            </w:pPr>
            <w:r>
              <w:rPr>
                <w:rFonts w:hint="eastAsia" w:ascii="宋体" w:hAnsi="宋体" w:cs="宋体"/>
                <w:kern w:val="0"/>
                <w:sz w:val="20"/>
                <w:szCs w:val="20"/>
              </w:rPr>
              <w:t>★A0206180203空调机</w:t>
            </w:r>
          </w:p>
        </w:tc>
        <w:tc>
          <w:tcPr>
            <w:tcW w:w="1612" w:type="dxa"/>
            <w:tcBorders>
              <w:top w:val="nil"/>
              <w:left w:val="nil"/>
              <w:bottom w:val="single" w:color="000000" w:sz="8" w:space="0"/>
              <w:right w:val="single" w:color="000000" w:sz="8" w:space="0"/>
            </w:tcBorders>
            <w:vAlign w:val="center"/>
          </w:tcPr>
          <w:p w14:paraId="30EF4211">
            <w:pPr>
              <w:widowControl/>
              <w:jc w:val="center"/>
              <w:rPr>
                <w:rFonts w:ascii="宋体" w:hAnsi="宋体" w:cs="宋体"/>
                <w:kern w:val="0"/>
                <w:sz w:val="20"/>
                <w:szCs w:val="20"/>
              </w:rPr>
            </w:pPr>
            <w:r>
              <w:rPr>
                <w:rFonts w:hint="eastAsia" w:ascii="宋体" w:hAnsi="宋体" w:cs="宋体"/>
                <w:kern w:val="0"/>
                <w:sz w:val="20"/>
                <w:szCs w:val="20"/>
              </w:rPr>
              <w:t>房间空气调节器</w:t>
            </w:r>
          </w:p>
        </w:tc>
        <w:tc>
          <w:tcPr>
            <w:tcW w:w="4335" w:type="dxa"/>
            <w:tcBorders>
              <w:top w:val="nil"/>
              <w:left w:val="nil"/>
              <w:bottom w:val="single" w:color="000000" w:sz="8" w:space="0"/>
              <w:right w:val="single" w:color="000000" w:sz="8" w:space="0"/>
            </w:tcBorders>
            <w:vAlign w:val="center"/>
          </w:tcPr>
          <w:p w14:paraId="65C648EF">
            <w:pPr>
              <w:widowControl/>
              <w:jc w:val="left"/>
              <w:rPr>
                <w:rFonts w:ascii="宋体" w:hAnsi="宋体" w:cs="宋体"/>
                <w:kern w:val="0"/>
                <w:sz w:val="20"/>
                <w:szCs w:val="20"/>
              </w:rPr>
            </w:pPr>
            <w:r>
              <w:rPr>
                <w:rFonts w:hint="eastAsia" w:ascii="宋体" w:hAnsi="宋体" w:cs="宋体"/>
                <w:kern w:val="0"/>
                <w:sz w:val="20"/>
                <w:szCs w:val="20"/>
              </w:rPr>
              <w:t>《转速可控型房间空气调节器能效限定值及能效等级》（GB21455-2013），待2019年修订发布后，按《房间空气调节器能效限定值及能效等级》GB21455-2019实施。</w:t>
            </w:r>
          </w:p>
        </w:tc>
      </w:tr>
      <w:tr w14:paraId="36824B9D">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3DBD7DB1">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98BBD3B">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70E74750">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73A7C1D1">
            <w:pPr>
              <w:widowControl/>
              <w:jc w:val="center"/>
              <w:rPr>
                <w:rFonts w:ascii="宋体" w:hAnsi="宋体" w:cs="宋体"/>
                <w:kern w:val="0"/>
                <w:sz w:val="20"/>
                <w:szCs w:val="20"/>
              </w:rPr>
            </w:pPr>
            <w:r>
              <w:rPr>
                <w:rFonts w:hint="eastAsia" w:ascii="宋体" w:hAnsi="宋体" w:cs="宋体"/>
                <w:kern w:val="0"/>
                <w:sz w:val="20"/>
                <w:szCs w:val="20"/>
              </w:rPr>
              <w:t>多联式空调（热泵）机组（制冷量≤ 14000W）</w:t>
            </w:r>
          </w:p>
        </w:tc>
        <w:tc>
          <w:tcPr>
            <w:tcW w:w="4335" w:type="dxa"/>
            <w:tcBorders>
              <w:top w:val="nil"/>
              <w:left w:val="nil"/>
              <w:bottom w:val="single" w:color="000000" w:sz="8" w:space="0"/>
              <w:right w:val="single" w:color="000000" w:sz="8" w:space="0"/>
            </w:tcBorders>
            <w:vAlign w:val="center"/>
          </w:tcPr>
          <w:p w14:paraId="05C37593">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2E1C51A8">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3F9B9D41">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FEC8A93">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408CF993">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7B4F63E0">
            <w:pPr>
              <w:widowControl/>
              <w:jc w:val="center"/>
              <w:rPr>
                <w:rFonts w:ascii="宋体" w:hAnsi="宋体" w:cs="宋体"/>
                <w:kern w:val="0"/>
                <w:sz w:val="20"/>
                <w:szCs w:val="20"/>
              </w:rPr>
            </w:pPr>
            <w:r>
              <w:rPr>
                <w:rFonts w:hint="eastAsia" w:ascii="宋体" w:hAnsi="宋体" w:cs="宋体"/>
                <w:kern w:val="0"/>
                <w:sz w:val="20"/>
                <w:szCs w:val="20"/>
              </w:rPr>
              <w:t>单元式空气调节机（制冷量≤14000W)</w:t>
            </w:r>
          </w:p>
        </w:tc>
        <w:tc>
          <w:tcPr>
            <w:tcW w:w="4335" w:type="dxa"/>
            <w:tcBorders>
              <w:top w:val="nil"/>
              <w:left w:val="nil"/>
              <w:bottom w:val="single" w:color="000000" w:sz="8" w:space="0"/>
              <w:right w:val="single" w:color="000000" w:sz="8" w:space="0"/>
            </w:tcBorders>
            <w:vAlign w:val="center"/>
          </w:tcPr>
          <w:p w14:paraId="2FB782A9">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《单元式空气调节机能效限定值及能源效率等级》（GB19576）《风管送风式空调机组能效限定值及能效等级》（GB37479）</w:t>
            </w:r>
          </w:p>
        </w:tc>
      </w:tr>
      <w:tr w14:paraId="3B4DB09F">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F755FB8">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4E5C679">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1DFBE561">
            <w:pPr>
              <w:widowControl/>
              <w:jc w:val="center"/>
              <w:rPr>
                <w:rFonts w:ascii="宋体" w:hAnsi="宋体" w:cs="宋体"/>
                <w:kern w:val="0"/>
                <w:sz w:val="20"/>
                <w:szCs w:val="20"/>
              </w:rPr>
            </w:pPr>
            <w:r>
              <w:rPr>
                <w:rFonts w:hint="eastAsia" w:ascii="宋体" w:hAnsi="宋体" w:cs="宋体"/>
                <w:kern w:val="0"/>
                <w:sz w:val="20"/>
                <w:szCs w:val="20"/>
              </w:rPr>
              <w:t>A0206180301洗衣机</w:t>
            </w:r>
          </w:p>
        </w:tc>
        <w:tc>
          <w:tcPr>
            <w:tcW w:w="1612" w:type="dxa"/>
            <w:tcBorders>
              <w:top w:val="nil"/>
              <w:left w:val="nil"/>
              <w:bottom w:val="single" w:color="000000" w:sz="8" w:space="0"/>
              <w:right w:val="single" w:color="000000" w:sz="8" w:space="0"/>
            </w:tcBorders>
            <w:vAlign w:val="center"/>
          </w:tcPr>
          <w:p w14:paraId="639B7069">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D34527F">
            <w:pPr>
              <w:widowControl/>
              <w:jc w:val="left"/>
              <w:rPr>
                <w:rFonts w:ascii="宋体" w:hAnsi="宋体" w:cs="宋体"/>
                <w:kern w:val="0"/>
                <w:sz w:val="20"/>
                <w:szCs w:val="20"/>
              </w:rPr>
            </w:pPr>
            <w:r>
              <w:rPr>
                <w:rFonts w:hint="eastAsia" w:ascii="宋体" w:hAnsi="宋体" w:cs="宋体"/>
                <w:kern w:val="0"/>
                <w:sz w:val="20"/>
                <w:szCs w:val="20"/>
              </w:rPr>
              <w:t>《电动洗衣机能效水效限定值及等级》（GB12021.4）</w:t>
            </w:r>
          </w:p>
        </w:tc>
      </w:tr>
      <w:tr w14:paraId="720F5D1B">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2E7D9F7A">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45BCB63">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7096540D">
            <w:pPr>
              <w:widowControl/>
              <w:jc w:val="center"/>
              <w:rPr>
                <w:rFonts w:ascii="宋体" w:hAnsi="宋体" w:cs="宋体"/>
                <w:kern w:val="0"/>
                <w:sz w:val="20"/>
                <w:szCs w:val="20"/>
              </w:rPr>
            </w:pPr>
            <w:r>
              <w:rPr>
                <w:rFonts w:hint="eastAsia" w:ascii="宋体" w:hAnsi="宋体" w:cs="宋体"/>
                <w:kern w:val="0"/>
                <w:sz w:val="20"/>
                <w:szCs w:val="20"/>
              </w:rPr>
              <w:t>A02061808热水器</w:t>
            </w:r>
          </w:p>
        </w:tc>
        <w:tc>
          <w:tcPr>
            <w:tcW w:w="1612" w:type="dxa"/>
            <w:tcBorders>
              <w:top w:val="nil"/>
              <w:left w:val="nil"/>
              <w:bottom w:val="single" w:color="000000" w:sz="8" w:space="0"/>
              <w:right w:val="single" w:color="000000" w:sz="8" w:space="0"/>
            </w:tcBorders>
            <w:vAlign w:val="center"/>
          </w:tcPr>
          <w:p w14:paraId="522374AD">
            <w:pPr>
              <w:widowControl/>
              <w:jc w:val="center"/>
              <w:rPr>
                <w:rFonts w:ascii="宋体" w:hAnsi="宋体" w:cs="宋体"/>
                <w:kern w:val="0"/>
                <w:sz w:val="20"/>
                <w:szCs w:val="20"/>
              </w:rPr>
            </w:pPr>
            <w:r>
              <w:rPr>
                <w:rFonts w:hint="eastAsia" w:ascii="宋体" w:hAnsi="宋体" w:cs="宋体"/>
                <w:kern w:val="0"/>
                <w:sz w:val="20"/>
                <w:szCs w:val="20"/>
              </w:rPr>
              <w:t>★电热水器</w:t>
            </w:r>
          </w:p>
        </w:tc>
        <w:tc>
          <w:tcPr>
            <w:tcW w:w="4335" w:type="dxa"/>
            <w:tcBorders>
              <w:top w:val="nil"/>
              <w:left w:val="nil"/>
              <w:bottom w:val="single" w:color="000000" w:sz="8" w:space="0"/>
              <w:right w:val="single" w:color="000000" w:sz="8" w:space="0"/>
            </w:tcBorders>
            <w:vAlign w:val="center"/>
          </w:tcPr>
          <w:p w14:paraId="353FF7BA">
            <w:pPr>
              <w:widowControl/>
              <w:jc w:val="left"/>
              <w:rPr>
                <w:rFonts w:ascii="宋体" w:hAnsi="宋体" w:cs="宋体"/>
                <w:kern w:val="0"/>
                <w:sz w:val="20"/>
                <w:szCs w:val="20"/>
              </w:rPr>
            </w:pPr>
            <w:r>
              <w:rPr>
                <w:rFonts w:hint="eastAsia" w:ascii="宋体" w:hAnsi="宋体" w:cs="宋体"/>
                <w:kern w:val="0"/>
                <w:sz w:val="20"/>
                <w:szCs w:val="20"/>
              </w:rPr>
              <w:t>《储水式电热水器能效限定值及能效等级》（GB21519）</w:t>
            </w:r>
          </w:p>
        </w:tc>
      </w:tr>
      <w:tr w14:paraId="04E32C39">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273BA09">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CB4D465">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0044FA77">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71495D8D">
            <w:pPr>
              <w:widowControl/>
              <w:jc w:val="center"/>
              <w:rPr>
                <w:rFonts w:ascii="宋体" w:hAnsi="宋体" w:cs="宋体"/>
                <w:kern w:val="0"/>
                <w:sz w:val="20"/>
                <w:szCs w:val="20"/>
              </w:rPr>
            </w:pPr>
            <w:r>
              <w:rPr>
                <w:rFonts w:hint="eastAsia" w:ascii="宋体" w:hAnsi="宋体" w:cs="宋体"/>
                <w:kern w:val="0"/>
                <w:sz w:val="20"/>
                <w:szCs w:val="20"/>
              </w:rPr>
              <w:t>燃气热水器</w:t>
            </w:r>
          </w:p>
        </w:tc>
        <w:tc>
          <w:tcPr>
            <w:tcW w:w="4335" w:type="dxa"/>
            <w:tcBorders>
              <w:top w:val="nil"/>
              <w:left w:val="nil"/>
              <w:bottom w:val="single" w:color="000000" w:sz="8" w:space="0"/>
              <w:right w:val="single" w:color="000000" w:sz="8" w:space="0"/>
            </w:tcBorders>
            <w:vAlign w:val="center"/>
          </w:tcPr>
          <w:p w14:paraId="2696DE84">
            <w:pPr>
              <w:widowControl/>
              <w:jc w:val="left"/>
              <w:rPr>
                <w:rFonts w:ascii="宋体" w:hAnsi="宋体" w:cs="宋体"/>
                <w:kern w:val="0"/>
                <w:sz w:val="20"/>
                <w:szCs w:val="20"/>
              </w:rPr>
            </w:pPr>
            <w:r>
              <w:rPr>
                <w:rFonts w:hint="eastAsia" w:ascii="宋体" w:hAnsi="宋体" w:cs="宋体"/>
                <w:kern w:val="0"/>
                <w:sz w:val="20"/>
                <w:szCs w:val="20"/>
              </w:rPr>
              <w:t>《家用燃气快速热水器和燃气采暖热水炉能效限定值及能效等级》（GB20665）</w:t>
            </w:r>
          </w:p>
        </w:tc>
      </w:tr>
      <w:tr w14:paraId="72FFA22C">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A243803">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A85927E">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7151EFF2">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6F6F00A3">
            <w:pPr>
              <w:widowControl/>
              <w:jc w:val="center"/>
              <w:rPr>
                <w:rFonts w:ascii="宋体" w:hAnsi="宋体" w:cs="宋体"/>
                <w:kern w:val="0"/>
                <w:sz w:val="20"/>
                <w:szCs w:val="20"/>
              </w:rPr>
            </w:pPr>
            <w:r>
              <w:rPr>
                <w:rFonts w:hint="eastAsia" w:ascii="宋体" w:hAnsi="宋体" w:cs="宋体"/>
                <w:kern w:val="0"/>
                <w:sz w:val="20"/>
                <w:szCs w:val="20"/>
              </w:rPr>
              <w:t>热泵热水器</w:t>
            </w:r>
          </w:p>
        </w:tc>
        <w:tc>
          <w:tcPr>
            <w:tcW w:w="4335" w:type="dxa"/>
            <w:tcBorders>
              <w:top w:val="nil"/>
              <w:left w:val="nil"/>
              <w:bottom w:val="single" w:color="000000" w:sz="8" w:space="0"/>
              <w:right w:val="single" w:color="000000" w:sz="8" w:space="0"/>
            </w:tcBorders>
            <w:vAlign w:val="center"/>
          </w:tcPr>
          <w:p w14:paraId="10785272">
            <w:pPr>
              <w:widowControl/>
              <w:jc w:val="left"/>
              <w:rPr>
                <w:rFonts w:ascii="宋体" w:hAnsi="宋体" w:cs="宋体"/>
                <w:kern w:val="0"/>
                <w:sz w:val="20"/>
                <w:szCs w:val="20"/>
              </w:rPr>
            </w:pPr>
            <w:r>
              <w:rPr>
                <w:rFonts w:hint="eastAsia" w:ascii="宋体" w:hAnsi="宋体" w:cs="宋体"/>
                <w:kern w:val="0"/>
                <w:sz w:val="20"/>
                <w:szCs w:val="20"/>
              </w:rPr>
              <w:t>《热泵热水机（器）能效限定值及能效等级》（GB29541）</w:t>
            </w:r>
          </w:p>
        </w:tc>
      </w:tr>
      <w:tr w14:paraId="30606EC2">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3FD6C1E">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C2997BC">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22AEE329">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2A4D69E6">
            <w:pPr>
              <w:widowControl/>
              <w:jc w:val="center"/>
              <w:rPr>
                <w:rFonts w:ascii="宋体" w:hAnsi="宋体" w:cs="宋体"/>
                <w:kern w:val="0"/>
                <w:sz w:val="20"/>
                <w:szCs w:val="20"/>
              </w:rPr>
            </w:pPr>
            <w:r>
              <w:rPr>
                <w:rFonts w:hint="eastAsia" w:ascii="宋体" w:hAnsi="宋体" w:cs="宋体"/>
                <w:kern w:val="0"/>
                <w:sz w:val="20"/>
                <w:szCs w:val="20"/>
              </w:rPr>
              <w:t>太阳能热水系统</w:t>
            </w:r>
          </w:p>
        </w:tc>
        <w:tc>
          <w:tcPr>
            <w:tcW w:w="4335" w:type="dxa"/>
            <w:tcBorders>
              <w:top w:val="nil"/>
              <w:left w:val="nil"/>
              <w:bottom w:val="single" w:color="000000" w:sz="8" w:space="0"/>
              <w:right w:val="single" w:color="000000" w:sz="8" w:space="0"/>
            </w:tcBorders>
            <w:vAlign w:val="center"/>
          </w:tcPr>
          <w:p w14:paraId="76E45366">
            <w:pPr>
              <w:widowControl/>
              <w:jc w:val="left"/>
              <w:rPr>
                <w:rFonts w:ascii="宋体" w:hAnsi="宋体" w:cs="宋体"/>
                <w:kern w:val="0"/>
                <w:sz w:val="20"/>
                <w:szCs w:val="20"/>
              </w:rPr>
            </w:pPr>
            <w:r>
              <w:rPr>
                <w:rFonts w:hint="eastAsia" w:ascii="宋体" w:hAnsi="宋体" w:cs="宋体"/>
                <w:kern w:val="0"/>
                <w:sz w:val="20"/>
                <w:szCs w:val="20"/>
              </w:rPr>
              <w:t>《家用太阳能热水系统能效限定值及能效等级》（GB26969）</w:t>
            </w:r>
          </w:p>
        </w:tc>
      </w:tr>
      <w:tr w14:paraId="4A63E8CE">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7E85E84E">
            <w:pPr>
              <w:widowControl/>
              <w:jc w:val="center"/>
              <w:rPr>
                <w:rFonts w:ascii="宋体" w:hAnsi="宋体" w:cs="宋体"/>
                <w:kern w:val="0"/>
                <w:sz w:val="20"/>
                <w:szCs w:val="20"/>
              </w:rPr>
            </w:pPr>
            <w:r>
              <w:rPr>
                <w:rFonts w:hint="eastAsia" w:ascii="宋体" w:hAnsi="宋体" w:cs="宋体"/>
                <w:kern w:val="0"/>
                <w:sz w:val="20"/>
                <w:szCs w:val="20"/>
              </w:rPr>
              <w:t>11</w:t>
            </w:r>
          </w:p>
        </w:tc>
        <w:tc>
          <w:tcPr>
            <w:tcW w:w="1116" w:type="dxa"/>
            <w:vMerge w:val="restart"/>
            <w:tcBorders>
              <w:top w:val="nil"/>
              <w:left w:val="single" w:color="000000" w:sz="8" w:space="0"/>
              <w:bottom w:val="single" w:color="000000" w:sz="8" w:space="0"/>
              <w:right w:val="single" w:color="000000" w:sz="8" w:space="0"/>
            </w:tcBorders>
            <w:vAlign w:val="center"/>
          </w:tcPr>
          <w:p w14:paraId="722E04C0">
            <w:pPr>
              <w:widowControl/>
              <w:jc w:val="center"/>
              <w:rPr>
                <w:rFonts w:ascii="宋体" w:hAnsi="宋体" w:cs="宋体"/>
                <w:kern w:val="0"/>
                <w:sz w:val="20"/>
                <w:szCs w:val="20"/>
              </w:rPr>
            </w:pPr>
            <w:r>
              <w:rPr>
                <w:rFonts w:hint="eastAsia" w:ascii="宋体" w:hAnsi="宋体" w:cs="宋体"/>
                <w:kern w:val="0"/>
                <w:sz w:val="20"/>
                <w:szCs w:val="20"/>
              </w:rPr>
              <w:t>A020619照明设备</w:t>
            </w:r>
          </w:p>
        </w:tc>
        <w:tc>
          <w:tcPr>
            <w:tcW w:w="1516" w:type="dxa"/>
            <w:tcBorders>
              <w:top w:val="nil"/>
              <w:left w:val="nil"/>
              <w:bottom w:val="single" w:color="000000" w:sz="8" w:space="0"/>
              <w:right w:val="single" w:color="000000" w:sz="8" w:space="0"/>
            </w:tcBorders>
            <w:vAlign w:val="center"/>
          </w:tcPr>
          <w:p w14:paraId="6A7922DF">
            <w:pPr>
              <w:widowControl/>
              <w:jc w:val="center"/>
              <w:rPr>
                <w:rFonts w:ascii="宋体" w:hAnsi="宋体" w:cs="宋体"/>
                <w:kern w:val="0"/>
                <w:sz w:val="20"/>
                <w:szCs w:val="20"/>
              </w:rPr>
            </w:pPr>
            <w:r>
              <w:rPr>
                <w:rFonts w:hint="eastAsia" w:ascii="宋体" w:hAnsi="宋体" w:cs="宋体"/>
                <w:kern w:val="0"/>
                <w:sz w:val="20"/>
                <w:szCs w:val="20"/>
              </w:rPr>
              <w:t>★普通照明用双端荧光灯</w:t>
            </w:r>
          </w:p>
        </w:tc>
        <w:tc>
          <w:tcPr>
            <w:tcW w:w="1612" w:type="dxa"/>
            <w:tcBorders>
              <w:top w:val="nil"/>
              <w:left w:val="nil"/>
              <w:bottom w:val="single" w:color="000000" w:sz="8" w:space="0"/>
              <w:right w:val="single" w:color="000000" w:sz="8" w:space="0"/>
            </w:tcBorders>
            <w:vAlign w:val="center"/>
          </w:tcPr>
          <w:p w14:paraId="443BBF38">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4323AB00">
            <w:pPr>
              <w:widowControl/>
              <w:jc w:val="left"/>
              <w:rPr>
                <w:rFonts w:ascii="宋体" w:hAnsi="宋体" w:cs="宋体"/>
                <w:kern w:val="0"/>
                <w:sz w:val="20"/>
                <w:szCs w:val="20"/>
              </w:rPr>
            </w:pPr>
            <w:r>
              <w:rPr>
                <w:rFonts w:hint="eastAsia" w:ascii="宋体" w:hAnsi="宋体" w:cs="宋体"/>
                <w:kern w:val="0"/>
                <w:sz w:val="20"/>
                <w:szCs w:val="20"/>
              </w:rPr>
              <w:t>《普通照明用双端荧光灯能效限定值及能效等级》（GB19043）</w:t>
            </w:r>
          </w:p>
        </w:tc>
      </w:tr>
      <w:tr w14:paraId="656BB463">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75E6FD73">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9962415">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4FF3047B">
            <w:pPr>
              <w:widowControl/>
              <w:jc w:val="center"/>
              <w:rPr>
                <w:rFonts w:ascii="宋体" w:hAnsi="宋体" w:cs="宋体"/>
                <w:kern w:val="0"/>
                <w:sz w:val="20"/>
                <w:szCs w:val="20"/>
              </w:rPr>
            </w:pPr>
            <w:r>
              <w:rPr>
                <w:rFonts w:hint="eastAsia" w:ascii="宋体" w:hAnsi="宋体" w:cs="宋体"/>
                <w:kern w:val="0"/>
                <w:sz w:val="20"/>
                <w:szCs w:val="20"/>
              </w:rPr>
              <w:t>LED道路/隧道照明产品</w:t>
            </w:r>
          </w:p>
        </w:tc>
        <w:tc>
          <w:tcPr>
            <w:tcW w:w="1612" w:type="dxa"/>
            <w:tcBorders>
              <w:top w:val="nil"/>
              <w:left w:val="nil"/>
              <w:bottom w:val="single" w:color="000000" w:sz="8" w:space="0"/>
              <w:right w:val="single" w:color="000000" w:sz="8" w:space="0"/>
            </w:tcBorders>
            <w:vAlign w:val="center"/>
          </w:tcPr>
          <w:p w14:paraId="38FFCE2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4893B3F6">
            <w:pPr>
              <w:widowControl/>
              <w:jc w:val="left"/>
              <w:rPr>
                <w:rFonts w:ascii="宋体" w:hAnsi="宋体" w:cs="宋体"/>
                <w:kern w:val="0"/>
                <w:sz w:val="20"/>
                <w:szCs w:val="20"/>
              </w:rPr>
            </w:pPr>
            <w:r>
              <w:rPr>
                <w:rFonts w:hint="eastAsia" w:ascii="宋体" w:hAnsi="宋体" w:cs="宋体"/>
                <w:kern w:val="0"/>
                <w:sz w:val="20"/>
                <w:szCs w:val="20"/>
              </w:rPr>
              <w:t>《道路和隧道照明用LED灯具能效限定值及能效等级》（GB37478）</w:t>
            </w:r>
          </w:p>
        </w:tc>
      </w:tr>
      <w:tr w14:paraId="3666F798">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6FF439DD">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75CD5D0">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0F83503A">
            <w:pPr>
              <w:widowControl/>
              <w:jc w:val="center"/>
              <w:rPr>
                <w:rFonts w:ascii="宋体" w:hAnsi="宋体" w:cs="宋体"/>
                <w:kern w:val="0"/>
                <w:sz w:val="20"/>
                <w:szCs w:val="20"/>
              </w:rPr>
            </w:pPr>
            <w:r>
              <w:rPr>
                <w:rFonts w:hint="eastAsia" w:ascii="宋体" w:hAnsi="宋体" w:cs="宋体"/>
                <w:kern w:val="0"/>
                <w:sz w:val="20"/>
                <w:szCs w:val="20"/>
              </w:rPr>
              <w:t>LED筒灯</w:t>
            </w:r>
          </w:p>
        </w:tc>
        <w:tc>
          <w:tcPr>
            <w:tcW w:w="1612" w:type="dxa"/>
            <w:tcBorders>
              <w:top w:val="nil"/>
              <w:left w:val="nil"/>
              <w:bottom w:val="single" w:color="000000" w:sz="8" w:space="0"/>
              <w:right w:val="single" w:color="000000" w:sz="8" w:space="0"/>
            </w:tcBorders>
            <w:vAlign w:val="center"/>
          </w:tcPr>
          <w:p w14:paraId="3BA9755F">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F088F1B">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729D103F">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27355491">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3FA0A0E">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6A608A95">
            <w:pPr>
              <w:widowControl/>
              <w:jc w:val="center"/>
              <w:rPr>
                <w:rFonts w:ascii="宋体" w:hAnsi="宋体" w:cs="宋体"/>
                <w:kern w:val="0"/>
                <w:sz w:val="20"/>
                <w:szCs w:val="20"/>
              </w:rPr>
            </w:pPr>
            <w:r>
              <w:rPr>
                <w:rFonts w:hint="eastAsia" w:ascii="宋体" w:hAnsi="宋体" w:cs="宋体"/>
                <w:kern w:val="0"/>
                <w:sz w:val="20"/>
                <w:szCs w:val="20"/>
              </w:rPr>
              <w:t>普通照明用非定向自镇流LED灯</w:t>
            </w:r>
          </w:p>
        </w:tc>
        <w:tc>
          <w:tcPr>
            <w:tcW w:w="1612" w:type="dxa"/>
            <w:tcBorders>
              <w:top w:val="nil"/>
              <w:left w:val="nil"/>
              <w:bottom w:val="single" w:color="000000" w:sz="8" w:space="0"/>
              <w:right w:val="single" w:color="000000" w:sz="8" w:space="0"/>
            </w:tcBorders>
            <w:vAlign w:val="center"/>
          </w:tcPr>
          <w:p w14:paraId="14B16B9F">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57A5F0B">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1793E7FA">
        <w:tblPrEx>
          <w:tblCellMar>
            <w:top w:w="0" w:type="dxa"/>
            <w:left w:w="108" w:type="dxa"/>
            <w:bottom w:w="0" w:type="dxa"/>
            <w:right w:w="108" w:type="dxa"/>
          </w:tblCellMar>
        </w:tblPrEx>
        <w:trPr>
          <w:trHeight w:val="735" w:hRule="atLeast"/>
          <w:jc w:val="center"/>
        </w:trPr>
        <w:tc>
          <w:tcPr>
            <w:tcW w:w="641" w:type="dxa"/>
            <w:tcBorders>
              <w:top w:val="nil"/>
              <w:left w:val="single" w:color="000000" w:sz="8" w:space="0"/>
              <w:bottom w:val="single" w:color="000000" w:sz="8" w:space="0"/>
              <w:right w:val="single" w:color="000000" w:sz="8" w:space="0"/>
            </w:tcBorders>
            <w:vAlign w:val="center"/>
          </w:tcPr>
          <w:p w14:paraId="0E85266B">
            <w:pPr>
              <w:widowControl/>
              <w:jc w:val="center"/>
              <w:rPr>
                <w:rFonts w:ascii="宋体" w:hAnsi="宋体" w:cs="宋体"/>
                <w:kern w:val="0"/>
                <w:sz w:val="20"/>
                <w:szCs w:val="20"/>
              </w:rPr>
            </w:pPr>
            <w:r>
              <w:rPr>
                <w:rFonts w:hint="eastAsia" w:ascii="宋体" w:hAnsi="宋体" w:cs="宋体"/>
                <w:kern w:val="0"/>
                <w:sz w:val="20"/>
                <w:szCs w:val="20"/>
              </w:rPr>
              <w:t>12</w:t>
            </w:r>
          </w:p>
        </w:tc>
        <w:tc>
          <w:tcPr>
            <w:tcW w:w="1116" w:type="dxa"/>
            <w:tcBorders>
              <w:top w:val="nil"/>
              <w:left w:val="nil"/>
              <w:bottom w:val="single" w:color="000000" w:sz="8" w:space="0"/>
              <w:right w:val="single" w:color="000000" w:sz="8" w:space="0"/>
            </w:tcBorders>
            <w:vAlign w:val="center"/>
          </w:tcPr>
          <w:p w14:paraId="251F8F25">
            <w:pPr>
              <w:widowControl/>
              <w:jc w:val="center"/>
              <w:rPr>
                <w:rFonts w:ascii="宋体" w:hAnsi="宋体" w:cs="宋体"/>
                <w:kern w:val="0"/>
                <w:sz w:val="20"/>
                <w:szCs w:val="20"/>
              </w:rPr>
            </w:pPr>
            <w:r>
              <w:rPr>
                <w:rFonts w:hint="eastAsia" w:ascii="宋体" w:hAnsi="宋体" w:cs="宋体"/>
                <w:kern w:val="0"/>
                <w:sz w:val="20"/>
                <w:szCs w:val="20"/>
              </w:rPr>
              <w:t>★A020910电视设备</w:t>
            </w:r>
          </w:p>
        </w:tc>
        <w:tc>
          <w:tcPr>
            <w:tcW w:w="1516" w:type="dxa"/>
            <w:tcBorders>
              <w:top w:val="nil"/>
              <w:left w:val="nil"/>
              <w:bottom w:val="single" w:color="000000" w:sz="8" w:space="0"/>
              <w:right w:val="single" w:color="000000" w:sz="8" w:space="0"/>
            </w:tcBorders>
            <w:vAlign w:val="center"/>
          </w:tcPr>
          <w:p w14:paraId="46C341BA">
            <w:pPr>
              <w:widowControl/>
              <w:jc w:val="center"/>
              <w:rPr>
                <w:rFonts w:ascii="宋体" w:hAnsi="宋体" w:cs="宋体"/>
                <w:kern w:val="0"/>
                <w:sz w:val="20"/>
                <w:szCs w:val="20"/>
              </w:rPr>
            </w:pPr>
            <w:r>
              <w:rPr>
                <w:rFonts w:hint="eastAsia" w:ascii="宋体" w:hAnsi="宋体" w:cs="宋体"/>
                <w:kern w:val="0"/>
                <w:sz w:val="20"/>
                <w:szCs w:val="20"/>
              </w:rPr>
              <w:t>A02091001普通电视设备（电视机）</w:t>
            </w:r>
          </w:p>
        </w:tc>
        <w:tc>
          <w:tcPr>
            <w:tcW w:w="1612" w:type="dxa"/>
            <w:tcBorders>
              <w:top w:val="nil"/>
              <w:left w:val="nil"/>
              <w:bottom w:val="single" w:color="000000" w:sz="8" w:space="0"/>
              <w:right w:val="single" w:color="000000" w:sz="8" w:space="0"/>
            </w:tcBorders>
            <w:vAlign w:val="center"/>
          </w:tcPr>
          <w:p w14:paraId="4BBD5AC1">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A4F8451">
            <w:pPr>
              <w:widowControl/>
              <w:jc w:val="left"/>
              <w:rPr>
                <w:rFonts w:ascii="宋体" w:hAnsi="宋体" w:cs="宋体"/>
                <w:kern w:val="0"/>
                <w:sz w:val="20"/>
                <w:szCs w:val="20"/>
              </w:rPr>
            </w:pPr>
            <w:r>
              <w:rPr>
                <w:rFonts w:hint="eastAsia" w:ascii="宋体" w:hAnsi="宋体" w:cs="宋体"/>
                <w:kern w:val="0"/>
                <w:sz w:val="20"/>
                <w:szCs w:val="20"/>
              </w:rPr>
              <w:t>《平板电视能效限定值及能效等级》（GB24850）</w:t>
            </w:r>
          </w:p>
        </w:tc>
      </w:tr>
      <w:tr w14:paraId="1793C4BC">
        <w:tblPrEx>
          <w:tblCellMar>
            <w:top w:w="0" w:type="dxa"/>
            <w:left w:w="108" w:type="dxa"/>
            <w:bottom w:w="0" w:type="dxa"/>
            <w:right w:w="108" w:type="dxa"/>
          </w:tblCellMar>
        </w:tblPrEx>
        <w:trPr>
          <w:trHeight w:val="975" w:hRule="atLeast"/>
          <w:jc w:val="center"/>
        </w:trPr>
        <w:tc>
          <w:tcPr>
            <w:tcW w:w="641" w:type="dxa"/>
            <w:tcBorders>
              <w:top w:val="nil"/>
              <w:left w:val="single" w:color="000000" w:sz="8" w:space="0"/>
              <w:bottom w:val="single" w:color="000000" w:sz="8" w:space="0"/>
              <w:right w:val="single" w:color="000000" w:sz="8" w:space="0"/>
            </w:tcBorders>
            <w:vAlign w:val="center"/>
          </w:tcPr>
          <w:p w14:paraId="20371F6A">
            <w:pPr>
              <w:widowControl/>
              <w:jc w:val="center"/>
              <w:rPr>
                <w:rFonts w:ascii="宋体" w:hAnsi="宋体" w:cs="宋体"/>
                <w:kern w:val="0"/>
                <w:sz w:val="20"/>
                <w:szCs w:val="20"/>
              </w:rPr>
            </w:pPr>
            <w:r>
              <w:rPr>
                <w:rFonts w:hint="eastAsia" w:ascii="宋体" w:hAnsi="宋体" w:cs="宋体"/>
                <w:kern w:val="0"/>
                <w:sz w:val="20"/>
                <w:szCs w:val="20"/>
              </w:rPr>
              <w:t>13</w:t>
            </w:r>
          </w:p>
        </w:tc>
        <w:tc>
          <w:tcPr>
            <w:tcW w:w="1116" w:type="dxa"/>
            <w:tcBorders>
              <w:top w:val="nil"/>
              <w:left w:val="nil"/>
              <w:bottom w:val="single" w:color="000000" w:sz="8" w:space="0"/>
              <w:right w:val="single" w:color="000000" w:sz="8" w:space="0"/>
            </w:tcBorders>
            <w:vAlign w:val="center"/>
          </w:tcPr>
          <w:p w14:paraId="7DBCE4D2">
            <w:pPr>
              <w:widowControl/>
              <w:jc w:val="center"/>
              <w:rPr>
                <w:rFonts w:ascii="宋体" w:hAnsi="宋体" w:cs="宋体"/>
                <w:kern w:val="0"/>
                <w:sz w:val="20"/>
                <w:szCs w:val="20"/>
              </w:rPr>
            </w:pPr>
            <w:r>
              <w:rPr>
                <w:rFonts w:hint="eastAsia" w:ascii="宋体" w:hAnsi="宋体" w:cs="宋体"/>
                <w:kern w:val="0"/>
                <w:sz w:val="20"/>
                <w:szCs w:val="20"/>
              </w:rPr>
              <w:t>★A020911视频设备</w:t>
            </w:r>
          </w:p>
        </w:tc>
        <w:tc>
          <w:tcPr>
            <w:tcW w:w="1516" w:type="dxa"/>
            <w:tcBorders>
              <w:top w:val="nil"/>
              <w:left w:val="nil"/>
              <w:bottom w:val="single" w:color="000000" w:sz="8" w:space="0"/>
              <w:right w:val="single" w:color="000000" w:sz="8" w:space="0"/>
            </w:tcBorders>
            <w:vAlign w:val="center"/>
          </w:tcPr>
          <w:p w14:paraId="52A338C9">
            <w:pPr>
              <w:widowControl/>
              <w:jc w:val="center"/>
              <w:rPr>
                <w:rFonts w:ascii="宋体" w:hAnsi="宋体" w:cs="宋体"/>
                <w:kern w:val="0"/>
                <w:sz w:val="20"/>
                <w:szCs w:val="20"/>
              </w:rPr>
            </w:pPr>
            <w:r>
              <w:rPr>
                <w:rFonts w:hint="eastAsia" w:ascii="宋体" w:hAnsi="宋体" w:cs="宋体"/>
                <w:kern w:val="0"/>
                <w:sz w:val="20"/>
                <w:szCs w:val="20"/>
              </w:rPr>
              <w:t>A02091107视频监控设备</w:t>
            </w:r>
          </w:p>
        </w:tc>
        <w:tc>
          <w:tcPr>
            <w:tcW w:w="1612" w:type="dxa"/>
            <w:tcBorders>
              <w:top w:val="nil"/>
              <w:left w:val="nil"/>
              <w:bottom w:val="single" w:color="000000" w:sz="8" w:space="0"/>
              <w:right w:val="single" w:color="000000" w:sz="8" w:space="0"/>
            </w:tcBorders>
            <w:vAlign w:val="center"/>
          </w:tcPr>
          <w:p w14:paraId="5AC65175">
            <w:pPr>
              <w:widowControl/>
              <w:jc w:val="center"/>
              <w:rPr>
                <w:rFonts w:ascii="宋体" w:hAnsi="宋体" w:cs="宋体"/>
                <w:kern w:val="0"/>
                <w:sz w:val="20"/>
                <w:szCs w:val="20"/>
              </w:rPr>
            </w:pPr>
            <w:r>
              <w:rPr>
                <w:rFonts w:hint="eastAsia" w:ascii="宋体" w:hAnsi="宋体" w:cs="宋体"/>
                <w:kern w:val="0"/>
                <w:sz w:val="20"/>
                <w:szCs w:val="20"/>
              </w:rPr>
              <w:t>监视器</w:t>
            </w:r>
          </w:p>
        </w:tc>
        <w:tc>
          <w:tcPr>
            <w:tcW w:w="4335" w:type="dxa"/>
            <w:tcBorders>
              <w:top w:val="nil"/>
              <w:left w:val="nil"/>
              <w:bottom w:val="single" w:color="000000" w:sz="8" w:space="0"/>
              <w:right w:val="single" w:color="000000" w:sz="8" w:space="0"/>
            </w:tcBorders>
            <w:vAlign w:val="center"/>
          </w:tcPr>
          <w:p w14:paraId="052FD890">
            <w:pPr>
              <w:widowControl/>
              <w:jc w:val="left"/>
              <w:rPr>
                <w:rFonts w:ascii="宋体" w:hAnsi="宋体" w:cs="宋体"/>
                <w:kern w:val="0"/>
                <w:sz w:val="20"/>
                <w:szCs w:val="20"/>
              </w:rPr>
            </w:pPr>
            <w:r>
              <w:rPr>
                <w:rFonts w:hint="eastAsia" w:ascii="宋体" w:hAnsi="宋体" w:cs="宋体"/>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5C606D2A">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1AEF3186">
            <w:pPr>
              <w:widowControl/>
              <w:jc w:val="center"/>
              <w:rPr>
                <w:rFonts w:ascii="宋体" w:hAnsi="宋体" w:cs="宋体"/>
                <w:kern w:val="0"/>
                <w:sz w:val="20"/>
                <w:szCs w:val="20"/>
              </w:rPr>
            </w:pPr>
            <w:r>
              <w:rPr>
                <w:rFonts w:hint="eastAsia" w:ascii="宋体" w:hAnsi="宋体" w:cs="宋体"/>
                <w:kern w:val="0"/>
                <w:sz w:val="20"/>
                <w:szCs w:val="20"/>
              </w:rPr>
              <w:t>14</w:t>
            </w:r>
          </w:p>
        </w:tc>
        <w:tc>
          <w:tcPr>
            <w:tcW w:w="1116" w:type="dxa"/>
            <w:tcBorders>
              <w:top w:val="nil"/>
              <w:left w:val="nil"/>
              <w:bottom w:val="single" w:color="000000" w:sz="8" w:space="0"/>
              <w:right w:val="single" w:color="000000" w:sz="8" w:space="0"/>
            </w:tcBorders>
            <w:vAlign w:val="center"/>
          </w:tcPr>
          <w:p w14:paraId="654B9142">
            <w:pPr>
              <w:widowControl/>
              <w:jc w:val="center"/>
              <w:rPr>
                <w:rFonts w:ascii="宋体" w:hAnsi="宋体" w:cs="宋体"/>
                <w:kern w:val="0"/>
                <w:sz w:val="20"/>
                <w:szCs w:val="20"/>
              </w:rPr>
            </w:pPr>
            <w:r>
              <w:rPr>
                <w:rFonts w:hint="eastAsia" w:ascii="宋体" w:hAnsi="宋体" w:cs="宋体"/>
                <w:kern w:val="0"/>
                <w:sz w:val="20"/>
                <w:szCs w:val="20"/>
              </w:rPr>
              <w:t>A031210饮食炊事机械</w:t>
            </w:r>
          </w:p>
        </w:tc>
        <w:tc>
          <w:tcPr>
            <w:tcW w:w="1516" w:type="dxa"/>
            <w:tcBorders>
              <w:top w:val="nil"/>
              <w:left w:val="nil"/>
              <w:bottom w:val="single" w:color="000000" w:sz="8" w:space="0"/>
              <w:right w:val="single" w:color="000000" w:sz="8" w:space="0"/>
            </w:tcBorders>
            <w:vAlign w:val="center"/>
          </w:tcPr>
          <w:p w14:paraId="1F1077EE">
            <w:pPr>
              <w:widowControl/>
              <w:jc w:val="center"/>
              <w:rPr>
                <w:rFonts w:ascii="宋体" w:hAnsi="宋体" w:cs="宋体"/>
                <w:kern w:val="0"/>
                <w:sz w:val="20"/>
                <w:szCs w:val="20"/>
              </w:rPr>
            </w:pPr>
            <w:r>
              <w:rPr>
                <w:rFonts w:hint="eastAsia" w:ascii="宋体" w:hAnsi="宋体" w:cs="宋体"/>
                <w:kern w:val="0"/>
                <w:sz w:val="20"/>
                <w:szCs w:val="20"/>
              </w:rPr>
              <w:t>商用燃气灶具</w:t>
            </w:r>
          </w:p>
        </w:tc>
        <w:tc>
          <w:tcPr>
            <w:tcW w:w="1612" w:type="dxa"/>
            <w:tcBorders>
              <w:top w:val="nil"/>
              <w:left w:val="nil"/>
              <w:bottom w:val="single" w:color="000000" w:sz="8" w:space="0"/>
              <w:right w:val="single" w:color="000000" w:sz="8" w:space="0"/>
            </w:tcBorders>
            <w:vAlign w:val="center"/>
          </w:tcPr>
          <w:p w14:paraId="55D5AEF7">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1A61AD7">
            <w:pPr>
              <w:widowControl/>
              <w:jc w:val="left"/>
              <w:rPr>
                <w:rFonts w:ascii="宋体" w:hAnsi="宋体" w:cs="宋体"/>
                <w:kern w:val="0"/>
                <w:sz w:val="20"/>
                <w:szCs w:val="20"/>
              </w:rPr>
            </w:pPr>
            <w:r>
              <w:rPr>
                <w:rFonts w:hint="eastAsia" w:ascii="宋体" w:hAnsi="宋体" w:cs="宋体"/>
                <w:kern w:val="0"/>
                <w:sz w:val="20"/>
                <w:szCs w:val="20"/>
              </w:rPr>
              <w:t>《商用燃气灶具能效限定值及能效等级》（GB30531）</w:t>
            </w:r>
          </w:p>
        </w:tc>
      </w:tr>
      <w:tr w14:paraId="5543B3C9">
        <w:tblPrEx>
          <w:tblCellMar>
            <w:top w:w="0" w:type="dxa"/>
            <w:left w:w="108" w:type="dxa"/>
            <w:bottom w:w="0" w:type="dxa"/>
            <w:right w:w="108" w:type="dxa"/>
          </w:tblCellMar>
        </w:tblPrEx>
        <w:trPr>
          <w:trHeight w:val="28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7A48D3E6">
            <w:pPr>
              <w:widowControl/>
              <w:jc w:val="center"/>
              <w:rPr>
                <w:rFonts w:ascii="宋体" w:hAnsi="宋体" w:cs="宋体"/>
                <w:kern w:val="0"/>
                <w:sz w:val="20"/>
                <w:szCs w:val="20"/>
              </w:rPr>
            </w:pPr>
            <w:r>
              <w:rPr>
                <w:rFonts w:hint="eastAsia" w:ascii="宋体" w:hAnsi="宋体" w:cs="宋体"/>
                <w:kern w:val="0"/>
                <w:sz w:val="20"/>
                <w:szCs w:val="20"/>
              </w:rPr>
              <w:t>15</w:t>
            </w:r>
          </w:p>
        </w:tc>
        <w:tc>
          <w:tcPr>
            <w:tcW w:w="1116" w:type="dxa"/>
            <w:vMerge w:val="restart"/>
            <w:tcBorders>
              <w:top w:val="nil"/>
              <w:left w:val="single" w:color="000000" w:sz="8" w:space="0"/>
              <w:bottom w:val="single" w:color="000000" w:sz="8" w:space="0"/>
              <w:right w:val="single" w:color="000000" w:sz="8" w:space="0"/>
            </w:tcBorders>
            <w:vAlign w:val="center"/>
          </w:tcPr>
          <w:p w14:paraId="56F61C95">
            <w:pPr>
              <w:widowControl/>
              <w:jc w:val="center"/>
              <w:rPr>
                <w:rFonts w:ascii="宋体" w:hAnsi="宋体" w:cs="宋体"/>
                <w:kern w:val="0"/>
                <w:sz w:val="20"/>
                <w:szCs w:val="20"/>
              </w:rPr>
            </w:pPr>
            <w:r>
              <w:rPr>
                <w:rFonts w:hint="eastAsia" w:ascii="宋体" w:hAnsi="宋体" w:cs="宋体"/>
                <w:kern w:val="0"/>
                <w:sz w:val="20"/>
                <w:szCs w:val="20"/>
              </w:rPr>
              <w:t>★A060805便器</w:t>
            </w:r>
          </w:p>
        </w:tc>
        <w:tc>
          <w:tcPr>
            <w:tcW w:w="1516" w:type="dxa"/>
            <w:tcBorders>
              <w:top w:val="nil"/>
              <w:left w:val="nil"/>
              <w:bottom w:val="single" w:color="000000" w:sz="8" w:space="0"/>
              <w:right w:val="single" w:color="000000" w:sz="8" w:space="0"/>
            </w:tcBorders>
            <w:vAlign w:val="center"/>
          </w:tcPr>
          <w:p w14:paraId="3AB36E0D">
            <w:pPr>
              <w:widowControl/>
              <w:jc w:val="center"/>
              <w:rPr>
                <w:rFonts w:ascii="宋体" w:hAnsi="宋体" w:cs="宋体"/>
                <w:kern w:val="0"/>
                <w:sz w:val="20"/>
                <w:szCs w:val="20"/>
              </w:rPr>
            </w:pPr>
            <w:r>
              <w:rPr>
                <w:rFonts w:hint="eastAsia" w:ascii="宋体" w:hAnsi="宋体" w:cs="宋体"/>
                <w:kern w:val="0"/>
                <w:sz w:val="20"/>
                <w:szCs w:val="20"/>
              </w:rPr>
              <w:t>坐便器</w:t>
            </w:r>
          </w:p>
        </w:tc>
        <w:tc>
          <w:tcPr>
            <w:tcW w:w="1612" w:type="dxa"/>
            <w:tcBorders>
              <w:top w:val="nil"/>
              <w:left w:val="nil"/>
              <w:bottom w:val="single" w:color="000000" w:sz="8" w:space="0"/>
              <w:right w:val="single" w:color="000000" w:sz="8" w:space="0"/>
            </w:tcBorders>
            <w:vAlign w:val="center"/>
          </w:tcPr>
          <w:p w14:paraId="1091AE1C">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FD1234A">
            <w:pPr>
              <w:widowControl/>
              <w:jc w:val="left"/>
              <w:rPr>
                <w:rFonts w:ascii="宋体" w:hAnsi="宋体" w:cs="宋体"/>
                <w:kern w:val="0"/>
                <w:sz w:val="20"/>
                <w:szCs w:val="20"/>
              </w:rPr>
            </w:pPr>
            <w:r>
              <w:rPr>
                <w:rFonts w:hint="eastAsia" w:ascii="宋体" w:hAnsi="宋体" w:cs="宋体"/>
                <w:kern w:val="0"/>
                <w:sz w:val="20"/>
                <w:szCs w:val="20"/>
              </w:rPr>
              <w:t>《坐便器水效限定值及水效等级》（GB25502）</w:t>
            </w:r>
          </w:p>
        </w:tc>
      </w:tr>
      <w:tr w14:paraId="6EDE922D">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2155010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55166A86">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58017ADC">
            <w:pPr>
              <w:widowControl/>
              <w:jc w:val="center"/>
              <w:rPr>
                <w:rFonts w:ascii="宋体" w:hAnsi="宋体" w:cs="宋体"/>
                <w:kern w:val="0"/>
                <w:sz w:val="20"/>
                <w:szCs w:val="20"/>
              </w:rPr>
            </w:pPr>
            <w:r>
              <w:rPr>
                <w:rFonts w:hint="eastAsia" w:ascii="宋体" w:hAnsi="宋体" w:cs="宋体"/>
                <w:kern w:val="0"/>
                <w:sz w:val="20"/>
                <w:szCs w:val="20"/>
              </w:rPr>
              <w:t>蹲便器</w:t>
            </w:r>
          </w:p>
        </w:tc>
        <w:tc>
          <w:tcPr>
            <w:tcW w:w="1612" w:type="dxa"/>
            <w:tcBorders>
              <w:top w:val="nil"/>
              <w:left w:val="nil"/>
              <w:bottom w:val="single" w:color="000000" w:sz="8" w:space="0"/>
              <w:right w:val="single" w:color="000000" w:sz="8" w:space="0"/>
            </w:tcBorders>
            <w:vAlign w:val="center"/>
          </w:tcPr>
          <w:p w14:paraId="4BD31E24">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D382B35">
            <w:pPr>
              <w:widowControl/>
              <w:jc w:val="left"/>
              <w:rPr>
                <w:rFonts w:ascii="宋体" w:hAnsi="宋体" w:cs="宋体"/>
                <w:kern w:val="0"/>
                <w:sz w:val="20"/>
                <w:szCs w:val="20"/>
              </w:rPr>
            </w:pPr>
            <w:r>
              <w:rPr>
                <w:rFonts w:hint="eastAsia" w:ascii="宋体" w:hAnsi="宋体" w:cs="宋体"/>
                <w:kern w:val="0"/>
                <w:sz w:val="20"/>
                <w:szCs w:val="20"/>
              </w:rPr>
              <w:t>《蹲便器用水效率限定值及用水效率等级》（GB30717）</w:t>
            </w:r>
          </w:p>
        </w:tc>
      </w:tr>
      <w:tr w14:paraId="474E24AF">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6B9AC759">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BDE9D0A">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163B5E47">
            <w:pPr>
              <w:widowControl/>
              <w:jc w:val="center"/>
              <w:rPr>
                <w:rFonts w:ascii="宋体" w:hAnsi="宋体" w:cs="宋体"/>
                <w:kern w:val="0"/>
                <w:sz w:val="20"/>
                <w:szCs w:val="20"/>
              </w:rPr>
            </w:pPr>
            <w:r>
              <w:rPr>
                <w:rFonts w:hint="eastAsia" w:ascii="宋体" w:hAnsi="宋体" w:cs="宋体"/>
                <w:kern w:val="0"/>
                <w:sz w:val="20"/>
                <w:szCs w:val="20"/>
              </w:rPr>
              <w:t>小便器</w:t>
            </w:r>
          </w:p>
        </w:tc>
        <w:tc>
          <w:tcPr>
            <w:tcW w:w="1612" w:type="dxa"/>
            <w:tcBorders>
              <w:top w:val="nil"/>
              <w:left w:val="nil"/>
              <w:bottom w:val="single" w:color="000000" w:sz="8" w:space="0"/>
              <w:right w:val="single" w:color="000000" w:sz="8" w:space="0"/>
            </w:tcBorders>
            <w:vAlign w:val="center"/>
          </w:tcPr>
          <w:p w14:paraId="7E9C94DE">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8080900">
            <w:pPr>
              <w:widowControl/>
              <w:jc w:val="left"/>
              <w:rPr>
                <w:rFonts w:ascii="宋体" w:hAnsi="宋体" w:cs="宋体"/>
                <w:kern w:val="0"/>
                <w:sz w:val="20"/>
                <w:szCs w:val="20"/>
              </w:rPr>
            </w:pPr>
            <w:r>
              <w:rPr>
                <w:rFonts w:hint="eastAsia" w:ascii="宋体" w:hAnsi="宋体" w:cs="宋体"/>
                <w:kern w:val="0"/>
                <w:sz w:val="20"/>
                <w:szCs w:val="20"/>
              </w:rPr>
              <w:t>《小便器用水效率限定值及用水效率等级》（GB28377）</w:t>
            </w:r>
          </w:p>
        </w:tc>
      </w:tr>
      <w:tr w14:paraId="75884749">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1BE225B1">
            <w:pPr>
              <w:widowControl/>
              <w:jc w:val="center"/>
              <w:rPr>
                <w:rFonts w:ascii="宋体" w:hAnsi="宋体" w:cs="宋体"/>
                <w:kern w:val="0"/>
                <w:sz w:val="20"/>
                <w:szCs w:val="20"/>
              </w:rPr>
            </w:pPr>
            <w:r>
              <w:rPr>
                <w:rFonts w:hint="eastAsia" w:ascii="宋体" w:hAnsi="宋体" w:cs="宋体"/>
                <w:kern w:val="0"/>
                <w:sz w:val="20"/>
                <w:szCs w:val="20"/>
              </w:rPr>
              <w:t>16</w:t>
            </w:r>
          </w:p>
        </w:tc>
        <w:tc>
          <w:tcPr>
            <w:tcW w:w="1116" w:type="dxa"/>
            <w:tcBorders>
              <w:top w:val="nil"/>
              <w:left w:val="nil"/>
              <w:bottom w:val="single" w:color="000000" w:sz="8" w:space="0"/>
              <w:right w:val="single" w:color="000000" w:sz="8" w:space="0"/>
            </w:tcBorders>
            <w:vAlign w:val="center"/>
          </w:tcPr>
          <w:p w14:paraId="4DCCC227">
            <w:pPr>
              <w:widowControl/>
              <w:jc w:val="center"/>
              <w:rPr>
                <w:rFonts w:ascii="宋体" w:hAnsi="宋体" w:cs="宋体"/>
                <w:kern w:val="0"/>
                <w:sz w:val="20"/>
                <w:szCs w:val="20"/>
              </w:rPr>
            </w:pPr>
            <w:r>
              <w:rPr>
                <w:rFonts w:hint="eastAsia" w:ascii="宋体" w:hAnsi="宋体" w:cs="宋体"/>
                <w:kern w:val="0"/>
                <w:sz w:val="20"/>
                <w:szCs w:val="20"/>
              </w:rPr>
              <w:t>★A060806水嘴</w:t>
            </w:r>
          </w:p>
        </w:tc>
        <w:tc>
          <w:tcPr>
            <w:tcW w:w="1516" w:type="dxa"/>
            <w:tcBorders>
              <w:top w:val="nil"/>
              <w:left w:val="nil"/>
              <w:bottom w:val="single" w:color="000000" w:sz="8" w:space="0"/>
              <w:right w:val="single" w:color="000000" w:sz="8" w:space="0"/>
            </w:tcBorders>
            <w:vAlign w:val="center"/>
          </w:tcPr>
          <w:p w14:paraId="43413D9E">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38E59C0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B9EC8C0">
            <w:pPr>
              <w:widowControl/>
              <w:jc w:val="left"/>
              <w:rPr>
                <w:rFonts w:ascii="宋体" w:hAnsi="宋体" w:cs="宋体"/>
                <w:kern w:val="0"/>
                <w:sz w:val="20"/>
                <w:szCs w:val="20"/>
              </w:rPr>
            </w:pPr>
            <w:r>
              <w:rPr>
                <w:rFonts w:hint="eastAsia" w:ascii="宋体" w:hAnsi="宋体" w:cs="宋体"/>
                <w:kern w:val="0"/>
                <w:sz w:val="20"/>
                <w:szCs w:val="20"/>
              </w:rPr>
              <w:t>《水嘴用水效率限定值及用水效率等级》（GB 25501）</w:t>
            </w:r>
          </w:p>
        </w:tc>
      </w:tr>
      <w:tr w14:paraId="06AE641E">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0823BE0C">
            <w:pPr>
              <w:widowControl/>
              <w:jc w:val="center"/>
              <w:rPr>
                <w:rFonts w:ascii="宋体" w:hAnsi="宋体" w:cs="宋体"/>
                <w:kern w:val="0"/>
                <w:sz w:val="20"/>
                <w:szCs w:val="20"/>
              </w:rPr>
            </w:pPr>
            <w:r>
              <w:rPr>
                <w:rFonts w:hint="eastAsia" w:ascii="宋体" w:hAnsi="宋体" w:cs="宋体"/>
                <w:kern w:val="0"/>
                <w:sz w:val="20"/>
                <w:szCs w:val="20"/>
              </w:rPr>
              <w:t>17</w:t>
            </w:r>
          </w:p>
        </w:tc>
        <w:tc>
          <w:tcPr>
            <w:tcW w:w="1116" w:type="dxa"/>
            <w:tcBorders>
              <w:top w:val="nil"/>
              <w:left w:val="nil"/>
              <w:bottom w:val="single" w:color="000000" w:sz="8" w:space="0"/>
              <w:right w:val="single" w:color="000000" w:sz="8" w:space="0"/>
            </w:tcBorders>
            <w:vAlign w:val="center"/>
          </w:tcPr>
          <w:p w14:paraId="5E3E9605">
            <w:pPr>
              <w:widowControl/>
              <w:jc w:val="center"/>
              <w:rPr>
                <w:rFonts w:ascii="宋体" w:hAnsi="宋体" w:cs="宋体"/>
                <w:kern w:val="0"/>
                <w:sz w:val="20"/>
                <w:szCs w:val="20"/>
              </w:rPr>
            </w:pPr>
            <w:r>
              <w:rPr>
                <w:rFonts w:hint="eastAsia" w:ascii="宋体" w:hAnsi="宋体" w:cs="宋体"/>
                <w:kern w:val="0"/>
                <w:sz w:val="20"/>
                <w:szCs w:val="20"/>
              </w:rPr>
              <w:t>A060807便器冲洗阀</w:t>
            </w:r>
          </w:p>
        </w:tc>
        <w:tc>
          <w:tcPr>
            <w:tcW w:w="1516" w:type="dxa"/>
            <w:tcBorders>
              <w:top w:val="nil"/>
              <w:left w:val="nil"/>
              <w:bottom w:val="single" w:color="000000" w:sz="8" w:space="0"/>
              <w:right w:val="single" w:color="000000" w:sz="8" w:space="0"/>
            </w:tcBorders>
            <w:vAlign w:val="center"/>
          </w:tcPr>
          <w:p w14:paraId="220E187B">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11CDF849">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5BAB494">
            <w:pPr>
              <w:widowControl/>
              <w:jc w:val="left"/>
              <w:rPr>
                <w:rFonts w:ascii="宋体" w:hAnsi="宋体" w:cs="宋体"/>
                <w:kern w:val="0"/>
                <w:sz w:val="20"/>
                <w:szCs w:val="20"/>
              </w:rPr>
            </w:pPr>
            <w:r>
              <w:rPr>
                <w:rFonts w:hint="eastAsia" w:ascii="宋体" w:hAnsi="宋体" w:cs="宋体"/>
                <w:kern w:val="0"/>
                <w:sz w:val="20"/>
                <w:szCs w:val="20"/>
              </w:rPr>
              <w:t>《便器冲洗阀用水效率限定值及用水效率等级》（GB28379）</w:t>
            </w:r>
          </w:p>
        </w:tc>
      </w:tr>
      <w:tr w14:paraId="6501BB36">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6B4377E9">
            <w:pPr>
              <w:widowControl/>
              <w:jc w:val="center"/>
              <w:rPr>
                <w:rFonts w:ascii="宋体" w:hAnsi="宋体" w:cs="宋体"/>
                <w:kern w:val="0"/>
                <w:sz w:val="20"/>
                <w:szCs w:val="20"/>
              </w:rPr>
            </w:pPr>
            <w:r>
              <w:rPr>
                <w:rFonts w:hint="eastAsia" w:ascii="宋体" w:hAnsi="宋体" w:cs="宋体"/>
                <w:kern w:val="0"/>
                <w:sz w:val="20"/>
                <w:szCs w:val="20"/>
              </w:rPr>
              <w:t>18</w:t>
            </w:r>
          </w:p>
        </w:tc>
        <w:tc>
          <w:tcPr>
            <w:tcW w:w="1116" w:type="dxa"/>
            <w:tcBorders>
              <w:top w:val="nil"/>
              <w:left w:val="nil"/>
              <w:bottom w:val="single" w:color="000000" w:sz="8" w:space="0"/>
              <w:right w:val="single" w:color="000000" w:sz="8" w:space="0"/>
            </w:tcBorders>
            <w:vAlign w:val="center"/>
          </w:tcPr>
          <w:p w14:paraId="165C1B82">
            <w:pPr>
              <w:widowControl/>
              <w:jc w:val="center"/>
              <w:rPr>
                <w:rFonts w:ascii="宋体" w:hAnsi="宋体" w:cs="宋体"/>
                <w:kern w:val="0"/>
                <w:sz w:val="20"/>
                <w:szCs w:val="20"/>
              </w:rPr>
            </w:pPr>
            <w:r>
              <w:rPr>
                <w:rFonts w:hint="eastAsia" w:ascii="宋体" w:hAnsi="宋体" w:cs="宋体"/>
                <w:kern w:val="0"/>
                <w:sz w:val="20"/>
                <w:szCs w:val="20"/>
              </w:rPr>
              <w:t>A060810淋浴器</w:t>
            </w:r>
          </w:p>
        </w:tc>
        <w:tc>
          <w:tcPr>
            <w:tcW w:w="1516" w:type="dxa"/>
            <w:tcBorders>
              <w:top w:val="nil"/>
              <w:left w:val="nil"/>
              <w:bottom w:val="single" w:color="000000" w:sz="8" w:space="0"/>
              <w:right w:val="single" w:color="000000" w:sz="8" w:space="0"/>
            </w:tcBorders>
            <w:vAlign w:val="center"/>
          </w:tcPr>
          <w:p w14:paraId="6698196C">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74144436">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4889AEBF">
            <w:pPr>
              <w:widowControl/>
              <w:jc w:val="left"/>
              <w:rPr>
                <w:rFonts w:ascii="宋体" w:hAnsi="宋体" w:cs="宋体"/>
                <w:kern w:val="0"/>
                <w:sz w:val="20"/>
                <w:szCs w:val="20"/>
              </w:rPr>
            </w:pPr>
            <w:r>
              <w:rPr>
                <w:rFonts w:hint="eastAsia" w:ascii="宋体" w:hAnsi="宋体" w:cs="宋体"/>
                <w:kern w:val="0"/>
                <w:sz w:val="20"/>
                <w:szCs w:val="20"/>
              </w:rPr>
              <w:t>《淋浴器用水效率限定值及用水效率等级》（GB28378）</w:t>
            </w:r>
          </w:p>
        </w:tc>
      </w:tr>
    </w:tbl>
    <w:p w14:paraId="0E78010E">
      <w:pPr>
        <w:pStyle w:val="9"/>
        <w:spacing w:line="360" w:lineRule="auto"/>
        <w:ind w:firstLine="468"/>
        <w:rPr>
          <w:rFonts w:ascii="宋体" w:hAnsi="宋体" w:cs="宋体"/>
          <w:spacing w:val="-3"/>
          <w:szCs w:val="21"/>
        </w:rPr>
      </w:pPr>
    </w:p>
    <w:p w14:paraId="2CCD21EC">
      <w:pPr>
        <w:pStyle w:val="9"/>
        <w:spacing w:line="360" w:lineRule="auto"/>
        <w:ind w:firstLine="468"/>
        <w:rPr>
          <w:rFonts w:ascii="宋体" w:hAnsi="宋体" w:cs="宋体"/>
          <w:spacing w:val="-3"/>
          <w:szCs w:val="21"/>
        </w:rPr>
      </w:pPr>
      <w:r>
        <w:rPr>
          <w:rFonts w:hint="eastAsia" w:ascii="宋体" w:hAnsi="宋体" w:cs="宋体"/>
          <w:spacing w:val="-3"/>
          <w:szCs w:val="21"/>
        </w:rPr>
        <w:t>注：1.节能产品认证应依据相关国家标准的最新版本，依据国家标准中二级能效（水效）指标。</w:t>
      </w:r>
    </w:p>
    <w:p w14:paraId="549B182D">
      <w:pPr>
        <w:pStyle w:val="9"/>
        <w:spacing w:line="360" w:lineRule="auto"/>
        <w:ind w:firstLine="468"/>
        <w:rPr>
          <w:rFonts w:ascii="宋体" w:hAnsi="宋体" w:cs="宋体"/>
          <w:spacing w:val="-3"/>
          <w:szCs w:val="21"/>
        </w:rPr>
      </w:pPr>
      <w:r>
        <w:rPr>
          <w:rFonts w:hint="eastAsia" w:ascii="宋体" w:hAnsi="宋体" w:cs="宋体"/>
          <w:spacing w:val="-3"/>
          <w:szCs w:val="21"/>
        </w:rPr>
        <w:t xml:space="preserve">    2.以“★”标注的为政府强制采购产品。</w:t>
      </w:r>
    </w:p>
    <w:p w14:paraId="5CFB4E16">
      <w:pPr>
        <w:pStyle w:val="12"/>
        <w:spacing w:line="360" w:lineRule="auto"/>
        <w:jc w:val="left"/>
        <w:rPr>
          <w:rFonts w:hAnsi="宋体" w:cs="宋体"/>
          <w:sz w:val="32"/>
          <w:szCs w:val="32"/>
        </w:rPr>
      </w:pPr>
      <w:r>
        <w:rPr>
          <w:rFonts w:hint="eastAsia" w:hAnsi="宋体" w:cs="宋体"/>
        </w:rPr>
        <w:br w:type="page"/>
      </w:r>
      <w:r>
        <w:rPr>
          <w:rFonts w:hint="eastAsia" w:hAnsi="宋体" w:cs="宋体"/>
          <w:sz w:val="32"/>
          <w:szCs w:val="32"/>
        </w:rPr>
        <w:t>附件2：</w:t>
      </w:r>
    </w:p>
    <w:p w14:paraId="2FEF96BB">
      <w:pPr>
        <w:jc w:val="center"/>
        <w:rPr>
          <w:b/>
          <w:bCs/>
          <w:sz w:val="28"/>
          <w:szCs w:val="28"/>
        </w:rPr>
      </w:pPr>
      <w:bookmarkStart w:id="39" w:name="_Toc16661"/>
      <w:r>
        <w:rPr>
          <w:rFonts w:hint="eastAsia"/>
          <w:b/>
          <w:bCs/>
          <w:sz w:val="28"/>
          <w:szCs w:val="28"/>
        </w:rPr>
        <w:t>中小微企业划型标准</w:t>
      </w:r>
      <w:bookmarkEnd w:id="39"/>
    </w:p>
    <w:tbl>
      <w:tblPr>
        <w:tblStyle w:val="24"/>
        <w:tblW w:w="0" w:type="auto"/>
        <w:jc w:val="center"/>
        <w:tblLayout w:type="fixed"/>
        <w:tblCellMar>
          <w:top w:w="0" w:type="dxa"/>
          <w:left w:w="108" w:type="dxa"/>
          <w:bottom w:w="0" w:type="dxa"/>
          <w:right w:w="108" w:type="dxa"/>
        </w:tblCellMar>
      </w:tblPr>
      <w:tblGrid>
        <w:gridCol w:w="1701"/>
        <w:gridCol w:w="1384"/>
        <w:gridCol w:w="913"/>
        <w:gridCol w:w="1620"/>
        <w:gridCol w:w="1440"/>
        <w:gridCol w:w="925"/>
      </w:tblGrid>
      <w:tr w14:paraId="7D93E079">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15765DA0">
            <w:pPr>
              <w:widowControl/>
              <w:jc w:val="center"/>
              <w:rPr>
                <w:rFonts w:ascii="宋体" w:hAnsi="宋体" w:cs="宋体"/>
                <w:b/>
                <w:kern w:val="0"/>
                <w:sz w:val="24"/>
              </w:rPr>
            </w:pPr>
            <w:r>
              <w:rPr>
                <w:rFonts w:hint="eastAsia" w:ascii="宋体" w:hAnsi="宋体"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78F286DB">
            <w:pPr>
              <w:widowControl/>
              <w:jc w:val="center"/>
              <w:rPr>
                <w:rFonts w:ascii="宋体" w:hAnsi="宋体" w:cs="宋体"/>
                <w:b/>
                <w:kern w:val="0"/>
                <w:sz w:val="24"/>
              </w:rPr>
            </w:pPr>
            <w:r>
              <w:rPr>
                <w:rFonts w:hint="eastAsia" w:ascii="宋体" w:hAnsi="宋体"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0B2C878F">
            <w:pPr>
              <w:widowControl/>
              <w:jc w:val="center"/>
              <w:rPr>
                <w:rFonts w:ascii="宋体" w:hAnsi="宋体" w:cs="宋体"/>
                <w:b/>
                <w:kern w:val="0"/>
                <w:sz w:val="24"/>
              </w:rPr>
            </w:pPr>
            <w:r>
              <w:rPr>
                <w:rFonts w:hint="eastAsia" w:ascii="宋体" w:hAnsi="宋体" w:cs="宋体"/>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46592023">
            <w:pPr>
              <w:widowControl/>
              <w:jc w:val="center"/>
              <w:rPr>
                <w:rFonts w:ascii="宋体" w:hAnsi="宋体" w:cs="宋体"/>
                <w:b/>
                <w:kern w:val="0"/>
                <w:sz w:val="24"/>
              </w:rPr>
            </w:pPr>
            <w:r>
              <w:rPr>
                <w:rFonts w:hint="eastAsia" w:ascii="宋体" w:hAnsi="宋体"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14:paraId="6432B87A">
            <w:pPr>
              <w:widowControl/>
              <w:jc w:val="center"/>
              <w:rPr>
                <w:rFonts w:ascii="宋体" w:hAnsi="宋体" w:cs="宋体"/>
                <w:b/>
                <w:kern w:val="0"/>
                <w:sz w:val="24"/>
              </w:rPr>
            </w:pPr>
            <w:r>
              <w:rPr>
                <w:rFonts w:hint="eastAsia" w:ascii="宋体" w:hAnsi="宋体" w:cs="宋体"/>
                <w:b/>
                <w:kern w:val="0"/>
                <w:sz w:val="24"/>
              </w:rPr>
              <w:t>小型</w:t>
            </w:r>
          </w:p>
        </w:tc>
        <w:tc>
          <w:tcPr>
            <w:tcW w:w="925" w:type="dxa"/>
            <w:tcBorders>
              <w:top w:val="single" w:color="auto" w:sz="4" w:space="0"/>
              <w:left w:val="nil"/>
              <w:bottom w:val="single" w:color="auto" w:sz="4" w:space="0"/>
              <w:right w:val="single" w:color="auto" w:sz="4" w:space="0"/>
            </w:tcBorders>
            <w:vAlign w:val="center"/>
          </w:tcPr>
          <w:p w14:paraId="08DC1164">
            <w:pPr>
              <w:widowControl/>
              <w:jc w:val="center"/>
              <w:rPr>
                <w:rFonts w:ascii="宋体" w:hAnsi="宋体" w:cs="宋体"/>
                <w:b/>
                <w:kern w:val="0"/>
                <w:sz w:val="24"/>
              </w:rPr>
            </w:pPr>
            <w:r>
              <w:rPr>
                <w:rFonts w:hint="eastAsia" w:ascii="宋体" w:hAnsi="宋体" w:cs="宋体"/>
                <w:b/>
                <w:kern w:val="0"/>
                <w:sz w:val="24"/>
              </w:rPr>
              <w:t>微型</w:t>
            </w:r>
          </w:p>
        </w:tc>
      </w:tr>
      <w:tr w14:paraId="5A33D8EC">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2D17762C">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14:paraId="781D4555">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5F9B56F">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7B21800">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764F8613">
            <w:pPr>
              <w:widowControl/>
              <w:jc w:val="left"/>
              <w:rPr>
                <w:rFonts w:ascii="宋体" w:hAnsi="宋体" w:cs="宋体"/>
                <w:kern w:val="0"/>
                <w:sz w:val="18"/>
                <w:szCs w:val="18"/>
              </w:rPr>
            </w:pPr>
            <w:r>
              <w:rPr>
                <w:rFonts w:hint="eastAsia" w:ascii="宋体" w:hAnsi="宋体" w:cs="宋体"/>
                <w:kern w:val="0"/>
                <w:sz w:val="18"/>
                <w:szCs w:val="18"/>
              </w:rPr>
              <w:t>50≤Y＜500</w:t>
            </w:r>
          </w:p>
        </w:tc>
        <w:tc>
          <w:tcPr>
            <w:tcW w:w="925" w:type="dxa"/>
            <w:tcBorders>
              <w:top w:val="nil"/>
              <w:left w:val="nil"/>
              <w:bottom w:val="single" w:color="auto" w:sz="4" w:space="0"/>
              <w:right w:val="single" w:color="auto" w:sz="4" w:space="0"/>
            </w:tcBorders>
            <w:vAlign w:val="center"/>
          </w:tcPr>
          <w:p w14:paraId="63D76B14">
            <w:pPr>
              <w:widowControl/>
              <w:jc w:val="left"/>
              <w:rPr>
                <w:rFonts w:ascii="宋体" w:hAnsi="宋体" w:cs="宋体"/>
                <w:kern w:val="0"/>
                <w:sz w:val="18"/>
                <w:szCs w:val="18"/>
              </w:rPr>
            </w:pPr>
            <w:r>
              <w:rPr>
                <w:rFonts w:hint="eastAsia" w:ascii="宋体" w:hAnsi="宋体" w:cs="宋体"/>
                <w:kern w:val="0"/>
                <w:sz w:val="18"/>
                <w:szCs w:val="18"/>
              </w:rPr>
              <w:t>Y＜50</w:t>
            </w:r>
          </w:p>
        </w:tc>
      </w:tr>
      <w:tr w14:paraId="035078F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215BCD7">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384" w:type="dxa"/>
            <w:tcBorders>
              <w:top w:val="nil"/>
              <w:left w:val="nil"/>
              <w:bottom w:val="single" w:color="auto" w:sz="4" w:space="0"/>
              <w:right w:val="single" w:color="auto" w:sz="4" w:space="0"/>
            </w:tcBorders>
            <w:vAlign w:val="center"/>
          </w:tcPr>
          <w:p w14:paraId="66FA352E">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7D724F1">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3B0F55D">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36C1B306">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3FFDB689">
            <w:pPr>
              <w:widowControl/>
              <w:jc w:val="left"/>
              <w:rPr>
                <w:rFonts w:ascii="宋体" w:hAnsi="宋体" w:cs="宋体"/>
                <w:kern w:val="0"/>
                <w:sz w:val="18"/>
                <w:szCs w:val="18"/>
              </w:rPr>
            </w:pPr>
            <w:r>
              <w:rPr>
                <w:rFonts w:hint="eastAsia" w:ascii="宋体" w:hAnsi="宋体" w:cs="宋体"/>
                <w:kern w:val="0"/>
                <w:sz w:val="18"/>
                <w:szCs w:val="18"/>
              </w:rPr>
              <w:t>X＜20</w:t>
            </w:r>
          </w:p>
        </w:tc>
      </w:tr>
      <w:tr w14:paraId="1B5AF16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13C80DB">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49281A1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27DCE9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F6BD983">
            <w:pPr>
              <w:widowControl/>
              <w:jc w:val="left"/>
              <w:rPr>
                <w:rFonts w:ascii="宋体" w:hAnsi="宋体" w:cs="宋体"/>
                <w:kern w:val="0"/>
                <w:sz w:val="18"/>
                <w:szCs w:val="18"/>
              </w:rPr>
            </w:pPr>
            <w:r>
              <w:rPr>
                <w:rFonts w:hint="eastAsia" w:ascii="宋体" w:hAnsi="宋体" w:cs="宋体"/>
                <w:kern w:val="0"/>
                <w:sz w:val="18"/>
                <w:szCs w:val="18"/>
              </w:rPr>
              <w:t>2000≤Y＜40000</w:t>
            </w:r>
          </w:p>
        </w:tc>
        <w:tc>
          <w:tcPr>
            <w:tcW w:w="1440" w:type="dxa"/>
            <w:tcBorders>
              <w:top w:val="nil"/>
              <w:left w:val="nil"/>
              <w:bottom w:val="single" w:color="auto" w:sz="4" w:space="0"/>
              <w:right w:val="single" w:color="auto" w:sz="4" w:space="0"/>
            </w:tcBorders>
            <w:vAlign w:val="center"/>
          </w:tcPr>
          <w:p w14:paraId="7784622F">
            <w:pPr>
              <w:widowControl/>
              <w:jc w:val="left"/>
              <w:rPr>
                <w:rFonts w:ascii="宋体" w:hAnsi="宋体" w:cs="宋体"/>
                <w:kern w:val="0"/>
                <w:sz w:val="18"/>
                <w:szCs w:val="18"/>
              </w:rPr>
            </w:pPr>
            <w:r>
              <w:rPr>
                <w:rFonts w:hint="eastAsia" w:ascii="宋体" w:hAnsi="宋体" w:cs="宋体"/>
                <w:kern w:val="0"/>
                <w:sz w:val="18"/>
                <w:szCs w:val="18"/>
              </w:rPr>
              <w:t>300≤Y＜2000</w:t>
            </w:r>
          </w:p>
        </w:tc>
        <w:tc>
          <w:tcPr>
            <w:tcW w:w="925" w:type="dxa"/>
            <w:tcBorders>
              <w:top w:val="nil"/>
              <w:left w:val="nil"/>
              <w:bottom w:val="single" w:color="auto" w:sz="4" w:space="0"/>
              <w:right w:val="single" w:color="auto" w:sz="4" w:space="0"/>
            </w:tcBorders>
            <w:vAlign w:val="center"/>
          </w:tcPr>
          <w:p w14:paraId="2CB79EFC">
            <w:pPr>
              <w:widowControl/>
              <w:jc w:val="left"/>
              <w:rPr>
                <w:rFonts w:ascii="宋体" w:hAnsi="宋体" w:cs="宋体"/>
                <w:kern w:val="0"/>
                <w:sz w:val="18"/>
                <w:szCs w:val="18"/>
              </w:rPr>
            </w:pPr>
            <w:r>
              <w:rPr>
                <w:rFonts w:hint="eastAsia" w:ascii="宋体" w:hAnsi="宋体" w:cs="宋体"/>
                <w:kern w:val="0"/>
                <w:sz w:val="18"/>
                <w:szCs w:val="18"/>
              </w:rPr>
              <w:t>Y＜300</w:t>
            </w:r>
          </w:p>
        </w:tc>
      </w:tr>
      <w:tr w14:paraId="5C40E3F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AEBDDAE">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384" w:type="dxa"/>
            <w:tcBorders>
              <w:top w:val="nil"/>
              <w:left w:val="nil"/>
              <w:bottom w:val="single" w:color="auto" w:sz="4" w:space="0"/>
              <w:right w:val="single" w:color="auto" w:sz="4" w:space="0"/>
            </w:tcBorders>
            <w:vAlign w:val="center"/>
          </w:tcPr>
          <w:p w14:paraId="15A406D9">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0A773DE">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314FEF7">
            <w:pPr>
              <w:widowControl/>
              <w:jc w:val="left"/>
              <w:rPr>
                <w:rFonts w:ascii="宋体" w:hAnsi="宋体" w:cs="宋体"/>
                <w:kern w:val="0"/>
                <w:sz w:val="18"/>
                <w:szCs w:val="18"/>
              </w:rPr>
            </w:pPr>
            <w:r>
              <w:rPr>
                <w:rFonts w:hint="eastAsia" w:ascii="宋体" w:hAnsi="宋体" w:cs="宋体"/>
                <w:kern w:val="0"/>
                <w:sz w:val="18"/>
                <w:szCs w:val="18"/>
              </w:rPr>
              <w:t>6000≤Y＜80000</w:t>
            </w:r>
          </w:p>
        </w:tc>
        <w:tc>
          <w:tcPr>
            <w:tcW w:w="1440" w:type="dxa"/>
            <w:tcBorders>
              <w:top w:val="nil"/>
              <w:left w:val="nil"/>
              <w:bottom w:val="single" w:color="auto" w:sz="4" w:space="0"/>
              <w:right w:val="single" w:color="auto" w:sz="4" w:space="0"/>
            </w:tcBorders>
            <w:vAlign w:val="center"/>
          </w:tcPr>
          <w:p w14:paraId="1786121D">
            <w:pPr>
              <w:widowControl/>
              <w:jc w:val="left"/>
              <w:rPr>
                <w:rFonts w:ascii="宋体" w:hAnsi="宋体" w:cs="宋体"/>
                <w:kern w:val="0"/>
                <w:sz w:val="18"/>
                <w:szCs w:val="18"/>
              </w:rPr>
            </w:pPr>
            <w:r>
              <w:rPr>
                <w:rFonts w:hint="eastAsia" w:ascii="宋体" w:hAnsi="宋体" w:cs="宋体"/>
                <w:kern w:val="0"/>
                <w:sz w:val="18"/>
                <w:szCs w:val="18"/>
              </w:rPr>
              <w:t>300≤Y＜6000</w:t>
            </w:r>
          </w:p>
        </w:tc>
        <w:tc>
          <w:tcPr>
            <w:tcW w:w="925" w:type="dxa"/>
            <w:tcBorders>
              <w:top w:val="nil"/>
              <w:left w:val="nil"/>
              <w:bottom w:val="single" w:color="auto" w:sz="4" w:space="0"/>
              <w:right w:val="single" w:color="auto" w:sz="4" w:space="0"/>
            </w:tcBorders>
            <w:vAlign w:val="center"/>
          </w:tcPr>
          <w:p w14:paraId="0D71A7D9">
            <w:pPr>
              <w:widowControl/>
              <w:jc w:val="left"/>
              <w:rPr>
                <w:rFonts w:ascii="宋体" w:hAnsi="宋体" w:cs="宋体"/>
                <w:kern w:val="0"/>
                <w:sz w:val="18"/>
                <w:szCs w:val="18"/>
              </w:rPr>
            </w:pPr>
            <w:r>
              <w:rPr>
                <w:rFonts w:hint="eastAsia" w:ascii="宋体" w:hAnsi="宋体" w:cs="宋体"/>
                <w:kern w:val="0"/>
                <w:sz w:val="18"/>
                <w:szCs w:val="18"/>
              </w:rPr>
              <w:t>Y＜300</w:t>
            </w:r>
          </w:p>
        </w:tc>
      </w:tr>
      <w:tr w14:paraId="652D146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076FE35">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00311EB">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00D335F9">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1CA3D84">
            <w:pPr>
              <w:widowControl/>
              <w:jc w:val="left"/>
              <w:rPr>
                <w:rFonts w:ascii="宋体" w:hAnsi="宋体" w:cs="宋体"/>
                <w:kern w:val="0"/>
                <w:sz w:val="18"/>
                <w:szCs w:val="18"/>
              </w:rPr>
            </w:pPr>
            <w:r>
              <w:rPr>
                <w:rFonts w:hint="eastAsia" w:ascii="宋体" w:hAnsi="宋体" w:cs="宋体"/>
                <w:kern w:val="0"/>
                <w:sz w:val="18"/>
                <w:szCs w:val="18"/>
              </w:rPr>
              <w:t>5000≤Z＜80000</w:t>
            </w:r>
          </w:p>
        </w:tc>
        <w:tc>
          <w:tcPr>
            <w:tcW w:w="1440" w:type="dxa"/>
            <w:tcBorders>
              <w:top w:val="nil"/>
              <w:left w:val="nil"/>
              <w:bottom w:val="single" w:color="auto" w:sz="4" w:space="0"/>
              <w:right w:val="single" w:color="auto" w:sz="4" w:space="0"/>
            </w:tcBorders>
            <w:vAlign w:val="center"/>
          </w:tcPr>
          <w:p w14:paraId="06A6C34E">
            <w:pPr>
              <w:widowControl/>
              <w:jc w:val="left"/>
              <w:rPr>
                <w:rFonts w:ascii="宋体" w:hAnsi="宋体" w:cs="宋体"/>
                <w:kern w:val="0"/>
                <w:sz w:val="18"/>
                <w:szCs w:val="18"/>
              </w:rPr>
            </w:pPr>
            <w:r>
              <w:rPr>
                <w:rFonts w:hint="eastAsia" w:ascii="宋体" w:hAnsi="宋体" w:cs="宋体"/>
                <w:kern w:val="0"/>
                <w:sz w:val="18"/>
                <w:szCs w:val="18"/>
              </w:rPr>
              <w:t>300≤Z＜5000</w:t>
            </w:r>
          </w:p>
        </w:tc>
        <w:tc>
          <w:tcPr>
            <w:tcW w:w="925" w:type="dxa"/>
            <w:tcBorders>
              <w:top w:val="nil"/>
              <w:left w:val="nil"/>
              <w:bottom w:val="single" w:color="auto" w:sz="4" w:space="0"/>
              <w:right w:val="single" w:color="auto" w:sz="4" w:space="0"/>
            </w:tcBorders>
            <w:vAlign w:val="center"/>
          </w:tcPr>
          <w:p w14:paraId="469F37D1">
            <w:pPr>
              <w:widowControl/>
              <w:jc w:val="left"/>
              <w:rPr>
                <w:rFonts w:ascii="宋体" w:hAnsi="宋体" w:cs="宋体"/>
                <w:kern w:val="0"/>
                <w:sz w:val="18"/>
                <w:szCs w:val="18"/>
              </w:rPr>
            </w:pPr>
            <w:r>
              <w:rPr>
                <w:rFonts w:hint="eastAsia" w:ascii="宋体" w:hAnsi="宋体" w:cs="宋体"/>
                <w:kern w:val="0"/>
                <w:sz w:val="18"/>
                <w:szCs w:val="18"/>
              </w:rPr>
              <w:t>Z＜300</w:t>
            </w:r>
          </w:p>
        </w:tc>
      </w:tr>
      <w:tr w14:paraId="059A595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D74BE90">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384" w:type="dxa"/>
            <w:tcBorders>
              <w:top w:val="nil"/>
              <w:left w:val="nil"/>
              <w:bottom w:val="single" w:color="auto" w:sz="4" w:space="0"/>
              <w:right w:val="single" w:color="auto" w:sz="4" w:space="0"/>
            </w:tcBorders>
            <w:vAlign w:val="center"/>
          </w:tcPr>
          <w:p w14:paraId="52BF598D">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11DB5BC1">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75BB350">
            <w:pPr>
              <w:widowControl/>
              <w:jc w:val="left"/>
              <w:rPr>
                <w:rFonts w:ascii="宋体" w:hAnsi="宋体" w:cs="宋体"/>
                <w:kern w:val="0"/>
                <w:sz w:val="18"/>
                <w:szCs w:val="18"/>
              </w:rPr>
            </w:pPr>
            <w:r>
              <w:rPr>
                <w:rFonts w:hint="eastAsia" w:ascii="宋体" w:hAnsi="宋体" w:cs="宋体"/>
                <w:kern w:val="0"/>
                <w:sz w:val="18"/>
                <w:szCs w:val="18"/>
              </w:rPr>
              <w:t>20≤X＜200</w:t>
            </w:r>
          </w:p>
        </w:tc>
        <w:tc>
          <w:tcPr>
            <w:tcW w:w="1440" w:type="dxa"/>
            <w:tcBorders>
              <w:top w:val="nil"/>
              <w:left w:val="nil"/>
              <w:bottom w:val="single" w:color="auto" w:sz="4" w:space="0"/>
              <w:right w:val="single" w:color="auto" w:sz="4" w:space="0"/>
            </w:tcBorders>
            <w:vAlign w:val="center"/>
          </w:tcPr>
          <w:p w14:paraId="03FAC062">
            <w:pPr>
              <w:widowControl/>
              <w:jc w:val="left"/>
              <w:rPr>
                <w:rFonts w:ascii="宋体" w:hAnsi="宋体" w:cs="宋体"/>
                <w:kern w:val="0"/>
                <w:sz w:val="18"/>
                <w:szCs w:val="18"/>
              </w:rPr>
            </w:pPr>
            <w:r>
              <w:rPr>
                <w:rFonts w:hint="eastAsia" w:ascii="宋体" w:hAnsi="宋体" w:cs="宋体"/>
                <w:kern w:val="0"/>
                <w:sz w:val="18"/>
                <w:szCs w:val="18"/>
              </w:rPr>
              <w:t>5≤X＜20</w:t>
            </w:r>
          </w:p>
        </w:tc>
        <w:tc>
          <w:tcPr>
            <w:tcW w:w="925" w:type="dxa"/>
            <w:tcBorders>
              <w:top w:val="nil"/>
              <w:left w:val="nil"/>
              <w:bottom w:val="single" w:color="auto" w:sz="4" w:space="0"/>
              <w:right w:val="single" w:color="auto" w:sz="4" w:space="0"/>
            </w:tcBorders>
            <w:vAlign w:val="center"/>
          </w:tcPr>
          <w:p w14:paraId="45B32B8B">
            <w:pPr>
              <w:widowControl/>
              <w:jc w:val="left"/>
              <w:rPr>
                <w:rFonts w:ascii="宋体" w:hAnsi="宋体" w:cs="宋体"/>
                <w:kern w:val="0"/>
                <w:sz w:val="18"/>
                <w:szCs w:val="18"/>
              </w:rPr>
            </w:pPr>
            <w:r>
              <w:rPr>
                <w:rFonts w:hint="eastAsia" w:ascii="宋体" w:hAnsi="宋体" w:cs="宋体"/>
                <w:kern w:val="0"/>
                <w:sz w:val="18"/>
                <w:szCs w:val="18"/>
              </w:rPr>
              <w:t>X＜5</w:t>
            </w:r>
          </w:p>
        </w:tc>
      </w:tr>
      <w:tr w14:paraId="4842232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D61993A">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43FF1E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4300EB9">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2B1A6F2">
            <w:pPr>
              <w:widowControl/>
              <w:jc w:val="left"/>
              <w:rPr>
                <w:rFonts w:ascii="宋体" w:hAnsi="宋体" w:cs="宋体"/>
                <w:kern w:val="0"/>
                <w:sz w:val="18"/>
                <w:szCs w:val="18"/>
              </w:rPr>
            </w:pPr>
            <w:r>
              <w:rPr>
                <w:rFonts w:hint="eastAsia" w:ascii="宋体" w:hAnsi="宋体" w:cs="宋体"/>
                <w:kern w:val="0"/>
                <w:sz w:val="18"/>
                <w:szCs w:val="18"/>
              </w:rPr>
              <w:t>5000≤Y＜40000</w:t>
            </w:r>
          </w:p>
        </w:tc>
        <w:tc>
          <w:tcPr>
            <w:tcW w:w="1440" w:type="dxa"/>
            <w:tcBorders>
              <w:top w:val="nil"/>
              <w:left w:val="nil"/>
              <w:bottom w:val="single" w:color="auto" w:sz="4" w:space="0"/>
              <w:right w:val="single" w:color="auto" w:sz="4" w:space="0"/>
            </w:tcBorders>
            <w:vAlign w:val="center"/>
          </w:tcPr>
          <w:p w14:paraId="045E86A8">
            <w:pPr>
              <w:widowControl/>
              <w:jc w:val="left"/>
              <w:rPr>
                <w:rFonts w:ascii="宋体" w:hAnsi="宋体" w:cs="宋体"/>
                <w:kern w:val="0"/>
                <w:sz w:val="18"/>
                <w:szCs w:val="18"/>
              </w:rPr>
            </w:pPr>
            <w:r>
              <w:rPr>
                <w:rFonts w:hint="eastAsia" w:ascii="宋体" w:hAnsi="宋体" w:cs="宋体"/>
                <w:kern w:val="0"/>
                <w:sz w:val="18"/>
                <w:szCs w:val="18"/>
              </w:rPr>
              <w:t>1000≤Y＜5000</w:t>
            </w:r>
          </w:p>
        </w:tc>
        <w:tc>
          <w:tcPr>
            <w:tcW w:w="925" w:type="dxa"/>
            <w:tcBorders>
              <w:top w:val="nil"/>
              <w:left w:val="nil"/>
              <w:bottom w:val="single" w:color="auto" w:sz="4" w:space="0"/>
              <w:right w:val="single" w:color="auto" w:sz="4" w:space="0"/>
            </w:tcBorders>
            <w:vAlign w:val="center"/>
          </w:tcPr>
          <w:p w14:paraId="39608E5C">
            <w:pPr>
              <w:widowControl/>
              <w:jc w:val="left"/>
              <w:rPr>
                <w:rFonts w:ascii="宋体" w:hAnsi="宋体" w:cs="宋体"/>
                <w:kern w:val="0"/>
                <w:sz w:val="18"/>
                <w:szCs w:val="18"/>
              </w:rPr>
            </w:pPr>
            <w:r>
              <w:rPr>
                <w:rFonts w:hint="eastAsia" w:ascii="宋体" w:hAnsi="宋体" w:cs="宋体"/>
                <w:kern w:val="0"/>
                <w:sz w:val="18"/>
                <w:szCs w:val="18"/>
              </w:rPr>
              <w:t>Y＜1000</w:t>
            </w:r>
          </w:p>
        </w:tc>
      </w:tr>
      <w:tr w14:paraId="17C698C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C4B972A">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384" w:type="dxa"/>
            <w:tcBorders>
              <w:top w:val="nil"/>
              <w:left w:val="nil"/>
              <w:bottom w:val="single" w:color="auto" w:sz="4" w:space="0"/>
              <w:right w:val="single" w:color="auto" w:sz="4" w:space="0"/>
            </w:tcBorders>
            <w:vAlign w:val="center"/>
          </w:tcPr>
          <w:p w14:paraId="6AF2F3BB">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57D4619">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1F6D59F">
            <w:pPr>
              <w:widowControl/>
              <w:jc w:val="left"/>
              <w:rPr>
                <w:rFonts w:ascii="宋体" w:hAnsi="宋体" w:cs="宋体"/>
                <w:kern w:val="0"/>
                <w:sz w:val="18"/>
                <w:szCs w:val="18"/>
              </w:rPr>
            </w:pPr>
            <w:r>
              <w:rPr>
                <w:rFonts w:hint="eastAsia" w:ascii="宋体" w:hAnsi="宋体" w:cs="宋体"/>
                <w:kern w:val="0"/>
                <w:sz w:val="18"/>
                <w:szCs w:val="18"/>
              </w:rPr>
              <w:t>50≤X＜300</w:t>
            </w:r>
          </w:p>
        </w:tc>
        <w:tc>
          <w:tcPr>
            <w:tcW w:w="1440" w:type="dxa"/>
            <w:tcBorders>
              <w:top w:val="nil"/>
              <w:left w:val="nil"/>
              <w:bottom w:val="single" w:color="auto" w:sz="4" w:space="0"/>
              <w:right w:val="single" w:color="auto" w:sz="4" w:space="0"/>
            </w:tcBorders>
            <w:vAlign w:val="center"/>
          </w:tcPr>
          <w:p w14:paraId="656DF280">
            <w:pPr>
              <w:widowControl/>
              <w:jc w:val="left"/>
              <w:rPr>
                <w:rFonts w:ascii="宋体" w:hAnsi="宋体" w:cs="宋体"/>
                <w:kern w:val="0"/>
                <w:sz w:val="18"/>
                <w:szCs w:val="18"/>
              </w:rPr>
            </w:pPr>
            <w:r>
              <w:rPr>
                <w:rFonts w:hint="eastAsia" w:ascii="宋体" w:hAnsi="宋体" w:cs="宋体"/>
                <w:kern w:val="0"/>
                <w:sz w:val="18"/>
                <w:szCs w:val="18"/>
              </w:rPr>
              <w:t>10≤X＜50</w:t>
            </w:r>
          </w:p>
        </w:tc>
        <w:tc>
          <w:tcPr>
            <w:tcW w:w="925" w:type="dxa"/>
            <w:tcBorders>
              <w:top w:val="nil"/>
              <w:left w:val="nil"/>
              <w:bottom w:val="single" w:color="auto" w:sz="4" w:space="0"/>
              <w:right w:val="single" w:color="auto" w:sz="4" w:space="0"/>
            </w:tcBorders>
            <w:vAlign w:val="center"/>
          </w:tcPr>
          <w:p w14:paraId="45FD0C1D">
            <w:pPr>
              <w:widowControl/>
              <w:jc w:val="left"/>
              <w:rPr>
                <w:rFonts w:ascii="宋体" w:hAnsi="宋体" w:cs="宋体"/>
                <w:kern w:val="0"/>
                <w:sz w:val="18"/>
                <w:szCs w:val="18"/>
              </w:rPr>
            </w:pPr>
            <w:r>
              <w:rPr>
                <w:rFonts w:hint="eastAsia" w:ascii="宋体" w:hAnsi="宋体" w:cs="宋体"/>
                <w:kern w:val="0"/>
                <w:sz w:val="18"/>
                <w:szCs w:val="18"/>
              </w:rPr>
              <w:t>X＜10</w:t>
            </w:r>
          </w:p>
        </w:tc>
      </w:tr>
      <w:tr w14:paraId="64AC769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8E05892">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1B2B50E">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FD88FAA">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20C1B5E">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258297E0">
            <w:pPr>
              <w:widowControl/>
              <w:jc w:val="left"/>
              <w:rPr>
                <w:rFonts w:ascii="宋体" w:hAnsi="宋体" w:cs="宋体"/>
                <w:kern w:val="0"/>
                <w:sz w:val="18"/>
                <w:szCs w:val="18"/>
              </w:rPr>
            </w:pPr>
            <w:r>
              <w:rPr>
                <w:rFonts w:hint="eastAsia" w:ascii="宋体" w:hAnsi="宋体" w:cs="宋体"/>
                <w:kern w:val="0"/>
                <w:sz w:val="18"/>
                <w:szCs w:val="18"/>
              </w:rPr>
              <w:t>100≤Y＜500</w:t>
            </w:r>
          </w:p>
        </w:tc>
        <w:tc>
          <w:tcPr>
            <w:tcW w:w="925" w:type="dxa"/>
            <w:tcBorders>
              <w:top w:val="nil"/>
              <w:left w:val="nil"/>
              <w:bottom w:val="single" w:color="auto" w:sz="4" w:space="0"/>
              <w:right w:val="single" w:color="auto" w:sz="4" w:space="0"/>
            </w:tcBorders>
            <w:vAlign w:val="center"/>
          </w:tcPr>
          <w:p w14:paraId="1E094518">
            <w:pPr>
              <w:widowControl/>
              <w:jc w:val="left"/>
              <w:rPr>
                <w:rFonts w:ascii="宋体" w:hAnsi="宋体" w:cs="宋体"/>
                <w:kern w:val="0"/>
                <w:sz w:val="18"/>
                <w:szCs w:val="18"/>
              </w:rPr>
            </w:pPr>
            <w:r>
              <w:rPr>
                <w:rFonts w:hint="eastAsia" w:ascii="宋体" w:hAnsi="宋体" w:cs="宋体"/>
                <w:kern w:val="0"/>
                <w:sz w:val="18"/>
                <w:szCs w:val="18"/>
              </w:rPr>
              <w:t>Y＜100</w:t>
            </w:r>
          </w:p>
        </w:tc>
      </w:tr>
      <w:tr w14:paraId="2A25113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74E8CFF">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14:paraId="2B83DC11">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C9E5250">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0C8B49B">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0EC58DBB">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4BDAF63B">
            <w:pPr>
              <w:widowControl/>
              <w:jc w:val="left"/>
              <w:rPr>
                <w:rFonts w:ascii="宋体" w:hAnsi="宋体" w:cs="宋体"/>
                <w:kern w:val="0"/>
                <w:sz w:val="18"/>
                <w:szCs w:val="18"/>
              </w:rPr>
            </w:pPr>
            <w:r>
              <w:rPr>
                <w:rFonts w:hint="eastAsia" w:ascii="宋体" w:hAnsi="宋体" w:cs="宋体"/>
                <w:kern w:val="0"/>
                <w:sz w:val="18"/>
                <w:szCs w:val="18"/>
              </w:rPr>
              <w:t>X＜20</w:t>
            </w:r>
          </w:p>
        </w:tc>
      </w:tr>
      <w:tr w14:paraId="3DE96F8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B127EBD">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F94F9FE">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1475D50">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9D3B050">
            <w:pPr>
              <w:widowControl/>
              <w:jc w:val="left"/>
              <w:rPr>
                <w:rFonts w:ascii="宋体" w:hAnsi="宋体" w:cs="宋体"/>
                <w:kern w:val="0"/>
                <w:sz w:val="18"/>
                <w:szCs w:val="18"/>
              </w:rPr>
            </w:pPr>
            <w:r>
              <w:rPr>
                <w:rFonts w:hint="eastAsia" w:ascii="宋体" w:hAnsi="宋体" w:cs="宋体"/>
                <w:kern w:val="0"/>
                <w:sz w:val="18"/>
                <w:szCs w:val="18"/>
              </w:rPr>
              <w:t>3000≤Y＜30000</w:t>
            </w:r>
          </w:p>
        </w:tc>
        <w:tc>
          <w:tcPr>
            <w:tcW w:w="1440" w:type="dxa"/>
            <w:tcBorders>
              <w:top w:val="nil"/>
              <w:left w:val="nil"/>
              <w:bottom w:val="single" w:color="auto" w:sz="4" w:space="0"/>
              <w:right w:val="single" w:color="auto" w:sz="4" w:space="0"/>
            </w:tcBorders>
            <w:vAlign w:val="center"/>
          </w:tcPr>
          <w:p w14:paraId="091FB645">
            <w:pPr>
              <w:widowControl/>
              <w:jc w:val="left"/>
              <w:rPr>
                <w:rFonts w:ascii="宋体" w:hAnsi="宋体" w:cs="宋体"/>
                <w:kern w:val="0"/>
                <w:sz w:val="18"/>
                <w:szCs w:val="18"/>
              </w:rPr>
            </w:pPr>
            <w:r>
              <w:rPr>
                <w:rFonts w:hint="eastAsia" w:ascii="宋体" w:hAnsi="宋体" w:cs="宋体"/>
                <w:kern w:val="0"/>
                <w:sz w:val="18"/>
                <w:szCs w:val="18"/>
              </w:rPr>
              <w:t>200≤Y＜3000</w:t>
            </w:r>
          </w:p>
        </w:tc>
        <w:tc>
          <w:tcPr>
            <w:tcW w:w="925" w:type="dxa"/>
            <w:tcBorders>
              <w:top w:val="nil"/>
              <w:left w:val="nil"/>
              <w:bottom w:val="single" w:color="auto" w:sz="4" w:space="0"/>
              <w:right w:val="single" w:color="auto" w:sz="4" w:space="0"/>
            </w:tcBorders>
            <w:vAlign w:val="center"/>
          </w:tcPr>
          <w:p w14:paraId="20A03A4D">
            <w:pPr>
              <w:widowControl/>
              <w:jc w:val="left"/>
              <w:rPr>
                <w:rFonts w:ascii="宋体" w:hAnsi="宋体" w:cs="宋体"/>
                <w:kern w:val="0"/>
                <w:sz w:val="18"/>
                <w:szCs w:val="18"/>
              </w:rPr>
            </w:pPr>
            <w:r>
              <w:rPr>
                <w:rFonts w:hint="eastAsia" w:ascii="宋体" w:hAnsi="宋体" w:cs="宋体"/>
                <w:kern w:val="0"/>
                <w:sz w:val="18"/>
                <w:szCs w:val="18"/>
              </w:rPr>
              <w:t>Y＜200</w:t>
            </w:r>
          </w:p>
        </w:tc>
      </w:tr>
      <w:tr w14:paraId="104D49E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F680919">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384" w:type="dxa"/>
            <w:tcBorders>
              <w:top w:val="nil"/>
              <w:left w:val="nil"/>
              <w:bottom w:val="single" w:color="auto" w:sz="4" w:space="0"/>
              <w:right w:val="single" w:color="auto" w:sz="4" w:space="0"/>
            </w:tcBorders>
            <w:vAlign w:val="center"/>
          </w:tcPr>
          <w:p w14:paraId="1531DE60">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52CB7A2">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F8D8285">
            <w:pPr>
              <w:widowControl/>
              <w:jc w:val="left"/>
              <w:rPr>
                <w:rFonts w:ascii="宋体" w:hAnsi="宋体" w:cs="宋体"/>
                <w:kern w:val="0"/>
                <w:sz w:val="18"/>
                <w:szCs w:val="18"/>
              </w:rPr>
            </w:pPr>
            <w:r>
              <w:rPr>
                <w:rFonts w:hint="eastAsia" w:ascii="宋体" w:hAnsi="宋体" w:cs="宋体"/>
                <w:kern w:val="0"/>
                <w:sz w:val="18"/>
                <w:szCs w:val="18"/>
              </w:rPr>
              <w:t>100≤X＜200</w:t>
            </w:r>
          </w:p>
        </w:tc>
        <w:tc>
          <w:tcPr>
            <w:tcW w:w="1440" w:type="dxa"/>
            <w:tcBorders>
              <w:top w:val="nil"/>
              <w:left w:val="nil"/>
              <w:bottom w:val="single" w:color="auto" w:sz="4" w:space="0"/>
              <w:right w:val="single" w:color="auto" w:sz="4" w:space="0"/>
            </w:tcBorders>
            <w:vAlign w:val="center"/>
          </w:tcPr>
          <w:p w14:paraId="42D4D26D">
            <w:pPr>
              <w:widowControl/>
              <w:jc w:val="left"/>
              <w:rPr>
                <w:rFonts w:ascii="宋体" w:hAnsi="宋体" w:cs="宋体"/>
                <w:kern w:val="0"/>
                <w:sz w:val="18"/>
                <w:szCs w:val="18"/>
              </w:rPr>
            </w:pPr>
            <w:r>
              <w:rPr>
                <w:rFonts w:hint="eastAsia" w:ascii="宋体" w:hAnsi="宋体" w:cs="宋体"/>
                <w:kern w:val="0"/>
                <w:sz w:val="18"/>
                <w:szCs w:val="18"/>
              </w:rPr>
              <w:t>20≤X＜100</w:t>
            </w:r>
          </w:p>
        </w:tc>
        <w:tc>
          <w:tcPr>
            <w:tcW w:w="925" w:type="dxa"/>
            <w:tcBorders>
              <w:top w:val="nil"/>
              <w:left w:val="nil"/>
              <w:bottom w:val="single" w:color="auto" w:sz="4" w:space="0"/>
              <w:right w:val="single" w:color="auto" w:sz="4" w:space="0"/>
            </w:tcBorders>
            <w:vAlign w:val="center"/>
          </w:tcPr>
          <w:p w14:paraId="79997C95">
            <w:pPr>
              <w:widowControl/>
              <w:jc w:val="left"/>
              <w:rPr>
                <w:rFonts w:ascii="宋体" w:hAnsi="宋体" w:cs="宋体"/>
                <w:kern w:val="0"/>
                <w:sz w:val="18"/>
                <w:szCs w:val="18"/>
              </w:rPr>
            </w:pPr>
            <w:r>
              <w:rPr>
                <w:rFonts w:hint="eastAsia" w:ascii="宋体" w:hAnsi="宋体" w:cs="宋体"/>
                <w:kern w:val="0"/>
                <w:sz w:val="18"/>
                <w:szCs w:val="18"/>
              </w:rPr>
              <w:t>X＜20</w:t>
            </w:r>
          </w:p>
        </w:tc>
      </w:tr>
      <w:tr w14:paraId="08C1B7F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019F539">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EE1434D">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2DFD8A3">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086A97B">
            <w:pPr>
              <w:widowControl/>
              <w:jc w:val="left"/>
              <w:rPr>
                <w:rFonts w:ascii="宋体" w:hAnsi="宋体" w:cs="宋体"/>
                <w:kern w:val="0"/>
                <w:sz w:val="18"/>
                <w:szCs w:val="18"/>
              </w:rPr>
            </w:pPr>
            <w:r>
              <w:rPr>
                <w:rFonts w:hint="eastAsia" w:ascii="宋体" w:hAnsi="宋体" w:cs="宋体"/>
                <w:kern w:val="0"/>
                <w:sz w:val="18"/>
                <w:szCs w:val="18"/>
              </w:rPr>
              <w:t>1000≤Y＜30000</w:t>
            </w:r>
          </w:p>
        </w:tc>
        <w:tc>
          <w:tcPr>
            <w:tcW w:w="1440" w:type="dxa"/>
            <w:tcBorders>
              <w:top w:val="nil"/>
              <w:left w:val="nil"/>
              <w:bottom w:val="single" w:color="auto" w:sz="4" w:space="0"/>
              <w:right w:val="single" w:color="auto" w:sz="4" w:space="0"/>
            </w:tcBorders>
            <w:vAlign w:val="center"/>
          </w:tcPr>
          <w:p w14:paraId="49207301">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7CE8C45A">
            <w:pPr>
              <w:widowControl/>
              <w:jc w:val="left"/>
              <w:rPr>
                <w:rFonts w:ascii="宋体" w:hAnsi="宋体" w:cs="宋体"/>
                <w:kern w:val="0"/>
                <w:sz w:val="18"/>
                <w:szCs w:val="18"/>
              </w:rPr>
            </w:pPr>
            <w:r>
              <w:rPr>
                <w:rFonts w:hint="eastAsia" w:ascii="宋体" w:hAnsi="宋体" w:cs="宋体"/>
                <w:kern w:val="0"/>
                <w:sz w:val="18"/>
                <w:szCs w:val="18"/>
              </w:rPr>
              <w:t>Y＜100</w:t>
            </w:r>
          </w:p>
        </w:tc>
      </w:tr>
      <w:tr w14:paraId="2B40E93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ABA6D26">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384" w:type="dxa"/>
            <w:tcBorders>
              <w:top w:val="nil"/>
              <w:left w:val="nil"/>
              <w:bottom w:val="single" w:color="auto" w:sz="4" w:space="0"/>
              <w:right w:val="single" w:color="auto" w:sz="4" w:space="0"/>
            </w:tcBorders>
            <w:vAlign w:val="center"/>
          </w:tcPr>
          <w:p w14:paraId="2CFA010E">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E073D0C">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6BDA95C">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75170A81">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0FFB0023">
            <w:pPr>
              <w:widowControl/>
              <w:jc w:val="left"/>
              <w:rPr>
                <w:rFonts w:ascii="宋体" w:hAnsi="宋体" w:cs="宋体"/>
                <w:kern w:val="0"/>
                <w:sz w:val="18"/>
                <w:szCs w:val="18"/>
              </w:rPr>
            </w:pPr>
            <w:r>
              <w:rPr>
                <w:rFonts w:hint="eastAsia" w:ascii="宋体" w:hAnsi="宋体" w:cs="宋体"/>
                <w:kern w:val="0"/>
                <w:sz w:val="18"/>
                <w:szCs w:val="18"/>
              </w:rPr>
              <w:t>X＜20</w:t>
            </w:r>
          </w:p>
        </w:tc>
      </w:tr>
      <w:tr w14:paraId="39CBD2E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43F22FD">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52E3F78">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A45A64D">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D09AB4A">
            <w:pPr>
              <w:widowControl/>
              <w:jc w:val="left"/>
              <w:rPr>
                <w:rFonts w:ascii="宋体" w:hAnsi="宋体" w:cs="宋体"/>
                <w:kern w:val="0"/>
                <w:sz w:val="18"/>
                <w:szCs w:val="18"/>
              </w:rPr>
            </w:pPr>
            <w:r>
              <w:rPr>
                <w:rFonts w:hint="eastAsia" w:ascii="宋体" w:hAnsi="宋体" w:cs="宋体"/>
                <w:kern w:val="0"/>
                <w:sz w:val="18"/>
                <w:szCs w:val="18"/>
              </w:rPr>
              <w:t>2000≤Y＜30000</w:t>
            </w:r>
          </w:p>
        </w:tc>
        <w:tc>
          <w:tcPr>
            <w:tcW w:w="1440" w:type="dxa"/>
            <w:tcBorders>
              <w:top w:val="nil"/>
              <w:left w:val="nil"/>
              <w:bottom w:val="single" w:color="auto" w:sz="4" w:space="0"/>
              <w:right w:val="single" w:color="auto" w:sz="4" w:space="0"/>
            </w:tcBorders>
            <w:vAlign w:val="center"/>
          </w:tcPr>
          <w:p w14:paraId="26FD357D">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5AF9BCC6">
            <w:pPr>
              <w:widowControl/>
              <w:jc w:val="left"/>
              <w:rPr>
                <w:rFonts w:ascii="宋体" w:hAnsi="宋体" w:cs="宋体"/>
                <w:kern w:val="0"/>
                <w:sz w:val="18"/>
                <w:szCs w:val="18"/>
              </w:rPr>
            </w:pPr>
            <w:r>
              <w:rPr>
                <w:rFonts w:hint="eastAsia" w:ascii="宋体" w:hAnsi="宋体" w:cs="宋体"/>
                <w:kern w:val="0"/>
                <w:sz w:val="18"/>
                <w:szCs w:val="18"/>
              </w:rPr>
              <w:t>Y＜100</w:t>
            </w:r>
          </w:p>
        </w:tc>
      </w:tr>
      <w:tr w14:paraId="03766AA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B66624C">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384" w:type="dxa"/>
            <w:tcBorders>
              <w:top w:val="nil"/>
              <w:left w:val="nil"/>
              <w:bottom w:val="single" w:color="auto" w:sz="4" w:space="0"/>
              <w:right w:val="single" w:color="auto" w:sz="4" w:space="0"/>
            </w:tcBorders>
            <w:vAlign w:val="center"/>
          </w:tcPr>
          <w:p w14:paraId="01D5E5EA">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5E1EF7E">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7AD7211">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63FDD6F9">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1C2CF317">
            <w:pPr>
              <w:widowControl/>
              <w:jc w:val="left"/>
              <w:rPr>
                <w:rFonts w:ascii="宋体" w:hAnsi="宋体" w:cs="宋体"/>
                <w:kern w:val="0"/>
                <w:sz w:val="18"/>
                <w:szCs w:val="18"/>
              </w:rPr>
            </w:pPr>
            <w:r>
              <w:rPr>
                <w:rFonts w:hint="eastAsia" w:ascii="宋体" w:hAnsi="宋体" w:cs="宋体"/>
                <w:kern w:val="0"/>
                <w:sz w:val="18"/>
                <w:szCs w:val="18"/>
              </w:rPr>
              <w:t>X＜10</w:t>
            </w:r>
          </w:p>
        </w:tc>
      </w:tr>
      <w:tr w14:paraId="34F63F1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0E69CCC">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A1A4248">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C6DADE1">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6B475E4">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641B8DE8">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101FF492">
            <w:pPr>
              <w:widowControl/>
              <w:jc w:val="left"/>
              <w:rPr>
                <w:rFonts w:ascii="宋体" w:hAnsi="宋体" w:cs="宋体"/>
                <w:kern w:val="0"/>
                <w:sz w:val="18"/>
                <w:szCs w:val="18"/>
              </w:rPr>
            </w:pPr>
            <w:r>
              <w:rPr>
                <w:rFonts w:hint="eastAsia" w:ascii="宋体" w:hAnsi="宋体" w:cs="宋体"/>
                <w:kern w:val="0"/>
                <w:sz w:val="18"/>
                <w:szCs w:val="18"/>
              </w:rPr>
              <w:t>Y＜100</w:t>
            </w:r>
          </w:p>
        </w:tc>
      </w:tr>
      <w:tr w14:paraId="60F6FD7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5DFE63E">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384" w:type="dxa"/>
            <w:tcBorders>
              <w:top w:val="nil"/>
              <w:left w:val="nil"/>
              <w:bottom w:val="single" w:color="auto" w:sz="4" w:space="0"/>
              <w:right w:val="single" w:color="auto" w:sz="4" w:space="0"/>
            </w:tcBorders>
            <w:vAlign w:val="center"/>
          </w:tcPr>
          <w:p w14:paraId="5990C6E4">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22B0806">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7DF96EF">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07AE36FA">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417FDABB">
            <w:pPr>
              <w:widowControl/>
              <w:jc w:val="left"/>
              <w:rPr>
                <w:rFonts w:ascii="宋体" w:hAnsi="宋体" w:cs="宋体"/>
                <w:kern w:val="0"/>
                <w:sz w:val="18"/>
                <w:szCs w:val="18"/>
              </w:rPr>
            </w:pPr>
            <w:r>
              <w:rPr>
                <w:rFonts w:hint="eastAsia" w:ascii="宋体" w:hAnsi="宋体" w:cs="宋体"/>
                <w:kern w:val="0"/>
                <w:sz w:val="18"/>
                <w:szCs w:val="18"/>
              </w:rPr>
              <w:t>X＜10</w:t>
            </w:r>
          </w:p>
        </w:tc>
      </w:tr>
      <w:tr w14:paraId="3D5A5D3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E66ADA5">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442096F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14C5DA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9B23E17">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2604D172">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21E3DB22">
            <w:pPr>
              <w:widowControl/>
              <w:jc w:val="left"/>
              <w:rPr>
                <w:rFonts w:ascii="宋体" w:hAnsi="宋体" w:cs="宋体"/>
                <w:kern w:val="0"/>
                <w:sz w:val="18"/>
                <w:szCs w:val="18"/>
              </w:rPr>
            </w:pPr>
            <w:r>
              <w:rPr>
                <w:rFonts w:hint="eastAsia" w:ascii="宋体" w:hAnsi="宋体" w:cs="宋体"/>
                <w:kern w:val="0"/>
                <w:sz w:val="18"/>
                <w:szCs w:val="18"/>
              </w:rPr>
              <w:t>Y＜100</w:t>
            </w:r>
          </w:p>
        </w:tc>
      </w:tr>
      <w:tr w14:paraId="0456AA5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EB7448C">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14:paraId="67CD9DD3">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62CA83A">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A3EAD96">
            <w:pPr>
              <w:widowControl/>
              <w:jc w:val="left"/>
              <w:rPr>
                <w:rFonts w:ascii="宋体" w:hAnsi="宋体" w:cs="宋体"/>
                <w:kern w:val="0"/>
                <w:sz w:val="18"/>
                <w:szCs w:val="18"/>
              </w:rPr>
            </w:pPr>
            <w:r>
              <w:rPr>
                <w:rFonts w:hint="eastAsia" w:ascii="宋体" w:hAnsi="宋体" w:cs="宋体"/>
                <w:kern w:val="0"/>
                <w:sz w:val="18"/>
                <w:szCs w:val="18"/>
              </w:rPr>
              <w:t>100≤X＜2000</w:t>
            </w:r>
          </w:p>
        </w:tc>
        <w:tc>
          <w:tcPr>
            <w:tcW w:w="1440" w:type="dxa"/>
            <w:tcBorders>
              <w:top w:val="nil"/>
              <w:left w:val="nil"/>
              <w:bottom w:val="single" w:color="auto" w:sz="4" w:space="0"/>
              <w:right w:val="single" w:color="auto" w:sz="4" w:space="0"/>
            </w:tcBorders>
            <w:vAlign w:val="center"/>
          </w:tcPr>
          <w:p w14:paraId="21961847">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162E2BE5">
            <w:pPr>
              <w:widowControl/>
              <w:jc w:val="left"/>
              <w:rPr>
                <w:rFonts w:ascii="宋体" w:hAnsi="宋体" w:cs="宋体"/>
                <w:kern w:val="0"/>
                <w:sz w:val="18"/>
                <w:szCs w:val="18"/>
              </w:rPr>
            </w:pPr>
            <w:r>
              <w:rPr>
                <w:rFonts w:hint="eastAsia" w:ascii="宋体" w:hAnsi="宋体" w:cs="宋体"/>
                <w:kern w:val="0"/>
                <w:sz w:val="18"/>
                <w:szCs w:val="18"/>
              </w:rPr>
              <w:t>X＜10</w:t>
            </w:r>
          </w:p>
        </w:tc>
      </w:tr>
      <w:tr w14:paraId="45CCCDC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BD17D49">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EC01D6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B34E7FD">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7B49A38">
            <w:pPr>
              <w:widowControl/>
              <w:jc w:val="left"/>
              <w:rPr>
                <w:rFonts w:ascii="宋体" w:hAnsi="宋体" w:cs="宋体"/>
                <w:kern w:val="0"/>
                <w:sz w:val="18"/>
                <w:szCs w:val="18"/>
              </w:rPr>
            </w:pPr>
            <w:r>
              <w:rPr>
                <w:rFonts w:hint="eastAsia" w:ascii="宋体" w:hAnsi="宋体" w:cs="宋体"/>
                <w:kern w:val="0"/>
                <w:sz w:val="18"/>
                <w:szCs w:val="18"/>
              </w:rPr>
              <w:t>1000≤Y＜100000</w:t>
            </w:r>
          </w:p>
        </w:tc>
        <w:tc>
          <w:tcPr>
            <w:tcW w:w="1440" w:type="dxa"/>
            <w:tcBorders>
              <w:top w:val="nil"/>
              <w:left w:val="nil"/>
              <w:bottom w:val="single" w:color="auto" w:sz="4" w:space="0"/>
              <w:right w:val="single" w:color="auto" w:sz="4" w:space="0"/>
            </w:tcBorders>
            <w:vAlign w:val="center"/>
          </w:tcPr>
          <w:p w14:paraId="568D30DB">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01982B96">
            <w:pPr>
              <w:widowControl/>
              <w:jc w:val="left"/>
              <w:rPr>
                <w:rFonts w:ascii="宋体" w:hAnsi="宋体" w:cs="宋体"/>
                <w:kern w:val="0"/>
                <w:sz w:val="18"/>
                <w:szCs w:val="18"/>
              </w:rPr>
            </w:pPr>
            <w:r>
              <w:rPr>
                <w:rFonts w:hint="eastAsia" w:ascii="宋体" w:hAnsi="宋体" w:cs="宋体"/>
                <w:kern w:val="0"/>
                <w:sz w:val="18"/>
                <w:szCs w:val="18"/>
              </w:rPr>
              <w:t>Y＜100</w:t>
            </w:r>
          </w:p>
        </w:tc>
      </w:tr>
      <w:tr w14:paraId="79C7F09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CFFB658">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59032BDA">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9B63AE3">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EFDF780">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400CA598">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4039859F">
            <w:pPr>
              <w:widowControl/>
              <w:jc w:val="left"/>
              <w:rPr>
                <w:rFonts w:ascii="宋体" w:hAnsi="宋体" w:cs="宋体"/>
                <w:kern w:val="0"/>
                <w:sz w:val="18"/>
                <w:szCs w:val="18"/>
              </w:rPr>
            </w:pPr>
            <w:r>
              <w:rPr>
                <w:rFonts w:hint="eastAsia" w:ascii="宋体" w:hAnsi="宋体" w:cs="宋体"/>
                <w:kern w:val="0"/>
                <w:sz w:val="18"/>
                <w:szCs w:val="18"/>
              </w:rPr>
              <w:t>X＜10</w:t>
            </w:r>
          </w:p>
        </w:tc>
      </w:tr>
      <w:tr w14:paraId="79DC885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665A3CE">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449CC50">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E2FCE90">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B143851">
            <w:pPr>
              <w:widowControl/>
              <w:jc w:val="left"/>
              <w:rPr>
                <w:rFonts w:ascii="宋体" w:hAnsi="宋体" w:cs="宋体"/>
                <w:kern w:val="0"/>
                <w:sz w:val="18"/>
                <w:szCs w:val="18"/>
              </w:rPr>
            </w:pPr>
            <w:r>
              <w:rPr>
                <w:rFonts w:hint="eastAsia" w:ascii="宋体" w:hAnsi="宋体" w:cs="宋体"/>
                <w:kern w:val="0"/>
                <w:sz w:val="18"/>
                <w:szCs w:val="18"/>
              </w:rPr>
              <w:t>1000≤Y＜10000</w:t>
            </w:r>
          </w:p>
        </w:tc>
        <w:tc>
          <w:tcPr>
            <w:tcW w:w="1440" w:type="dxa"/>
            <w:tcBorders>
              <w:top w:val="nil"/>
              <w:left w:val="nil"/>
              <w:bottom w:val="single" w:color="auto" w:sz="4" w:space="0"/>
              <w:right w:val="single" w:color="auto" w:sz="4" w:space="0"/>
            </w:tcBorders>
            <w:vAlign w:val="center"/>
          </w:tcPr>
          <w:p w14:paraId="41C13246">
            <w:pPr>
              <w:widowControl/>
              <w:jc w:val="left"/>
              <w:rPr>
                <w:rFonts w:ascii="宋体" w:hAnsi="宋体" w:cs="宋体"/>
                <w:kern w:val="0"/>
                <w:sz w:val="18"/>
                <w:szCs w:val="18"/>
              </w:rPr>
            </w:pPr>
            <w:r>
              <w:rPr>
                <w:rFonts w:hint="eastAsia" w:ascii="宋体" w:hAnsi="宋体" w:cs="宋体"/>
                <w:kern w:val="0"/>
                <w:sz w:val="18"/>
                <w:szCs w:val="18"/>
              </w:rPr>
              <w:t>50≤Y＜1000</w:t>
            </w:r>
          </w:p>
        </w:tc>
        <w:tc>
          <w:tcPr>
            <w:tcW w:w="925" w:type="dxa"/>
            <w:tcBorders>
              <w:top w:val="nil"/>
              <w:left w:val="nil"/>
              <w:bottom w:val="single" w:color="auto" w:sz="4" w:space="0"/>
              <w:right w:val="single" w:color="auto" w:sz="4" w:space="0"/>
            </w:tcBorders>
            <w:vAlign w:val="center"/>
          </w:tcPr>
          <w:p w14:paraId="2BB27FC6">
            <w:pPr>
              <w:widowControl/>
              <w:jc w:val="left"/>
              <w:rPr>
                <w:rFonts w:ascii="宋体" w:hAnsi="宋体" w:cs="宋体"/>
                <w:kern w:val="0"/>
                <w:sz w:val="18"/>
                <w:szCs w:val="18"/>
              </w:rPr>
            </w:pPr>
            <w:r>
              <w:rPr>
                <w:rFonts w:hint="eastAsia" w:ascii="宋体" w:hAnsi="宋体" w:cs="宋体"/>
                <w:kern w:val="0"/>
                <w:sz w:val="18"/>
                <w:szCs w:val="18"/>
              </w:rPr>
              <w:t>Y＜50</w:t>
            </w:r>
          </w:p>
        </w:tc>
      </w:tr>
      <w:tr w14:paraId="338197C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C66B73D">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2B9065F8">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DA4A785">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0BB7DA6">
            <w:pPr>
              <w:widowControl/>
              <w:jc w:val="left"/>
              <w:rPr>
                <w:rFonts w:ascii="宋体" w:hAnsi="宋体" w:cs="宋体"/>
                <w:kern w:val="0"/>
                <w:sz w:val="18"/>
                <w:szCs w:val="18"/>
              </w:rPr>
            </w:pPr>
            <w:r>
              <w:rPr>
                <w:rFonts w:hint="eastAsia" w:ascii="宋体" w:hAnsi="宋体" w:cs="宋体"/>
                <w:kern w:val="0"/>
                <w:sz w:val="18"/>
                <w:szCs w:val="18"/>
              </w:rPr>
              <w:t>1000≤Y＜200000</w:t>
            </w:r>
          </w:p>
        </w:tc>
        <w:tc>
          <w:tcPr>
            <w:tcW w:w="1440" w:type="dxa"/>
            <w:tcBorders>
              <w:top w:val="nil"/>
              <w:left w:val="nil"/>
              <w:bottom w:val="single" w:color="auto" w:sz="4" w:space="0"/>
              <w:right w:val="single" w:color="auto" w:sz="4" w:space="0"/>
            </w:tcBorders>
            <w:vAlign w:val="center"/>
          </w:tcPr>
          <w:p w14:paraId="03D0051A">
            <w:pPr>
              <w:widowControl/>
              <w:jc w:val="left"/>
              <w:rPr>
                <w:rFonts w:ascii="宋体" w:hAnsi="宋体" w:cs="宋体"/>
                <w:kern w:val="0"/>
                <w:sz w:val="18"/>
                <w:szCs w:val="18"/>
              </w:rPr>
            </w:pPr>
            <w:r>
              <w:rPr>
                <w:rFonts w:hint="eastAsia" w:ascii="宋体" w:hAnsi="宋体" w:cs="宋体"/>
                <w:kern w:val="0"/>
                <w:sz w:val="18"/>
                <w:szCs w:val="18"/>
              </w:rPr>
              <w:t>100≤X＜1000</w:t>
            </w:r>
          </w:p>
        </w:tc>
        <w:tc>
          <w:tcPr>
            <w:tcW w:w="925" w:type="dxa"/>
            <w:tcBorders>
              <w:top w:val="nil"/>
              <w:left w:val="nil"/>
              <w:bottom w:val="single" w:color="auto" w:sz="4" w:space="0"/>
              <w:right w:val="single" w:color="auto" w:sz="4" w:space="0"/>
            </w:tcBorders>
            <w:vAlign w:val="center"/>
          </w:tcPr>
          <w:p w14:paraId="5E6067F9">
            <w:pPr>
              <w:widowControl/>
              <w:jc w:val="left"/>
              <w:rPr>
                <w:rFonts w:ascii="宋体" w:hAnsi="宋体" w:cs="宋体"/>
                <w:kern w:val="0"/>
                <w:sz w:val="18"/>
                <w:szCs w:val="18"/>
              </w:rPr>
            </w:pPr>
            <w:r>
              <w:rPr>
                <w:rFonts w:hint="eastAsia" w:ascii="宋体" w:hAnsi="宋体" w:cs="宋体"/>
                <w:kern w:val="0"/>
                <w:sz w:val="18"/>
                <w:szCs w:val="18"/>
              </w:rPr>
              <w:t>X＜100</w:t>
            </w:r>
          </w:p>
        </w:tc>
      </w:tr>
      <w:tr w14:paraId="0FA92B1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DA83204">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89387F1">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1ED2DCC7">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A6C88ED">
            <w:pPr>
              <w:widowControl/>
              <w:jc w:val="left"/>
              <w:rPr>
                <w:rFonts w:ascii="宋体" w:hAnsi="宋体" w:cs="宋体"/>
                <w:kern w:val="0"/>
                <w:sz w:val="18"/>
                <w:szCs w:val="18"/>
              </w:rPr>
            </w:pPr>
            <w:r>
              <w:rPr>
                <w:rFonts w:hint="eastAsia" w:ascii="宋体" w:hAnsi="宋体" w:cs="宋体"/>
                <w:kern w:val="0"/>
                <w:sz w:val="18"/>
                <w:szCs w:val="18"/>
              </w:rPr>
              <w:t>5000≤Z＜10000</w:t>
            </w:r>
          </w:p>
        </w:tc>
        <w:tc>
          <w:tcPr>
            <w:tcW w:w="1440" w:type="dxa"/>
            <w:tcBorders>
              <w:top w:val="nil"/>
              <w:left w:val="nil"/>
              <w:bottom w:val="single" w:color="auto" w:sz="4" w:space="0"/>
              <w:right w:val="single" w:color="auto" w:sz="4" w:space="0"/>
            </w:tcBorders>
            <w:vAlign w:val="center"/>
          </w:tcPr>
          <w:p w14:paraId="50CD9C47">
            <w:pPr>
              <w:widowControl/>
              <w:jc w:val="left"/>
              <w:rPr>
                <w:rFonts w:ascii="宋体" w:hAnsi="宋体" w:cs="宋体"/>
                <w:kern w:val="0"/>
                <w:sz w:val="18"/>
                <w:szCs w:val="18"/>
              </w:rPr>
            </w:pPr>
            <w:r>
              <w:rPr>
                <w:rFonts w:hint="eastAsia" w:ascii="宋体" w:hAnsi="宋体" w:cs="宋体"/>
                <w:kern w:val="0"/>
                <w:sz w:val="18"/>
                <w:szCs w:val="18"/>
              </w:rPr>
              <w:t>2000≤Y＜5000</w:t>
            </w:r>
          </w:p>
        </w:tc>
        <w:tc>
          <w:tcPr>
            <w:tcW w:w="925" w:type="dxa"/>
            <w:tcBorders>
              <w:top w:val="nil"/>
              <w:left w:val="nil"/>
              <w:bottom w:val="single" w:color="auto" w:sz="4" w:space="0"/>
              <w:right w:val="single" w:color="auto" w:sz="4" w:space="0"/>
            </w:tcBorders>
            <w:vAlign w:val="center"/>
          </w:tcPr>
          <w:p w14:paraId="7AF121C3">
            <w:pPr>
              <w:widowControl/>
              <w:jc w:val="left"/>
              <w:rPr>
                <w:rFonts w:ascii="宋体" w:hAnsi="宋体" w:cs="宋体"/>
                <w:kern w:val="0"/>
                <w:sz w:val="18"/>
                <w:szCs w:val="18"/>
              </w:rPr>
            </w:pPr>
            <w:r>
              <w:rPr>
                <w:rFonts w:hint="eastAsia" w:ascii="宋体" w:hAnsi="宋体" w:cs="宋体"/>
                <w:kern w:val="0"/>
                <w:sz w:val="18"/>
                <w:szCs w:val="18"/>
              </w:rPr>
              <w:t>Y＜2000</w:t>
            </w:r>
          </w:p>
        </w:tc>
      </w:tr>
      <w:tr w14:paraId="2BAFF67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7E7689F">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14:paraId="33A59658">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2858E19">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8A95703">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637BC05D">
            <w:pPr>
              <w:widowControl/>
              <w:jc w:val="left"/>
              <w:rPr>
                <w:rFonts w:ascii="宋体" w:hAnsi="宋体" w:cs="宋体"/>
                <w:kern w:val="0"/>
                <w:sz w:val="18"/>
                <w:szCs w:val="18"/>
              </w:rPr>
            </w:pPr>
            <w:r>
              <w:rPr>
                <w:rFonts w:hint="eastAsia" w:ascii="宋体" w:hAnsi="宋体" w:cs="宋体"/>
                <w:kern w:val="0"/>
                <w:sz w:val="18"/>
                <w:szCs w:val="18"/>
              </w:rPr>
              <w:t>100≤X＜300</w:t>
            </w:r>
          </w:p>
        </w:tc>
        <w:tc>
          <w:tcPr>
            <w:tcW w:w="925" w:type="dxa"/>
            <w:tcBorders>
              <w:top w:val="nil"/>
              <w:left w:val="nil"/>
              <w:bottom w:val="single" w:color="auto" w:sz="4" w:space="0"/>
              <w:right w:val="single" w:color="auto" w:sz="4" w:space="0"/>
            </w:tcBorders>
            <w:vAlign w:val="center"/>
          </w:tcPr>
          <w:p w14:paraId="1D8FAB6B">
            <w:pPr>
              <w:widowControl/>
              <w:jc w:val="left"/>
              <w:rPr>
                <w:rFonts w:ascii="宋体" w:hAnsi="宋体" w:cs="宋体"/>
                <w:kern w:val="0"/>
                <w:sz w:val="18"/>
                <w:szCs w:val="18"/>
              </w:rPr>
            </w:pPr>
            <w:r>
              <w:rPr>
                <w:rFonts w:hint="eastAsia" w:ascii="宋体" w:hAnsi="宋体" w:cs="宋体"/>
                <w:kern w:val="0"/>
                <w:sz w:val="18"/>
                <w:szCs w:val="18"/>
              </w:rPr>
              <w:t>X＜100</w:t>
            </w:r>
          </w:p>
        </w:tc>
      </w:tr>
      <w:tr w14:paraId="45B828D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88F4831">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4BD1372C">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43E75BE">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B37BCEF">
            <w:pPr>
              <w:widowControl/>
              <w:jc w:val="left"/>
              <w:rPr>
                <w:rFonts w:ascii="宋体" w:hAnsi="宋体" w:cs="宋体"/>
                <w:kern w:val="0"/>
                <w:sz w:val="18"/>
                <w:szCs w:val="18"/>
              </w:rPr>
            </w:pPr>
            <w:r>
              <w:rPr>
                <w:rFonts w:hint="eastAsia" w:ascii="宋体" w:hAnsi="宋体" w:cs="宋体"/>
                <w:kern w:val="0"/>
                <w:sz w:val="18"/>
                <w:szCs w:val="18"/>
              </w:rPr>
              <w:t>1000≤Y＜5000</w:t>
            </w:r>
          </w:p>
        </w:tc>
        <w:tc>
          <w:tcPr>
            <w:tcW w:w="1440" w:type="dxa"/>
            <w:tcBorders>
              <w:top w:val="nil"/>
              <w:left w:val="nil"/>
              <w:bottom w:val="single" w:color="auto" w:sz="4" w:space="0"/>
              <w:right w:val="single" w:color="auto" w:sz="4" w:space="0"/>
            </w:tcBorders>
            <w:vAlign w:val="center"/>
          </w:tcPr>
          <w:p w14:paraId="0457FE89">
            <w:pPr>
              <w:widowControl/>
              <w:jc w:val="left"/>
              <w:rPr>
                <w:rFonts w:ascii="宋体" w:hAnsi="宋体" w:cs="宋体"/>
                <w:kern w:val="0"/>
                <w:sz w:val="18"/>
                <w:szCs w:val="18"/>
              </w:rPr>
            </w:pPr>
            <w:r>
              <w:rPr>
                <w:rFonts w:hint="eastAsia" w:ascii="宋体" w:hAnsi="宋体" w:cs="宋体"/>
                <w:kern w:val="0"/>
                <w:sz w:val="18"/>
                <w:szCs w:val="18"/>
              </w:rPr>
              <w:t>500≤Y＜1000</w:t>
            </w:r>
          </w:p>
        </w:tc>
        <w:tc>
          <w:tcPr>
            <w:tcW w:w="925" w:type="dxa"/>
            <w:tcBorders>
              <w:top w:val="nil"/>
              <w:left w:val="nil"/>
              <w:bottom w:val="single" w:color="auto" w:sz="4" w:space="0"/>
              <w:right w:val="single" w:color="auto" w:sz="4" w:space="0"/>
            </w:tcBorders>
            <w:vAlign w:val="center"/>
          </w:tcPr>
          <w:p w14:paraId="3ECC7BDA">
            <w:pPr>
              <w:widowControl/>
              <w:jc w:val="left"/>
              <w:rPr>
                <w:rFonts w:ascii="宋体" w:hAnsi="宋体" w:cs="宋体"/>
                <w:kern w:val="0"/>
                <w:sz w:val="18"/>
                <w:szCs w:val="18"/>
              </w:rPr>
            </w:pPr>
            <w:r>
              <w:rPr>
                <w:rFonts w:hint="eastAsia" w:ascii="宋体" w:hAnsi="宋体" w:cs="宋体"/>
                <w:kern w:val="0"/>
                <w:sz w:val="18"/>
                <w:szCs w:val="18"/>
              </w:rPr>
              <w:t>Y＜500</w:t>
            </w:r>
          </w:p>
        </w:tc>
      </w:tr>
      <w:tr w14:paraId="0C08676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504C236">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629B6B3B">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F6D998F">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AA90F11">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32B3CC6E">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36B655DA">
            <w:pPr>
              <w:widowControl/>
              <w:jc w:val="left"/>
              <w:rPr>
                <w:rFonts w:ascii="宋体" w:hAnsi="宋体" w:cs="宋体"/>
                <w:kern w:val="0"/>
                <w:sz w:val="18"/>
                <w:szCs w:val="18"/>
              </w:rPr>
            </w:pPr>
            <w:r>
              <w:rPr>
                <w:rFonts w:hint="eastAsia" w:ascii="宋体" w:hAnsi="宋体" w:cs="宋体"/>
                <w:kern w:val="0"/>
                <w:sz w:val="18"/>
                <w:szCs w:val="18"/>
              </w:rPr>
              <w:t>X＜10</w:t>
            </w:r>
          </w:p>
        </w:tc>
      </w:tr>
      <w:tr w14:paraId="2AB77BC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972F69D">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A6BC0FA">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62D6E56D">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92C5FAF">
            <w:pPr>
              <w:widowControl/>
              <w:jc w:val="left"/>
              <w:rPr>
                <w:rFonts w:ascii="宋体" w:hAnsi="宋体" w:cs="宋体"/>
                <w:kern w:val="0"/>
                <w:sz w:val="18"/>
                <w:szCs w:val="18"/>
              </w:rPr>
            </w:pPr>
            <w:r>
              <w:rPr>
                <w:rFonts w:hint="eastAsia" w:ascii="宋体" w:hAnsi="宋体" w:cs="宋体"/>
                <w:kern w:val="0"/>
                <w:sz w:val="18"/>
                <w:szCs w:val="18"/>
              </w:rPr>
              <w:t>8000≤Z＜120000</w:t>
            </w:r>
          </w:p>
        </w:tc>
        <w:tc>
          <w:tcPr>
            <w:tcW w:w="1440" w:type="dxa"/>
            <w:tcBorders>
              <w:top w:val="nil"/>
              <w:left w:val="nil"/>
              <w:bottom w:val="single" w:color="auto" w:sz="4" w:space="0"/>
              <w:right w:val="single" w:color="auto" w:sz="4" w:space="0"/>
            </w:tcBorders>
            <w:vAlign w:val="center"/>
          </w:tcPr>
          <w:p w14:paraId="665FBBA7">
            <w:pPr>
              <w:widowControl/>
              <w:jc w:val="left"/>
              <w:rPr>
                <w:rFonts w:ascii="宋体" w:hAnsi="宋体" w:cs="宋体"/>
                <w:kern w:val="0"/>
                <w:sz w:val="18"/>
                <w:szCs w:val="18"/>
              </w:rPr>
            </w:pPr>
            <w:r>
              <w:rPr>
                <w:rFonts w:hint="eastAsia" w:ascii="宋体" w:hAnsi="宋体" w:cs="宋体"/>
                <w:kern w:val="0"/>
                <w:sz w:val="18"/>
                <w:szCs w:val="18"/>
              </w:rPr>
              <w:t>100≤Z＜8000</w:t>
            </w:r>
          </w:p>
        </w:tc>
        <w:tc>
          <w:tcPr>
            <w:tcW w:w="925" w:type="dxa"/>
            <w:tcBorders>
              <w:top w:val="nil"/>
              <w:left w:val="nil"/>
              <w:bottom w:val="single" w:color="auto" w:sz="4" w:space="0"/>
              <w:right w:val="single" w:color="auto" w:sz="4" w:space="0"/>
            </w:tcBorders>
            <w:vAlign w:val="center"/>
          </w:tcPr>
          <w:p w14:paraId="01AED1E9">
            <w:pPr>
              <w:widowControl/>
              <w:jc w:val="left"/>
              <w:rPr>
                <w:rFonts w:ascii="宋体" w:hAnsi="宋体" w:cs="宋体"/>
                <w:kern w:val="0"/>
                <w:sz w:val="18"/>
                <w:szCs w:val="18"/>
              </w:rPr>
            </w:pPr>
            <w:r>
              <w:rPr>
                <w:rFonts w:hint="eastAsia" w:ascii="宋体" w:hAnsi="宋体" w:cs="宋体"/>
                <w:kern w:val="0"/>
                <w:sz w:val="18"/>
                <w:szCs w:val="18"/>
              </w:rPr>
              <w:t>Y＜100</w:t>
            </w:r>
          </w:p>
        </w:tc>
      </w:tr>
      <w:tr w14:paraId="431A8B65">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5C13B072">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7A64F6A1">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E5669F0">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42AE1F3">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1C2ADEE0">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33B508AC">
            <w:pPr>
              <w:widowControl/>
              <w:jc w:val="left"/>
              <w:rPr>
                <w:rFonts w:ascii="宋体" w:hAnsi="宋体" w:cs="宋体"/>
                <w:kern w:val="0"/>
                <w:sz w:val="18"/>
                <w:szCs w:val="18"/>
              </w:rPr>
            </w:pPr>
            <w:r>
              <w:rPr>
                <w:rFonts w:hint="eastAsia" w:ascii="宋体" w:hAnsi="宋体" w:cs="宋体"/>
                <w:kern w:val="0"/>
                <w:sz w:val="18"/>
                <w:szCs w:val="18"/>
              </w:rPr>
              <w:t>X＜10</w:t>
            </w:r>
          </w:p>
        </w:tc>
      </w:tr>
    </w:tbl>
    <w:p w14:paraId="6C628485">
      <w:pPr>
        <w:spacing w:line="360" w:lineRule="auto"/>
        <w:ind w:firstLine="525" w:firstLineChars="250"/>
        <w:rPr>
          <w:rFonts w:ascii="宋体" w:hAnsi="宋体" w:cs="宋体"/>
          <w:szCs w:val="21"/>
        </w:r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1A82D290">
      <w:pPr>
        <w:pStyle w:val="12"/>
        <w:spacing w:line="360" w:lineRule="auto"/>
        <w:jc w:val="center"/>
        <w:outlineLvl w:val="0"/>
        <w:rPr>
          <w:rFonts w:hAnsi="宋体" w:cs="宋体"/>
        </w:rPr>
        <w:sectPr>
          <w:pgSz w:w="11906" w:h="16838"/>
          <w:pgMar w:top="1440" w:right="1080" w:bottom="1440" w:left="1080" w:header="720" w:footer="720" w:gutter="0"/>
          <w:cols w:space="720" w:num="1"/>
          <w:docGrid w:type="lines" w:linePitch="331" w:charSpace="0"/>
        </w:sectPr>
      </w:pPr>
    </w:p>
    <w:p w14:paraId="27D495B0">
      <w:pPr>
        <w:pStyle w:val="12"/>
        <w:spacing w:line="360" w:lineRule="auto"/>
        <w:jc w:val="center"/>
        <w:outlineLvl w:val="0"/>
        <w:rPr>
          <w:rFonts w:hAnsi="宋体" w:cs="宋体"/>
          <w:b/>
          <w:sz w:val="36"/>
          <w:szCs w:val="36"/>
        </w:rPr>
      </w:pPr>
      <w:bookmarkStart w:id="40" w:name="_Toc8902"/>
      <w:bookmarkStart w:id="41" w:name="_Toc532545044"/>
      <w:r>
        <w:rPr>
          <w:rFonts w:hint="eastAsia" w:hAnsi="宋体" w:cs="宋体"/>
          <w:b/>
          <w:sz w:val="36"/>
        </w:rPr>
        <w:t>第三章  投标人须知</w:t>
      </w:r>
      <w:bookmarkEnd w:id="40"/>
      <w:bookmarkEnd w:id="41"/>
    </w:p>
    <w:p w14:paraId="217F3D55">
      <w:pPr>
        <w:pStyle w:val="12"/>
        <w:spacing w:line="360" w:lineRule="auto"/>
        <w:jc w:val="center"/>
        <w:outlineLvl w:val="1"/>
        <w:rPr>
          <w:rFonts w:hAnsi="宋体" w:cs="宋体"/>
          <w:b/>
          <w:sz w:val="30"/>
          <w:szCs w:val="30"/>
        </w:rPr>
      </w:pPr>
      <w:bookmarkStart w:id="42" w:name="_Toc7735"/>
      <w:r>
        <w:rPr>
          <w:rFonts w:hint="eastAsia" w:hAnsi="宋体" w:cs="宋体"/>
          <w:b/>
          <w:sz w:val="30"/>
          <w:szCs w:val="30"/>
        </w:rPr>
        <w:t>第一节 投标人须知前附表</w:t>
      </w:r>
      <w:bookmarkEnd w:id="42"/>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0"/>
        <w:gridCol w:w="1993"/>
        <w:gridCol w:w="7297"/>
      </w:tblGrid>
      <w:tr w14:paraId="6E48D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960A8CB">
            <w:pPr>
              <w:snapToGrid w:val="0"/>
              <w:spacing w:line="360" w:lineRule="auto"/>
              <w:jc w:val="center"/>
              <w:rPr>
                <w:rFonts w:ascii="宋体" w:hAnsi="宋体" w:cs="宋体"/>
                <w:b/>
                <w:bCs/>
                <w:szCs w:val="21"/>
              </w:rPr>
            </w:pPr>
            <w:r>
              <w:rPr>
                <w:rFonts w:hint="eastAsia" w:ascii="宋体" w:hAnsi="宋体" w:cs="宋体"/>
                <w:b/>
                <w:bCs/>
                <w:szCs w:val="21"/>
              </w:rPr>
              <w:t>条款号</w:t>
            </w:r>
          </w:p>
        </w:tc>
        <w:tc>
          <w:tcPr>
            <w:tcW w:w="1993" w:type="dxa"/>
            <w:tcBorders>
              <w:top w:val="single" w:color="auto" w:sz="4" w:space="0"/>
              <w:left w:val="single" w:color="auto" w:sz="4" w:space="0"/>
              <w:bottom w:val="single" w:color="auto" w:sz="4" w:space="0"/>
              <w:right w:val="single" w:color="auto" w:sz="4" w:space="0"/>
            </w:tcBorders>
            <w:vAlign w:val="center"/>
          </w:tcPr>
          <w:p w14:paraId="7C382F16">
            <w:pPr>
              <w:snapToGrid w:val="0"/>
              <w:spacing w:line="360" w:lineRule="auto"/>
              <w:jc w:val="center"/>
              <w:rPr>
                <w:rFonts w:ascii="宋体" w:hAnsi="宋体" w:cs="宋体"/>
                <w:b/>
                <w:bCs/>
                <w:szCs w:val="21"/>
              </w:rPr>
            </w:pPr>
            <w:r>
              <w:rPr>
                <w:rFonts w:hint="eastAsia" w:ascii="宋体" w:hAnsi="宋体" w:cs="宋体"/>
                <w:b/>
                <w:bCs/>
                <w:szCs w:val="21"/>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127359CE">
            <w:pPr>
              <w:snapToGrid w:val="0"/>
              <w:spacing w:line="360" w:lineRule="auto"/>
              <w:jc w:val="center"/>
              <w:rPr>
                <w:rFonts w:ascii="宋体" w:hAnsi="宋体" w:cs="宋体"/>
                <w:b/>
                <w:bCs/>
                <w:szCs w:val="21"/>
              </w:rPr>
            </w:pPr>
            <w:r>
              <w:rPr>
                <w:rFonts w:hint="eastAsia" w:ascii="宋体" w:hAnsi="宋体" w:cs="宋体"/>
                <w:b/>
                <w:bCs/>
                <w:szCs w:val="21"/>
              </w:rPr>
              <w:t>编列内容</w:t>
            </w:r>
          </w:p>
        </w:tc>
      </w:tr>
      <w:tr w14:paraId="187D8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7C354CDF">
            <w:pPr>
              <w:spacing w:line="360" w:lineRule="auto"/>
              <w:rPr>
                <w:rFonts w:ascii="宋体" w:hAnsi="宋体" w:cs="宋体"/>
                <w:szCs w:val="21"/>
              </w:rPr>
            </w:pPr>
            <w:r>
              <w:rPr>
                <w:rFonts w:hint="eastAsia" w:ascii="宋体" w:hAnsi="宋体" w:cs="宋体"/>
                <w:szCs w:val="21"/>
              </w:rPr>
              <w:t>6.1</w:t>
            </w:r>
          </w:p>
        </w:tc>
        <w:tc>
          <w:tcPr>
            <w:tcW w:w="1993" w:type="dxa"/>
            <w:tcBorders>
              <w:top w:val="single" w:color="auto" w:sz="4" w:space="0"/>
              <w:left w:val="single" w:color="auto" w:sz="4" w:space="0"/>
              <w:bottom w:val="single" w:color="auto" w:sz="4" w:space="0"/>
              <w:right w:val="single" w:color="auto" w:sz="4" w:space="0"/>
            </w:tcBorders>
            <w:vAlign w:val="center"/>
          </w:tcPr>
          <w:p w14:paraId="23D30305">
            <w:pPr>
              <w:spacing w:line="360" w:lineRule="auto"/>
              <w:rPr>
                <w:rFonts w:ascii="宋体" w:hAnsi="宋体" w:cs="宋体"/>
                <w:szCs w:val="21"/>
              </w:rPr>
            </w:pPr>
            <w:bookmarkStart w:id="43" w:name="_5"/>
            <w:bookmarkEnd w:id="43"/>
            <w:bookmarkStart w:id="44" w:name="_8.1"/>
            <w:bookmarkEnd w:id="44"/>
            <w:bookmarkStart w:id="45" w:name="_9.2"/>
            <w:bookmarkEnd w:id="45"/>
            <w:r>
              <w:rPr>
                <w:rFonts w:hint="eastAsia" w:ascii="宋体" w:hAnsi="宋体" w:cs="宋体"/>
                <w:szCs w:val="21"/>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7127A1F8">
            <w:pPr>
              <w:pStyle w:val="8"/>
              <w:spacing w:line="360" w:lineRule="auto"/>
              <w:rPr>
                <w:rFonts w:ascii="宋体" w:hAnsi="宋体" w:cs="宋体"/>
                <w:szCs w:val="21"/>
              </w:rPr>
            </w:pPr>
            <w:bookmarkStart w:id="46" w:name="PO_3000001866_PM007"/>
            <w:r>
              <w:rPr>
                <w:rFonts w:hint="eastAsia" w:ascii="宋体" w:hAnsi="宋体" w:cs="宋体"/>
                <w:szCs w:val="21"/>
              </w:rPr>
              <w:t>不允许联合体投标</w:t>
            </w:r>
            <w:bookmarkEnd w:id="46"/>
            <w:r>
              <w:rPr>
                <w:rFonts w:hint="eastAsia" w:ascii="宋体" w:hAnsi="宋体" w:cs="宋体"/>
                <w:szCs w:val="21"/>
              </w:rPr>
              <w:t>。</w:t>
            </w:r>
          </w:p>
        </w:tc>
      </w:tr>
      <w:tr w14:paraId="17534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2D9365D">
            <w:pPr>
              <w:spacing w:line="360" w:lineRule="auto"/>
              <w:rPr>
                <w:rFonts w:ascii="宋体" w:hAnsi="宋体" w:cs="宋体"/>
                <w:szCs w:val="21"/>
              </w:rPr>
            </w:pPr>
            <w:r>
              <w:rPr>
                <w:rFonts w:hint="eastAsia" w:ascii="宋体" w:hAnsi="宋体" w:cs="宋体"/>
                <w:szCs w:val="21"/>
              </w:rPr>
              <w:t>6.2</w:t>
            </w:r>
          </w:p>
        </w:tc>
        <w:tc>
          <w:tcPr>
            <w:tcW w:w="1993" w:type="dxa"/>
            <w:tcBorders>
              <w:top w:val="single" w:color="auto" w:sz="4" w:space="0"/>
              <w:left w:val="single" w:color="auto" w:sz="4" w:space="0"/>
              <w:bottom w:val="single" w:color="auto" w:sz="4" w:space="0"/>
              <w:right w:val="single" w:color="auto" w:sz="4" w:space="0"/>
            </w:tcBorders>
            <w:vAlign w:val="center"/>
          </w:tcPr>
          <w:p w14:paraId="020746E2">
            <w:pPr>
              <w:spacing w:line="360" w:lineRule="auto"/>
              <w:rPr>
                <w:rFonts w:ascii="宋体" w:hAnsi="宋体" w:cs="宋体"/>
                <w:szCs w:val="21"/>
              </w:rPr>
            </w:pPr>
            <w:r>
              <w:rPr>
                <w:rFonts w:hint="eastAsia" w:ascii="宋体" w:hAnsi="宋体" w:cs="宋体"/>
                <w:szCs w:val="21"/>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6C370F4F">
            <w:pPr>
              <w:pStyle w:val="8"/>
              <w:spacing w:line="360" w:lineRule="auto"/>
              <w:rPr>
                <w:rFonts w:ascii="宋体" w:hAnsi="宋体" w:cs="宋体"/>
                <w:szCs w:val="21"/>
              </w:rPr>
            </w:pPr>
            <w:r>
              <w:rPr>
                <w:rFonts w:hint="eastAsia" w:ascii="宋体" w:hAnsi="宋体" w:cs="宋体"/>
                <w:szCs w:val="21"/>
              </w:rPr>
              <w:t>无</w:t>
            </w:r>
          </w:p>
        </w:tc>
      </w:tr>
      <w:tr w14:paraId="65CEC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70E27031">
            <w:pPr>
              <w:spacing w:line="360" w:lineRule="auto"/>
              <w:rPr>
                <w:rFonts w:ascii="宋体" w:hAnsi="宋体" w:cs="宋体"/>
                <w:szCs w:val="21"/>
              </w:rPr>
            </w:pPr>
            <w:r>
              <w:rPr>
                <w:rFonts w:hint="eastAsia" w:ascii="宋体" w:hAnsi="宋体" w:cs="宋体"/>
                <w:szCs w:val="21"/>
              </w:rPr>
              <w:t>7.2</w:t>
            </w:r>
          </w:p>
        </w:tc>
        <w:tc>
          <w:tcPr>
            <w:tcW w:w="1993" w:type="dxa"/>
            <w:tcBorders>
              <w:top w:val="single" w:color="auto" w:sz="4" w:space="0"/>
              <w:left w:val="single" w:color="auto" w:sz="4" w:space="0"/>
              <w:bottom w:val="single" w:color="auto" w:sz="4" w:space="0"/>
              <w:right w:val="single" w:color="auto" w:sz="4" w:space="0"/>
            </w:tcBorders>
            <w:vAlign w:val="center"/>
          </w:tcPr>
          <w:p w14:paraId="39F6FC3D">
            <w:pPr>
              <w:spacing w:line="360" w:lineRule="auto"/>
              <w:rPr>
                <w:rFonts w:ascii="宋体" w:hAnsi="宋体" w:cs="宋体"/>
                <w:szCs w:val="21"/>
              </w:rPr>
            </w:pPr>
            <w:r>
              <w:rPr>
                <w:rFonts w:hint="eastAsia" w:ascii="宋体" w:hAnsi="宋体" w:cs="宋体"/>
                <w:szCs w:val="21"/>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5337947D">
            <w:pPr>
              <w:pStyle w:val="8"/>
              <w:spacing w:line="360" w:lineRule="auto"/>
              <w:rPr>
                <w:rFonts w:ascii="宋体" w:hAnsi="宋体" w:cs="宋体"/>
                <w:szCs w:val="21"/>
              </w:rPr>
            </w:pPr>
            <w:bookmarkStart w:id="47" w:name="PO_3000001866_PM044"/>
            <w:r>
              <w:rPr>
                <w:rFonts w:hint="eastAsia" w:ascii="宋体" w:hAnsi="宋体" w:cs="宋体"/>
                <w:szCs w:val="21"/>
              </w:rPr>
              <w:t>不允许</w:t>
            </w:r>
            <w:bookmarkEnd w:id="47"/>
            <w:r>
              <w:rPr>
                <w:rFonts w:hint="eastAsia" w:ascii="宋体" w:hAnsi="宋体" w:cs="宋体"/>
                <w:szCs w:val="21"/>
              </w:rPr>
              <w:t>转包/分包</w:t>
            </w:r>
          </w:p>
          <w:p w14:paraId="16486192">
            <w:pPr>
              <w:pStyle w:val="8"/>
              <w:spacing w:line="360" w:lineRule="auto"/>
              <w:rPr>
                <w:rFonts w:ascii="宋体" w:hAnsi="宋体" w:cs="宋体"/>
                <w:szCs w:val="21"/>
              </w:rPr>
            </w:pPr>
            <w:r>
              <w:rPr>
                <w:rFonts w:hint="eastAsia" w:ascii="宋体" w:hAnsi="宋体" w:cs="宋体"/>
                <w:szCs w:val="21"/>
              </w:rPr>
              <w:t>转包/分包内容：</w:t>
            </w:r>
            <w:r>
              <w:rPr>
                <w:rFonts w:hint="eastAsia" w:ascii="宋体" w:hAnsi="宋体" w:cs="宋体"/>
                <w:szCs w:val="21"/>
                <w:u w:val="single"/>
              </w:rPr>
              <w:t xml:space="preserve">  / 。</w:t>
            </w:r>
          </w:p>
          <w:p w14:paraId="71D3CF90">
            <w:pPr>
              <w:pStyle w:val="8"/>
              <w:spacing w:line="360" w:lineRule="auto"/>
              <w:rPr>
                <w:rFonts w:ascii="宋体" w:hAnsi="宋体" w:cs="宋体"/>
                <w:szCs w:val="21"/>
              </w:rPr>
            </w:pPr>
            <w:r>
              <w:rPr>
                <w:rFonts w:hint="eastAsia" w:ascii="宋体" w:hAnsi="宋体" w:cs="宋体"/>
                <w:szCs w:val="21"/>
              </w:rPr>
              <w:t>转包/分包金额或者比例：</w:t>
            </w:r>
            <w:r>
              <w:rPr>
                <w:rFonts w:hint="eastAsia" w:ascii="宋体" w:hAnsi="宋体" w:cs="宋体"/>
                <w:szCs w:val="21"/>
                <w:u w:val="single"/>
              </w:rPr>
              <w:t xml:space="preserve">  / 。</w:t>
            </w:r>
          </w:p>
        </w:tc>
      </w:tr>
      <w:tr w14:paraId="5DA71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4927C05B">
            <w:pPr>
              <w:spacing w:line="360" w:lineRule="auto"/>
              <w:rPr>
                <w:rFonts w:ascii="宋体" w:hAnsi="宋体" w:cs="宋体"/>
                <w:szCs w:val="21"/>
              </w:rPr>
            </w:pPr>
            <w:r>
              <w:rPr>
                <w:rFonts w:hint="eastAsia" w:ascii="宋体" w:hAnsi="宋体" w:cs="宋体"/>
                <w:szCs w:val="21"/>
              </w:rPr>
              <w:t>11.4</w:t>
            </w:r>
          </w:p>
        </w:tc>
        <w:tc>
          <w:tcPr>
            <w:tcW w:w="1993" w:type="dxa"/>
            <w:tcBorders>
              <w:top w:val="single" w:color="auto" w:sz="4" w:space="0"/>
              <w:left w:val="single" w:color="auto" w:sz="4" w:space="0"/>
              <w:bottom w:val="single" w:color="auto" w:sz="4" w:space="0"/>
              <w:right w:val="single" w:color="auto" w:sz="4" w:space="0"/>
            </w:tcBorders>
            <w:vAlign w:val="center"/>
          </w:tcPr>
          <w:p w14:paraId="150B4DE9">
            <w:pPr>
              <w:spacing w:line="360" w:lineRule="auto"/>
              <w:rPr>
                <w:rFonts w:ascii="宋体" w:hAnsi="宋体" w:cs="宋体"/>
                <w:szCs w:val="21"/>
              </w:rPr>
            </w:pPr>
            <w:r>
              <w:rPr>
                <w:rFonts w:hint="eastAsia" w:ascii="宋体" w:hAnsi="宋体" w:cs="宋体"/>
                <w:szCs w:val="21"/>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6DB897DE">
            <w:pPr>
              <w:spacing w:line="360" w:lineRule="auto"/>
              <w:rPr>
                <w:rFonts w:ascii="宋体" w:hAnsi="宋体" w:cs="宋体"/>
                <w:sz w:val="28"/>
                <w:szCs w:val="18"/>
              </w:rPr>
            </w:pPr>
            <w:r>
              <w:rPr>
                <w:rFonts w:hint="eastAsia" w:ascii="宋体" w:hAnsi="宋体" w:cs="宋体"/>
                <w:szCs w:val="21"/>
              </w:rPr>
              <w:t>与本项目相关的政府采购业务澄清、更正及与之相关的事项将在采购公告中“六、其他补充事宜”中网上查询地址上发布</w:t>
            </w:r>
            <w:r>
              <w:rPr>
                <w:rFonts w:hint="eastAsia" w:ascii="宋体" w:hAnsi="宋体" w:cs="宋体"/>
                <w:kern w:val="0"/>
                <w:szCs w:val="21"/>
              </w:rPr>
              <w:t>。</w:t>
            </w:r>
          </w:p>
        </w:tc>
      </w:tr>
      <w:tr w14:paraId="4C6C8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6D363A1E">
            <w:pPr>
              <w:spacing w:line="360" w:lineRule="auto"/>
              <w:rPr>
                <w:rFonts w:ascii="宋体" w:hAnsi="宋体" w:cs="宋体"/>
                <w:szCs w:val="21"/>
              </w:rPr>
            </w:pPr>
            <w:r>
              <w:rPr>
                <w:rFonts w:hint="eastAsia" w:ascii="宋体" w:hAnsi="宋体" w:cs="宋体"/>
                <w:szCs w:val="21"/>
              </w:rPr>
              <w:t>11.6</w:t>
            </w:r>
          </w:p>
        </w:tc>
        <w:tc>
          <w:tcPr>
            <w:tcW w:w="1993" w:type="dxa"/>
            <w:tcBorders>
              <w:top w:val="single" w:color="auto" w:sz="4" w:space="0"/>
              <w:left w:val="single" w:color="auto" w:sz="4" w:space="0"/>
              <w:bottom w:val="single" w:color="auto" w:sz="4" w:space="0"/>
              <w:right w:val="single" w:color="auto" w:sz="4" w:space="0"/>
            </w:tcBorders>
            <w:vAlign w:val="center"/>
          </w:tcPr>
          <w:p w14:paraId="5460893B">
            <w:pPr>
              <w:spacing w:line="360" w:lineRule="auto"/>
              <w:rPr>
                <w:rFonts w:ascii="宋体" w:hAnsi="宋体" w:cs="宋体"/>
                <w:szCs w:val="21"/>
              </w:rPr>
            </w:pPr>
            <w:r>
              <w:rPr>
                <w:rFonts w:hint="eastAsia" w:ascii="宋体" w:hAnsi="宋体" w:cs="宋体"/>
                <w:szCs w:val="21"/>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167D91D9">
            <w:pPr>
              <w:snapToGrid w:val="0"/>
              <w:spacing w:line="360" w:lineRule="auto"/>
              <w:rPr>
                <w:rFonts w:ascii="宋体" w:hAnsi="宋体" w:cs="宋体"/>
                <w:b/>
                <w:bCs/>
                <w:szCs w:val="21"/>
              </w:rPr>
            </w:pPr>
            <w:r>
              <w:rPr>
                <w:rFonts w:hint="eastAsia" w:ascii="宋体" w:hAnsi="宋体" w:cs="宋体"/>
                <w:b/>
                <w:bCs/>
                <w:szCs w:val="21"/>
              </w:rPr>
              <w:t>☑不组织召开开标前答疑会</w:t>
            </w:r>
          </w:p>
          <w:p w14:paraId="6A50FD82">
            <w:pPr>
              <w:snapToGrid w:val="0"/>
              <w:spacing w:line="360" w:lineRule="auto"/>
              <w:rPr>
                <w:rFonts w:ascii="宋体" w:hAnsi="宋体" w:cs="宋体"/>
                <w:szCs w:val="21"/>
              </w:rPr>
            </w:pPr>
            <w:r>
              <w:rPr>
                <w:rFonts w:hint="eastAsia" w:ascii="宋体" w:hAnsi="宋体" w:cs="宋体"/>
                <w:szCs w:val="21"/>
              </w:rPr>
              <w:t>□组织召开开标前答疑会</w:t>
            </w:r>
          </w:p>
          <w:p w14:paraId="401A4F99">
            <w:pPr>
              <w:snapToGrid w:val="0"/>
              <w:spacing w:line="360" w:lineRule="auto"/>
              <w:rPr>
                <w:rFonts w:ascii="宋体" w:hAnsi="宋体" w:cs="宋体"/>
                <w:szCs w:val="21"/>
                <w:u w:val="single"/>
              </w:rPr>
            </w:pPr>
            <w:r>
              <w:rPr>
                <w:rFonts w:hint="eastAsia" w:ascii="宋体" w:hAnsi="宋体" w:cs="宋体"/>
                <w:szCs w:val="21"/>
              </w:rPr>
              <w:t>会议开始时间：</w:t>
            </w:r>
            <w:r>
              <w:rPr>
                <w:rFonts w:hint="eastAsia" w:ascii="宋体" w:hAnsi="宋体" w:cs="宋体"/>
                <w:szCs w:val="21"/>
                <w:u w:val="single"/>
              </w:rPr>
              <w:t xml:space="preserve">  / </w:t>
            </w:r>
            <w:r>
              <w:rPr>
                <w:rFonts w:hint="eastAsia" w:ascii="宋体" w:hAnsi="宋体" w:cs="宋体"/>
                <w:szCs w:val="21"/>
              </w:rPr>
              <w:t>年</w:t>
            </w:r>
            <w:r>
              <w:rPr>
                <w:rFonts w:hint="eastAsia" w:ascii="宋体" w:hAnsi="宋体" w:cs="宋体"/>
                <w:szCs w:val="21"/>
                <w:u w:val="single"/>
              </w:rPr>
              <w:t xml:space="preserve"> / </w:t>
            </w:r>
            <w:r>
              <w:rPr>
                <w:rFonts w:hint="eastAsia" w:ascii="宋体" w:hAnsi="宋体" w:cs="宋体"/>
                <w:szCs w:val="21"/>
              </w:rPr>
              <w:t>月</w:t>
            </w:r>
            <w:r>
              <w:rPr>
                <w:rFonts w:hint="eastAsia" w:ascii="宋体" w:hAnsi="宋体" w:cs="宋体"/>
                <w:szCs w:val="21"/>
                <w:u w:val="single"/>
              </w:rPr>
              <w:t xml:space="preserve"> / </w:t>
            </w:r>
            <w:r>
              <w:rPr>
                <w:rFonts w:hint="eastAsia" w:ascii="宋体" w:hAnsi="宋体" w:cs="宋体"/>
                <w:szCs w:val="21"/>
              </w:rPr>
              <w:t xml:space="preserve">日 </w:t>
            </w:r>
            <w:r>
              <w:rPr>
                <w:rFonts w:hint="eastAsia" w:ascii="宋体" w:hAnsi="宋体" w:cs="宋体"/>
                <w:szCs w:val="21"/>
                <w:u w:val="single"/>
              </w:rPr>
              <w:t xml:space="preserve"> / </w:t>
            </w:r>
            <w:r>
              <w:rPr>
                <w:rFonts w:hint="eastAsia" w:ascii="宋体" w:hAnsi="宋体" w:cs="宋体"/>
                <w:szCs w:val="21"/>
              </w:rPr>
              <w:t>时</w:t>
            </w:r>
            <w:r>
              <w:rPr>
                <w:rFonts w:hint="eastAsia" w:ascii="宋体" w:hAnsi="宋体" w:cs="宋体"/>
                <w:szCs w:val="21"/>
                <w:u w:val="single"/>
              </w:rPr>
              <w:t xml:space="preserve"> / 分</w:t>
            </w:r>
            <w:r>
              <w:rPr>
                <w:rFonts w:hint="eastAsia" w:ascii="宋体" w:hAnsi="宋体" w:cs="宋体"/>
                <w:szCs w:val="21"/>
              </w:rPr>
              <w:t>，逾期后果自负。会议地点：</w:t>
            </w:r>
            <w:r>
              <w:rPr>
                <w:rFonts w:hint="eastAsia" w:ascii="宋体" w:hAnsi="宋体" w:cs="宋体"/>
                <w:szCs w:val="21"/>
                <w:u w:val="single"/>
              </w:rPr>
              <w:t xml:space="preserve">/              </w:t>
            </w:r>
          </w:p>
        </w:tc>
      </w:tr>
      <w:tr w14:paraId="34F31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left w:val="single" w:color="auto" w:sz="4" w:space="0"/>
              <w:right w:val="single" w:color="auto" w:sz="4" w:space="0"/>
            </w:tcBorders>
            <w:vAlign w:val="center"/>
          </w:tcPr>
          <w:p w14:paraId="7A4D9FA2">
            <w:pPr>
              <w:spacing w:line="360" w:lineRule="auto"/>
              <w:rPr>
                <w:rFonts w:ascii="宋体" w:hAnsi="宋体" w:cs="宋体"/>
                <w:szCs w:val="21"/>
              </w:rPr>
            </w:pPr>
            <w:r>
              <w:rPr>
                <w:rFonts w:hint="eastAsia" w:ascii="宋体" w:hAnsi="宋体" w:cs="宋体"/>
                <w:szCs w:val="21"/>
              </w:rPr>
              <w:t>13.1</w:t>
            </w:r>
          </w:p>
        </w:tc>
        <w:tc>
          <w:tcPr>
            <w:tcW w:w="1993" w:type="dxa"/>
            <w:tcBorders>
              <w:top w:val="single" w:color="auto" w:sz="4" w:space="0"/>
              <w:left w:val="single" w:color="auto" w:sz="4" w:space="0"/>
              <w:bottom w:val="single" w:color="auto" w:sz="4" w:space="0"/>
              <w:right w:val="single" w:color="auto" w:sz="4" w:space="0"/>
            </w:tcBorders>
            <w:vAlign w:val="center"/>
          </w:tcPr>
          <w:p w14:paraId="0EF20962">
            <w:pPr>
              <w:snapToGrid w:val="0"/>
              <w:spacing w:line="360" w:lineRule="auto"/>
              <w:jc w:val="left"/>
              <w:rPr>
                <w:rFonts w:ascii="宋体" w:hAnsi="宋体" w:cs="宋体"/>
                <w:szCs w:val="21"/>
              </w:rPr>
            </w:pPr>
            <w:bookmarkStart w:id="48" w:name="_13.2"/>
            <w:bookmarkEnd w:id="48"/>
            <w:r>
              <w:rPr>
                <w:rFonts w:hint="eastAsia" w:ascii="宋体" w:hAnsi="宋体" w:cs="宋体"/>
                <w:szCs w:val="21"/>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765EAE12">
            <w:pPr>
              <w:snapToGrid w:val="0"/>
              <w:spacing w:line="360" w:lineRule="auto"/>
              <w:jc w:val="left"/>
              <w:rPr>
                <w:rFonts w:ascii="宋体" w:hAnsi="宋体" w:cs="宋体"/>
                <w:szCs w:val="21"/>
              </w:rPr>
            </w:pPr>
            <w:r>
              <w:rPr>
                <w:rFonts w:hint="eastAsia" w:ascii="宋体" w:hAnsi="宋体" w:cs="宋体"/>
                <w:szCs w:val="21"/>
              </w:rPr>
              <w:t>1、投标人为法人或者其他组织的，提供营业执照等证明文件（如营业执照或者事业单位法人证书或者执业许可证等），投标人为自然人的，提供身份证复印件。（</w:t>
            </w:r>
            <w:r>
              <w:rPr>
                <w:rFonts w:hint="eastAsia" w:ascii="宋体" w:hAnsi="宋体" w:cs="宋体"/>
                <w:b/>
                <w:szCs w:val="21"/>
              </w:rPr>
              <w:t>必须提供，否则作无效投标处理</w:t>
            </w:r>
            <w:r>
              <w:rPr>
                <w:rFonts w:hint="eastAsia" w:ascii="宋体" w:hAnsi="宋体" w:cs="宋体"/>
                <w:szCs w:val="21"/>
              </w:rPr>
              <w:t>）</w:t>
            </w:r>
          </w:p>
          <w:p w14:paraId="2948CE98">
            <w:pPr>
              <w:snapToGrid w:val="0"/>
              <w:spacing w:line="360" w:lineRule="auto"/>
              <w:jc w:val="left"/>
              <w:rPr>
                <w:rFonts w:ascii="宋体" w:hAnsi="宋体" w:cs="宋体"/>
                <w:szCs w:val="21"/>
              </w:rPr>
            </w:pPr>
            <w:r>
              <w:rPr>
                <w:rFonts w:hint="eastAsia" w:ascii="宋体" w:hAnsi="宋体" w:cs="宋体"/>
                <w:szCs w:val="21"/>
              </w:rPr>
              <w:t>2、投标人依法缴纳税收的相关材料[</w:t>
            </w:r>
            <w:r>
              <w:rPr>
                <w:rFonts w:hint="eastAsia" w:ascii="宋体" w:hAnsi="宋体" w:cs="宋体"/>
                <w:b/>
                <w:bCs/>
                <w:color w:val="C00000"/>
                <w:szCs w:val="21"/>
                <w:u w:val="single"/>
              </w:rPr>
              <w:t>投标截止日期之前半年中]连续3个月</w:t>
            </w:r>
            <w:r>
              <w:rPr>
                <w:rFonts w:hint="eastAsia" w:ascii="宋体" w:hAnsi="宋体" w:cs="宋体"/>
                <w:szCs w:val="21"/>
              </w:rPr>
              <w:t>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szCs w:val="21"/>
              </w:rPr>
              <w:t>必须提供，否则作无效投标处理</w:t>
            </w:r>
            <w:r>
              <w:rPr>
                <w:rFonts w:hint="eastAsia" w:ascii="宋体" w:hAnsi="宋体" w:cs="宋体"/>
                <w:szCs w:val="21"/>
              </w:rPr>
              <w:t>）</w:t>
            </w:r>
          </w:p>
          <w:p w14:paraId="692A5FFA">
            <w:pPr>
              <w:snapToGrid w:val="0"/>
              <w:spacing w:line="360" w:lineRule="auto"/>
              <w:jc w:val="left"/>
              <w:rPr>
                <w:rFonts w:ascii="宋体" w:hAnsi="宋体" w:cs="宋体"/>
                <w:szCs w:val="21"/>
              </w:rPr>
            </w:pPr>
            <w:r>
              <w:rPr>
                <w:rFonts w:hint="eastAsia" w:ascii="宋体" w:hAnsi="宋体" w:cs="宋体"/>
                <w:szCs w:val="21"/>
              </w:rPr>
              <w:t>3、投标人依法缴纳社会保障资金的相关材料</w:t>
            </w:r>
            <w:r>
              <w:rPr>
                <w:rFonts w:hint="eastAsia" w:ascii="宋体" w:hAnsi="宋体" w:cs="宋体"/>
                <w:b/>
                <w:bCs/>
                <w:color w:val="C00000"/>
                <w:szCs w:val="21"/>
              </w:rPr>
              <w:t>[</w:t>
            </w:r>
            <w:r>
              <w:rPr>
                <w:rFonts w:hint="eastAsia" w:ascii="宋体" w:hAnsi="宋体" w:cs="宋体"/>
                <w:b/>
                <w:bCs/>
                <w:color w:val="C00000"/>
                <w:szCs w:val="21"/>
                <w:u w:val="single"/>
              </w:rPr>
              <w:t>投标截止日期之前半年中]连续3个月</w:t>
            </w:r>
            <w:r>
              <w:rPr>
                <w:rFonts w:hint="eastAsia" w:ascii="宋体" w:hAnsi="宋体" w:cs="宋体"/>
                <w:szCs w:val="21"/>
              </w:rPr>
              <w:t>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szCs w:val="21"/>
              </w:rPr>
              <w:t>必须提供，否则作无效投标处理</w:t>
            </w:r>
            <w:r>
              <w:rPr>
                <w:rFonts w:hint="eastAsia" w:ascii="宋体" w:hAnsi="宋体" w:cs="宋体"/>
                <w:szCs w:val="21"/>
              </w:rPr>
              <w:t>）</w:t>
            </w:r>
          </w:p>
          <w:p w14:paraId="19B0F3F5">
            <w:pPr>
              <w:snapToGrid w:val="0"/>
              <w:spacing w:line="360" w:lineRule="auto"/>
              <w:jc w:val="left"/>
              <w:rPr>
                <w:rFonts w:ascii="宋体" w:hAnsi="宋体" w:cs="宋体"/>
                <w:szCs w:val="21"/>
              </w:rPr>
            </w:pPr>
            <w:r>
              <w:rPr>
                <w:rFonts w:hint="eastAsia" w:ascii="宋体" w:hAnsi="宋体" w:cs="宋体"/>
                <w:szCs w:val="21"/>
              </w:rPr>
              <w:t>4、投标人财务状况报告：[ 2023或2022 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bCs/>
                <w:szCs w:val="21"/>
              </w:rPr>
              <w:t>（必须提供，否则作无效投标处理）</w:t>
            </w:r>
          </w:p>
          <w:p w14:paraId="348BB454">
            <w:pPr>
              <w:snapToGrid w:val="0"/>
              <w:spacing w:line="360" w:lineRule="auto"/>
              <w:jc w:val="left"/>
              <w:rPr>
                <w:rFonts w:ascii="宋体" w:hAnsi="宋体" w:cs="宋体"/>
                <w:szCs w:val="21"/>
              </w:rPr>
            </w:pPr>
            <w:r>
              <w:rPr>
                <w:rFonts w:hint="eastAsia" w:ascii="宋体" w:hAnsi="宋体" w:cs="宋体"/>
                <w:szCs w:val="21"/>
              </w:rPr>
              <w:t>5、投标人直接控股、管理关系信息表（格式后附）。（</w:t>
            </w:r>
            <w:r>
              <w:rPr>
                <w:rFonts w:hint="eastAsia" w:ascii="宋体" w:hAnsi="宋体" w:cs="宋体"/>
                <w:b/>
                <w:szCs w:val="21"/>
              </w:rPr>
              <w:t>必须提供，否则作无效投标处理</w:t>
            </w:r>
            <w:r>
              <w:rPr>
                <w:rFonts w:hint="eastAsia" w:ascii="宋体" w:hAnsi="宋体" w:cs="宋体"/>
                <w:szCs w:val="21"/>
              </w:rPr>
              <w:t>）</w:t>
            </w:r>
          </w:p>
          <w:p w14:paraId="6E91C870">
            <w:pPr>
              <w:numPr>
                <w:ilvl w:val="0"/>
                <w:numId w:val="6"/>
              </w:numPr>
              <w:snapToGrid w:val="0"/>
              <w:spacing w:line="360" w:lineRule="auto"/>
              <w:jc w:val="left"/>
              <w:rPr>
                <w:rFonts w:ascii="宋体" w:hAnsi="宋体" w:cs="宋体"/>
                <w:szCs w:val="21"/>
              </w:rPr>
            </w:pPr>
            <w:r>
              <w:rPr>
                <w:rFonts w:hint="eastAsia" w:ascii="宋体" w:hAnsi="宋体" w:cs="宋体"/>
                <w:szCs w:val="21"/>
              </w:rPr>
              <w:t>投标资格声明（格式后附）。（</w:t>
            </w:r>
            <w:r>
              <w:rPr>
                <w:rFonts w:hint="eastAsia" w:ascii="宋体" w:hAnsi="宋体" w:cs="宋体"/>
                <w:b/>
                <w:szCs w:val="21"/>
              </w:rPr>
              <w:t>必须提供，否则作无效投标处理</w:t>
            </w:r>
            <w:r>
              <w:rPr>
                <w:rFonts w:hint="eastAsia" w:ascii="宋体" w:hAnsi="宋体" w:cs="宋体"/>
                <w:szCs w:val="21"/>
              </w:rPr>
              <w:t>）</w:t>
            </w:r>
          </w:p>
          <w:p w14:paraId="2313F037">
            <w:pPr>
              <w:snapToGrid w:val="0"/>
              <w:spacing w:line="380" w:lineRule="exact"/>
              <w:jc w:val="left"/>
              <w:rPr>
                <w:rFonts w:ascii="宋体" w:hAnsi="宋体" w:cs="宋体"/>
                <w:b/>
                <w:bCs/>
                <w:szCs w:val="21"/>
              </w:rPr>
            </w:pPr>
            <w:r>
              <w:rPr>
                <w:rFonts w:hint="eastAsia" w:ascii="宋体" w:hAnsi="宋体"/>
                <w:color w:val="000000"/>
                <w:szCs w:val="21"/>
                <w:lang w:val="en-US" w:eastAsia="zh-CN"/>
              </w:rPr>
              <w:t>7、</w:t>
            </w:r>
            <w:r>
              <w:rPr>
                <w:rFonts w:hint="eastAsia" w:ascii="宋体" w:hAnsi="宋体"/>
                <w:color w:val="000000"/>
                <w:szCs w:val="21"/>
              </w:rPr>
              <w:t>B分标(2分标)</w:t>
            </w:r>
            <w:r>
              <w:rPr>
                <w:rFonts w:hint="eastAsia" w:ascii="宋体" w:hAnsi="宋体" w:cs="宋体"/>
                <w:szCs w:val="21"/>
              </w:rPr>
              <w:t>特定资格要求：</w:t>
            </w:r>
            <w:r>
              <w:rPr>
                <w:rFonts w:hint="eastAsia" w:ascii="宋体" w:hAnsi="宋体" w:cs="宋体"/>
                <w:szCs w:val="21"/>
                <w:u w:val="single"/>
              </w:rPr>
              <w:t>投标人必须具有新闻出版管理部门颁发有效的《中华人民共和国出版物发行许可证》或《中华人民共和国出版物经营许可证》。</w:t>
            </w:r>
            <w:r>
              <w:rPr>
                <w:rFonts w:hint="eastAsia" w:ascii="宋体" w:hAnsi="宋体"/>
                <w:b/>
                <w:bCs/>
                <w:color w:val="000000"/>
                <w:szCs w:val="21"/>
              </w:rPr>
              <w:t>（必须提供，否则作无效投标处理）</w:t>
            </w:r>
          </w:p>
          <w:p w14:paraId="4EF32354">
            <w:pPr>
              <w:snapToGrid w:val="0"/>
              <w:spacing w:line="360" w:lineRule="auto"/>
              <w:jc w:val="left"/>
              <w:rPr>
                <w:rFonts w:ascii="宋体" w:hAnsi="宋体" w:cs="宋体"/>
                <w:b/>
                <w:bCs/>
                <w:szCs w:val="21"/>
              </w:rPr>
            </w:pPr>
            <w:r>
              <w:rPr>
                <w:rFonts w:hint="eastAsia" w:ascii="宋体" w:hAnsi="宋体" w:cs="宋体"/>
                <w:szCs w:val="21"/>
              </w:rPr>
              <w:t>8、除招标文件规定必须提供以外，投标人认为需要提供的其他证明材料。</w:t>
            </w:r>
            <w:r>
              <w:rPr>
                <w:rFonts w:hint="eastAsia" w:ascii="宋体" w:hAnsi="宋体" w:cs="宋体"/>
                <w:b/>
                <w:bCs/>
                <w:szCs w:val="21"/>
              </w:rPr>
              <w:t>（如有，请提供）</w:t>
            </w:r>
          </w:p>
          <w:p w14:paraId="609F33F1">
            <w:pPr>
              <w:snapToGrid w:val="0"/>
              <w:spacing w:line="360" w:lineRule="auto"/>
              <w:jc w:val="left"/>
              <w:rPr>
                <w:rFonts w:ascii="宋体" w:hAnsi="宋体" w:cs="宋体"/>
                <w:b/>
                <w:szCs w:val="21"/>
              </w:rPr>
            </w:pPr>
            <w:r>
              <w:rPr>
                <w:rFonts w:hint="eastAsia" w:ascii="宋体" w:hAnsi="宋体" w:cs="宋体"/>
                <w:b/>
                <w:bCs/>
                <w:szCs w:val="21"/>
              </w:rPr>
              <w:t>注：1.</w:t>
            </w:r>
            <w:r>
              <w:rPr>
                <w:rFonts w:hint="eastAsia" w:ascii="宋体" w:hAnsi="宋体" w:cs="宋体"/>
                <w:szCs w:val="21"/>
              </w:rPr>
              <w:t xml:space="preserve"> </w:t>
            </w:r>
            <w:r>
              <w:rPr>
                <w:rFonts w:hint="eastAsia" w:ascii="宋体" w:hAnsi="宋体" w:cs="宋体"/>
                <w:b/>
                <w:bCs/>
                <w:szCs w:val="21"/>
              </w:rPr>
              <w:t>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p>
          <w:p w14:paraId="56988A01">
            <w:pPr>
              <w:snapToGrid w:val="0"/>
              <w:spacing w:line="360" w:lineRule="auto"/>
              <w:ind w:firstLine="422" w:firstLineChars="200"/>
              <w:jc w:val="left"/>
              <w:rPr>
                <w:rFonts w:ascii="宋体" w:hAnsi="宋体" w:cs="宋体"/>
                <w:b/>
                <w:bCs/>
                <w:szCs w:val="21"/>
              </w:rPr>
            </w:pPr>
            <w:r>
              <w:rPr>
                <w:rFonts w:hint="eastAsia" w:ascii="宋体" w:hAnsi="宋体" w:cs="宋体"/>
                <w:b/>
                <w:szCs w:val="21"/>
              </w:rPr>
              <w:t>2</w:t>
            </w:r>
            <w:r>
              <w:rPr>
                <w:rFonts w:hint="eastAsia" w:ascii="宋体" w:hAnsi="宋体" w:cs="宋体"/>
                <w:b/>
                <w:bCs/>
                <w:szCs w:val="21"/>
              </w:rPr>
              <w:t>.联合体投标时，第1-5项资格证明文件联合体各方均必须分别提供，联合体各方分别盖章和签字，否则投标文件按无效响应处理。</w:t>
            </w:r>
          </w:p>
        </w:tc>
      </w:tr>
      <w:tr w14:paraId="3830C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left w:val="single" w:color="auto" w:sz="4" w:space="0"/>
              <w:right w:val="single" w:color="auto" w:sz="4" w:space="0"/>
            </w:tcBorders>
            <w:vAlign w:val="center"/>
          </w:tcPr>
          <w:p w14:paraId="6E1DBA71">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058662FC">
            <w:pPr>
              <w:snapToGrid w:val="0"/>
              <w:spacing w:line="360" w:lineRule="auto"/>
              <w:jc w:val="left"/>
              <w:rPr>
                <w:rFonts w:ascii="宋体" w:hAnsi="宋体" w:cs="宋体"/>
                <w:szCs w:val="21"/>
              </w:rPr>
            </w:pPr>
            <w:bookmarkStart w:id="49" w:name="_13.3"/>
            <w:bookmarkEnd w:id="49"/>
            <w:r>
              <w:rPr>
                <w:rFonts w:hint="eastAsia" w:ascii="宋体" w:hAnsi="宋体" w:cs="宋体"/>
                <w:szCs w:val="21"/>
              </w:rPr>
              <w:t>商务文件组成</w:t>
            </w:r>
          </w:p>
          <w:p w14:paraId="0F90209C">
            <w:pPr>
              <w:spacing w:line="360" w:lineRule="auto"/>
              <w:rPr>
                <w:rFonts w:ascii="宋体" w:hAnsi="宋体" w:cs="宋体"/>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273FC9F4">
            <w:pPr>
              <w:snapToGrid w:val="0"/>
              <w:spacing w:line="360" w:lineRule="auto"/>
              <w:jc w:val="left"/>
              <w:rPr>
                <w:rFonts w:ascii="宋体" w:hAnsi="宋体" w:cs="宋体"/>
                <w:szCs w:val="21"/>
              </w:rPr>
            </w:pPr>
            <w:r>
              <w:rPr>
                <w:rFonts w:hint="eastAsia" w:ascii="宋体" w:hAnsi="宋体" w:cs="宋体"/>
                <w:szCs w:val="21"/>
              </w:rPr>
              <w:t>1、无串通投标行为的承诺函（格式后附）；（</w:t>
            </w:r>
            <w:r>
              <w:rPr>
                <w:rFonts w:hint="eastAsia" w:ascii="宋体" w:hAnsi="宋体" w:cs="宋体"/>
                <w:b/>
                <w:szCs w:val="21"/>
              </w:rPr>
              <w:t>必须提供，否则作无效投标处理</w:t>
            </w:r>
            <w:r>
              <w:rPr>
                <w:rFonts w:hint="eastAsia" w:ascii="宋体" w:hAnsi="宋体" w:cs="宋体"/>
                <w:szCs w:val="21"/>
              </w:rPr>
              <w:t>）</w:t>
            </w:r>
          </w:p>
          <w:p w14:paraId="553361D7">
            <w:pPr>
              <w:snapToGrid w:val="0"/>
              <w:spacing w:line="360" w:lineRule="auto"/>
              <w:jc w:val="left"/>
              <w:rPr>
                <w:rFonts w:ascii="宋体" w:hAnsi="宋体" w:cs="宋体"/>
                <w:szCs w:val="21"/>
              </w:rPr>
            </w:pPr>
            <w:r>
              <w:rPr>
                <w:rFonts w:hint="eastAsia" w:ascii="宋体" w:hAnsi="宋体" w:cs="宋体"/>
                <w:szCs w:val="21"/>
              </w:rPr>
              <w:t>2、法定代表人身份证明及法定代表人有效身份证正反面复印件（格式后附）；（</w:t>
            </w:r>
            <w:r>
              <w:rPr>
                <w:rFonts w:hint="eastAsia" w:ascii="宋体" w:hAnsi="宋体" w:cs="宋体"/>
                <w:b/>
                <w:bCs/>
                <w:szCs w:val="21"/>
              </w:rPr>
              <w:t>除自然人投标外</w:t>
            </w:r>
            <w:r>
              <w:rPr>
                <w:rFonts w:hint="eastAsia" w:ascii="宋体" w:hAnsi="宋体" w:cs="宋体"/>
                <w:b/>
                <w:szCs w:val="21"/>
              </w:rPr>
              <w:t>必须提供，否则作无效投标处理</w:t>
            </w:r>
            <w:r>
              <w:rPr>
                <w:rFonts w:hint="eastAsia" w:ascii="宋体" w:hAnsi="宋体" w:cs="宋体"/>
                <w:szCs w:val="21"/>
              </w:rPr>
              <w:t>）</w:t>
            </w:r>
          </w:p>
          <w:p w14:paraId="2F3D6AE5">
            <w:pPr>
              <w:snapToGrid w:val="0"/>
              <w:spacing w:line="360" w:lineRule="auto"/>
              <w:jc w:val="left"/>
              <w:rPr>
                <w:rFonts w:ascii="宋体" w:hAnsi="宋体" w:cs="宋体"/>
                <w:szCs w:val="21"/>
              </w:rPr>
            </w:pPr>
            <w:r>
              <w:rPr>
                <w:rFonts w:hint="eastAsia" w:ascii="宋体" w:hAnsi="宋体" w:cs="宋体"/>
                <w:szCs w:val="21"/>
              </w:rPr>
              <w:t>3、法定代表人授权委托书及委托代理人有效身份证正反面复印件（格式后附）；（</w:t>
            </w:r>
            <w:r>
              <w:rPr>
                <w:rFonts w:hint="eastAsia" w:ascii="宋体" w:hAnsi="宋体" w:cs="宋体"/>
                <w:b/>
                <w:szCs w:val="21"/>
              </w:rPr>
              <w:t>委托时必须提供，否则作无效投标处理</w:t>
            </w:r>
            <w:r>
              <w:rPr>
                <w:rFonts w:hint="eastAsia" w:ascii="宋体" w:hAnsi="宋体" w:cs="宋体"/>
                <w:szCs w:val="21"/>
              </w:rPr>
              <w:t>）</w:t>
            </w:r>
          </w:p>
          <w:p w14:paraId="623A9B58">
            <w:pPr>
              <w:snapToGrid w:val="0"/>
              <w:spacing w:line="360" w:lineRule="auto"/>
              <w:jc w:val="left"/>
              <w:rPr>
                <w:rFonts w:ascii="宋体" w:hAnsi="宋体" w:cs="宋体"/>
                <w:szCs w:val="21"/>
              </w:rPr>
            </w:pPr>
            <w:r>
              <w:rPr>
                <w:rFonts w:hint="eastAsia" w:ascii="宋体" w:hAnsi="宋体" w:cs="宋体"/>
                <w:szCs w:val="21"/>
              </w:rPr>
              <w:t>4、商务条款偏离表（格式后附）；（</w:t>
            </w:r>
            <w:r>
              <w:rPr>
                <w:rFonts w:hint="eastAsia" w:ascii="宋体" w:hAnsi="宋体" w:cs="宋体"/>
                <w:b/>
                <w:szCs w:val="21"/>
              </w:rPr>
              <w:t>必须提供，否则作无效投标处理</w:t>
            </w:r>
            <w:r>
              <w:rPr>
                <w:rFonts w:hint="eastAsia" w:ascii="宋体" w:hAnsi="宋体" w:cs="宋体"/>
                <w:szCs w:val="21"/>
              </w:rPr>
              <w:t>）</w:t>
            </w:r>
          </w:p>
          <w:p w14:paraId="7D667C18">
            <w:pPr>
              <w:snapToGrid w:val="0"/>
              <w:spacing w:line="360" w:lineRule="auto"/>
              <w:jc w:val="left"/>
              <w:rPr>
                <w:rFonts w:ascii="宋体" w:hAnsi="宋体" w:cs="宋体"/>
                <w:szCs w:val="21"/>
              </w:rPr>
            </w:pPr>
            <w:r>
              <w:rPr>
                <w:rFonts w:hint="eastAsia" w:ascii="宋体" w:hAnsi="宋体" w:cs="宋体"/>
                <w:szCs w:val="21"/>
              </w:rPr>
              <w:t>5、投标人情况介绍；</w:t>
            </w:r>
            <w:r>
              <w:rPr>
                <w:rFonts w:hint="eastAsia" w:ascii="宋体" w:hAnsi="宋体" w:cs="宋体"/>
                <w:b/>
                <w:bCs/>
                <w:szCs w:val="21"/>
              </w:rPr>
              <w:t>（如有，请提供）</w:t>
            </w:r>
          </w:p>
          <w:p w14:paraId="5FB3B1F5">
            <w:pPr>
              <w:snapToGrid w:val="0"/>
              <w:spacing w:line="360" w:lineRule="auto"/>
              <w:jc w:val="left"/>
              <w:rPr>
                <w:rFonts w:ascii="宋体" w:hAnsi="宋体" w:cs="宋体"/>
                <w:szCs w:val="21"/>
              </w:rPr>
            </w:pPr>
            <w:r>
              <w:rPr>
                <w:rFonts w:hint="eastAsia" w:ascii="宋体" w:hAnsi="宋体" w:cs="宋体"/>
                <w:szCs w:val="21"/>
              </w:rPr>
              <w:t>6、除招标文件规定必须提供以外，投标人认为需要提供的其他证明材料。（投标人根据“第二章 采购需求”及“第四章 评标方法及评标标准”提供有关证明材料）。</w:t>
            </w:r>
            <w:r>
              <w:rPr>
                <w:rFonts w:hint="eastAsia" w:ascii="宋体" w:hAnsi="宋体" w:cs="宋体"/>
                <w:b/>
                <w:bCs/>
                <w:szCs w:val="21"/>
              </w:rPr>
              <w:t>（如有，请提供）</w:t>
            </w:r>
          </w:p>
          <w:p w14:paraId="0BBEECFB">
            <w:pPr>
              <w:snapToGrid w:val="0"/>
              <w:spacing w:line="360" w:lineRule="auto"/>
              <w:jc w:val="left"/>
              <w:rPr>
                <w:rFonts w:ascii="宋体" w:hAnsi="宋体" w:cs="宋体"/>
                <w:b/>
                <w:bCs/>
                <w:szCs w:val="21"/>
              </w:rPr>
            </w:pPr>
            <w:r>
              <w:rPr>
                <w:rFonts w:hint="eastAsia" w:ascii="宋体" w:hAnsi="宋体" w:cs="宋体"/>
                <w:b/>
                <w:bCs/>
                <w:szCs w:val="21"/>
              </w:rPr>
              <w:t>注： 1.法定代表人授权委托书必须由法定代表人及委托代理人签字并加盖投标人电子公章，否则作无效投标处理。</w:t>
            </w:r>
          </w:p>
          <w:p w14:paraId="36961F05">
            <w:pPr>
              <w:snapToGrid w:val="0"/>
              <w:spacing w:line="360" w:lineRule="auto"/>
              <w:ind w:firstLine="422" w:firstLineChars="200"/>
              <w:jc w:val="left"/>
              <w:rPr>
                <w:rFonts w:ascii="宋体" w:hAnsi="宋体" w:cs="宋体"/>
                <w:b/>
                <w:szCs w:val="21"/>
              </w:rPr>
            </w:pPr>
            <w:r>
              <w:rPr>
                <w:rFonts w:hint="eastAsia" w:ascii="宋体" w:hAnsi="宋体" w:cs="宋体"/>
                <w:b/>
                <w:bCs/>
                <w:szCs w:val="21"/>
              </w:rPr>
              <w:t>2.</w:t>
            </w:r>
            <w:r>
              <w:rPr>
                <w:rFonts w:hint="eastAsia" w:ascii="宋体" w:hAnsi="宋体" w:cs="宋体"/>
                <w:szCs w:val="21"/>
              </w:rPr>
              <w:t xml:space="preserve"> </w:t>
            </w:r>
            <w:r>
              <w:rPr>
                <w:rFonts w:hint="eastAsia" w:ascii="宋体" w:hAnsi="宋体" w:cs="宋体"/>
                <w:b/>
                <w:bCs/>
                <w:szCs w:val="21"/>
              </w:rPr>
              <w:t>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r>
              <w:rPr>
                <w:rFonts w:hint="eastAsia" w:ascii="宋体" w:hAnsi="宋体" w:cs="宋体"/>
                <w:b/>
                <w:bCs/>
                <w:szCs w:val="21"/>
              </w:rPr>
              <w:t>。</w:t>
            </w:r>
          </w:p>
        </w:tc>
      </w:tr>
      <w:tr w14:paraId="6F077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vMerge w:val="restart"/>
            <w:tcBorders>
              <w:left w:val="single" w:color="auto" w:sz="4" w:space="0"/>
              <w:right w:val="single" w:color="auto" w:sz="4" w:space="0"/>
            </w:tcBorders>
            <w:vAlign w:val="center"/>
          </w:tcPr>
          <w:p w14:paraId="417799C7">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24534495">
            <w:pPr>
              <w:snapToGrid w:val="0"/>
              <w:spacing w:line="360" w:lineRule="auto"/>
              <w:jc w:val="left"/>
              <w:rPr>
                <w:rFonts w:ascii="宋体" w:hAnsi="宋体" w:cs="宋体"/>
                <w:szCs w:val="21"/>
              </w:rPr>
            </w:pPr>
            <w:bookmarkStart w:id="50" w:name="_13.4"/>
            <w:bookmarkEnd w:id="50"/>
            <w:r>
              <w:rPr>
                <w:rFonts w:hint="eastAsia" w:ascii="宋体" w:hAnsi="宋体" w:cs="宋体"/>
                <w:szCs w:val="21"/>
              </w:rPr>
              <w:t>技术文件组成</w:t>
            </w:r>
          </w:p>
          <w:p w14:paraId="297AC113">
            <w:pPr>
              <w:spacing w:line="360" w:lineRule="auto"/>
              <w:rPr>
                <w:rFonts w:ascii="宋体" w:hAnsi="宋体" w:cs="宋体"/>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654DD18A">
            <w:pPr>
              <w:numPr>
                <w:ilvl w:val="0"/>
                <w:numId w:val="7"/>
              </w:numPr>
              <w:snapToGrid w:val="0"/>
              <w:spacing w:line="360" w:lineRule="auto"/>
              <w:jc w:val="left"/>
              <w:rPr>
                <w:rFonts w:ascii="宋体" w:hAnsi="宋体" w:cs="宋体"/>
                <w:szCs w:val="21"/>
              </w:rPr>
            </w:pPr>
            <w:r>
              <w:rPr>
                <w:rFonts w:hint="eastAsia" w:ascii="宋体" w:hAnsi="宋体" w:cs="宋体"/>
                <w:szCs w:val="21"/>
              </w:rPr>
              <w:t>技术需求偏离表（格式后附）；（</w:t>
            </w:r>
            <w:r>
              <w:rPr>
                <w:rFonts w:hint="eastAsia" w:ascii="宋体" w:hAnsi="宋体" w:cs="宋体"/>
                <w:b/>
                <w:szCs w:val="21"/>
              </w:rPr>
              <w:t>必须提供，否则作无效投标处理</w:t>
            </w:r>
            <w:r>
              <w:rPr>
                <w:rFonts w:hint="eastAsia" w:ascii="宋体" w:hAnsi="宋体" w:cs="宋体"/>
                <w:szCs w:val="21"/>
              </w:rPr>
              <w:t>）</w:t>
            </w:r>
          </w:p>
          <w:p w14:paraId="756C7A97">
            <w:pPr>
              <w:numPr>
                <w:ilvl w:val="0"/>
                <w:numId w:val="7"/>
              </w:numPr>
              <w:snapToGrid w:val="0"/>
              <w:spacing w:line="360" w:lineRule="auto"/>
              <w:jc w:val="left"/>
              <w:rPr>
                <w:rFonts w:ascii="宋体" w:hAnsi="宋体" w:cs="宋体"/>
                <w:szCs w:val="21"/>
              </w:rPr>
            </w:pPr>
            <w:r>
              <w:rPr>
                <w:rFonts w:hint="eastAsia" w:ascii="宋体" w:hAnsi="宋体" w:cs="宋体"/>
                <w:szCs w:val="21"/>
              </w:rPr>
              <w:t>配置清单（均不含报价）；</w:t>
            </w:r>
            <w:r>
              <w:rPr>
                <w:rFonts w:hint="eastAsia" w:ascii="宋体" w:hAnsi="宋体" w:cs="宋体"/>
                <w:b/>
                <w:bCs/>
                <w:szCs w:val="21"/>
              </w:rPr>
              <w:t>（必须提供，否则响应文件作无效处理）</w:t>
            </w:r>
          </w:p>
          <w:p w14:paraId="5DA7DC6E">
            <w:pPr>
              <w:numPr>
                <w:ilvl w:val="0"/>
                <w:numId w:val="7"/>
              </w:numPr>
              <w:snapToGrid w:val="0"/>
              <w:spacing w:line="360" w:lineRule="auto"/>
              <w:jc w:val="left"/>
              <w:rPr>
                <w:rFonts w:ascii="宋体" w:hAnsi="宋体" w:cs="宋体"/>
                <w:b/>
                <w:bCs/>
                <w:szCs w:val="21"/>
              </w:rPr>
            </w:pPr>
            <w:r>
              <w:rPr>
                <w:rFonts w:hint="eastAsia" w:ascii="宋体" w:hAnsi="宋体" w:cs="宋体"/>
                <w:szCs w:val="21"/>
              </w:rPr>
              <w:t>项目实施方案；</w:t>
            </w:r>
            <w:r>
              <w:rPr>
                <w:rFonts w:hint="eastAsia" w:ascii="宋体" w:hAnsi="宋体" w:cs="宋体"/>
                <w:b/>
                <w:bCs/>
                <w:szCs w:val="21"/>
              </w:rPr>
              <w:t>（必须提供，否则作无效投标处理）</w:t>
            </w:r>
          </w:p>
          <w:p w14:paraId="0BC03F42">
            <w:pPr>
              <w:snapToGrid w:val="0"/>
              <w:spacing w:line="360" w:lineRule="auto"/>
              <w:jc w:val="left"/>
              <w:rPr>
                <w:rFonts w:ascii="宋体" w:hAnsi="宋体" w:cs="宋体"/>
                <w:szCs w:val="21"/>
              </w:rPr>
            </w:pPr>
            <w:r>
              <w:rPr>
                <w:rFonts w:hint="eastAsia" w:ascii="宋体" w:hAnsi="宋体" w:cs="宋体"/>
                <w:szCs w:val="21"/>
              </w:rPr>
              <w:t>4、售后服务方案；（</w:t>
            </w:r>
            <w:r>
              <w:rPr>
                <w:rFonts w:hint="eastAsia" w:ascii="宋体" w:hAnsi="宋体" w:cs="宋体"/>
                <w:b/>
                <w:szCs w:val="21"/>
              </w:rPr>
              <w:t>必须提供，否则作无效投标处理</w:t>
            </w:r>
            <w:r>
              <w:rPr>
                <w:rFonts w:hint="eastAsia" w:ascii="宋体" w:hAnsi="宋体" w:cs="宋体"/>
                <w:szCs w:val="21"/>
              </w:rPr>
              <w:t>）</w:t>
            </w:r>
          </w:p>
          <w:p w14:paraId="69476B8A">
            <w:pPr>
              <w:snapToGrid w:val="0"/>
              <w:spacing w:line="360" w:lineRule="auto"/>
              <w:jc w:val="left"/>
              <w:rPr>
                <w:rFonts w:ascii="宋体" w:hAnsi="宋体" w:cs="宋体"/>
                <w:szCs w:val="21"/>
              </w:rPr>
            </w:pPr>
            <w:r>
              <w:rPr>
                <w:rFonts w:hint="eastAsia" w:ascii="宋体" w:hAnsi="宋体" w:cs="宋体"/>
                <w:szCs w:val="21"/>
              </w:rPr>
              <w:t>5、项目实施人员一览表；</w:t>
            </w:r>
            <w:r>
              <w:rPr>
                <w:rFonts w:hint="eastAsia" w:ascii="宋体" w:hAnsi="宋体" w:cs="宋体"/>
                <w:b/>
                <w:bCs/>
                <w:szCs w:val="21"/>
              </w:rPr>
              <w:t>（如有，请提供）</w:t>
            </w:r>
          </w:p>
          <w:p w14:paraId="73F57F8C">
            <w:pPr>
              <w:snapToGrid w:val="0"/>
              <w:spacing w:line="360" w:lineRule="auto"/>
              <w:jc w:val="left"/>
              <w:rPr>
                <w:rFonts w:ascii="宋体" w:hAnsi="宋体" w:cs="宋体"/>
                <w:szCs w:val="21"/>
              </w:rPr>
            </w:pPr>
            <w:r>
              <w:rPr>
                <w:rFonts w:hint="eastAsia" w:ascii="宋体" w:hAnsi="宋体" w:cs="宋体"/>
                <w:szCs w:val="21"/>
              </w:rPr>
              <w:t>6、对本项目总体要求的理解。包括： 功能说明、性能指标及设备选型说明（质 量、性能、价格、 外观、体积等方面进行比较和选择的理由及过程）；</w:t>
            </w:r>
            <w:r>
              <w:rPr>
                <w:rFonts w:hint="eastAsia" w:ascii="宋体" w:hAnsi="宋体" w:cs="宋体"/>
                <w:b/>
                <w:bCs/>
                <w:szCs w:val="21"/>
              </w:rPr>
              <w:t>（如有，请提供）</w:t>
            </w:r>
          </w:p>
          <w:p w14:paraId="2C2B05B6">
            <w:pPr>
              <w:snapToGrid w:val="0"/>
              <w:spacing w:line="360" w:lineRule="auto"/>
              <w:jc w:val="left"/>
              <w:rPr>
                <w:rFonts w:ascii="宋体" w:hAnsi="宋体" w:cs="宋体"/>
                <w:szCs w:val="21"/>
              </w:rPr>
            </w:pPr>
            <w:r>
              <w:rPr>
                <w:rFonts w:hint="eastAsia" w:ascii="宋体" w:hAnsi="宋体" w:cs="宋体"/>
                <w:szCs w:val="21"/>
              </w:rPr>
              <w:t>7、产品出厂标准、质量检测报告【其中有精度要求的仪器设备类政府采购项 目，应当要求投标人提供精度数据（第三方检测报告或者由采购人在投标前组织的实测获得）】；</w:t>
            </w:r>
            <w:r>
              <w:rPr>
                <w:rFonts w:hint="eastAsia" w:ascii="宋体" w:hAnsi="宋体" w:cs="宋体"/>
                <w:b/>
                <w:bCs/>
                <w:szCs w:val="21"/>
              </w:rPr>
              <w:t>（如有，请提供）</w:t>
            </w:r>
            <w:r>
              <w:rPr>
                <w:rFonts w:hint="eastAsia" w:ascii="宋体" w:hAnsi="宋体" w:cs="宋体"/>
                <w:szCs w:val="21"/>
              </w:rPr>
              <w:t xml:space="preserve">  </w:t>
            </w:r>
          </w:p>
          <w:p w14:paraId="0986E7AB">
            <w:pPr>
              <w:snapToGrid w:val="0"/>
              <w:spacing w:line="360" w:lineRule="auto"/>
              <w:jc w:val="left"/>
              <w:rPr>
                <w:rFonts w:ascii="宋体" w:hAnsi="宋体" w:cs="宋体"/>
                <w:szCs w:val="21"/>
              </w:rPr>
            </w:pPr>
            <w:r>
              <w:rPr>
                <w:rFonts w:hint="eastAsia" w:ascii="宋体" w:hAnsi="宋体" w:cs="宋体"/>
                <w:szCs w:val="21"/>
              </w:rPr>
              <w:t>8、优惠条件：投标人承诺给予招标人的各种优惠条件，包括售后服务、备品 备件、 专用耗材等方面的优惠；投标人不得给予赠品或者与采购无关的其他商 品、服务； 视项目情况设置是否必须提供）</w:t>
            </w:r>
            <w:r>
              <w:rPr>
                <w:rFonts w:hint="eastAsia" w:ascii="宋体" w:hAnsi="宋体" w:cs="宋体"/>
                <w:b/>
                <w:bCs/>
                <w:szCs w:val="21"/>
              </w:rPr>
              <w:t>（如有，请提供）</w:t>
            </w:r>
          </w:p>
          <w:p w14:paraId="177248B7">
            <w:pPr>
              <w:snapToGrid w:val="0"/>
              <w:spacing w:line="360" w:lineRule="auto"/>
              <w:jc w:val="left"/>
              <w:rPr>
                <w:rFonts w:ascii="宋体" w:hAnsi="宋体" w:cs="宋体"/>
                <w:szCs w:val="21"/>
              </w:rPr>
            </w:pPr>
            <w:r>
              <w:rPr>
                <w:rFonts w:hint="eastAsia" w:ascii="宋体" w:hAnsi="宋体" w:cs="宋体"/>
                <w:szCs w:val="21"/>
              </w:rPr>
              <w:t xml:space="preserve">9、投标人对本项目的合理化建议和改进措施； </w:t>
            </w:r>
            <w:r>
              <w:rPr>
                <w:rFonts w:hint="eastAsia" w:ascii="宋体" w:hAnsi="宋体" w:cs="宋体"/>
                <w:b/>
                <w:bCs/>
                <w:szCs w:val="21"/>
              </w:rPr>
              <w:t>（如有，请提供）</w:t>
            </w:r>
            <w:r>
              <w:rPr>
                <w:rFonts w:hint="eastAsia" w:ascii="宋体" w:hAnsi="宋体" w:cs="宋体"/>
                <w:szCs w:val="21"/>
              </w:rPr>
              <w:t xml:space="preserve">                          10、除招标文件规定必须提供以外，投标人需要说明的其他文件和说明。</w:t>
            </w:r>
            <w:r>
              <w:rPr>
                <w:rFonts w:hint="eastAsia" w:ascii="宋体" w:hAnsi="宋体" w:cs="宋体"/>
                <w:b/>
                <w:bCs/>
                <w:szCs w:val="21"/>
              </w:rPr>
              <w:t>（如有，请提供）</w:t>
            </w:r>
          </w:p>
          <w:p w14:paraId="165C53CC">
            <w:pPr>
              <w:snapToGrid w:val="0"/>
              <w:spacing w:line="360" w:lineRule="auto"/>
              <w:jc w:val="left"/>
              <w:rPr>
                <w:rFonts w:ascii="宋体" w:hAnsi="宋体" w:cs="宋体"/>
                <w:b/>
                <w:bCs/>
                <w:szCs w:val="21"/>
              </w:rPr>
            </w:pPr>
            <w:r>
              <w:rPr>
                <w:rFonts w:hint="eastAsia" w:ascii="宋体" w:hAnsi="宋体" w:cs="宋体"/>
                <w:b/>
                <w:bCs/>
                <w:szCs w:val="21"/>
              </w:rPr>
              <w:t>注：以上标明“必须提供”的材料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r>
              <w:rPr>
                <w:rFonts w:hint="eastAsia" w:ascii="宋体" w:hAnsi="宋体" w:cs="宋体"/>
                <w:b/>
                <w:bCs/>
                <w:szCs w:val="21"/>
              </w:rPr>
              <w:t>。</w:t>
            </w:r>
          </w:p>
        </w:tc>
      </w:tr>
      <w:tr w14:paraId="5BB3D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vMerge w:val="continue"/>
            <w:tcBorders>
              <w:left w:val="single" w:color="auto" w:sz="4" w:space="0"/>
              <w:bottom w:val="single" w:color="auto" w:sz="4" w:space="0"/>
              <w:right w:val="single" w:color="auto" w:sz="4" w:space="0"/>
            </w:tcBorders>
            <w:vAlign w:val="center"/>
          </w:tcPr>
          <w:p w14:paraId="0DA947F7">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323A8B80">
            <w:pPr>
              <w:snapToGrid w:val="0"/>
              <w:spacing w:line="360" w:lineRule="auto"/>
              <w:jc w:val="left"/>
              <w:rPr>
                <w:rFonts w:ascii="宋体" w:hAnsi="宋体" w:cs="宋体"/>
                <w:szCs w:val="21"/>
              </w:rPr>
            </w:pPr>
            <w:r>
              <w:rPr>
                <w:rFonts w:hint="eastAsia" w:ascii="宋体" w:hAnsi="宋体" w:cs="宋体"/>
                <w:szCs w:val="21"/>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0B066CE5">
            <w:pPr>
              <w:tabs>
                <w:tab w:val="left" w:pos="459"/>
              </w:tabs>
              <w:snapToGrid w:val="0"/>
              <w:spacing w:line="360" w:lineRule="auto"/>
              <w:jc w:val="left"/>
              <w:rPr>
                <w:rFonts w:ascii="宋体" w:hAnsi="宋体" w:cs="宋体"/>
                <w:szCs w:val="21"/>
              </w:rPr>
            </w:pPr>
            <w:r>
              <w:rPr>
                <w:rFonts w:hint="eastAsia" w:ascii="宋体" w:hAnsi="宋体" w:cs="宋体"/>
                <w:szCs w:val="21"/>
              </w:rPr>
              <w:t>1、投标函（格式后附）；</w:t>
            </w:r>
            <w:r>
              <w:rPr>
                <w:rFonts w:hint="eastAsia" w:ascii="宋体" w:hAnsi="宋体" w:cs="宋体"/>
                <w:b/>
                <w:szCs w:val="21"/>
              </w:rPr>
              <w:t>（必须提供，否则作无效投标处理）</w:t>
            </w:r>
          </w:p>
          <w:p w14:paraId="108C33EF">
            <w:pPr>
              <w:tabs>
                <w:tab w:val="left" w:pos="459"/>
              </w:tabs>
              <w:snapToGrid w:val="0"/>
              <w:spacing w:line="360" w:lineRule="auto"/>
              <w:jc w:val="left"/>
              <w:rPr>
                <w:rFonts w:ascii="宋体" w:hAnsi="宋体" w:cs="宋体"/>
                <w:szCs w:val="21"/>
              </w:rPr>
            </w:pPr>
            <w:r>
              <w:rPr>
                <w:rFonts w:hint="eastAsia" w:ascii="宋体" w:hAnsi="宋体" w:cs="宋体"/>
                <w:szCs w:val="21"/>
              </w:rPr>
              <w:t>2、开标一览表（格式后附）；（</w:t>
            </w:r>
            <w:r>
              <w:rPr>
                <w:rFonts w:hint="eastAsia" w:ascii="宋体" w:hAnsi="宋体" w:cs="宋体"/>
                <w:b/>
                <w:szCs w:val="21"/>
              </w:rPr>
              <w:t>必须提供，否则作无效投标处理</w:t>
            </w:r>
            <w:r>
              <w:rPr>
                <w:rFonts w:hint="eastAsia" w:ascii="宋体" w:hAnsi="宋体" w:cs="宋体"/>
                <w:szCs w:val="21"/>
              </w:rPr>
              <w:t>）</w:t>
            </w:r>
          </w:p>
          <w:p w14:paraId="6DB107C7">
            <w:pPr>
              <w:tabs>
                <w:tab w:val="left" w:pos="459"/>
              </w:tabs>
              <w:snapToGrid w:val="0"/>
              <w:spacing w:line="360" w:lineRule="auto"/>
              <w:jc w:val="left"/>
              <w:rPr>
                <w:rFonts w:ascii="宋体" w:hAnsi="宋体" w:cs="宋体"/>
                <w:b/>
                <w:bCs/>
                <w:szCs w:val="21"/>
              </w:rPr>
            </w:pPr>
            <w:r>
              <w:rPr>
                <w:rFonts w:hint="eastAsia" w:ascii="宋体" w:hAnsi="宋体" w:cs="宋体"/>
                <w:szCs w:val="21"/>
              </w:rPr>
              <w:t>3、中小企业声明函（格式后附）或残疾人福利性单位声明函（格式后附）或投标人属于监狱企业的证明材料；</w:t>
            </w:r>
            <w:r>
              <w:rPr>
                <w:rFonts w:hint="eastAsia" w:ascii="宋体" w:hAnsi="宋体" w:cs="宋体"/>
                <w:b/>
                <w:bCs/>
                <w:szCs w:val="21"/>
              </w:rPr>
              <w:t>（如有则提供，否则不享受价格扣除优惠政策）</w:t>
            </w:r>
          </w:p>
          <w:p w14:paraId="3B8440B9">
            <w:pPr>
              <w:snapToGrid w:val="0"/>
              <w:spacing w:line="360" w:lineRule="auto"/>
              <w:jc w:val="left"/>
              <w:rPr>
                <w:rFonts w:ascii="宋体" w:hAnsi="宋体" w:cs="宋体"/>
                <w:szCs w:val="21"/>
              </w:rPr>
            </w:pPr>
            <w:r>
              <w:rPr>
                <w:rFonts w:hint="eastAsia" w:ascii="宋体" w:hAnsi="宋体" w:cs="宋体"/>
                <w:szCs w:val="21"/>
              </w:rPr>
              <w:t>4、投标人针对报价需要说明的其他文件和说明。</w:t>
            </w:r>
            <w:r>
              <w:rPr>
                <w:rFonts w:hint="eastAsia" w:ascii="宋体" w:hAnsi="宋体" w:cs="宋体"/>
                <w:b/>
                <w:bCs/>
                <w:szCs w:val="21"/>
              </w:rPr>
              <w:t>（如有，请提供）</w:t>
            </w:r>
          </w:p>
        </w:tc>
      </w:tr>
      <w:tr w14:paraId="2A39A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1CEDC272">
            <w:pPr>
              <w:spacing w:line="360" w:lineRule="auto"/>
              <w:rPr>
                <w:rFonts w:ascii="宋体" w:hAnsi="宋体" w:cs="宋体"/>
                <w:szCs w:val="21"/>
              </w:rPr>
            </w:pPr>
            <w:r>
              <w:rPr>
                <w:rFonts w:hint="eastAsia" w:ascii="宋体" w:hAnsi="宋体" w:cs="宋体"/>
                <w:szCs w:val="21"/>
              </w:rPr>
              <w:t>16.2</w:t>
            </w:r>
          </w:p>
        </w:tc>
        <w:tc>
          <w:tcPr>
            <w:tcW w:w="1993" w:type="dxa"/>
            <w:tcBorders>
              <w:top w:val="single" w:color="auto" w:sz="4" w:space="0"/>
              <w:left w:val="single" w:color="auto" w:sz="4" w:space="0"/>
              <w:bottom w:val="single" w:color="auto" w:sz="4" w:space="0"/>
              <w:right w:val="single" w:color="auto" w:sz="4" w:space="0"/>
            </w:tcBorders>
            <w:vAlign w:val="center"/>
          </w:tcPr>
          <w:p w14:paraId="6849631B">
            <w:pPr>
              <w:spacing w:line="360" w:lineRule="auto"/>
              <w:rPr>
                <w:rFonts w:ascii="宋体" w:hAnsi="宋体" w:cs="宋体"/>
                <w:szCs w:val="21"/>
              </w:rPr>
            </w:pPr>
            <w:bookmarkStart w:id="51" w:name="_16.2"/>
            <w:bookmarkEnd w:id="51"/>
            <w:r>
              <w:rPr>
                <w:rFonts w:hint="eastAsia" w:ascii="宋体" w:hAnsi="宋体" w:cs="宋体"/>
                <w:szCs w:val="21"/>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626BFEE3">
            <w:pPr>
              <w:spacing w:line="360" w:lineRule="auto"/>
              <w:ind w:firstLine="420" w:firstLineChars="200"/>
              <w:jc w:val="left"/>
              <w:rPr>
                <w:rFonts w:ascii="宋体" w:hAnsi="宋体" w:cs="宋体"/>
                <w:szCs w:val="21"/>
              </w:rPr>
            </w:pPr>
            <w:r>
              <w:rPr>
                <w:rFonts w:hint="eastAsia" w:ascii="宋体" w:hAnsi="宋体" w:cs="宋体"/>
                <w:szCs w:val="21"/>
              </w:rPr>
              <w:t>投标报价是履行合同的最终价格，必须包含：</w:t>
            </w:r>
          </w:p>
          <w:p w14:paraId="641E42DF">
            <w:pPr>
              <w:spacing w:line="360" w:lineRule="auto"/>
              <w:ind w:firstLine="420" w:firstLineChars="200"/>
              <w:jc w:val="left"/>
              <w:rPr>
                <w:rFonts w:ascii="宋体" w:hAnsi="宋体" w:cs="宋体"/>
                <w:szCs w:val="21"/>
              </w:rPr>
            </w:pPr>
            <w:r>
              <w:rPr>
                <w:rFonts w:hint="eastAsia" w:ascii="宋体" w:hAnsi="宋体" w:cs="宋体"/>
                <w:szCs w:val="21"/>
              </w:rPr>
              <w:t>（1）货物的价格；</w:t>
            </w:r>
          </w:p>
          <w:p w14:paraId="77F8613D">
            <w:pPr>
              <w:spacing w:line="360" w:lineRule="auto"/>
              <w:ind w:firstLine="420" w:firstLineChars="200"/>
              <w:jc w:val="left"/>
              <w:rPr>
                <w:rFonts w:ascii="宋体" w:hAnsi="宋体" w:cs="宋体"/>
                <w:szCs w:val="21"/>
              </w:rPr>
            </w:pPr>
            <w:r>
              <w:rPr>
                <w:rFonts w:hint="eastAsia" w:ascii="宋体" w:hAnsi="宋体" w:cs="宋体"/>
                <w:szCs w:val="21"/>
              </w:rPr>
              <w:t>（2）货物的标准附件、备品备件、专用工具的价格；</w:t>
            </w:r>
          </w:p>
          <w:p w14:paraId="0EB76783">
            <w:pPr>
              <w:spacing w:line="360" w:lineRule="auto"/>
              <w:ind w:firstLine="420" w:firstLineChars="200"/>
              <w:jc w:val="left"/>
              <w:rPr>
                <w:rFonts w:ascii="宋体" w:hAnsi="宋体" w:cs="宋体"/>
                <w:szCs w:val="21"/>
              </w:rPr>
            </w:pPr>
            <w:r>
              <w:rPr>
                <w:rFonts w:hint="eastAsia" w:ascii="宋体" w:hAnsi="宋体" w:cs="宋体"/>
                <w:szCs w:val="21"/>
              </w:rPr>
              <w:t>（3）运输、装卸、调试、技术支持、售后服务等费用；</w:t>
            </w:r>
          </w:p>
          <w:p w14:paraId="2D0AB3EE">
            <w:pPr>
              <w:spacing w:line="360" w:lineRule="auto"/>
              <w:ind w:firstLine="420" w:firstLineChars="200"/>
              <w:jc w:val="left"/>
              <w:rPr>
                <w:rFonts w:ascii="宋体" w:hAnsi="宋体" w:cs="宋体"/>
                <w:szCs w:val="21"/>
              </w:rPr>
            </w:pPr>
            <w:r>
              <w:rPr>
                <w:rFonts w:hint="eastAsia" w:ascii="宋体" w:hAnsi="宋体" w:cs="宋体"/>
                <w:szCs w:val="21"/>
              </w:rPr>
              <w:t>（4）必要的保险费用和各项税费；</w:t>
            </w:r>
          </w:p>
          <w:p w14:paraId="0EA572CD">
            <w:pPr>
              <w:spacing w:line="360" w:lineRule="auto"/>
              <w:ind w:firstLine="420" w:firstLineChars="200"/>
              <w:jc w:val="left"/>
              <w:rPr>
                <w:rFonts w:ascii="宋体" w:hAnsi="宋体" w:cs="宋体"/>
                <w:szCs w:val="21"/>
              </w:rPr>
            </w:pPr>
            <w:r>
              <w:rPr>
                <w:rFonts w:hint="eastAsia" w:ascii="宋体" w:hAnsi="宋体" w:cs="宋体"/>
                <w:szCs w:val="21"/>
              </w:rPr>
              <w:t>（5）安装、送货上门的费用。</w:t>
            </w:r>
          </w:p>
          <w:p w14:paraId="7C31E4EE">
            <w:pPr>
              <w:spacing w:line="360" w:lineRule="auto"/>
              <w:ind w:firstLine="420" w:firstLineChars="200"/>
              <w:jc w:val="left"/>
              <w:rPr>
                <w:rFonts w:ascii="宋体" w:hAnsi="宋体" w:cs="宋体"/>
                <w:szCs w:val="21"/>
              </w:rPr>
            </w:pPr>
            <w:r>
              <w:rPr>
                <w:rFonts w:hint="eastAsia" w:ascii="宋体" w:hAnsi="宋体" w:cs="宋体"/>
                <w:szCs w:val="21"/>
              </w:rPr>
              <w:t>（6）安装、开展培训（含教材费、场地租用费）、送货上门的费用；</w:t>
            </w:r>
          </w:p>
          <w:p w14:paraId="21288316">
            <w:pPr>
              <w:spacing w:line="360" w:lineRule="auto"/>
              <w:ind w:firstLine="420" w:firstLineChars="200"/>
              <w:jc w:val="left"/>
              <w:rPr>
                <w:rFonts w:ascii="宋体" w:hAnsi="宋体" w:cs="宋体"/>
                <w:b/>
                <w:szCs w:val="21"/>
              </w:rPr>
            </w:pPr>
            <w:r>
              <w:rPr>
                <w:rFonts w:hint="eastAsia" w:ascii="宋体" w:hAnsi="宋体" w:cs="宋体"/>
                <w:szCs w:val="21"/>
              </w:rPr>
              <w:t xml:space="preserve">（7）到现场验收的费用。    </w:t>
            </w:r>
          </w:p>
        </w:tc>
      </w:tr>
      <w:tr w14:paraId="4B3D3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0139A9A5">
            <w:pPr>
              <w:spacing w:line="360" w:lineRule="auto"/>
              <w:rPr>
                <w:rFonts w:ascii="宋体" w:hAnsi="宋体" w:cs="宋体"/>
                <w:szCs w:val="21"/>
              </w:rPr>
            </w:pPr>
            <w:r>
              <w:rPr>
                <w:rFonts w:hint="eastAsia" w:ascii="宋体" w:hAnsi="宋体" w:cs="宋体"/>
                <w:szCs w:val="21"/>
              </w:rPr>
              <w:t>17.2</w:t>
            </w:r>
          </w:p>
        </w:tc>
        <w:tc>
          <w:tcPr>
            <w:tcW w:w="1993" w:type="dxa"/>
            <w:tcBorders>
              <w:top w:val="single" w:color="auto" w:sz="4" w:space="0"/>
              <w:left w:val="single" w:color="auto" w:sz="4" w:space="0"/>
              <w:bottom w:val="single" w:color="auto" w:sz="4" w:space="0"/>
              <w:right w:val="single" w:color="auto" w:sz="4" w:space="0"/>
            </w:tcBorders>
            <w:vAlign w:val="center"/>
          </w:tcPr>
          <w:p w14:paraId="1C2DD4AB">
            <w:pPr>
              <w:spacing w:line="360" w:lineRule="auto"/>
              <w:rPr>
                <w:rFonts w:ascii="宋体" w:hAnsi="宋体" w:cs="宋体"/>
                <w:szCs w:val="21"/>
              </w:rPr>
            </w:pPr>
            <w:bookmarkStart w:id="52" w:name="_17.1"/>
            <w:bookmarkEnd w:id="52"/>
            <w:r>
              <w:rPr>
                <w:rFonts w:hint="eastAsia" w:ascii="宋体" w:hAnsi="宋体" w:cs="宋体"/>
                <w:szCs w:val="21"/>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254460AB">
            <w:pPr>
              <w:snapToGrid w:val="0"/>
              <w:spacing w:line="360" w:lineRule="auto"/>
              <w:rPr>
                <w:rFonts w:ascii="宋体" w:hAnsi="宋体" w:cs="宋体"/>
                <w:szCs w:val="21"/>
              </w:rPr>
            </w:pPr>
            <w:r>
              <w:rPr>
                <w:rFonts w:hint="eastAsia" w:ascii="宋体" w:hAnsi="宋体" w:cs="宋体"/>
                <w:szCs w:val="21"/>
              </w:rPr>
              <w:t>自投标截止之日起</w:t>
            </w:r>
            <w:r>
              <w:rPr>
                <w:rFonts w:hint="eastAsia" w:ascii="宋体" w:hAnsi="宋体" w:cs="宋体"/>
                <w:szCs w:val="21"/>
                <w:u w:val="single"/>
              </w:rPr>
              <w:t xml:space="preserve"> </w:t>
            </w:r>
            <w:bookmarkStart w:id="53" w:name="PO_3000001866_PM046"/>
            <w:r>
              <w:rPr>
                <w:rFonts w:hint="eastAsia" w:ascii="宋体" w:hAnsi="宋体" w:cs="宋体"/>
                <w:szCs w:val="21"/>
                <w:u w:val="single"/>
              </w:rPr>
              <w:t>60日历天</w:t>
            </w:r>
            <w:bookmarkEnd w:id="53"/>
            <w:r>
              <w:rPr>
                <w:rFonts w:hint="eastAsia" w:ascii="宋体" w:hAnsi="宋体" w:cs="宋体"/>
                <w:szCs w:val="21"/>
              </w:rPr>
              <w:t>日。</w:t>
            </w:r>
          </w:p>
        </w:tc>
      </w:tr>
      <w:tr w14:paraId="6B96F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065191ED">
            <w:pPr>
              <w:spacing w:line="360" w:lineRule="auto"/>
              <w:rPr>
                <w:rFonts w:ascii="宋体" w:hAnsi="宋体" w:cs="宋体"/>
                <w:szCs w:val="21"/>
              </w:rPr>
            </w:pPr>
            <w:r>
              <w:rPr>
                <w:rFonts w:hint="eastAsia" w:ascii="宋体" w:hAnsi="宋体" w:cs="宋体"/>
                <w:szCs w:val="21"/>
              </w:rPr>
              <w:t>18</w:t>
            </w:r>
          </w:p>
        </w:tc>
        <w:tc>
          <w:tcPr>
            <w:tcW w:w="1993" w:type="dxa"/>
            <w:tcBorders>
              <w:top w:val="single" w:color="auto" w:sz="4" w:space="0"/>
              <w:left w:val="single" w:color="auto" w:sz="4" w:space="0"/>
              <w:bottom w:val="single" w:color="auto" w:sz="4" w:space="0"/>
              <w:right w:val="single" w:color="auto" w:sz="4" w:space="0"/>
            </w:tcBorders>
            <w:vAlign w:val="center"/>
          </w:tcPr>
          <w:p w14:paraId="0257E04E">
            <w:pPr>
              <w:spacing w:line="360" w:lineRule="auto"/>
              <w:rPr>
                <w:rFonts w:ascii="宋体" w:hAnsi="宋体" w:cs="宋体"/>
                <w:szCs w:val="21"/>
              </w:rPr>
            </w:pPr>
            <w:bookmarkStart w:id="54" w:name="_18"/>
            <w:bookmarkEnd w:id="54"/>
            <w:r>
              <w:rPr>
                <w:rFonts w:hint="eastAsia" w:ascii="宋体" w:hAnsi="宋体" w:cs="宋体"/>
                <w:szCs w:val="21"/>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0044D473">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本项目不收取投标保证金。</w:t>
            </w:r>
          </w:p>
        </w:tc>
      </w:tr>
      <w:tr w14:paraId="29270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19A2C5EA">
            <w:pPr>
              <w:spacing w:line="360" w:lineRule="auto"/>
              <w:rPr>
                <w:rFonts w:ascii="宋体" w:hAnsi="宋体" w:cs="宋体"/>
                <w:szCs w:val="21"/>
              </w:rPr>
            </w:pPr>
            <w:r>
              <w:rPr>
                <w:rFonts w:hint="eastAsia" w:ascii="宋体" w:hAnsi="宋体" w:cs="宋体"/>
                <w:szCs w:val="21"/>
              </w:rPr>
              <w:t>19.1</w:t>
            </w:r>
          </w:p>
        </w:tc>
        <w:tc>
          <w:tcPr>
            <w:tcW w:w="1993" w:type="dxa"/>
            <w:tcBorders>
              <w:top w:val="single" w:color="auto" w:sz="4" w:space="0"/>
              <w:left w:val="single" w:color="auto" w:sz="4" w:space="0"/>
              <w:bottom w:val="single" w:color="auto" w:sz="4" w:space="0"/>
              <w:right w:val="single" w:color="auto" w:sz="4" w:space="0"/>
            </w:tcBorders>
            <w:vAlign w:val="center"/>
          </w:tcPr>
          <w:p w14:paraId="148F5D6E">
            <w:pPr>
              <w:spacing w:line="360" w:lineRule="auto"/>
              <w:rPr>
                <w:rFonts w:ascii="宋体" w:hAnsi="宋体" w:cs="宋体"/>
                <w:szCs w:val="21"/>
              </w:rPr>
            </w:pPr>
            <w:r>
              <w:rPr>
                <w:rFonts w:hint="eastAsia" w:ascii="宋体" w:hAnsi="宋体" w:cs="宋体"/>
                <w:szCs w:val="21"/>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5AFFFA02">
            <w:pPr>
              <w:spacing w:line="360" w:lineRule="auto"/>
              <w:rPr>
                <w:rFonts w:ascii="宋体" w:hAnsi="宋体" w:cs="宋体"/>
                <w:b/>
                <w:szCs w:val="21"/>
                <w:u w:val="single"/>
              </w:rPr>
            </w:pPr>
            <w:r>
              <w:rPr>
                <w:rFonts w:hint="eastAsia" w:ascii="宋体" w:hAnsi="宋体" w:cs="宋体"/>
                <w:szCs w:val="21"/>
              </w:rPr>
              <w:t>投标文件应按报价文件、资格证明文件、商务文件、技术文件分别编制，报价文件、资格证明文件分别生产电子文件，商务文件和技术文件按顺序合并生成电子文件。</w:t>
            </w:r>
            <w:r>
              <w:rPr>
                <w:rFonts w:hint="eastAsia" w:ascii="宋体" w:hAnsi="宋体" w:cs="宋体"/>
                <w:b/>
                <w:szCs w:val="21"/>
                <w:u w:val="single"/>
              </w:rPr>
              <w:t>电子版投标文件制作方式见招标公告附件。</w:t>
            </w:r>
          </w:p>
        </w:tc>
      </w:tr>
      <w:tr w14:paraId="534AB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5A8FFC84">
            <w:pPr>
              <w:spacing w:line="360" w:lineRule="auto"/>
              <w:rPr>
                <w:rFonts w:ascii="宋体" w:hAnsi="宋体" w:cs="宋体"/>
                <w:szCs w:val="21"/>
              </w:rPr>
            </w:pPr>
            <w:r>
              <w:rPr>
                <w:rFonts w:hint="eastAsia" w:ascii="宋体" w:hAnsi="宋体" w:cs="宋体"/>
                <w:szCs w:val="21"/>
              </w:rPr>
              <w:t>20</w:t>
            </w:r>
          </w:p>
        </w:tc>
        <w:tc>
          <w:tcPr>
            <w:tcW w:w="1993" w:type="dxa"/>
            <w:tcBorders>
              <w:top w:val="single" w:color="auto" w:sz="4" w:space="0"/>
              <w:left w:val="single" w:color="auto" w:sz="4" w:space="0"/>
              <w:bottom w:val="single" w:color="auto" w:sz="4" w:space="0"/>
              <w:right w:val="single" w:color="auto" w:sz="4" w:space="0"/>
            </w:tcBorders>
            <w:vAlign w:val="center"/>
          </w:tcPr>
          <w:p w14:paraId="60D72A0B">
            <w:pPr>
              <w:spacing w:line="360" w:lineRule="auto"/>
              <w:rPr>
                <w:rFonts w:ascii="宋体" w:hAnsi="宋体" w:cs="宋体"/>
                <w:szCs w:val="21"/>
              </w:rPr>
            </w:pPr>
            <w:r>
              <w:rPr>
                <w:rFonts w:hint="eastAsia" w:ascii="宋体" w:hAnsi="宋体" w:cs="宋体"/>
                <w:szCs w:val="21"/>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3974DCE3">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本项目不接受备份投标文件。</w:t>
            </w:r>
          </w:p>
        </w:tc>
      </w:tr>
      <w:tr w14:paraId="7A77C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50" w:type="dxa"/>
            <w:vMerge w:val="restart"/>
            <w:tcBorders>
              <w:top w:val="single" w:color="auto" w:sz="4" w:space="0"/>
              <w:left w:val="single" w:color="auto" w:sz="4" w:space="0"/>
              <w:right w:val="single" w:color="auto" w:sz="4" w:space="0"/>
            </w:tcBorders>
            <w:vAlign w:val="center"/>
          </w:tcPr>
          <w:p w14:paraId="73910E6D">
            <w:pPr>
              <w:spacing w:line="360" w:lineRule="auto"/>
              <w:rPr>
                <w:rFonts w:ascii="宋体" w:hAnsi="宋体" w:cs="宋体"/>
                <w:szCs w:val="21"/>
              </w:rPr>
            </w:pPr>
            <w:r>
              <w:rPr>
                <w:rFonts w:hint="eastAsia" w:ascii="宋体" w:hAnsi="宋体" w:cs="宋体"/>
                <w:szCs w:val="21"/>
              </w:rPr>
              <w:t>21.1</w:t>
            </w:r>
          </w:p>
        </w:tc>
        <w:tc>
          <w:tcPr>
            <w:tcW w:w="1993" w:type="dxa"/>
            <w:tcBorders>
              <w:top w:val="single" w:color="auto" w:sz="4" w:space="0"/>
              <w:left w:val="single" w:color="auto" w:sz="4" w:space="0"/>
              <w:bottom w:val="single" w:color="auto" w:sz="4" w:space="0"/>
              <w:right w:val="single" w:color="auto" w:sz="4" w:space="0"/>
            </w:tcBorders>
            <w:vAlign w:val="center"/>
          </w:tcPr>
          <w:p w14:paraId="1EE34DFB">
            <w:pPr>
              <w:spacing w:line="360" w:lineRule="auto"/>
              <w:rPr>
                <w:rFonts w:ascii="宋体" w:hAnsi="宋体" w:cs="宋体"/>
                <w:szCs w:val="21"/>
              </w:rPr>
            </w:pPr>
            <w:bookmarkStart w:id="55" w:name="_21.1"/>
            <w:bookmarkEnd w:id="55"/>
            <w:r>
              <w:rPr>
                <w:rFonts w:hint="eastAsia" w:ascii="宋体" w:hAnsi="宋体" w:cs="宋体"/>
                <w:szCs w:val="21"/>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11335CB2">
            <w:pPr>
              <w:snapToGrid w:val="0"/>
              <w:spacing w:line="360" w:lineRule="auto"/>
              <w:rPr>
                <w:rFonts w:ascii="宋体" w:hAnsi="宋体" w:cs="宋体"/>
                <w:szCs w:val="21"/>
                <w:u w:val="single"/>
              </w:rPr>
            </w:pPr>
            <w:r>
              <w:rPr>
                <w:rFonts w:hint="eastAsia" w:ascii="宋体" w:hAnsi="宋体" w:cs="宋体"/>
                <w:szCs w:val="21"/>
              </w:rPr>
              <w:t>详见招标公告</w:t>
            </w:r>
          </w:p>
        </w:tc>
      </w:tr>
      <w:tr w14:paraId="318A0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50" w:type="dxa"/>
            <w:vMerge w:val="continue"/>
            <w:tcBorders>
              <w:left w:val="single" w:color="auto" w:sz="4" w:space="0"/>
              <w:right w:val="single" w:color="auto" w:sz="4" w:space="0"/>
            </w:tcBorders>
            <w:vAlign w:val="center"/>
          </w:tcPr>
          <w:p w14:paraId="606F37CB">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25BC477B">
            <w:pPr>
              <w:spacing w:line="360" w:lineRule="auto"/>
              <w:rPr>
                <w:rFonts w:ascii="宋体" w:hAnsi="宋体" w:cs="宋体"/>
                <w:szCs w:val="21"/>
              </w:rPr>
            </w:pPr>
            <w:r>
              <w:rPr>
                <w:rFonts w:hint="eastAsia" w:ascii="宋体" w:hAnsi="宋体" w:cs="宋体"/>
                <w:szCs w:val="21"/>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430F0044">
            <w:pPr>
              <w:snapToGrid w:val="0"/>
              <w:spacing w:line="360" w:lineRule="auto"/>
              <w:rPr>
                <w:rFonts w:ascii="宋体" w:hAnsi="宋体" w:cs="宋体"/>
                <w:szCs w:val="21"/>
              </w:rPr>
            </w:pPr>
            <w:r>
              <w:rPr>
                <w:rFonts w:hint="eastAsia" w:ascii="宋体" w:hAnsi="宋体" w:cs="宋体"/>
                <w:szCs w:val="21"/>
              </w:rPr>
              <w:t>详见招标公告</w:t>
            </w:r>
          </w:p>
        </w:tc>
      </w:tr>
      <w:tr w14:paraId="21124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50" w:type="dxa"/>
            <w:vMerge w:val="continue"/>
            <w:tcBorders>
              <w:left w:val="single" w:color="auto" w:sz="4" w:space="0"/>
              <w:right w:val="single" w:color="auto" w:sz="4" w:space="0"/>
            </w:tcBorders>
            <w:vAlign w:val="center"/>
          </w:tcPr>
          <w:p w14:paraId="185E8130">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7C8EC91A">
            <w:pPr>
              <w:spacing w:line="360" w:lineRule="auto"/>
              <w:rPr>
                <w:rFonts w:ascii="宋体" w:hAnsi="宋体" w:cs="宋体"/>
                <w:szCs w:val="21"/>
              </w:rPr>
            </w:pPr>
            <w:r>
              <w:rPr>
                <w:rFonts w:hint="eastAsia" w:ascii="宋体" w:hAnsi="宋体" w:cs="宋体"/>
                <w:szCs w:val="21"/>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0CC5F345">
            <w:pPr>
              <w:snapToGrid w:val="0"/>
              <w:spacing w:line="360" w:lineRule="auto"/>
              <w:rPr>
                <w:rFonts w:ascii="宋体" w:hAnsi="宋体" w:cs="宋体"/>
                <w:szCs w:val="21"/>
              </w:rPr>
            </w:pPr>
            <w:r>
              <w:rPr>
                <w:rFonts w:hint="eastAsia" w:ascii="宋体" w:hAnsi="宋体" w:cs="宋体"/>
                <w:szCs w:val="21"/>
              </w:rPr>
              <w:t>详见招标公告</w:t>
            </w:r>
          </w:p>
        </w:tc>
      </w:tr>
      <w:tr w14:paraId="3EEDD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50" w:type="dxa"/>
            <w:vMerge w:val="continue"/>
            <w:tcBorders>
              <w:left w:val="single" w:color="auto" w:sz="4" w:space="0"/>
              <w:right w:val="single" w:color="auto" w:sz="4" w:space="0"/>
            </w:tcBorders>
            <w:vAlign w:val="center"/>
          </w:tcPr>
          <w:p w14:paraId="54F7A860">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3C035BF1">
            <w:pPr>
              <w:spacing w:line="360" w:lineRule="auto"/>
              <w:rPr>
                <w:rFonts w:ascii="宋体" w:hAnsi="宋体" w:cs="宋体"/>
                <w:szCs w:val="21"/>
              </w:rPr>
            </w:pPr>
            <w:r>
              <w:rPr>
                <w:rFonts w:hint="eastAsia" w:ascii="宋体" w:hAnsi="宋体" w:cs="宋体"/>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67EB0A0F">
            <w:pPr>
              <w:snapToGrid w:val="0"/>
              <w:spacing w:line="360" w:lineRule="auto"/>
              <w:rPr>
                <w:rFonts w:ascii="宋体" w:hAnsi="宋体" w:cs="宋体"/>
                <w:szCs w:val="21"/>
              </w:rPr>
            </w:pPr>
            <w:r>
              <w:rPr>
                <w:rFonts w:hint="eastAsia" w:ascii="宋体" w:hAnsi="宋体" w:cs="宋体"/>
                <w:szCs w:val="21"/>
              </w:rPr>
              <w:t>/</w:t>
            </w:r>
          </w:p>
        </w:tc>
      </w:tr>
      <w:tr w14:paraId="422D1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452AAA08">
            <w:pPr>
              <w:spacing w:line="360" w:lineRule="auto"/>
              <w:rPr>
                <w:rFonts w:ascii="宋体" w:hAnsi="宋体" w:cs="宋体"/>
                <w:szCs w:val="21"/>
              </w:rPr>
            </w:pPr>
            <w:r>
              <w:rPr>
                <w:rFonts w:hint="eastAsia" w:ascii="宋体" w:hAnsi="宋体" w:cs="宋体"/>
                <w:szCs w:val="21"/>
              </w:rPr>
              <w:t>23</w:t>
            </w:r>
          </w:p>
        </w:tc>
        <w:tc>
          <w:tcPr>
            <w:tcW w:w="1993" w:type="dxa"/>
            <w:tcBorders>
              <w:top w:val="single" w:color="auto" w:sz="4" w:space="0"/>
              <w:left w:val="single" w:color="auto" w:sz="4" w:space="0"/>
              <w:bottom w:val="single" w:color="auto" w:sz="4" w:space="0"/>
              <w:right w:val="single" w:color="auto" w:sz="4" w:space="0"/>
            </w:tcBorders>
            <w:vAlign w:val="center"/>
          </w:tcPr>
          <w:p w14:paraId="10C9D57E">
            <w:pPr>
              <w:spacing w:line="360" w:lineRule="auto"/>
              <w:rPr>
                <w:rFonts w:ascii="宋体" w:hAnsi="宋体" w:cs="宋体"/>
                <w:szCs w:val="21"/>
              </w:rPr>
            </w:pPr>
            <w:bookmarkStart w:id="56" w:name="_23"/>
            <w:bookmarkEnd w:id="56"/>
            <w:r>
              <w:rPr>
                <w:rFonts w:hint="eastAsia" w:ascii="宋体" w:hAnsi="宋体" w:cs="宋体"/>
                <w:szCs w:val="21"/>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2A0FFB6C">
            <w:pPr>
              <w:snapToGrid w:val="0"/>
              <w:spacing w:line="360" w:lineRule="auto"/>
              <w:rPr>
                <w:rFonts w:ascii="宋体" w:hAnsi="宋体" w:cs="宋体"/>
                <w:szCs w:val="21"/>
              </w:rPr>
            </w:pPr>
            <w:r>
              <w:rPr>
                <w:rFonts w:hint="eastAsia" w:ascii="宋体" w:hAnsi="宋体" w:cs="宋体"/>
                <w:szCs w:val="21"/>
              </w:rPr>
              <w:t xml:space="preserve">详见招标公告 </w:t>
            </w:r>
          </w:p>
        </w:tc>
      </w:tr>
      <w:tr w14:paraId="5B4DD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950" w:type="dxa"/>
            <w:vMerge w:val="restart"/>
            <w:tcBorders>
              <w:top w:val="single" w:color="auto" w:sz="4" w:space="0"/>
              <w:left w:val="single" w:color="auto" w:sz="4" w:space="0"/>
              <w:right w:val="single" w:color="auto" w:sz="4" w:space="0"/>
            </w:tcBorders>
            <w:vAlign w:val="center"/>
          </w:tcPr>
          <w:p w14:paraId="57E4AF94">
            <w:pPr>
              <w:spacing w:line="360" w:lineRule="auto"/>
              <w:rPr>
                <w:rFonts w:ascii="宋体" w:hAnsi="宋体" w:cs="宋体"/>
                <w:szCs w:val="21"/>
              </w:rPr>
            </w:pPr>
            <w:r>
              <w:rPr>
                <w:rFonts w:hint="eastAsia" w:ascii="宋体" w:hAnsi="宋体" w:cs="宋体"/>
                <w:szCs w:val="21"/>
              </w:rPr>
              <w:t>25.3（2）</w:t>
            </w:r>
          </w:p>
        </w:tc>
        <w:tc>
          <w:tcPr>
            <w:tcW w:w="1993" w:type="dxa"/>
            <w:tcBorders>
              <w:top w:val="single" w:color="auto" w:sz="4" w:space="0"/>
              <w:left w:val="single" w:color="auto" w:sz="4" w:space="0"/>
              <w:bottom w:val="single" w:color="auto" w:sz="4" w:space="0"/>
              <w:right w:val="single" w:color="auto" w:sz="4" w:space="0"/>
            </w:tcBorders>
            <w:vAlign w:val="center"/>
          </w:tcPr>
          <w:p w14:paraId="7B30A8D6">
            <w:pPr>
              <w:spacing w:line="360" w:lineRule="auto"/>
              <w:rPr>
                <w:rFonts w:ascii="宋体" w:hAnsi="宋体" w:cs="宋体"/>
                <w:szCs w:val="21"/>
              </w:rPr>
            </w:pPr>
            <w:bookmarkStart w:id="57" w:name="_25.3"/>
            <w:bookmarkEnd w:id="57"/>
            <w:r>
              <w:rPr>
                <w:rFonts w:hint="eastAsia" w:ascii="宋体" w:hAnsi="宋体" w:cs="宋体"/>
                <w:szCs w:val="21"/>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14CA2569">
            <w:pPr>
              <w:snapToGrid w:val="0"/>
              <w:spacing w:line="360" w:lineRule="auto"/>
              <w:rPr>
                <w:rFonts w:ascii="宋体" w:hAnsi="宋体" w:cs="宋体"/>
                <w:szCs w:val="21"/>
              </w:rPr>
            </w:pPr>
            <w:r>
              <w:rPr>
                <w:rFonts w:hint="eastAsia" w:ascii="宋体" w:hAnsi="宋体" w:cs="宋体"/>
                <w:szCs w:val="21"/>
              </w:rPr>
              <w:t>采购人或者采购代理机构在资格审查结束前，对投标人进行信用查询。</w:t>
            </w:r>
          </w:p>
          <w:p w14:paraId="2A09F6CD">
            <w:pPr>
              <w:snapToGrid w:val="0"/>
              <w:spacing w:line="360" w:lineRule="auto"/>
              <w:rPr>
                <w:rFonts w:ascii="宋体" w:hAnsi="宋体" w:cs="宋体"/>
                <w:szCs w:val="21"/>
              </w:rPr>
            </w:pPr>
            <w:r>
              <w:rPr>
                <w:rFonts w:hint="eastAsia" w:ascii="宋体" w:hAnsi="宋体" w:cs="宋体"/>
                <w:szCs w:val="21"/>
              </w:rPr>
              <w:t>查询渠道：“信用中国”网站（www.creditchina.gov.cn) 、中国政府采购网（www.ccgp.gov.cn)。</w:t>
            </w:r>
          </w:p>
        </w:tc>
      </w:tr>
      <w:tr w14:paraId="4AC50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50" w:type="dxa"/>
            <w:vMerge w:val="continue"/>
            <w:tcBorders>
              <w:left w:val="single" w:color="auto" w:sz="4" w:space="0"/>
              <w:right w:val="single" w:color="auto" w:sz="4" w:space="0"/>
            </w:tcBorders>
            <w:vAlign w:val="center"/>
          </w:tcPr>
          <w:p w14:paraId="5576BC59">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472492B9">
            <w:pPr>
              <w:spacing w:line="360" w:lineRule="auto"/>
              <w:rPr>
                <w:rFonts w:ascii="宋体" w:hAnsi="宋体" w:cs="宋体"/>
                <w:szCs w:val="21"/>
              </w:rPr>
            </w:pPr>
            <w:r>
              <w:rPr>
                <w:rFonts w:hint="eastAsia" w:ascii="宋体" w:hAnsi="宋体" w:cs="宋体"/>
                <w:szCs w:val="21"/>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611DAEBA">
            <w:pPr>
              <w:snapToGrid w:val="0"/>
              <w:spacing w:line="360" w:lineRule="auto"/>
              <w:rPr>
                <w:rFonts w:ascii="宋体" w:hAnsi="宋体" w:cs="宋体"/>
                <w:szCs w:val="21"/>
              </w:rPr>
            </w:pPr>
            <w:r>
              <w:rPr>
                <w:rFonts w:hint="eastAsia" w:ascii="宋体" w:hAnsi="宋体" w:cs="宋体"/>
                <w:szCs w:val="21"/>
              </w:rPr>
              <w:t>资格审查结束前</w:t>
            </w:r>
          </w:p>
        </w:tc>
      </w:tr>
      <w:tr w14:paraId="0D88D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50" w:type="dxa"/>
            <w:vMerge w:val="continue"/>
            <w:tcBorders>
              <w:left w:val="single" w:color="auto" w:sz="4" w:space="0"/>
              <w:right w:val="single" w:color="auto" w:sz="4" w:space="0"/>
            </w:tcBorders>
            <w:vAlign w:val="center"/>
          </w:tcPr>
          <w:p w14:paraId="03E4557F">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69B09CAF">
            <w:pPr>
              <w:spacing w:line="360" w:lineRule="auto"/>
              <w:rPr>
                <w:rFonts w:ascii="宋体" w:hAnsi="宋体" w:cs="宋体"/>
                <w:szCs w:val="21"/>
              </w:rPr>
            </w:pPr>
            <w:r>
              <w:rPr>
                <w:rFonts w:hint="eastAsia" w:ascii="宋体" w:hAnsi="宋体" w:cs="宋体"/>
                <w:szCs w:val="21"/>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3777E494">
            <w:pPr>
              <w:snapToGrid w:val="0"/>
              <w:spacing w:line="360" w:lineRule="auto"/>
              <w:rPr>
                <w:rFonts w:ascii="宋体" w:hAnsi="宋体" w:cs="宋体"/>
                <w:szCs w:val="21"/>
              </w:rPr>
            </w:pPr>
            <w:r>
              <w:rPr>
                <w:rFonts w:hint="eastAsia" w:ascii="宋体" w:hAnsi="宋体" w:cs="宋体"/>
                <w:szCs w:val="21"/>
              </w:rPr>
              <w:t>在查询网站中直接截图查询记录，截图作为在“政采云”平台作为附件上传保存。</w:t>
            </w:r>
          </w:p>
        </w:tc>
      </w:tr>
      <w:tr w14:paraId="71F7A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50" w:type="dxa"/>
            <w:vMerge w:val="continue"/>
            <w:tcBorders>
              <w:left w:val="single" w:color="auto" w:sz="4" w:space="0"/>
              <w:bottom w:val="single" w:color="auto" w:sz="4" w:space="0"/>
              <w:right w:val="single" w:color="auto" w:sz="4" w:space="0"/>
            </w:tcBorders>
            <w:vAlign w:val="center"/>
          </w:tcPr>
          <w:p w14:paraId="55AE42DE">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19482D3F">
            <w:pPr>
              <w:spacing w:line="360" w:lineRule="auto"/>
              <w:rPr>
                <w:rFonts w:ascii="宋体" w:hAnsi="宋体" w:cs="宋体"/>
                <w:szCs w:val="21"/>
              </w:rPr>
            </w:pPr>
            <w:r>
              <w:rPr>
                <w:rFonts w:hint="eastAsia" w:ascii="宋体" w:hAnsi="宋体" w:cs="宋体"/>
                <w:szCs w:val="21"/>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00FC8143">
            <w:pPr>
              <w:snapToGrid w:val="0"/>
              <w:spacing w:line="360" w:lineRule="auto"/>
              <w:rPr>
                <w:rFonts w:ascii="宋体" w:hAnsi="宋体" w:cs="宋体"/>
                <w:szCs w:val="21"/>
              </w:rPr>
            </w:pPr>
            <w:r>
              <w:rPr>
                <w:rFonts w:hint="eastAsia" w:ascii="宋体" w:hAnsi="宋体" w:cs="宋体"/>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7192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44512636">
            <w:pPr>
              <w:spacing w:line="360" w:lineRule="auto"/>
              <w:rPr>
                <w:rFonts w:ascii="宋体" w:hAnsi="宋体" w:cs="宋体"/>
                <w:szCs w:val="21"/>
              </w:rPr>
            </w:pPr>
            <w:r>
              <w:rPr>
                <w:rFonts w:hint="eastAsia" w:ascii="宋体" w:hAnsi="宋体" w:cs="宋体"/>
                <w:szCs w:val="21"/>
              </w:rPr>
              <w:t>29.1</w:t>
            </w:r>
          </w:p>
        </w:tc>
        <w:tc>
          <w:tcPr>
            <w:tcW w:w="1993" w:type="dxa"/>
            <w:tcBorders>
              <w:top w:val="single" w:color="auto" w:sz="4" w:space="0"/>
              <w:left w:val="single" w:color="auto" w:sz="4" w:space="0"/>
              <w:bottom w:val="single" w:color="auto" w:sz="4" w:space="0"/>
              <w:right w:val="single" w:color="auto" w:sz="4" w:space="0"/>
            </w:tcBorders>
            <w:vAlign w:val="center"/>
          </w:tcPr>
          <w:p w14:paraId="7833AC92">
            <w:pPr>
              <w:spacing w:line="360" w:lineRule="auto"/>
              <w:rPr>
                <w:rFonts w:ascii="宋体" w:hAnsi="宋体" w:cs="宋体"/>
                <w:szCs w:val="21"/>
              </w:rPr>
            </w:pPr>
            <w:bookmarkStart w:id="58" w:name="_26"/>
            <w:bookmarkEnd w:id="58"/>
            <w:bookmarkStart w:id="59" w:name="_28.3"/>
            <w:bookmarkEnd w:id="59"/>
            <w:r>
              <w:rPr>
                <w:rFonts w:hint="eastAsia" w:ascii="宋体" w:hAnsi="宋体" w:cs="宋体"/>
                <w:szCs w:val="21"/>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71705DC3">
            <w:pPr>
              <w:autoSpaceDE w:val="0"/>
              <w:autoSpaceDN w:val="0"/>
              <w:snapToGrid w:val="0"/>
              <w:spacing w:line="360" w:lineRule="auto"/>
              <w:textAlignment w:val="bottom"/>
              <w:rPr>
                <w:rFonts w:ascii="宋体" w:hAnsi="宋体" w:cs="宋体"/>
                <w:szCs w:val="21"/>
              </w:rPr>
            </w:pPr>
            <w:r>
              <w:rPr>
                <w:rFonts w:hint="eastAsia" w:ascii="宋体" w:hAnsi="宋体" w:cs="宋体"/>
                <w:szCs w:val="21"/>
              </w:rPr>
              <w:t>☑综合评分法</w:t>
            </w:r>
          </w:p>
          <w:p w14:paraId="7ECA0470">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□最低评标价法</w:t>
            </w:r>
          </w:p>
        </w:tc>
      </w:tr>
      <w:tr w14:paraId="4705B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50" w:type="dxa"/>
            <w:tcBorders>
              <w:top w:val="single" w:color="auto" w:sz="4" w:space="0"/>
              <w:left w:val="single" w:color="auto" w:sz="4" w:space="0"/>
              <w:right w:val="single" w:color="auto" w:sz="4" w:space="0"/>
            </w:tcBorders>
            <w:vAlign w:val="center"/>
          </w:tcPr>
          <w:p w14:paraId="0BF762F6">
            <w:pPr>
              <w:spacing w:line="360" w:lineRule="auto"/>
              <w:rPr>
                <w:rFonts w:ascii="宋体" w:hAnsi="宋体" w:cs="宋体"/>
                <w:szCs w:val="21"/>
              </w:rPr>
            </w:pPr>
            <w:r>
              <w:rPr>
                <w:rFonts w:hint="eastAsia" w:ascii="宋体" w:hAnsi="宋体" w:cs="宋体"/>
                <w:szCs w:val="21"/>
              </w:rPr>
              <w:t>29.2</w:t>
            </w:r>
          </w:p>
        </w:tc>
        <w:tc>
          <w:tcPr>
            <w:tcW w:w="1993" w:type="dxa"/>
            <w:tcBorders>
              <w:top w:val="single" w:color="auto" w:sz="4" w:space="0"/>
              <w:left w:val="single" w:color="auto" w:sz="4" w:space="0"/>
              <w:right w:val="single" w:color="auto" w:sz="4" w:space="0"/>
            </w:tcBorders>
            <w:vAlign w:val="center"/>
          </w:tcPr>
          <w:p w14:paraId="2C9C2E11">
            <w:pPr>
              <w:spacing w:line="360" w:lineRule="auto"/>
              <w:rPr>
                <w:rFonts w:ascii="宋体" w:hAnsi="宋体" w:cs="宋体"/>
                <w:szCs w:val="21"/>
              </w:rPr>
            </w:pPr>
            <w:bookmarkStart w:id="60" w:name="_29.2.2（2）"/>
            <w:bookmarkEnd w:id="60"/>
            <w:r>
              <w:rPr>
                <w:rFonts w:hint="eastAsia" w:ascii="宋体" w:hAnsi="宋体" w:cs="宋体"/>
                <w:szCs w:val="21"/>
              </w:rPr>
              <w:t>允许负偏离项</w:t>
            </w:r>
          </w:p>
        </w:tc>
        <w:tc>
          <w:tcPr>
            <w:tcW w:w="7297" w:type="dxa"/>
            <w:tcBorders>
              <w:top w:val="single" w:color="auto" w:sz="4" w:space="0"/>
              <w:left w:val="single" w:color="auto" w:sz="4" w:space="0"/>
              <w:right w:val="single" w:color="auto" w:sz="4" w:space="0"/>
            </w:tcBorders>
            <w:vAlign w:val="center"/>
          </w:tcPr>
          <w:p w14:paraId="7EA00C93">
            <w:pPr>
              <w:snapToGrid w:val="0"/>
              <w:spacing w:line="360" w:lineRule="auto"/>
              <w:rPr>
                <w:rFonts w:ascii="宋体" w:hAnsi="宋体" w:cs="宋体"/>
                <w:szCs w:val="21"/>
              </w:rPr>
            </w:pPr>
            <w:r>
              <w:rPr>
                <w:rFonts w:hint="eastAsia" w:ascii="宋体" w:hAnsi="宋体" w:cs="宋体"/>
                <w:szCs w:val="21"/>
              </w:rPr>
              <w:t>A分标：商务条款评审中允许负偏离的条款数为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5D0F71C4">
            <w:pPr>
              <w:snapToGrid w:val="0"/>
              <w:spacing w:line="360" w:lineRule="auto"/>
              <w:ind w:firstLine="840" w:firstLineChars="400"/>
              <w:rPr>
                <w:rFonts w:ascii="宋体" w:hAnsi="宋体" w:cs="宋体"/>
                <w:szCs w:val="21"/>
              </w:rPr>
            </w:pPr>
            <w:r>
              <w:rPr>
                <w:rFonts w:hint="eastAsia" w:ascii="宋体" w:hAnsi="宋体" w:cs="宋体"/>
                <w:szCs w:val="21"/>
              </w:rPr>
              <w:t>技术需求评审中允许负偏离的条款数为</w:t>
            </w:r>
            <w:r>
              <w:rPr>
                <w:rFonts w:hint="eastAsia" w:ascii="宋体" w:hAnsi="宋体" w:cs="宋体"/>
                <w:szCs w:val="21"/>
                <w:u w:val="single"/>
              </w:rPr>
              <w:t xml:space="preserve"> 5  </w:t>
            </w:r>
            <w:r>
              <w:rPr>
                <w:rFonts w:hint="eastAsia" w:ascii="宋体" w:hAnsi="宋体" w:cs="宋体"/>
                <w:szCs w:val="21"/>
              </w:rPr>
              <w:t>项。</w:t>
            </w:r>
          </w:p>
          <w:p w14:paraId="348C4A8A">
            <w:pPr>
              <w:snapToGrid w:val="0"/>
              <w:spacing w:line="360" w:lineRule="auto"/>
              <w:rPr>
                <w:rFonts w:ascii="宋体" w:hAnsi="宋体" w:cs="宋体"/>
                <w:szCs w:val="21"/>
              </w:rPr>
            </w:pPr>
          </w:p>
          <w:p w14:paraId="05145DEA">
            <w:pPr>
              <w:snapToGrid w:val="0"/>
              <w:spacing w:line="360" w:lineRule="auto"/>
              <w:rPr>
                <w:rFonts w:ascii="宋体" w:hAnsi="宋体" w:cs="宋体"/>
                <w:szCs w:val="21"/>
              </w:rPr>
            </w:pPr>
            <w:r>
              <w:rPr>
                <w:rFonts w:hint="eastAsia" w:ascii="宋体" w:hAnsi="宋体" w:cs="宋体"/>
                <w:szCs w:val="21"/>
              </w:rPr>
              <w:t>B分标：商务条款评审中允许负偏离的条款数为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79637BF2">
            <w:pPr>
              <w:snapToGrid w:val="0"/>
              <w:spacing w:line="360" w:lineRule="auto"/>
              <w:ind w:firstLine="840" w:firstLineChars="400"/>
              <w:rPr>
                <w:rFonts w:ascii="宋体" w:hAnsi="宋体" w:cs="宋体"/>
                <w:szCs w:val="21"/>
              </w:rPr>
            </w:pPr>
            <w:r>
              <w:rPr>
                <w:rFonts w:hint="eastAsia" w:ascii="宋体" w:hAnsi="宋体" w:cs="宋体"/>
                <w:szCs w:val="21"/>
              </w:rPr>
              <w:t>技术需求评审中允许负偏离的条款数为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7896FDFA">
            <w:pPr>
              <w:snapToGrid w:val="0"/>
              <w:spacing w:line="360" w:lineRule="auto"/>
              <w:rPr>
                <w:rFonts w:ascii="宋体" w:hAnsi="宋体" w:cs="宋体"/>
                <w:szCs w:val="21"/>
              </w:rPr>
            </w:pPr>
          </w:p>
          <w:p w14:paraId="539A64D1">
            <w:pPr>
              <w:snapToGrid w:val="0"/>
              <w:spacing w:line="360" w:lineRule="auto"/>
              <w:rPr>
                <w:rFonts w:ascii="宋体" w:hAnsi="宋体" w:cs="宋体"/>
                <w:szCs w:val="21"/>
              </w:rPr>
            </w:pPr>
            <w:r>
              <w:rPr>
                <w:rFonts w:hint="eastAsia" w:ascii="宋体" w:hAnsi="宋体" w:cs="宋体"/>
                <w:szCs w:val="21"/>
              </w:rPr>
              <w:t>C分标：商务条款评审中允许负偏离的条款数为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651A8FA6">
            <w:pPr>
              <w:snapToGrid w:val="0"/>
              <w:spacing w:line="360" w:lineRule="auto"/>
              <w:ind w:firstLine="840" w:firstLineChars="400"/>
              <w:rPr>
                <w:rFonts w:ascii="宋体" w:hAnsi="宋体" w:cs="宋体"/>
                <w:szCs w:val="21"/>
              </w:rPr>
            </w:pPr>
            <w:r>
              <w:rPr>
                <w:rFonts w:hint="eastAsia" w:ascii="宋体" w:hAnsi="宋体" w:cs="宋体"/>
                <w:szCs w:val="21"/>
              </w:rPr>
              <w:t>技术需求评审中允许负偏离的条款数为</w:t>
            </w:r>
            <w:r>
              <w:rPr>
                <w:rFonts w:hint="eastAsia" w:ascii="宋体" w:hAnsi="宋体" w:cs="宋体"/>
                <w:szCs w:val="21"/>
                <w:u w:val="single"/>
              </w:rPr>
              <w:t xml:space="preserve"> </w:t>
            </w:r>
            <w:r>
              <w:rPr>
                <w:rFonts w:hint="eastAsia" w:ascii="宋体" w:hAnsi="宋体" w:cs="宋体"/>
                <w:szCs w:val="21"/>
                <w:u w:val="single"/>
                <w:lang w:val="en-US" w:eastAsia="zh-CN"/>
              </w:rPr>
              <w:t>5</w:t>
            </w:r>
            <w:r>
              <w:rPr>
                <w:rFonts w:hint="eastAsia" w:ascii="宋体" w:hAnsi="宋体" w:cs="宋体"/>
                <w:szCs w:val="21"/>
                <w:u w:val="single"/>
              </w:rPr>
              <w:t xml:space="preserve">  </w:t>
            </w:r>
            <w:r>
              <w:rPr>
                <w:rFonts w:hint="eastAsia" w:ascii="宋体" w:hAnsi="宋体" w:cs="宋体"/>
                <w:szCs w:val="21"/>
              </w:rPr>
              <w:t>项。</w:t>
            </w:r>
          </w:p>
        </w:tc>
      </w:tr>
      <w:tr w14:paraId="113BE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41824296">
            <w:pPr>
              <w:spacing w:line="360" w:lineRule="auto"/>
              <w:rPr>
                <w:rFonts w:ascii="宋体" w:hAnsi="宋体" w:cs="宋体"/>
                <w:szCs w:val="21"/>
              </w:rPr>
            </w:pPr>
            <w:r>
              <w:rPr>
                <w:rFonts w:hint="eastAsia" w:ascii="宋体" w:hAnsi="宋体" w:cs="宋体"/>
                <w:szCs w:val="21"/>
              </w:rPr>
              <w:t>30.1</w:t>
            </w:r>
          </w:p>
        </w:tc>
        <w:tc>
          <w:tcPr>
            <w:tcW w:w="1993" w:type="dxa"/>
            <w:tcBorders>
              <w:top w:val="single" w:color="auto" w:sz="4" w:space="0"/>
              <w:left w:val="single" w:color="auto" w:sz="4" w:space="0"/>
              <w:bottom w:val="single" w:color="auto" w:sz="4" w:space="0"/>
              <w:right w:val="single" w:color="auto" w:sz="4" w:space="0"/>
            </w:tcBorders>
            <w:vAlign w:val="center"/>
          </w:tcPr>
          <w:p w14:paraId="3D41456A">
            <w:pPr>
              <w:autoSpaceDE w:val="0"/>
              <w:autoSpaceDN w:val="0"/>
              <w:snapToGrid w:val="0"/>
              <w:spacing w:line="360" w:lineRule="auto"/>
              <w:textAlignment w:val="bottom"/>
              <w:rPr>
                <w:rFonts w:ascii="宋体" w:hAnsi="宋体" w:cs="宋体"/>
                <w:szCs w:val="21"/>
              </w:rPr>
            </w:pPr>
            <w:r>
              <w:rPr>
                <w:rFonts w:hint="eastAsia" w:ascii="宋体" w:hAnsi="宋体" w:cs="宋体"/>
                <w:szCs w:val="21"/>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0C10D3F2">
            <w:pPr>
              <w:autoSpaceDE w:val="0"/>
              <w:autoSpaceDN w:val="0"/>
              <w:snapToGrid w:val="0"/>
              <w:spacing w:line="360" w:lineRule="auto"/>
              <w:textAlignment w:val="bottom"/>
              <w:rPr>
                <w:rFonts w:ascii="宋体" w:hAnsi="宋体" w:cs="宋体"/>
                <w:szCs w:val="21"/>
              </w:rPr>
            </w:pPr>
            <w:r>
              <w:rPr>
                <w:rFonts w:hint="eastAsia" w:ascii="宋体" w:hAnsi="宋体" w:cs="宋体"/>
                <w:szCs w:val="21"/>
              </w:rPr>
              <w:t xml:space="preserve">□采用最低评标价法的，投标文件满足招标文件全部实质性要求且投标报价最低的投标人为排名第一的中标候选人； </w:t>
            </w:r>
          </w:p>
          <w:p w14:paraId="7C9F959F">
            <w:pPr>
              <w:autoSpaceDE w:val="0"/>
              <w:autoSpaceDN w:val="0"/>
              <w:snapToGrid w:val="0"/>
              <w:spacing w:line="360" w:lineRule="auto"/>
              <w:textAlignment w:val="bottom"/>
              <w:rPr>
                <w:rFonts w:ascii="宋体" w:hAnsi="宋体" w:cs="宋体"/>
                <w:b/>
                <w:szCs w:val="21"/>
              </w:rPr>
            </w:pPr>
            <w:r>
              <w:rPr>
                <w:rFonts w:hint="eastAsia" w:ascii="宋体" w:hAnsi="宋体" w:cs="宋体"/>
                <w:szCs w:val="21"/>
              </w:rPr>
              <w:t>☑采用综合评分法的，按投标报价由低到高顺序排列。得分且投标报价相同的并列。投标文件满足招标文件全部实质性要求，且按照评审因素的量化指标评审（技术性能得分较高者为先）得分最高的投标人为排名第一的中标候选人。</w:t>
            </w:r>
          </w:p>
        </w:tc>
      </w:tr>
      <w:tr w14:paraId="4833C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41855842">
            <w:pPr>
              <w:spacing w:line="360" w:lineRule="auto"/>
              <w:rPr>
                <w:rFonts w:ascii="宋体" w:hAnsi="宋体" w:cs="宋体"/>
                <w:szCs w:val="21"/>
              </w:rPr>
            </w:pPr>
            <w:r>
              <w:rPr>
                <w:rFonts w:hint="eastAsia" w:ascii="宋体" w:hAnsi="宋体" w:cs="宋体"/>
                <w:szCs w:val="21"/>
              </w:rPr>
              <w:t>30.2</w:t>
            </w:r>
          </w:p>
        </w:tc>
        <w:tc>
          <w:tcPr>
            <w:tcW w:w="1993" w:type="dxa"/>
            <w:tcBorders>
              <w:top w:val="single" w:color="auto" w:sz="4" w:space="0"/>
              <w:left w:val="single" w:color="auto" w:sz="4" w:space="0"/>
              <w:bottom w:val="single" w:color="auto" w:sz="4" w:space="0"/>
              <w:right w:val="single" w:color="auto" w:sz="4" w:space="0"/>
            </w:tcBorders>
          </w:tcPr>
          <w:p w14:paraId="3397ABB4">
            <w:pPr>
              <w:autoSpaceDE w:val="0"/>
              <w:autoSpaceDN w:val="0"/>
              <w:snapToGrid w:val="0"/>
              <w:spacing w:line="360" w:lineRule="auto"/>
              <w:textAlignment w:val="bottom"/>
              <w:rPr>
                <w:rFonts w:ascii="宋体" w:hAnsi="宋体" w:cs="宋体"/>
                <w:szCs w:val="21"/>
              </w:rPr>
            </w:pPr>
            <w:r>
              <w:rPr>
                <w:rFonts w:hint="eastAsia" w:ascii="宋体" w:hAnsi="宋体" w:cs="宋体"/>
                <w:szCs w:val="21"/>
              </w:rPr>
              <w:t>提供相同品牌产品且 通过资格审查、符合性 审查的不同投标人参 加同一合同项下投标 的中标候选人确定方 式</w:t>
            </w:r>
          </w:p>
        </w:tc>
        <w:tc>
          <w:tcPr>
            <w:tcW w:w="7297" w:type="dxa"/>
            <w:tcBorders>
              <w:top w:val="single" w:color="auto" w:sz="4" w:space="0"/>
              <w:left w:val="single" w:color="auto" w:sz="4" w:space="0"/>
              <w:bottom w:val="single" w:color="auto" w:sz="4" w:space="0"/>
              <w:right w:val="single" w:color="auto" w:sz="4" w:space="0"/>
            </w:tcBorders>
          </w:tcPr>
          <w:p w14:paraId="5CA2D60E">
            <w:pPr>
              <w:spacing w:before="174" w:line="360" w:lineRule="auto"/>
              <w:ind w:left="131" w:right="101"/>
              <w:rPr>
                <w:rFonts w:ascii="宋体" w:hAnsi="宋体" w:cs="宋体"/>
                <w:szCs w:val="21"/>
              </w:rPr>
            </w:pPr>
            <w:r>
              <w:rPr>
                <w:rFonts w:hint="eastAsia" w:ascii="宋体" w:hAnsi="宋体" w:cs="宋体"/>
                <w:spacing w:val="4"/>
                <w:szCs w:val="21"/>
              </w:rPr>
              <w:t>□随机抽取（采用最低评标价法</w:t>
            </w:r>
            <w:r>
              <w:rPr>
                <w:rFonts w:hint="eastAsia" w:ascii="宋体" w:hAnsi="宋体" w:cs="宋体"/>
                <w:spacing w:val="5"/>
                <w:szCs w:val="21"/>
              </w:rPr>
              <w:t>，</w:t>
            </w:r>
            <w:r>
              <w:rPr>
                <w:rFonts w:hint="eastAsia" w:ascii="宋体" w:hAnsi="宋体" w:cs="宋体"/>
                <w:spacing w:val="4"/>
                <w:szCs w:val="21"/>
              </w:rPr>
              <w:t>报价相同时</w:t>
            </w:r>
            <w:r>
              <w:rPr>
                <w:rFonts w:hint="eastAsia" w:ascii="宋体" w:hAnsi="宋体" w:cs="宋体"/>
                <w:spacing w:val="5"/>
                <w:szCs w:val="21"/>
              </w:rPr>
              <w:t>；</w:t>
            </w:r>
            <w:r>
              <w:rPr>
                <w:rFonts w:hint="eastAsia" w:ascii="宋体" w:hAnsi="宋体" w:cs="宋体"/>
                <w:spacing w:val="4"/>
                <w:szCs w:val="21"/>
              </w:rPr>
              <w:t>采用综合评分</w:t>
            </w:r>
            <w:r>
              <w:rPr>
                <w:rFonts w:hint="eastAsia" w:ascii="宋体" w:hAnsi="宋体" w:cs="宋体"/>
                <w:spacing w:val="3"/>
                <w:szCs w:val="21"/>
              </w:rPr>
              <w:t>法</w:t>
            </w:r>
            <w:r>
              <w:rPr>
                <w:rFonts w:hint="eastAsia" w:ascii="宋体" w:hAnsi="宋体" w:cs="宋体"/>
                <w:spacing w:val="5"/>
                <w:szCs w:val="21"/>
              </w:rPr>
              <w:t>，</w:t>
            </w:r>
            <w:r>
              <w:rPr>
                <w:rFonts w:hint="eastAsia" w:ascii="宋体" w:hAnsi="宋体" w:cs="宋体"/>
                <w:spacing w:val="3"/>
                <w:szCs w:val="21"/>
              </w:rPr>
              <w:t>评审价相</w:t>
            </w:r>
            <w:r>
              <w:rPr>
                <w:rFonts w:hint="eastAsia" w:ascii="宋体" w:hAnsi="宋体" w:cs="宋体"/>
                <w:szCs w:val="21"/>
              </w:rPr>
              <w:t>同时</w:t>
            </w:r>
            <w:r>
              <w:rPr>
                <w:rFonts w:hint="eastAsia" w:ascii="宋体" w:hAnsi="宋体" w:cs="宋体"/>
                <w:spacing w:val="-29"/>
                <w:szCs w:val="21"/>
              </w:rPr>
              <w:t>）</w:t>
            </w:r>
          </w:p>
          <w:p w14:paraId="6DFAC3BB">
            <w:pPr>
              <w:spacing w:before="129" w:line="360" w:lineRule="auto"/>
              <w:ind w:firstLine="132"/>
              <w:rPr>
                <w:rFonts w:ascii="宋体" w:hAnsi="宋体" w:cs="宋体"/>
                <w:szCs w:val="21"/>
              </w:rPr>
            </w:pPr>
            <w:r>
              <w:rPr>
                <w:rFonts w:hint="eastAsia" w:ascii="宋体" w:hAnsi="宋体" w:cs="宋体"/>
                <w:spacing w:val="-13"/>
                <w:szCs w:val="21"/>
              </w:rPr>
              <w:t>☑其他</w:t>
            </w:r>
            <w:r>
              <w:rPr>
                <w:rFonts w:hint="eastAsia" w:ascii="宋体" w:hAnsi="宋体" w:cs="宋体"/>
                <w:spacing w:val="-12"/>
                <w:szCs w:val="21"/>
              </w:rPr>
              <w:t>方式</w:t>
            </w:r>
            <w:r>
              <w:rPr>
                <w:rFonts w:hint="eastAsia" w:ascii="宋体" w:hAnsi="宋体" w:cs="宋体"/>
                <w:spacing w:val="-120"/>
                <w:szCs w:val="21"/>
              </w:rPr>
              <w:t>：</w:t>
            </w:r>
            <w:r>
              <w:rPr>
                <w:rFonts w:hint="eastAsia" w:ascii="宋体" w:hAnsi="宋体" w:cs="宋体"/>
                <w:szCs w:val="21"/>
                <w:u w:val="single"/>
              </w:rPr>
              <w:t xml:space="preserve">   评审后得分最高的同品牌投标人获得中标人推荐资格。评审得分相同的，按投标报价由低到高顺序排列，投标报价最低的获得中标人推荐资格。   </w:t>
            </w:r>
          </w:p>
        </w:tc>
      </w:tr>
      <w:tr w14:paraId="3605B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auto" w:sz="4" w:space="0"/>
              <w:left w:val="single" w:color="auto" w:sz="4" w:space="0"/>
              <w:bottom w:val="single" w:color="auto" w:sz="4" w:space="0"/>
              <w:right w:val="single" w:color="auto" w:sz="4" w:space="0"/>
            </w:tcBorders>
            <w:vAlign w:val="center"/>
          </w:tcPr>
          <w:p w14:paraId="05254297">
            <w:pPr>
              <w:spacing w:line="360" w:lineRule="auto"/>
              <w:rPr>
                <w:rFonts w:ascii="宋体" w:hAnsi="宋体" w:cs="宋体"/>
                <w:szCs w:val="21"/>
              </w:rPr>
            </w:pPr>
            <w:r>
              <w:rPr>
                <w:rFonts w:hint="eastAsia" w:ascii="宋体" w:hAnsi="宋体" w:cs="宋体"/>
                <w:szCs w:val="21"/>
              </w:rPr>
              <w:t>35</w:t>
            </w:r>
          </w:p>
        </w:tc>
        <w:tc>
          <w:tcPr>
            <w:tcW w:w="1993" w:type="dxa"/>
            <w:tcBorders>
              <w:top w:val="single" w:color="auto" w:sz="4" w:space="0"/>
              <w:left w:val="single" w:color="auto" w:sz="4" w:space="0"/>
              <w:bottom w:val="single" w:color="auto" w:sz="4" w:space="0"/>
              <w:right w:val="single" w:color="auto" w:sz="4" w:space="0"/>
            </w:tcBorders>
            <w:vAlign w:val="center"/>
          </w:tcPr>
          <w:p w14:paraId="01785B00">
            <w:pPr>
              <w:spacing w:line="360" w:lineRule="auto"/>
              <w:rPr>
                <w:rFonts w:ascii="宋体" w:hAnsi="宋体" w:cs="宋体"/>
                <w:szCs w:val="21"/>
              </w:rPr>
            </w:pPr>
            <w:bookmarkStart w:id="61" w:name="_39.1"/>
            <w:bookmarkEnd w:id="61"/>
            <w:r>
              <w:rPr>
                <w:rFonts w:hint="eastAsia" w:ascii="宋体" w:hAnsi="宋体" w:cs="宋体"/>
                <w:szCs w:val="21"/>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0147AEB3">
            <w:pPr>
              <w:autoSpaceDE w:val="0"/>
              <w:autoSpaceDN w:val="0"/>
              <w:snapToGrid w:val="0"/>
              <w:spacing w:line="360" w:lineRule="auto"/>
              <w:jc w:val="left"/>
              <w:textAlignment w:val="bottom"/>
              <w:rPr>
                <w:rFonts w:ascii="宋体" w:hAnsi="宋体" w:cs="宋体"/>
                <w:szCs w:val="21"/>
              </w:rPr>
            </w:pPr>
            <w:r>
              <w:rPr>
                <w:rFonts w:hint="eastAsia" w:ascii="宋体" w:hAnsi="宋体" w:cs="宋体"/>
                <w:szCs w:val="21"/>
              </w:rPr>
              <w:t>本项目不收取履约保证金。</w:t>
            </w:r>
          </w:p>
        </w:tc>
      </w:tr>
      <w:tr w14:paraId="7207E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14292908">
            <w:pPr>
              <w:spacing w:line="360" w:lineRule="auto"/>
              <w:rPr>
                <w:rFonts w:ascii="宋体" w:hAnsi="宋体" w:cs="宋体"/>
                <w:szCs w:val="21"/>
              </w:rPr>
            </w:pPr>
            <w:r>
              <w:rPr>
                <w:rFonts w:hint="eastAsia" w:ascii="宋体" w:hAnsi="宋体" w:cs="宋体"/>
                <w:szCs w:val="21"/>
              </w:rPr>
              <w:t>36.1</w:t>
            </w:r>
          </w:p>
        </w:tc>
        <w:tc>
          <w:tcPr>
            <w:tcW w:w="1993" w:type="dxa"/>
            <w:tcBorders>
              <w:top w:val="single" w:color="auto" w:sz="4" w:space="0"/>
              <w:left w:val="single" w:color="auto" w:sz="4" w:space="0"/>
              <w:bottom w:val="single" w:color="auto" w:sz="4" w:space="0"/>
              <w:right w:val="single" w:color="auto" w:sz="4" w:space="0"/>
            </w:tcBorders>
            <w:vAlign w:val="center"/>
          </w:tcPr>
          <w:p w14:paraId="0A17C7A4">
            <w:pPr>
              <w:spacing w:line="360" w:lineRule="auto"/>
              <w:rPr>
                <w:rFonts w:ascii="宋体" w:hAnsi="宋体" w:cs="宋体"/>
                <w:szCs w:val="21"/>
              </w:rPr>
            </w:pPr>
            <w:bookmarkStart w:id="62" w:name="_40.1"/>
            <w:bookmarkEnd w:id="62"/>
            <w:r>
              <w:rPr>
                <w:rFonts w:hint="eastAsia" w:ascii="宋体" w:hAnsi="宋体" w:cs="宋体"/>
                <w:szCs w:val="21"/>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4D5286BD">
            <w:pPr>
              <w:autoSpaceDE w:val="0"/>
              <w:autoSpaceDN w:val="0"/>
              <w:snapToGrid w:val="0"/>
              <w:spacing w:line="360" w:lineRule="auto"/>
              <w:textAlignment w:val="bottom"/>
              <w:rPr>
                <w:rFonts w:ascii="宋体" w:hAnsi="宋体" w:cs="宋体"/>
                <w:szCs w:val="21"/>
              </w:rPr>
            </w:pPr>
            <w:r>
              <w:rPr>
                <w:rFonts w:hint="eastAsia" w:ascii="宋体" w:hAnsi="宋体" w:cs="宋体"/>
                <w:szCs w:val="21"/>
              </w:rPr>
              <w:t>电子采购合同需要供应商通过有效CA证书进行电子签署</w:t>
            </w:r>
          </w:p>
        </w:tc>
      </w:tr>
      <w:tr w14:paraId="11CED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50" w:type="dxa"/>
            <w:vMerge w:val="restart"/>
            <w:tcBorders>
              <w:top w:val="single" w:color="auto" w:sz="4" w:space="0"/>
              <w:left w:val="single" w:color="auto" w:sz="4" w:space="0"/>
              <w:right w:val="single" w:color="auto" w:sz="4" w:space="0"/>
            </w:tcBorders>
            <w:vAlign w:val="center"/>
          </w:tcPr>
          <w:p w14:paraId="34671A60">
            <w:pPr>
              <w:spacing w:line="360" w:lineRule="auto"/>
              <w:rPr>
                <w:rFonts w:ascii="宋体" w:hAnsi="宋体" w:cs="宋体"/>
                <w:szCs w:val="21"/>
              </w:rPr>
            </w:pPr>
            <w:r>
              <w:rPr>
                <w:rFonts w:hint="eastAsia" w:ascii="宋体" w:hAnsi="宋体" w:cs="宋体"/>
                <w:szCs w:val="21"/>
              </w:rPr>
              <w:t>38.2.1</w:t>
            </w:r>
          </w:p>
        </w:tc>
        <w:tc>
          <w:tcPr>
            <w:tcW w:w="1993" w:type="dxa"/>
            <w:tcBorders>
              <w:top w:val="single" w:color="auto" w:sz="4" w:space="0"/>
              <w:left w:val="single" w:color="auto" w:sz="4" w:space="0"/>
              <w:bottom w:val="single" w:color="auto" w:sz="4" w:space="0"/>
              <w:right w:val="single" w:color="auto" w:sz="4" w:space="0"/>
            </w:tcBorders>
            <w:vAlign w:val="center"/>
          </w:tcPr>
          <w:p w14:paraId="726BB767">
            <w:pPr>
              <w:spacing w:line="360" w:lineRule="auto"/>
              <w:rPr>
                <w:rFonts w:ascii="宋体" w:hAnsi="宋体" w:cs="宋体"/>
                <w:szCs w:val="21"/>
              </w:rPr>
            </w:pPr>
            <w:r>
              <w:rPr>
                <w:rFonts w:hint="eastAsia" w:ascii="宋体" w:hAnsi="宋体" w:cs="宋体"/>
                <w:szCs w:val="21"/>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2967E527">
            <w:pPr>
              <w:snapToGrid w:val="0"/>
              <w:spacing w:line="360" w:lineRule="auto"/>
              <w:rPr>
                <w:rFonts w:ascii="宋体" w:hAnsi="宋体" w:cs="宋体"/>
                <w:szCs w:val="21"/>
              </w:rPr>
            </w:pPr>
            <w:r>
              <w:rPr>
                <w:rFonts w:hint="eastAsia" w:ascii="宋体" w:hAnsi="宋体" w:cs="宋体"/>
                <w:szCs w:val="21"/>
              </w:rPr>
              <w:t>以书面形式</w:t>
            </w:r>
          </w:p>
        </w:tc>
      </w:tr>
      <w:tr w14:paraId="14138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50" w:type="dxa"/>
            <w:vMerge w:val="continue"/>
            <w:tcBorders>
              <w:left w:val="single" w:color="auto" w:sz="4" w:space="0"/>
              <w:right w:val="single" w:color="auto" w:sz="4" w:space="0"/>
            </w:tcBorders>
            <w:vAlign w:val="center"/>
          </w:tcPr>
          <w:p w14:paraId="4635B470">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1557FDB0">
            <w:pPr>
              <w:spacing w:line="360" w:lineRule="auto"/>
              <w:rPr>
                <w:rFonts w:ascii="宋体" w:hAnsi="宋体" w:cs="宋体"/>
                <w:szCs w:val="21"/>
              </w:rPr>
            </w:pPr>
            <w:r>
              <w:rPr>
                <w:rFonts w:hint="eastAsia" w:ascii="宋体" w:hAnsi="宋体" w:cs="宋体"/>
                <w:szCs w:val="21"/>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6BAC09F9">
            <w:pPr>
              <w:snapToGrid w:val="0"/>
              <w:spacing w:line="360" w:lineRule="auto"/>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隆安县政府集中采购中心   </w:t>
            </w:r>
            <w:r>
              <w:rPr>
                <w:rFonts w:hint="eastAsia" w:ascii="宋体" w:hAnsi="宋体" w:cs="宋体"/>
                <w:szCs w:val="21"/>
              </w:rPr>
              <w:t>；</w:t>
            </w:r>
          </w:p>
          <w:p w14:paraId="420788C6">
            <w:pPr>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single"/>
              </w:rPr>
              <w:t>0771-6529585</w:t>
            </w:r>
            <w:r>
              <w:rPr>
                <w:rFonts w:hint="eastAsia" w:ascii="宋体" w:hAnsi="宋体" w:cs="宋体"/>
                <w:szCs w:val="21"/>
              </w:rPr>
              <w:t>，</w:t>
            </w:r>
          </w:p>
          <w:p w14:paraId="3616DC63">
            <w:pPr>
              <w:snapToGrid w:val="0"/>
              <w:spacing w:line="360" w:lineRule="auto"/>
              <w:rPr>
                <w:rFonts w:ascii="宋体" w:hAnsi="宋体" w:cs="宋体"/>
                <w:szCs w:val="21"/>
              </w:rPr>
            </w:pPr>
            <w:r>
              <w:rPr>
                <w:rFonts w:hint="eastAsia" w:ascii="宋体" w:hAnsi="宋体" w:cs="宋体"/>
                <w:szCs w:val="21"/>
              </w:rPr>
              <w:t>通讯地址：</w:t>
            </w:r>
            <w:bookmarkStart w:id="63" w:name="PO_3000001866_PM035"/>
            <w:r>
              <w:rPr>
                <w:rFonts w:hint="eastAsia" w:ascii="宋体" w:hAnsi="宋体" w:cs="宋体"/>
                <w:szCs w:val="21"/>
                <w:u w:val="single"/>
              </w:rPr>
              <w:t>隆安县城厢镇城南路14号</w:t>
            </w:r>
            <w:bookmarkEnd w:id="63"/>
            <w:r>
              <w:rPr>
                <w:rFonts w:hint="eastAsia" w:ascii="宋体" w:hAnsi="宋体" w:cs="宋体"/>
                <w:szCs w:val="21"/>
              </w:rPr>
              <w:t xml:space="preserve"> </w:t>
            </w:r>
          </w:p>
          <w:p w14:paraId="26118E3E">
            <w:pPr>
              <w:snapToGrid w:val="0"/>
              <w:spacing w:line="360" w:lineRule="auto"/>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隆安县教育局   </w:t>
            </w:r>
            <w:r>
              <w:rPr>
                <w:rFonts w:hint="eastAsia" w:ascii="宋体" w:hAnsi="宋体" w:cs="宋体"/>
                <w:szCs w:val="21"/>
              </w:rPr>
              <w:t>；</w:t>
            </w:r>
          </w:p>
          <w:p w14:paraId="0A8AB6EB">
            <w:pPr>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single"/>
              </w:rPr>
              <w:t>0771-6528701</w:t>
            </w:r>
            <w:r>
              <w:rPr>
                <w:rFonts w:hint="eastAsia" w:ascii="宋体" w:hAnsi="宋体" w:cs="宋体"/>
                <w:szCs w:val="21"/>
              </w:rPr>
              <w:t>，</w:t>
            </w:r>
          </w:p>
          <w:p w14:paraId="06981969">
            <w:pPr>
              <w:snapToGrid w:val="0"/>
              <w:spacing w:line="360" w:lineRule="auto"/>
              <w:rPr>
                <w:rFonts w:ascii="宋体" w:hAnsi="宋体" w:cs="宋体"/>
                <w:szCs w:val="21"/>
              </w:rPr>
            </w:pPr>
            <w:r>
              <w:rPr>
                <w:rFonts w:hint="eastAsia" w:ascii="宋体" w:hAnsi="宋体" w:cs="宋体"/>
                <w:szCs w:val="21"/>
              </w:rPr>
              <w:t>通讯地址：</w:t>
            </w:r>
            <w:r>
              <w:rPr>
                <w:rFonts w:hint="eastAsia" w:ascii="宋体" w:hAnsi="宋体" w:cs="宋体"/>
                <w:szCs w:val="21"/>
                <w:u w:val="single"/>
              </w:rPr>
              <w:t>隆安县江滨路22号</w:t>
            </w:r>
            <w:r>
              <w:rPr>
                <w:rFonts w:hint="eastAsia" w:ascii="宋体" w:hAnsi="宋体" w:cs="宋体"/>
                <w:szCs w:val="21"/>
              </w:rPr>
              <w:t xml:space="preserve"> </w:t>
            </w:r>
          </w:p>
        </w:tc>
      </w:tr>
      <w:tr w14:paraId="3B614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50" w:type="dxa"/>
            <w:vMerge w:val="continue"/>
            <w:tcBorders>
              <w:left w:val="single" w:color="auto" w:sz="4" w:space="0"/>
              <w:bottom w:val="single" w:color="auto" w:sz="4" w:space="0"/>
              <w:right w:val="single" w:color="auto" w:sz="4" w:space="0"/>
            </w:tcBorders>
            <w:vAlign w:val="center"/>
          </w:tcPr>
          <w:p w14:paraId="4B6C1E17">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0DCB2CA7">
            <w:pPr>
              <w:spacing w:line="360" w:lineRule="auto"/>
              <w:rPr>
                <w:rFonts w:ascii="宋体" w:hAnsi="宋体" w:cs="宋体"/>
                <w:szCs w:val="21"/>
              </w:rPr>
            </w:pPr>
            <w:r>
              <w:rPr>
                <w:rFonts w:hint="eastAsia" w:ascii="宋体" w:hAnsi="宋体" w:cs="宋体"/>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467CC368">
            <w:pPr>
              <w:snapToGrid w:val="0"/>
              <w:spacing w:line="360" w:lineRule="auto"/>
              <w:rPr>
                <w:rFonts w:ascii="宋体" w:hAnsi="宋体" w:cs="宋体"/>
                <w:szCs w:val="21"/>
              </w:rPr>
            </w:pPr>
            <w:r>
              <w:rPr>
                <w:rFonts w:hint="eastAsia" w:ascii="宋体" w:hAnsi="宋体" w:cs="宋体"/>
              </w:rPr>
              <w:t>质疑期内每个工作日</w:t>
            </w:r>
            <w:r>
              <w:rPr>
                <w:rFonts w:hint="eastAsia" w:ascii="宋体" w:hAnsi="宋体" w:cs="宋体"/>
                <w:u w:val="single"/>
              </w:rPr>
              <w:t xml:space="preserve"> 9  </w:t>
            </w:r>
            <w:r>
              <w:rPr>
                <w:rFonts w:hint="eastAsia" w:ascii="宋体" w:hAnsi="宋体" w:cs="宋体"/>
              </w:rPr>
              <w:t>时</w:t>
            </w:r>
            <w:r>
              <w:rPr>
                <w:rFonts w:hint="eastAsia" w:ascii="宋体" w:hAnsi="宋体" w:cs="宋体"/>
                <w:u w:val="single"/>
              </w:rPr>
              <w:t xml:space="preserve"> 00 </w:t>
            </w:r>
            <w:r>
              <w:rPr>
                <w:rFonts w:hint="eastAsia" w:ascii="宋体" w:hAnsi="宋体" w:cs="宋体"/>
              </w:rPr>
              <w:t>分到</w:t>
            </w:r>
            <w:r>
              <w:rPr>
                <w:rFonts w:hint="eastAsia" w:ascii="宋体" w:hAnsi="宋体" w:cs="宋体"/>
                <w:u w:val="single"/>
              </w:rPr>
              <w:t xml:space="preserve"> 12  </w:t>
            </w:r>
            <w:r>
              <w:rPr>
                <w:rFonts w:hint="eastAsia" w:ascii="宋体" w:hAnsi="宋体" w:cs="宋体"/>
              </w:rPr>
              <w:t>时</w:t>
            </w:r>
            <w:r>
              <w:rPr>
                <w:rFonts w:hint="eastAsia" w:ascii="宋体" w:hAnsi="宋体" w:cs="宋体"/>
                <w:u w:val="single"/>
              </w:rPr>
              <w:t xml:space="preserve">  00 </w:t>
            </w:r>
            <w:r>
              <w:rPr>
                <w:rFonts w:hint="eastAsia" w:ascii="宋体" w:hAnsi="宋体" w:cs="宋体"/>
              </w:rPr>
              <w:t>分，</w:t>
            </w:r>
            <w:r>
              <w:rPr>
                <w:rFonts w:hint="eastAsia" w:ascii="宋体" w:hAnsi="宋体" w:cs="宋体"/>
                <w:u w:val="single"/>
              </w:rPr>
              <w:t xml:space="preserve">  15  </w:t>
            </w:r>
            <w:r>
              <w:rPr>
                <w:rFonts w:hint="eastAsia" w:ascii="宋体" w:hAnsi="宋体" w:cs="宋体"/>
              </w:rPr>
              <w:t>时</w:t>
            </w:r>
            <w:r>
              <w:rPr>
                <w:rFonts w:hint="eastAsia" w:ascii="宋体" w:hAnsi="宋体" w:cs="宋体"/>
                <w:u w:val="single"/>
              </w:rPr>
              <w:t xml:space="preserve"> 00 </w:t>
            </w:r>
            <w:r>
              <w:rPr>
                <w:rFonts w:hint="eastAsia" w:ascii="宋体" w:hAnsi="宋体" w:cs="宋体"/>
              </w:rPr>
              <w:t>分到</w:t>
            </w:r>
            <w:r>
              <w:rPr>
                <w:rFonts w:hint="eastAsia" w:ascii="宋体" w:hAnsi="宋体" w:cs="宋体"/>
                <w:u w:val="single"/>
              </w:rPr>
              <w:t xml:space="preserve"> 17    </w:t>
            </w:r>
            <w:r>
              <w:rPr>
                <w:rFonts w:hint="eastAsia" w:ascii="宋体" w:hAnsi="宋体" w:cs="宋体"/>
              </w:rPr>
              <w:t>时</w:t>
            </w:r>
            <w:r>
              <w:rPr>
                <w:rFonts w:hint="eastAsia" w:ascii="宋体" w:hAnsi="宋体" w:cs="宋体"/>
                <w:u w:val="single"/>
              </w:rPr>
              <w:t xml:space="preserve">  30 </w:t>
            </w:r>
            <w:r>
              <w:rPr>
                <w:rFonts w:hint="eastAsia" w:ascii="宋体" w:hAnsi="宋体" w:cs="宋体"/>
              </w:rPr>
              <w:t>分</w:t>
            </w:r>
          </w:p>
        </w:tc>
      </w:tr>
      <w:tr w14:paraId="79057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50" w:type="dxa"/>
            <w:tcBorders>
              <w:left w:val="single" w:color="auto" w:sz="4" w:space="0"/>
              <w:bottom w:val="single" w:color="auto" w:sz="4" w:space="0"/>
              <w:right w:val="single" w:color="auto" w:sz="4" w:space="0"/>
            </w:tcBorders>
            <w:vAlign w:val="center"/>
          </w:tcPr>
          <w:p w14:paraId="1D831793">
            <w:pPr>
              <w:spacing w:line="360" w:lineRule="auto"/>
              <w:rPr>
                <w:rFonts w:ascii="宋体" w:hAnsi="宋体" w:cs="宋体"/>
                <w:szCs w:val="21"/>
              </w:rPr>
            </w:pPr>
            <w:r>
              <w:rPr>
                <w:rFonts w:hint="eastAsia" w:ascii="宋体" w:hAnsi="宋体" w:cs="宋体"/>
                <w:szCs w:val="21"/>
              </w:rPr>
              <w:t>38.3.1</w:t>
            </w:r>
          </w:p>
        </w:tc>
        <w:tc>
          <w:tcPr>
            <w:tcW w:w="1993" w:type="dxa"/>
            <w:tcBorders>
              <w:top w:val="single" w:color="auto" w:sz="4" w:space="0"/>
              <w:left w:val="single" w:color="auto" w:sz="4" w:space="0"/>
              <w:bottom w:val="single" w:color="auto" w:sz="4" w:space="0"/>
              <w:right w:val="single" w:color="auto" w:sz="4" w:space="0"/>
            </w:tcBorders>
            <w:vAlign w:val="center"/>
          </w:tcPr>
          <w:p w14:paraId="492C2636">
            <w:pPr>
              <w:spacing w:line="360" w:lineRule="auto"/>
              <w:rPr>
                <w:rFonts w:ascii="宋体" w:hAnsi="宋体" w:cs="宋体"/>
              </w:rPr>
            </w:pPr>
            <w:r>
              <w:rPr>
                <w:rFonts w:hint="eastAsia" w:ascii="宋体" w:hAnsi="宋体" w:cs="宋体"/>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3DC2CE38">
            <w:pPr>
              <w:snapToGrid w:val="0"/>
              <w:spacing w:line="360" w:lineRule="auto"/>
              <w:rPr>
                <w:rFonts w:ascii="宋体" w:hAnsi="宋体" w:cs="宋体"/>
              </w:rPr>
            </w:pPr>
            <w:r>
              <w:rPr>
                <w:rFonts w:hint="eastAsia" w:ascii="宋体" w:hAnsi="宋体" w:cs="宋体"/>
              </w:rPr>
              <w:t>1、受理方式：纸质方式受理，投诉书正、副本（经过质疑的事项才可投诉）。</w:t>
            </w:r>
          </w:p>
          <w:p w14:paraId="756E03B2">
            <w:pPr>
              <w:snapToGrid w:val="0"/>
              <w:spacing w:line="360" w:lineRule="auto"/>
              <w:rPr>
                <w:rFonts w:ascii="宋体" w:hAnsi="宋体" w:cs="宋体"/>
              </w:rPr>
            </w:pPr>
            <w:r>
              <w:rPr>
                <w:rFonts w:hint="eastAsia" w:ascii="宋体" w:hAnsi="宋体" w:cs="宋体"/>
              </w:rPr>
              <w:t>2、邮寄地址：</w:t>
            </w:r>
          </w:p>
          <w:p w14:paraId="1890BD33">
            <w:pPr>
              <w:snapToGrid w:val="0"/>
              <w:spacing w:line="360" w:lineRule="auto"/>
              <w:rPr>
                <w:rFonts w:ascii="宋体" w:hAnsi="宋体" w:cs="宋体"/>
              </w:rPr>
            </w:pPr>
            <w:r>
              <w:rPr>
                <w:rFonts w:hint="eastAsia" w:ascii="宋体" w:hAnsi="宋体" w:cs="宋体"/>
              </w:rPr>
              <w:t xml:space="preserve">名称：隆安县财政局政府采购监督管理办公室 </w:t>
            </w:r>
            <w:bookmarkStart w:id="64" w:name="PO_3000001866_PM036"/>
            <w:r>
              <w:rPr>
                <w:rFonts w:hint="eastAsia" w:ascii="宋体" w:hAnsi="宋体" w:cs="宋体"/>
              </w:rPr>
              <w:t xml:space="preserve"> </w:t>
            </w:r>
            <w:bookmarkEnd w:id="64"/>
          </w:p>
          <w:p w14:paraId="03B718FC">
            <w:pPr>
              <w:snapToGrid w:val="0"/>
              <w:spacing w:line="360" w:lineRule="auto"/>
              <w:rPr>
                <w:rFonts w:ascii="宋体" w:hAnsi="宋体" w:cs="宋体"/>
              </w:rPr>
            </w:pPr>
            <w:r>
              <w:rPr>
                <w:rFonts w:hint="eastAsia" w:ascii="宋体" w:hAnsi="宋体" w:cs="宋体"/>
              </w:rPr>
              <w:t>地址：隆安县城厢镇广场路8号</w:t>
            </w:r>
          </w:p>
          <w:p w14:paraId="22462BA7">
            <w:pPr>
              <w:snapToGrid w:val="0"/>
              <w:spacing w:line="360" w:lineRule="auto"/>
              <w:rPr>
                <w:rFonts w:ascii="宋体" w:hAnsi="宋体" w:cs="宋体"/>
              </w:rPr>
            </w:pPr>
            <w:r>
              <w:rPr>
                <w:rFonts w:hint="eastAsia" w:ascii="宋体" w:hAnsi="宋体" w:cs="宋体"/>
              </w:rPr>
              <w:t>联系电话：0771-6531019</w:t>
            </w:r>
          </w:p>
        </w:tc>
      </w:tr>
      <w:tr w14:paraId="19737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950" w:type="dxa"/>
            <w:vMerge w:val="restart"/>
            <w:tcBorders>
              <w:top w:val="single" w:color="auto" w:sz="4" w:space="0"/>
              <w:left w:val="single" w:color="auto" w:sz="4" w:space="0"/>
              <w:right w:val="single" w:color="auto" w:sz="4" w:space="0"/>
            </w:tcBorders>
            <w:vAlign w:val="center"/>
          </w:tcPr>
          <w:p w14:paraId="60C04981">
            <w:pPr>
              <w:spacing w:line="360" w:lineRule="auto"/>
              <w:rPr>
                <w:rFonts w:ascii="宋体" w:hAnsi="宋体" w:cs="宋体"/>
                <w:szCs w:val="21"/>
              </w:rPr>
            </w:pPr>
            <w:r>
              <w:rPr>
                <w:rFonts w:hint="eastAsia" w:ascii="宋体" w:hAnsi="宋体" w:cs="宋体"/>
                <w:szCs w:val="21"/>
              </w:rPr>
              <w:t>40</w:t>
            </w:r>
          </w:p>
        </w:tc>
        <w:tc>
          <w:tcPr>
            <w:tcW w:w="1993" w:type="dxa"/>
            <w:tcBorders>
              <w:top w:val="single" w:color="auto" w:sz="4" w:space="0"/>
              <w:left w:val="single" w:color="auto" w:sz="4" w:space="0"/>
              <w:bottom w:val="single" w:color="auto" w:sz="4" w:space="0"/>
              <w:right w:val="single" w:color="auto" w:sz="4" w:space="0"/>
            </w:tcBorders>
            <w:vAlign w:val="center"/>
          </w:tcPr>
          <w:p w14:paraId="4BD0BD98">
            <w:pPr>
              <w:spacing w:line="360" w:lineRule="auto"/>
              <w:rPr>
                <w:rFonts w:ascii="宋体" w:hAnsi="宋体" w:cs="宋体"/>
                <w:szCs w:val="21"/>
              </w:rPr>
            </w:pPr>
            <w:bookmarkStart w:id="65" w:name="_41"/>
            <w:bookmarkEnd w:id="65"/>
            <w:bookmarkStart w:id="66" w:name="_42"/>
            <w:bookmarkEnd w:id="66"/>
            <w:r>
              <w:rPr>
                <w:rFonts w:hint="eastAsia" w:ascii="宋体" w:hAnsi="宋体" w:cs="宋体"/>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220640FE">
            <w:pPr>
              <w:pStyle w:val="12"/>
              <w:snapToGrid w:val="0"/>
              <w:spacing w:line="360" w:lineRule="auto"/>
              <w:rPr>
                <w:rFonts w:hAnsi="宋体" w:cs="宋体"/>
              </w:rPr>
            </w:pPr>
            <w:r>
              <w:rPr>
                <w:rFonts w:hint="eastAsia" w:hAnsi="宋体" w:cs="宋体"/>
              </w:rPr>
              <w:t>□本项目代理服务费由</w:t>
            </w:r>
            <w:r>
              <w:rPr>
                <w:rFonts w:hint="eastAsia" w:hAnsi="宋体" w:cs="宋体"/>
                <w:u w:val="single"/>
              </w:rPr>
              <w:t>中标人</w:t>
            </w:r>
            <w:r>
              <w:rPr>
                <w:rFonts w:hint="eastAsia" w:hAnsi="宋体" w:cs="宋体"/>
              </w:rPr>
              <w:t>在领取中标通知书前，一次性向采购代理机构支付。若合同签订前未支付，视为中标人放弃中标资格。</w:t>
            </w:r>
          </w:p>
          <w:p w14:paraId="64F822C4">
            <w:pPr>
              <w:pStyle w:val="12"/>
              <w:snapToGrid w:val="0"/>
              <w:spacing w:line="360" w:lineRule="auto"/>
              <w:rPr>
                <w:rFonts w:hAnsi="宋体" w:cs="宋体"/>
              </w:rPr>
            </w:pPr>
            <w:r>
              <w:rPr>
                <w:rFonts w:hint="eastAsia" w:hAnsi="宋体" w:cs="宋体"/>
              </w:rPr>
              <w:t>□采购人支付。</w:t>
            </w:r>
          </w:p>
          <w:p w14:paraId="1E5AB8E2">
            <w:pPr>
              <w:pStyle w:val="12"/>
              <w:snapToGrid w:val="0"/>
              <w:spacing w:line="360" w:lineRule="auto"/>
              <w:rPr>
                <w:rFonts w:hAnsi="宋体" w:cs="宋体"/>
              </w:rPr>
            </w:pPr>
            <w:r>
              <w:rPr>
                <w:rFonts w:hint="eastAsia" w:hAnsi="宋体" w:cs="宋体"/>
              </w:rPr>
              <w:t>☑本项目不收取代理服务费。</w:t>
            </w:r>
          </w:p>
        </w:tc>
      </w:tr>
      <w:tr w14:paraId="09690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1" w:hRule="atLeast"/>
        </w:trPr>
        <w:tc>
          <w:tcPr>
            <w:tcW w:w="950" w:type="dxa"/>
            <w:vMerge w:val="continue"/>
            <w:tcBorders>
              <w:left w:val="single" w:color="auto" w:sz="4" w:space="0"/>
              <w:right w:val="single" w:color="auto" w:sz="4" w:space="0"/>
            </w:tcBorders>
            <w:vAlign w:val="center"/>
          </w:tcPr>
          <w:p w14:paraId="7E9D024B">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686DE936">
            <w:pPr>
              <w:spacing w:line="360" w:lineRule="auto"/>
              <w:rPr>
                <w:rFonts w:ascii="宋体" w:hAnsi="宋体" w:cs="宋体"/>
                <w:szCs w:val="21"/>
              </w:rPr>
            </w:pPr>
            <w:r>
              <w:rPr>
                <w:rFonts w:hint="eastAsia" w:ascii="宋体" w:hAnsi="宋体" w:cs="宋体"/>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5B98A118">
            <w:pPr>
              <w:pStyle w:val="12"/>
              <w:snapToGrid w:val="0"/>
              <w:spacing w:line="360" w:lineRule="auto"/>
              <w:rPr>
                <w:rFonts w:hAnsi="宋体" w:cs="宋体"/>
                <w:u w:val="single"/>
              </w:rPr>
            </w:pPr>
            <w:r>
              <w:rPr>
                <w:rFonts w:hint="eastAsia" w:hAnsi="宋体" w:cs="宋体"/>
              </w:rPr>
              <w:t>/</w:t>
            </w:r>
          </w:p>
        </w:tc>
      </w:tr>
      <w:tr w14:paraId="595C4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950" w:type="dxa"/>
            <w:vMerge w:val="continue"/>
            <w:tcBorders>
              <w:left w:val="single" w:color="auto" w:sz="4" w:space="0"/>
              <w:bottom w:val="single" w:color="auto" w:sz="4" w:space="0"/>
              <w:right w:val="single" w:color="auto" w:sz="4" w:space="0"/>
            </w:tcBorders>
            <w:vAlign w:val="center"/>
          </w:tcPr>
          <w:p w14:paraId="1D10CC37">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287710AE">
            <w:pPr>
              <w:spacing w:line="360" w:lineRule="auto"/>
              <w:rPr>
                <w:rFonts w:ascii="宋体" w:hAnsi="宋体" w:cs="宋体"/>
                <w:szCs w:val="21"/>
              </w:rPr>
            </w:pPr>
            <w:r>
              <w:rPr>
                <w:rFonts w:hint="eastAsia" w:ascii="宋体" w:hAnsi="宋体" w:cs="宋体"/>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7AC7AD9D">
            <w:pPr>
              <w:pStyle w:val="12"/>
              <w:snapToGrid w:val="0"/>
              <w:spacing w:line="360" w:lineRule="auto"/>
              <w:rPr>
                <w:rFonts w:hAnsi="宋体" w:cs="宋体"/>
              </w:rPr>
            </w:pPr>
            <w:r>
              <w:rPr>
                <w:rFonts w:hint="eastAsia" w:hAnsi="宋体" w:cs="宋体"/>
              </w:rPr>
              <w:t>/</w:t>
            </w:r>
          </w:p>
        </w:tc>
      </w:tr>
      <w:tr w14:paraId="5EEFB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44445F9B">
            <w:pPr>
              <w:snapToGrid w:val="0"/>
              <w:spacing w:line="360" w:lineRule="auto"/>
              <w:jc w:val="center"/>
              <w:rPr>
                <w:rFonts w:ascii="宋体" w:hAnsi="宋体" w:cs="宋体"/>
                <w:szCs w:val="21"/>
              </w:rPr>
            </w:pPr>
            <w:r>
              <w:rPr>
                <w:rFonts w:hint="eastAsia" w:ascii="宋体" w:hAnsi="宋体" w:cs="宋体"/>
                <w:szCs w:val="21"/>
              </w:rPr>
              <w:t>41.1</w:t>
            </w:r>
          </w:p>
        </w:tc>
        <w:tc>
          <w:tcPr>
            <w:tcW w:w="1993" w:type="dxa"/>
            <w:tcBorders>
              <w:top w:val="single" w:color="auto" w:sz="4" w:space="0"/>
              <w:left w:val="single" w:color="auto" w:sz="4" w:space="0"/>
              <w:bottom w:val="single" w:color="auto" w:sz="4" w:space="0"/>
              <w:right w:val="single" w:color="auto" w:sz="4" w:space="0"/>
            </w:tcBorders>
            <w:vAlign w:val="center"/>
          </w:tcPr>
          <w:p w14:paraId="0E148B16">
            <w:pPr>
              <w:snapToGrid w:val="0"/>
              <w:spacing w:line="360" w:lineRule="auto"/>
              <w:rPr>
                <w:rFonts w:ascii="宋体" w:hAnsi="宋体" w:cs="宋体"/>
                <w:szCs w:val="21"/>
              </w:rPr>
            </w:pPr>
            <w:r>
              <w:rPr>
                <w:rFonts w:hint="eastAsia" w:ascii="宋体" w:hAnsi="宋体" w:cs="宋体"/>
                <w:szCs w:val="21"/>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4528934C">
            <w:pPr>
              <w:snapToGrid w:val="0"/>
              <w:spacing w:line="360" w:lineRule="auto"/>
              <w:rPr>
                <w:rFonts w:ascii="宋体" w:hAnsi="宋体" w:cs="宋体"/>
                <w:b/>
                <w:szCs w:val="21"/>
              </w:rPr>
            </w:pPr>
            <w:r>
              <w:rPr>
                <w:rFonts w:hint="eastAsia" w:ascii="宋体" w:hAnsi="宋体" w:cs="宋体"/>
                <w:b/>
                <w:szCs w:val="21"/>
              </w:rPr>
              <w:t>解释权：</w:t>
            </w:r>
            <w:r>
              <w:rPr>
                <w:rFonts w:hint="eastAsia" w:ascii="宋体" w:hAnsi="宋体" w:cs="宋体"/>
                <w:szCs w:val="21"/>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szCs w:val="21"/>
              </w:rPr>
              <w:t>，由采购人或者采购代理机构负责解释。</w:t>
            </w:r>
          </w:p>
          <w:p w14:paraId="40A7AF50">
            <w:pPr>
              <w:snapToGrid w:val="0"/>
              <w:spacing w:line="360" w:lineRule="auto"/>
              <w:rPr>
                <w:rFonts w:ascii="宋体" w:hAnsi="宋体" w:cs="宋体"/>
                <w:b/>
                <w:szCs w:val="21"/>
              </w:rPr>
            </w:pPr>
            <w:r>
              <w:rPr>
                <w:rFonts w:hint="eastAsia" w:ascii="宋体" w:hAnsi="宋体" w:cs="宋体"/>
                <w:b/>
                <w:szCs w:val="21"/>
              </w:rPr>
              <w:t>法律责任：</w:t>
            </w:r>
          </w:p>
          <w:p w14:paraId="7BFD6EB2">
            <w:pPr>
              <w:snapToGrid w:val="0"/>
              <w:spacing w:line="360" w:lineRule="auto"/>
              <w:rPr>
                <w:rFonts w:ascii="宋体" w:hAnsi="宋体" w:cs="宋体"/>
                <w:szCs w:val="21"/>
              </w:rPr>
            </w:pPr>
            <w:r>
              <w:rPr>
                <w:rFonts w:hint="eastAsia" w:ascii="宋体" w:hAnsi="宋体" w:cs="宋体"/>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448C8C50">
            <w:pPr>
              <w:spacing w:line="360" w:lineRule="auto"/>
              <w:rPr>
                <w:rFonts w:ascii="宋体" w:hAnsi="宋体" w:cs="宋体"/>
              </w:rPr>
            </w:pPr>
            <w:r>
              <w:rPr>
                <w:rFonts w:hint="eastAsia" w:ascii="宋体" w:hAnsi="宋体" w:cs="宋体"/>
                <w:b/>
                <w:szCs w:val="21"/>
              </w:rPr>
              <w:t>2.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01431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D5B91D5">
            <w:pPr>
              <w:snapToGrid w:val="0"/>
              <w:spacing w:line="360" w:lineRule="auto"/>
              <w:jc w:val="center"/>
              <w:rPr>
                <w:rFonts w:ascii="宋体" w:hAnsi="宋体" w:cs="宋体"/>
                <w:szCs w:val="21"/>
              </w:rPr>
            </w:pPr>
            <w:r>
              <w:rPr>
                <w:rFonts w:hint="eastAsia" w:ascii="宋体" w:hAnsi="宋体" w:cs="宋体"/>
                <w:szCs w:val="21"/>
              </w:rPr>
              <w:t>41.2</w:t>
            </w:r>
          </w:p>
        </w:tc>
        <w:tc>
          <w:tcPr>
            <w:tcW w:w="1993" w:type="dxa"/>
            <w:tcBorders>
              <w:top w:val="single" w:color="auto" w:sz="4" w:space="0"/>
              <w:left w:val="single" w:color="auto" w:sz="4" w:space="0"/>
              <w:bottom w:val="single" w:color="auto" w:sz="4" w:space="0"/>
              <w:right w:val="single" w:color="auto" w:sz="4" w:space="0"/>
            </w:tcBorders>
            <w:vAlign w:val="center"/>
          </w:tcPr>
          <w:p w14:paraId="2CF660B0">
            <w:pPr>
              <w:snapToGrid w:val="0"/>
              <w:spacing w:line="360" w:lineRule="auto"/>
              <w:rPr>
                <w:rFonts w:ascii="宋体" w:hAnsi="宋体" w:cs="宋体"/>
                <w:szCs w:val="21"/>
              </w:rPr>
            </w:pPr>
            <w:r>
              <w:rPr>
                <w:rFonts w:hint="eastAsia" w:ascii="宋体" w:hAnsi="宋体" w:cs="宋体"/>
                <w:szCs w:val="21"/>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02E7FE48">
            <w:pPr>
              <w:pStyle w:val="12"/>
              <w:snapToGrid w:val="0"/>
              <w:spacing w:line="360" w:lineRule="auto"/>
              <w:rPr>
                <w:rFonts w:hAnsi="宋体" w:cs="宋体"/>
                <w:b/>
                <w:bCs/>
              </w:rPr>
            </w:pPr>
            <w:r>
              <w:rPr>
                <w:rFonts w:hint="eastAsia" w:hAnsi="宋体" w:cs="宋体"/>
                <w:b/>
                <w:bCs/>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1912C86E">
            <w:pPr>
              <w:pStyle w:val="12"/>
              <w:snapToGrid w:val="0"/>
              <w:spacing w:line="360" w:lineRule="auto"/>
              <w:rPr>
                <w:rFonts w:hAnsi="宋体" w:cs="宋体"/>
                <w:b/>
                <w:bCs/>
              </w:rPr>
            </w:pPr>
            <w:r>
              <w:rPr>
                <w:rFonts w:hint="eastAsia" w:hAnsi="宋体" w:cs="宋体"/>
                <w:b/>
                <w:bCs/>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009FE741">
            <w:pPr>
              <w:pStyle w:val="12"/>
              <w:snapToGrid w:val="0"/>
              <w:spacing w:line="360" w:lineRule="auto"/>
              <w:rPr>
                <w:rFonts w:hAnsi="宋体" w:cs="宋体"/>
                <w:b/>
                <w:bCs/>
              </w:rPr>
            </w:pPr>
            <w:r>
              <w:rPr>
                <w:rFonts w:hint="eastAsia" w:hAnsi="宋体" w:cs="宋体"/>
                <w:b/>
                <w:bCs/>
              </w:rPr>
              <w:t>3.本招标文件中描述投标人的“签字”是指投标人的法定代表人或者委托代理人亲自在文件规定签署处亲笔写上个人的名字的行为，私章、签字章、印鉴等其他形式均不能代替亲笔签字。</w:t>
            </w:r>
          </w:p>
          <w:p w14:paraId="11775114">
            <w:pPr>
              <w:pStyle w:val="12"/>
              <w:snapToGrid w:val="0"/>
              <w:spacing w:line="360" w:lineRule="auto"/>
              <w:rPr>
                <w:rFonts w:hAnsi="宋体" w:cs="宋体"/>
                <w:b/>
                <w:bCs/>
              </w:rPr>
            </w:pPr>
            <w:r>
              <w:rPr>
                <w:rFonts w:hint="eastAsia" w:hAnsi="宋体" w:cs="宋体"/>
                <w:b/>
                <w:bCs/>
              </w:rPr>
              <w:t>4.自然人投标的，招标文件规定盖公章处由自然人摁手指指印。</w:t>
            </w:r>
          </w:p>
          <w:p w14:paraId="296E230B">
            <w:pPr>
              <w:spacing w:line="360" w:lineRule="auto"/>
              <w:jc w:val="left"/>
              <w:rPr>
                <w:rFonts w:ascii="宋体" w:hAnsi="宋体" w:cs="宋体"/>
                <w:szCs w:val="21"/>
              </w:rPr>
            </w:pPr>
            <w:r>
              <w:rPr>
                <w:rFonts w:hint="eastAsia" w:ascii="宋体" w:hAnsi="宋体" w:cs="宋体"/>
                <w:b/>
                <w:bCs/>
                <w:szCs w:val="21"/>
              </w:rPr>
              <w:t>5.本招标文件所称的“以上”“以下”“以内”“届满”，包括本数；所称的“不满”“超过”“以外”，不包括本数。</w:t>
            </w:r>
          </w:p>
        </w:tc>
      </w:tr>
    </w:tbl>
    <w:p w14:paraId="05502E65">
      <w:pPr>
        <w:pStyle w:val="3"/>
        <w:spacing w:line="360" w:lineRule="auto"/>
        <w:rPr>
          <w:rFonts w:ascii="宋体" w:hAnsi="宋体" w:cs="宋体"/>
        </w:rPr>
        <w:sectPr>
          <w:pgSz w:w="11906" w:h="16838"/>
          <w:pgMar w:top="1440" w:right="1080" w:bottom="1440" w:left="1080" w:header="720" w:footer="720" w:gutter="0"/>
          <w:cols w:space="720" w:num="1"/>
          <w:docGrid w:type="lines" w:linePitch="331" w:charSpace="0"/>
        </w:sectPr>
      </w:pPr>
    </w:p>
    <w:p w14:paraId="70109173">
      <w:pPr>
        <w:spacing w:line="360" w:lineRule="auto"/>
        <w:rPr>
          <w:rFonts w:ascii="宋体" w:hAnsi="宋体" w:cs="宋体"/>
        </w:rPr>
      </w:pPr>
    </w:p>
    <w:p w14:paraId="46A8D1AC">
      <w:pPr>
        <w:pStyle w:val="3"/>
        <w:spacing w:line="360" w:lineRule="auto"/>
        <w:jc w:val="center"/>
        <w:rPr>
          <w:rFonts w:ascii="宋体" w:hAnsi="宋体" w:cs="宋体"/>
        </w:rPr>
      </w:pPr>
      <w:bookmarkStart w:id="67" w:name="_Toc24629"/>
      <w:r>
        <w:rPr>
          <w:rFonts w:hint="eastAsia" w:ascii="宋体" w:hAnsi="宋体" w:cs="宋体"/>
        </w:rPr>
        <w:t>第二节 投标人须知正文</w:t>
      </w:r>
      <w:bookmarkEnd w:id="67"/>
    </w:p>
    <w:p w14:paraId="55809138">
      <w:pPr>
        <w:pStyle w:val="4"/>
        <w:keepNext w:val="0"/>
        <w:keepLines w:val="0"/>
        <w:rPr>
          <w:rFonts w:cs="宋体"/>
        </w:rPr>
      </w:pPr>
      <w:bookmarkStart w:id="68" w:name="_Toc27066"/>
      <w:r>
        <w:rPr>
          <w:rFonts w:hint="eastAsia" w:cs="宋体"/>
        </w:rPr>
        <w:t>一、总  则</w:t>
      </w:r>
      <w:bookmarkEnd w:id="68"/>
    </w:p>
    <w:p w14:paraId="404FF419">
      <w:pPr>
        <w:spacing w:line="360" w:lineRule="auto"/>
        <w:ind w:firstLine="480" w:firstLineChars="200"/>
        <w:rPr>
          <w:rFonts w:ascii="宋体" w:hAnsi="宋体" w:cs="宋体"/>
          <w:sz w:val="24"/>
        </w:rPr>
      </w:pPr>
      <w:bookmarkStart w:id="69" w:name="_Toc254970668"/>
      <w:bookmarkStart w:id="70" w:name="_Toc254970527"/>
      <w:r>
        <w:rPr>
          <w:rFonts w:hint="eastAsia" w:ascii="宋体" w:hAnsi="宋体" w:cs="宋体"/>
          <w:sz w:val="24"/>
        </w:rPr>
        <w:t>1.适用范围</w:t>
      </w:r>
      <w:bookmarkEnd w:id="69"/>
      <w:bookmarkEnd w:id="70"/>
    </w:p>
    <w:p w14:paraId="56544C5B">
      <w:pPr>
        <w:spacing w:line="360" w:lineRule="auto"/>
        <w:ind w:firstLine="420" w:firstLineChars="200"/>
        <w:rPr>
          <w:rFonts w:ascii="宋体" w:hAnsi="宋体" w:cs="宋体"/>
          <w:szCs w:val="21"/>
        </w:rPr>
      </w:pPr>
      <w:r>
        <w:rPr>
          <w:rFonts w:hint="eastAsia" w:ascii="宋体" w:hAnsi="宋体" w:cs="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B0220C3">
      <w:pPr>
        <w:spacing w:line="360" w:lineRule="auto"/>
        <w:ind w:firstLine="420" w:firstLineChars="200"/>
        <w:rPr>
          <w:rFonts w:ascii="宋体" w:hAnsi="宋体" w:cs="宋体"/>
          <w:szCs w:val="21"/>
        </w:rPr>
      </w:pPr>
      <w:r>
        <w:rPr>
          <w:rFonts w:hint="eastAsia" w:ascii="宋体" w:hAnsi="宋体" w:cs="宋体"/>
          <w:szCs w:val="21"/>
        </w:rPr>
        <w:t>1.2本招标文件</w:t>
      </w:r>
      <w:r>
        <w:rPr>
          <w:rFonts w:hint="eastAsia" w:ascii="宋体" w:hAnsi="宋体" w:cs="宋体"/>
          <w:spacing w:val="-6"/>
          <w:szCs w:val="21"/>
        </w:rPr>
        <w:t>适用于本项目的所有采购程序和环节（法律、法规另有规定的，从其规定）。</w:t>
      </w:r>
    </w:p>
    <w:p w14:paraId="1BAFD3A6">
      <w:pPr>
        <w:spacing w:line="360" w:lineRule="auto"/>
        <w:ind w:firstLine="480" w:firstLineChars="200"/>
        <w:rPr>
          <w:rFonts w:ascii="宋体" w:hAnsi="宋体" w:cs="宋体"/>
          <w:sz w:val="24"/>
        </w:rPr>
      </w:pPr>
      <w:bookmarkStart w:id="71" w:name="_Toc254970528"/>
      <w:bookmarkStart w:id="72" w:name="_Toc254970669"/>
      <w:r>
        <w:rPr>
          <w:rFonts w:hint="eastAsia" w:ascii="宋体" w:hAnsi="宋体" w:cs="宋体"/>
          <w:sz w:val="24"/>
        </w:rPr>
        <w:t>2.定义</w:t>
      </w:r>
      <w:bookmarkEnd w:id="71"/>
      <w:bookmarkEnd w:id="72"/>
    </w:p>
    <w:p w14:paraId="4357560E">
      <w:pPr>
        <w:spacing w:line="360" w:lineRule="auto"/>
        <w:ind w:firstLine="422" w:firstLineChars="200"/>
        <w:rPr>
          <w:rFonts w:ascii="宋体" w:hAnsi="宋体" w:cs="宋体"/>
          <w:b/>
          <w:szCs w:val="21"/>
        </w:rPr>
      </w:pPr>
      <w:r>
        <w:rPr>
          <w:rFonts w:hint="eastAsia" w:ascii="宋体" w:hAnsi="宋体" w:cs="宋体"/>
          <w:b/>
          <w:szCs w:val="21"/>
        </w:rPr>
        <w:t>2.1“采购人”是指依法进行政府采购的国家机关、事业单位、团体组织。</w:t>
      </w:r>
    </w:p>
    <w:p w14:paraId="088D2D42">
      <w:pPr>
        <w:spacing w:line="360" w:lineRule="auto"/>
        <w:ind w:firstLine="422" w:firstLineChars="200"/>
        <w:rPr>
          <w:rFonts w:ascii="宋体" w:hAnsi="宋体" w:cs="宋体"/>
          <w:b/>
          <w:szCs w:val="21"/>
        </w:rPr>
      </w:pPr>
      <w:r>
        <w:rPr>
          <w:rFonts w:hint="eastAsia" w:ascii="宋体" w:hAnsi="宋体" w:cs="宋体"/>
          <w:b/>
          <w:szCs w:val="21"/>
        </w:rPr>
        <w:t>2.2“采购代理机构” 指政府采购集中采购机构和集中采购机构以外的采购代理机构。</w:t>
      </w:r>
    </w:p>
    <w:p w14:paraId="2B0DEC1C">
      <w:pPr>
        <w:spacing w:line="360" w:lineRule="auto"/>
        <w:ind w:firstLine="422" w:firstLineChars="200"/>
        <w:rPr>
          <w:rFonts w:ascii="宋体" w:hAnsi="宋体" w:cs="宋体"/>
          <w:b/>
          <w:szCs w:val="21"/>
        </w:rPr>
      </w:pPr>
      <w:r>
        <w:rPr>
          <w:rFonts w:hint="eastAsia" w:ascii="宋体" w:hAnsi="宋体" w:cs="宋体"/>
          <w:b/>
          <w:szCs w:val="21"/>
        </w:rPr>
        <w:t>2.3“供应商”是指向采购人提供货物、工程或者服务的法人、其他组织或者自然人。</w:t>
      </w:r>
    </w:p>
    <w:p w14:paraId="5027AB50">
      <w:pPr>
        <w:spacing w:line="360" w:lineRule="auto"/>
        <w:ind w:firstLine="420" w:firstLineChars="200"/>
        <w:rPr>
          <w:rFonts w:ascii="宋体" w:hAnsi="宋体" w:cs="宋体"/>
          <w:szCs w:val="21"/>
        </w:rPr>
      </w:pPr>
      <w:r>
        <w:rPr>
          <w:rFonts w:hint="eastAsia" w:ascii="宋体" w:hAnsi="宋体" w:cs="宋体"/>
          <w:szCs w:val="21"/>
        </w:rPr>
        <w:t>2.4“投标人”是指响应招标、参加投标竞争的法人、非法人组织或者自然人。</w:t>
      </w:r>
    </w:p>
    <w:p w14:paraId="1CE3FE4C">
      <w:pPr>
        <w:spacing w:line="360" w:lineRule="auto"/>
        <w:ind w:firstLine="422" w:firstLineChars="200"/>
        <w:rPr>
          <w:rFonts w:ascii="宋体" w:hAnsi="宋体" w:cs="宋体"/>
          <w:b/>
          <w:szCs w:val="21"/>
        </w:rPr>
      </w:pPr>
      <w:r>
        <w:rPr>
          <w:rFonts w:hint="eastAsia" w:ascii="宋体" w:hAnsi="宋体" w:cs="宋体"/>
          <w:b/>
          <w:szCs w:val="21"/>
        </w:rPr>
        <w:t>2.5“货物”是指各种形态和种类的物品，包括原材料、燃料、设备、产品等。</w:t>
      </w:r>
    </w:p>
    <w:p w14:paraId="719F621A">
      <w:pPr>
        <w:spacing w:line="360" w:lineRule="auto"/>
        <w:ind w:firstLine="422" w:firstLineChars="200"/>
        <w:rPr>
          <w:rFonts w:ascii="宋体" w:hAnsi="宋体" w:cs="宋体"/>
          <w:b/>
          <w:szCs w:val="21"/>
        </w:rPr>
      </w:pPr>
      <w:r>
        <w:rPr>
          <w:rFonts w:hint="eastAsia" w:ascii="宋体" w:hAnsi="宋体" w:cs="宋体"/>
          <w:b/>
          <w:szCs w:val="21"/>
        </w:rPr>
        <w:t>2.6“售后服务” 是指商品出售以后所提供的各种服务，包含但不限于投标人须承担的备品备件、包</w:t>
      </w:r>
    </w:p>
    <w:p w14:paraId="0A837E01">
      <w:pPr>
        <w:spacing w:line="360" w:lineRule="auto"/>
        <w:ind w:firstLine="422" w:firstLineChars="200"/>
        <w:rPr>
          <w:rFonts w:ascii="宋体" w:hAnsi="宋体" w:cs="宋体"/>
          <w:b/>
          <w:szCs w:val="21"/>
        </w:rPr>
      </w:pPr>
      <w:r>
        <w:rPr>
          <w:rFonts w:hint="eastAsia" w:ascii="宋体" w:hAnsi="宋体" w:cs="宋体"/>
          <w:b/>
          <w:szCs w:val="21"/>
        </w:rPr>
        <w:t>装、运输、装卸、保险、货到就位以及安装、调试、培训、保修以及其他各种服务。</w:t>
      </w:r>
    </w:p>
    <w:p w14:paraId="718597E5">
      <w:pPr>
        <w:spacing w:line="360" w:lineRule="auto"/>
        <w:ind w:firstLine="422" w:firstLineChars="200"/>
        <w:rPr>
          <w:rFonts w:ascii="宋体" w:hAnsi="宋体" w:cs="宋体"/>
          <w:b/>
          <w:szCs w:val="21"/>
        </w:rPr>
      </w:pPr>
      <w:r>
        <w:rPr>
          <w:rFonts w:hint="eastAsia" w:ascii="宋体" w:hAnsi="宋体" w:cs="宋体"/>
          <w:b/>
          <w:szCs w:val="21"/>
        </w:rPr>
        <w:t>2.7“书面形式”是指合同书、信件和数据电文（包括电报、电传、传真、短信、电子数据交换和电子邮件）等可以有形地表现所载内容的形式。</w:t>
      </w:r>
    </w:p>
    <w:p w14:paraId="2D211A7D">
      <w:pPr>
        <w:spacing w:line="360" w:lineRule="auto"/>
        <w:ind w:firstLine="422" w:firstLineChars="200"/>
        <w:rPr>
          <w:rFonts w:ascii="宋体" w:hAnsi="宋体" w:cs="宋体"/>
          <w:b/>
          <w:szCs w:val="21"/>
        </w:rPr>
      </w:pPr>
      <w:r>
        <w:rPr>
          <w:rFonts w:hint="eastAsia" w:ascii="宋体" w:hAnsi="宋体" w:cs="宋体"/>
          <w:b/>
          <w:szCs w:val="21"/>
        </w:rPr>
        <w:t>2.8“实质性要求”是指招标文件中已经指明不满足则投标无效的条款，或者不能负偏离的条款，或者采购需求中带“</w:t>
      </w:r>
      <w:r>
        <w:rPr>
          <w:rFonts w:hint="eastAsia" w:ascii="宋体" w:hAnsi="宋体" w:cs="宋体"/>
          <w:b/>
          <w:bCs/>
          <w:szCs w:val="21"/>
        </w:rPr>
        <w:t>▲</w:t>
      </w:r>
      <w:r>
        <w:rPr>
          <w:rFonts w:hint="eastAsia" w:ascii="宋体" w:hAnsi="宋体" w:cs="宋体"/>
          <w:b/>
          <w:szCs w:val="21"/>
        </w:rPr>
        <w:t>”的条款。</w:t>
      </w:r>
    </w:p>
    <w:p w14:paraId="6A01EF45">
      <w:pPr>
        <w:spacing w:line="360" w:lineRule="auto"/>
        <w:ind w:firstLine="420" w:firstLineChars="200"/>
        <w:rPr>
          <w:rFonts w:ascii="宋体" w:hAnsi="宋体" w:cs="宋体"/>
          <w:szCs w:val="21"/>
        </w:rPr>
      </w:pPr>
      <w:r>
        <w:rPr>
          <w:rFonts w:hint="eastAsia" w:ascii="宋体" w:hAnsi="宋体" w:cs="宋体"/>
          <w:szCs w:val="21"/>
        </w:rPr>
        <w:t>2.9“正偏离”，是指投标文件对招标文件“采购需求”中有关条款作出的响应优于条款要求并有利于采购人的情形。</w:t>
      </w:r>
    </w:p>
    <w:p w14:paraId="67451D4E">
      <w:pPr>
        <w:spacing w:line="360" w:lineRule="auto"/>
        <w:ind w:firstLine="420" w:firstLineChars="200"/>
        <w:rPr>
          <w:rFonts w:ascii="宋体" w:hAnsi="宋体" w:cs="宋体"/>
          <w:szCs w:val="21"/>
        </w:rPr>
      </w:pPr>
      <w:r>
        <w:rPr>
          <w:rFonts w:hint="eastAsia" w:ascii="宋体" w:hAnsi="宋体" w:cs="宋体"/>
          <w:szCs w:val="21"/>
        </w:rPr>
        <w:t>2.10“负偏离”，是指投标文件对招标文件“采购需求”中有关条款作出的响应不满足条款要求，导致采购人要求不能得到满足的情形。</w:t>
      </w:r>
    </w:p>
    <w:p w14:paraId="6182211C">
      <w:pPr>
        <w:spacing w:line="360" w:lineRule="auto"/>
        <w:ind w:firstLine="420" w:firstLineChars="200"/>
        <w:rPr>
          <w:rFonts w:ascii="宋体" w:hAnsi="宋体" w:cs="宋体"/>
          <w:szCs w:val="21"/>
        </w:rPr>
      </w:pPr>
      <w:r>
        <w:rPr>
          <w:rFonts w:hint="eastAsia" w:ascii="宋体" w:hAnsi="宋体" w:cs="宋体"/>
          <w:szCs w:val="21"/>
        </w:rPr>
        <w:t>2.11“允许负偏离的条款”是指采购需求中的不属于“实质性要求”的条款。</w:t>
      </w:r>
      <w:bookmarkStart w:id="73" w:name="_Toc254970529"/>
      <w:bookmarkStart w:id="74" w:name="_Toc254970670"/>
    </w:p>
    <w:p w14:paraId="583D1EF7">
      <w:pPr>
        <w:spacing w:line="360" w:lineRule="auto"/>
        <w:ind w:firstLine="480" w:firstLineChars="200"/>
        <w:rPr>
          <w:rFonts w:ascii="宋体" w:hAnsi="宋体" w:cs="宋体"/>
          <w:sz w:val="24"/>
        </w:rPr>
      </w:pPr>
      <w:r>
        <w:rPr>
          <w:rFonts w:hint="eastAsia" w:ascii="宋体" w:hAnsi="宋体" w:cs="宋体"/>
          <w:sz w:val="24"/>
        </w:rPr>
        <w:t>3.</w:t>
      </w:r>
      <w:bookmarkEnd w:id="73"/>
      <w:bookmarkEnd w:id="74"/>
      <w:r>
        <w:rPr>
          <w:rFonts w:hint="eastAsia" w:ascii="宋体" w:hAnsi="宋体" w:cs="宋体"/>
          <w:sz w:val="24"/>
        </w:rPr>
        <w:t>投标人的资格要求</w:t>
      </w:r>
    </w:p>
    <w:p w14:paraId="3BD9C3DF">
      <w:pPr>
        <w:spacing w:line="360" w:lineRule="auto"/>
        <w:ind w:firstLine="420" w:firstLineChars="200"/>
        <w:rPr>
          <w:rFonts w:ascii="宋体" w:hAnsi="宋体" w:cs="宋体"/>
          <w:szCs w:val="21"/>
        </w:rPr>
      </w:pPr>
      <w:r>
        <w:rPr>
          <w:rFonts w:hint="eastAsia" w:ascii="宋体" w:hAnsi="宋体" w:cs="宋体"/>
          <w:szCs w:val="21"/>
        </w:rPr>
        <w:t>投标人的资格要求详见“招标公告”。</w:t>
      </w:r>
    </w:p>
    <w:p w14:paraId="2C3C0932">
      <w:pPr>
        <w:spacing w:line="360" w:lineRule="auto"/>
        <w:ind w:firstLine="480" w:firstLineChars="200"/>
        <w:rPr>
          <w:rFonts w:ascii="宋体" w:hAnsi="宋体" w:cs="宋体"/>
          <w:sz w:val="24"/>
        </w:rPr>
      </w:pPr>
      <w:bookmarkStart w:id="75" w:name="_Toc254970671"/>
      <w:bookmarkStart w:id="76" w:name="_Toc254970530"/>
      <w:r>
        <w:rPr>
          <w:rFonts w:hint="eastAsia" w:ascii="宋体" w:hAnsi="宋体" w:cs="宋体"/>
          <w:sz w:val="24"/>
        </w:rPr>
        <w:t>4.投标委托</w:t>
      </w:r>
      <w:bookmarkEnd w:id="75"/>
      <w:bookmarkEnd w:id="76"/>
    </w:p>
    <w:p w14:paraId="16398C12">
      <w:pPr>
        <w:spacing w:line="360" w:lineRule="auto"/>
        <w:ind w:firstLine="420" w:firstLineChars="200"/>
        <w:rPr>
          <w:rFonts w:ascii="宋体" w:hAnsi="宋体" w:cs="宋体"/>
          <w:szCs w:val="21"/>
        </w:rPr>
      </w:pPr>
      <w:r>
        <w:rPr>
          <w:rFonts w:hint="eastAsia" w:ascii="宋体" w:hAnsi="宋体" w:cs="宋体"/>
          <w:szCs w:val="21"/>
        </w:rPr>
        <w:t>投标人代表参加投标活动过程中必须携带个人有效身份证件。如投标人代表不是法定代表人，须持有法定代表人授权委托书（正本用原件，副本用复印件，按第六章要求格式填写）。</w:t>
      </w:r>
    </w:p>
    <w:p w14:paraId="38BF5E43">
      <w:pPr>
        <w:spacing w:line="360" w:lineRule="auto"/>
        <w:ind w:firstLine="480" w:firstLineChars="200"/>
        <w:rPr>
          <w:rFonts w:ascii="宋体" w:hAnsi="宋体" w:cs="宋体"/>
          <w:sz w:val="24"/>
        </w:rPr>
      </w:pPr>
      <w:bookmarkStart w:id="77" w:name="_5.投标费用"/>
      <w:bookmarkEnd w:id="77"/>
      <w:bookmarkStart w:id="78" w:name="_Toc254970531"/>
      <w:bookmarkStart w:id="79" w:name="_Toc254970672"/>
      <w:r>
        <w:rPr>
          <w:rFonts w:hint="eastAsia" w:ascii="宋体" w:hAnsi="宋体" w:cs="宋体"/>
          <w:sz w:val="24"/>
        </w:rPr>
        <w:t>5.投标费用</w:t>
      </w:r>
      <w:bookmarkEnd w:id="78"/>
      <w:bookmarkEnd w:id="79"/>
    </w:p>
    <w:p w14:paraId="2090145F">
      <w:pPr>
        <w:spacing w:line="360" w:lineRule="auto"/>
        <w:ind w:firstLine="420" w:firstLineChars="200"/>
        <w:rPr>
          <w:rFonts w:ascii="宋体" w:hAnsi="宋体" w:cs="宋体"/>
          <w:szCs w:val="21"/>
        </w:rPr>
      </w:pPr>
      <w:r>
        <w:rPr>
          <w:rFonts w:hint="eastAsia" w:ascii="宋体" w:hAnsi="宋体" w:cs="宋体"/>
          <w:szCs w:val="21"/>
        </w:rPr>
        <w:t>投标费用：投标人应承担参与本次采购活动有关的所有费用，包括但不限于勘查现场、编制投标文件、参加澄清说明、签订合同等，不论投标结果如何，均应自行承担。</w:t>
      </w:r>
    </w:p>
    <w:p w14:paraId="526A46CB">
      <w:pPr>
        <w:spacing w:line="360" w:lineRule="auto"/>
        <w:ind w:firstLine="480" w:firstLineChars="200"/>
        <w:rPr>
          <w:rFonts w:ascii="宋体" w:hAnsi="宋体" w:cs="宋体"/>
          <w:sz w:val="24"/>
        </w:rPr>
      </w:pPr>
      <w:r>
        <w:rPr>
          <w:rFonts w:hint="eastAsia" w:ascii="宋体" w:hAnsi="宋体" w:cs="宋体"/>
          <w:sz w:val="24"/>
        </w:rPr>
        <w:t>6.联合体投标</w:t>
      </w:r>
    </w:p>
    <w:p w14:paraId="522AC21F">
      <w:pPr>
        <w:spacing w:line="360" w:lineRule="auto"/>
        <w:ind w:firstLine="420" w:firstLineChars="200"/>
        <w:rPr>
          <w:rFonts w:ascii="宋体" w:hAnsi="宋体" w:cs="宋体"/>
          <w:szCs w:val="21"/>
        </w:rPr>
      </w:pPr>
      <w:r>
        <w:rPr>
          <w:rFonts w:hint="eastAsia" w:ascii="宋体" w:hAnsi="宋体" w:cs="宋体"/>
          <w:szCs w:val="21"/>
        </w:rPr>
        <w:t>6.1本项目是否接受联合体投标，详见“投标人须知前附表”。</w:t>
      </w:r>
    </w:p>
    <w:p w14:paraId="4D65FA13">
      <w:pPr>
        <w:spacing w:line="360" w:lineRule="auto"/>
        <w:ind w:firstLine="420" w:firstLineChars="200"/>
        <w:rPr>
          <w:rFonts w:ascii="宋体" w:hAnsi="宋体" w:cs="宋体"/>
          <w:bCs/>
          <w:szCs w:val="21"/>
        </w:rPr>
      </w:pPr>
      <w:r>
        <w:rPr>
          <w:rFonts w:hint="eastAsia" w:ascii="宋体" w:hAnsi="宋体" w:cs="宋体"/>
          <w:bCs/>
          <w:szCs w:val="21"/>
        </w:rPr>
        <w:t>6.2如接受联合体投标，联合体投标要求详见“投标人须知前附表”。</w:t>
      </w:r>
    </w:p>
    <w:p w14:paraId="5C378A6F">
      <w:pPr>
        <w:spacing w:line="360" w:lineRule="auto"/>
        <w:ind w:firstLine="420" w:firstLineChars="200"/>
        <w:rPr>
          <w:rFonts w:ascii="宋体" w:hAnsi="宋体" w:cs="宋体"/>
          <w:sz w:val="24"/>
          <w:shd w:val="clear" w:color="auto" w:fill="FFFFFF"/>
        </w:rPr>
      </w:pPr>
      <w:r>
        <w:rPr>
          <w:rFonts w:hint="eastAsia" w:ascii="宋体" w:hAnsi="宋体" w:cs="宋体"/>
          <w:bCs/>
          <w:szCs w:val="21"/>
        </w:rPr>
        <w:t>6.3根据《政府采购促进中小企业发展管理办法》（财库[2020]46号）第九条规定，接受大中型企业与小微企业组成联合体的采购项目，对于联合协议约定小微企业的合同份额占到合同总金额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59C6B4DE">
      <w:pPr>
        <w:spacing w:line="360" w:lineRule="auto"/>
        <w:ind w:firstLine="480" w:firstLineChars="200"/>
        <w:rPr>
          <w:rFonts w:ascii="宋体" w:hAnsi="宋体" w:cs="宋体"/>
          <w:sz w:val="24"/>
        </w:rPr>
      </w:pPr>
      <w:r>
        <w:rPr>
          <w:rFonts w:hint="eastAsia" w:ascii="宋体" w:hAnsi="宋体" w:cs="宋体"/>
          <w:sz w:val="24"/>
        </w:rPr>
        <w:t xml:space="preserve">7.转包与分包             </w:t>
      </w:r>
    </w:p>
    <w:p w14:paraId="37157BBF">
      <w:pPr>
        <w:spacing w:line="360" w:lineRule="auto"/>
        <w:ind w:firstLine="422" w:firstLineChars="200"/>
        <w:rPr>
          <w:rFonts w:ascii="宋体" w:hAnsi="宋体" w:cs="宋体"/>
          <w:b/>
          <w:szCs w:val="21"/>
        </w:rPr>
      </w:pPr>
      <w:r>
        <w:rPr>
          <w:rFonts w:hint="eastAsia" w:ascii="宋体" w:hAnsi="宋体" w:cs="宋体"/>
          <w:b/>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4E3912B9">
      <w:pPr>
        <w:spacing w:line="360" w:lineRule="auto"/>
        <w:ind w:firstLine="420" w:firstLineChars="200"/>
        <w:rPr>
          <w:rFonts w:ascii="宋体" w:hAnsi="宋体" w:cs="宋体"/>
          <w:bCs/>
          <w:szCs w:val="21"/>
        </w:rPr>
      </w:pPr>
      <w:r>
        <w:rPr>
          <w:rFonts w:hint="eastAsia" w:ascii="宋体" w:hAnsi="宋体" w:cs="宋体"/>
          <w:bCs/>
          <w:szCs w:val="21"/>
        </w:rPr>
        <w:t>7.2根据《政府采购促进中小企业发展管理办法》（财库[2020]46号）第九条规定，允许大中型企业向一家或者多家小微企业分包的采购项目，对于分包意向协议约定小微企业的合同份额占到合同总金额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7E900FDB">
      <w:pPr>
        <w:spacing w:line="360" w:lineRule="auto"/>
        <w:ind w:firstLine="480" w:firstLineChars="200"/>
        <w:rPr>
          <w:rFonts w:ascii="宋体" w:hAnsi="宋体" w:cs="宋体"/>
          <w:sz w:val="24"/>
        </w:rPr>
      </w:pPr>
      <w:bookmarkStart w:id="80" w:name="_Toc254970532"/>
      <w:bookmarkStart w:id="81" w:name="_Toc254970673"/>
      <w:r>
        <w:rPr>
          <w:rFonts w:hint="eastAsia" w:ascii="宋体" w:hAnsi="宋体" w:cs="宋体"/>
          <w:sz w:val="24"/>
        </w:rPr>
        <w:t>8.特别说明：</w:t>
      </w:r>
      <w:bookmarkEnd w:id="80"/>
      <w:bookmarkEnd w:id="81"/>
      <w:bookmarkStart w:id="82" w:name="_8.1提供相同品牌产品且通过资格审查、符合性审查的不同投标人参加同一合"/>
      <w:bookmarkEnd w:id="82"/>
    </w:p>
    <w:p w14:paraId="77BD3DCA">
      <w:pPr>
        <w:spacing w:line="360" w:lineRule="auto"/>
        <w:ind w:firstLine="422" w:firstLineChars="200"/>
        <w:rPr>
          <w:rFonts w:ascii="宋体" w:hAnsi="宋体" w:cs="宋体"/>
          <w:b/>
          <w:szCs w:val="21"/>
        </w:rPr>
      </w:pPr>
      <w:r>
        <w:rPr>
          <w:rFonts w:hint="eastAsia" w:ascii="宋体" w:hAnsi="宋体" w:cs="宋体"/>
          <w:b/>
          <w:szCs w:val="21"/>
        </w:rPr>
        <w:t>8.1如果本招标文件要求投标人提供资格、信誉、荣誉、业绩与企业认证等材料的，则投标人所提供的以上材料必须为投标人所拥有。</w:t>
      </w:r>
    </w:p>
    <w:p w14:paraId="31F86AB1">
      <w:pPr>
        <w:spacing w:line="360" w:lineRule="auto"/>
        <w:ind w:firstLine="422" w:firstLineChars="200"/>
        <w:rPr>
          <w:rFonts w:ascii="宋体" w:hAnsi="宋体" w:cs="宋体"/>
          <w:b/>
          <w:szCs w:val="21"/>
        </w:rPr>
      </w:pPr>
      <w:r>
        <w:rPr>
          <w:rFonts w:hint="eastAsia" w:ascii="宋体" w:hAnsi="宋体" w:cs="宋体"/>
          <w:b/>
          <w:szCs w:val="21"/>
        </w:rPr>
        <w:t>8.2投标人应仔细阅读招标文件的所有内容，按照招标文件的要求提交投标文件，并对所提供的全部资料的真实性承担法律责任。</w:t>
      </w:r>
    </w:p>
    <w:p w14:paraId="2221C8F7">
      <w:pPr>
        <w:spacing w:line="360" w:lineRule="auto"/>
        <w:ind w:firstLine="422" w:firstLineChars="200"/>
        <w:rPr>
          <w:rFonts w:ascii="宋体" w:hAnsi="宋体" w:cs="宋体"/>
          <w:b/>
          <w:szCs w:val="21"/>
        </w:rPr>
      </w:pPr>
      <w:r>
        <w:rPr>
          <w:rFonts w:hint="eastAsia" w:ascii="宋体" w:hAnsi="宋体" w:cs="宋体"/>
          <w:b/>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05277C35">
      <w:pPr>
        <w:spacing w:line="360" w:lineRule="auto"/>
        <w:ind w:firstLine="480" w:firstLineChars="200"/>
        <w:rPr>
          <w:rFonts w:ascii="宋体" w:hAnsi="宋体" w:cs="宋体"/>
          <w:sz w:val="24"/>
        </w:rPr>
      </w:pPr>
      <w:r>
        <w:rPr>
          <w:rFonts w:hint="eastAsia" w:ascii="宋体" w:hAnsi="宋体" w:cs="宋体"/>
          <w:sz w:val="24"/>
        </w:rPr>
        <w:t>9.回避与串通投标</w:t>
      </w:r>
    </w:p>
    <w:p w14:paraId="56D4B3E0">
      <w:pPr>
        <w:spacing w:line="360" w:lineRule="auto"/>
        <w:ind w:firstLine="422" w:firstLineChars="200"/>
        <w:rPr>
          <w:rFonts w:ascii="宋体" w:hAnsi="宋体" w:cs="宋体"/>
          <w:b/>
          <w:szCs w:val="21"/>
        </w:rPr>
      </w:pPr>
      <w:r>
        <w:rPr>
          <w:rFonts w:hint="eastAsia" w:ascii="宋体" w:hAnsi="宋体" w:cs="宋体"/>
          <w:b/>
          <w:szCs w:val="21"/>
        </w:rPr>
        <w:t>9.1在政府采购活动中，采购人员及相关人员与供应商有下列利害关系之一的，应当回避：</w:t>
      </w:r>
    </w:p>
    <w:p w14:paraId="3905822D">
      <w:pPr>
        <w:spacing w:line="360" w:lineRule="auto"/>
        <w:ind w:firstLine="420" w:firstLineChars="200"/>
        <w:rPr>
          <w:rFonts w:ascii="宋体" w:hAnsi="宋体" w:cs="宋体"/>
        </w:rPr>
      </w:pPr>
      <w:r>
        <w:rPr>
          <w:rFonts w:hint="eastAsia" w:ascii="宋体" w:hAnsi="宋体" w:cs="宋体"/>
        </w:rPr>
        <w:t>（1）参加采购活动前3年内与供应商存在劳动关系；</w:t>
      </w:r>
    </w:p>
    <w:p w14:paraId="235FBE1C">
      <w:pPr>
        <w:spacing w:line="360" w:lineRule="auto"/>
        <w:ind w:firstLine="420" w:firstLineChars="200"/>
        <w:rPr>
          <w:rFonts w:ascii="宋体" w:hAnsi="宋体" w:cs="宋体"/>
        </w:rPr>
      </w:pPr>
      <w:r>
        <w:rPr>
          <w:rFonts w:hint="eastAsia" w:ascii="宋体" w:hAnsi="宋体" w:cs="宋体"/>
        </w:rPr>
        <w:t>（2）参加采购活动前3年内担任供应商的董事、监事；</w:t>
      </w:r>
    </w:p>
    <w:p w14:paraId="2B0CEFC5">
      <w:pPr>
        <w:spacing w:line="360" w:lineRule="auto"/>
        <w:ind w:firstLine="420" w:firstLineChars="200"/>
        <w:rPr>
          <w:rFonts w:ascii="宋体" w:hAnsi="宋体" w:cs="宋体"/>
        </w:rPr>
      </w:pPr>
      <w:r>
        <w:rPr>
          <w:rFonts w:hint="eastAsia" w:ascii="宋体" w:hAnsi="宋体" w:cs="宋体"/>
        </w:rPr>
        <w:t>（3）参加采购活动前3年内是供应商的控股股东或者实际控制人；</w:t>
      </w:r>
    </w:p>
    <w:p w14:paraId="2A5729DE">
      <w:pPr>
        <w:spacing w:line="360" w:lineRule="auto"/>
        <w:ind w:firstLine="420" w:firstLineChars="200"/>
        <w:rPr>
          <w:rFonts w:ascii="宋体" w:hAnsi="宋体" w:cs="宋体"/>
        </w:rPr>
      </w:pPr>
      <w:r>
        <w:rPr>
          <w:rFonts w:hint="eastAsia" w:ascii="宋体" w:hAnsi="宋体" w:cs="宋体"/>
        </w:rPr>
        <w:t>（4）与供应商的法定代表人或者负责人有夫妻、直系血亲、三代以内旁系血亲或者近姻亲关系；</w:t>
      </w:r>
    </w:p>
    <w:p w14:paraId="6CEDE032">
      <w:pPr>
        <w:spacing w:line="360" w:lineRule="auto"/>
        <w:ind w:firstLine="420" w:firstLineChars="200"/>
        <w:rPr>
          <w:rFonts w:ascii="宋体" w:hAnsi="宋体" w:cs="宋体"/>
        </w:rPr>
      </w:pPr>
      <w:r>
        <w:rPr>
          <w:rFonts w:hint="eastAsia" w:ascii="宋体" w:hAnsi="宋体" w:cs="宋体"/>
        </w:rPr>
        <w:t>（5）与供应商有其他可能影响政府采购活动公平、公正进行的关系。</w:t>
      </w:r>
    </w:p>
    <w:p w14:paraId="7CBEC0FE">
      <w:pPr>
        <w:spacing w:line="360" w:lineRule="auto"/>
        <w:ind w:firstLine="420" w:firstLineChars="200"/>
        <w:rPr>
          <w:rFonts w:ascii="宋体" w:hAnsi="宋体" w:cs="宋体"/>
        </w:rPr>
      </w:pPr>
      <w:r>
        <w:rPr>
          <w:rFonts w:hint="eastAsia" w:ascii="宋体" w:hAnsi="宋体" w:cs="宋体"/>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CFEC097">
      <w:pPr>
        <w:spacing w:line="360" w:lineRule="auto"/>
        <w:ind w:firstLine="420" w:firstLineChars="200"/>
        <w:rPr>
          <w:rFonts w:ascii="宋体" w:hAnsi="宋体" w:cs="宋体"/>
          <w:szCs w:val="21"/>
        </w:rPr>
      </w:pPr>
      <w:r>
        <w:rPr>
          <w:rFonts w:hint="eastAsia" w:ascii="宋体" w:hAnsi="宋体" w:cs="宋体"/>
          <w:szCs w:val="21"/>
        </w:rPr>
        <w:t>9.2有下列情形之一的视为投标人相互串通投标，投标文件将被视为无效：</w:t>
      </w:r>
    </w:p>
    <w:p w14:paraId="142F457D">
      <w:pPr>
        <w:spacing w:line="360" w:lineRule="auto"/>
        <w:ind w:firstLine="422" w:firstLineChars="200"/>
        <w:rPr>
          <w:rFonts w:ascii="宋体" w:hAnsi="宋体" w:cs="宋体"/>
          <w:b/>
        </w:rPr>
      </w:pPr>
      <w:r>
        <w:rPr>
          <w:rFonts w:hint="eastAsia" w:ascii="宋体" w:hAnsi="宋体" w:cs="宋体"/>
          <w:b/>
        </w:rPr>
        <w:t>（1）不同投标人的投标文件由同一单位或者个人编制；或者不同投标人报名的IP地址一致的；或者编制标书硬件设备CPU编号、硬盘编号、网卡地址一致的情况。</w:t>
      </w:r>
    </w:p>
    <w:p w14:paraId="74897DB6">
      <w:pPr>
        <w:spacing w:line="360" w:lineRule="auto"/>
        <w:ind w:firstLine="422" w:firstLineChars="200"/>
        <w:rPr>
          <w:rFonts w:ascii="宋体" w:hAnsi="宋体" w:cs="宋体"/>
          <w:b/>
        </w:rPr>
      </w:pPr>
      <w:r>
        <w:rPr>
          <w:rFonts w:hint="eastAsia" w:ascii="宋体" w:hAnsi="宋体" w:cs="宋体"/>
          <w:b/>
        </w:rPr>
        <w:t>（2）不同投标人委托同一单位或者个人办理投标事宜；</w:t>
      </w:r>
    </w:p>
    <w:p w14:paraId="59A89CE3">
      <w:pPr>
        <w:spacing w:line="360" w:lineRule="auto"/>
        <w:ind w:firstLine="422" w:firstLineChars="200"/>
        <w:rPr>
          <w:rFonts w:ascii="宋体" w:hAnsi="宋体" w:cs="宋体"/>
          <w:b/>
        </w:rPr>
      </w:pPr>
      <w:r>
        <w:rPr>
          <w:rFonts w:hint="eastAsia" w:ascii="宋体" w:hAnsi="宋体" w:cs="宋体"/>
          <w:b/>
        </w:rPr>
        <w:t>（3）不同的投标人的投标文件载明的项目管理员为同一个人；</w:t>
      </w:r>
    </w:p>
    <w:p w14:paraId="34978E5A">
      <w:pPr>
        <w:spacing w:line="360" w:lineRule="auto"/>
        <w:ind w:firstLine="422" w:firstLineChars="200"/>
        <w:rPr>
          <w:rFonts w:ascii="宋体" w:hAnsi="宋体" w:cs="宋体"/>
          <w:b/>
        </w:rPr>
      </w:pPr>
      <w:r>
        <w:rPr>
          <w:rFonts w:hint="eastAsia" w:ascii="宋体" w:hAnsi="宋体" w:cs="宋体"/>
          <w:b/>
        </w:rPr>
        <w:t>（4）不同投标人的电子或纸质投标文件异常一致或者投标报价呈规律性差异；</w:t>
      </w:r>
    </w:p>
    <w:p w14:paraId="353CDD06">
      <w:pPr>
        <w:spacing w:line="360" w:lineRule="auto"/>
        <w:ind w:firstLine="422" w:firstLineChars="200"/>
        <w:rPr>
          <w:rFonts w:ascii="宋体" w:hAnsi="宋体" w:cs="宋体"/>
          <w:b/>
        </w:rPr>
      </w:pPr>
      <w:r>
        <w:rPr>
          <w:rFonts w:hint="eastAsia" w:ascii="宋体" w:hAnsi="宋体" w:cs="宋体"/>
          <w:b/>
        </w:rPr>
        <w:t>（5）不同投标人的纸质投标文件相互混装；</w:t>
      </w:r>
    </w:p>
    <w:p w14:paraId="7AF81035">
      <w:pPr>
        <w:spacing w:line="360" w:lineRule="auto"/>
        <w:ind w:firstLine="420" w:firstLineChars="200"/>
        <w:rPr>
          <w:rFonts w:ascii="宋体" w:hAnsi="宋体" w:cs="宋体"/>
          <w:szCs w:val="21"/>
        </w:rPr>
      </w:pPr>
      <w:r>
        <w:rPr>
          <w:rFonts w:hint="eastAsia" w:ascii="宋体" w:hAnsi="宋体" w:cs="宋体"/>
          <w:szCs w:val="21"/>
        </w:rPr>
        <w:t>9.3供应商有下列情形之一的，属于恶意串通行为，将报同级监督管理部门：</w:t>
      </w:r>
    </w:p>
    <w:p w14:paraId="1992CA13">
      <w:pPr>
        <w:spacing w:line="360" w:lineRule="auto"/>
        <w:ind w:firstLine="420" w:firstLineChars="200"/>
        <w:rPr>
          <w:rFonts w:ascii="宋体" w:hAnsi="宋体" w:cs="宋体"/>
        </w:rPr>
      </w:pPr>
      <w:r>
        <w:rPr>
          <w:rFonts w:hint="eastAsia" w:ascii="宋体" w:hAnsi="宋体" w:cs="宋体"/>
        </w:rPr>
        <w:t>（1）供应商直接或者间接从采购人或者采购代理机构处获得其他供应商的相关信息并修改其投标文件或者投标文件；</w:t>
      </w:r>
    </w:p>
    <w:p w14:paraId="2F5F0874">
      <w:pPr>
        <w:spacing w:line="360" w:lineRule="auto"/>
        <w:ind w:firstLine="420" w:firstLineChars="200"/>
        <w:rPr>
          <w:rFonts w:ascii="宋体" w:hAnsi="宋体" w:cs="宋体"/>
        </w:rPr>
      </w:pPr>
      <w:r>
        <w:rPr>
          <w:rFonts w:hint="eastAsia" w:ascii="宋体" w:hAnsi="宋体" w:cs="宋体"/>
        </w:rPr>
        <w:t>（2）供应商按照采购人或者采购代理机构的授意撤换、修改投标文件或者投标文件；</w:t>
      </w:r>
    </w:p>
    <w:p w14:paraId="6BD423E7">
      <w:pPr>
        <w:spacing w:line="360" w:lineRule="auto"/>
        <w:ind w:firstLine="420" w:firstLineChars="200"/>
        <w:rPr>
          <w:rFonts w:ascii="宋体" w:hAnsi="宋体" w:cs="宋体"/>
        </w:rPr>
      </w:pPr>
      <w:r>
        <w:rPr>
          <w:rFonts w:hint="eastAsia" w:ascii="宋体" w:hAnsi="宋体" w:cs="宋体"/>
        </w:rPr>
        <w:t>（3）供应商之间协商报价、技术方案等投标文件或者投标文件的实质性内容；</w:t>
      </w:r>
    </w:p>
    <w:p w14:paraId="447245FC">
      <w:pPr>
        <w:spacing w:line="360" w:lineRule="auto"/>
        <w:ind w:firstLine="420" w:firstLineChars="200"/>
        <w:rPr>
          <w:rFonts w:ascii="宋体" w:hAnsi="宋体" w:cs="宋体"/>
        </w:rPr>
      </w:pPr>
      <w:r>
        <w:rPr>
          <w:rFonts w:hint="eastAsia" w:ascii="宋体" w:hAnsi="宋体" w:cs="宋体"/>
        </w:rPr>
        <w:t>（4）属于同一集团、协会、商会等组织成员的供应商按照该组织要求协同参加政府采购活动；</w:t>
      </w:r>
    </w:p>
    <w:p w14:paraId="6EF3B221">
      <w:pPr>
        <w:spacing w:line="360" w:lineRule="auto"/>
        <w:ind w:firstLine="420" w:firstLineChars="200"/>
        <w:rPr>
          <w:rFonts w:ascii="宋体" w:hAnsi="宋体" w:cs="宋体"/>
        </w:rPr>
      </w:pPr>
      <w:r>
        <w:rPr>
          <w:rFonts w:hint="eastAsia" w:ascii="宋体" w:hAnsi="宋体" w:cs="宋体"/>
        </w:rPr>
        <w:t>（5）供应商之间事先约定一致抬高或者压低投标报价，或者在招标项目中事先约定轮流以高价位或者低价位中标，或者事先约定由某一特定供应商中标，然后再参加投标；</w:t>
      </w:r>
    </w:p>
    <w:p w14:paraId="1605972C">
      <w:pPr>
        <w:spacing w:line="360" w:lineRule="auto"/>
        <w:ind w:firstLine="420" w:firstLineChars="200"/>
        <w:rPr>
          <w:rFonts w:ascii="宋体" w:hAnsi="宋体" w:cs="宋体"/>
        </w:rPr>
      </w:pPr>
      <w:r>
        <w:rPr>
          <w:rFonts w:hint="eastAsia" w:ascii="宋体" w:hAnsi="宋体" w:cs="宋体"/>
        </w:rPr>
        <w:t>（6）供应商之间商定部分供应商放弃参加政府采购活动或者放弃中标；</w:t>
      </w:r>
    </w:p>
    <w:p w14:paraId="6F853E23">
      <w:pPr>
        <w:spacing w:line="360" w:lineRule="auto"/>
        <w:ind w:firstLine="420" w:firstLineChars="200"/>
        <w:rPr>
          <w:rFonts w:ascii="宋体" w:hAnsi="宋体" w:cs="宋体"/>
        </w:rPr>
      </w:pPr>
      <w:r>
        <w:rPr>
          <w:rFonts w:hint="eastAsia" w:ascii="宋体" w:hAnsi="宋体" w:cs="宋体"/>
        </w:rPr>
        <w:t>（7）供应商与采购人或者采购代理机构之间、供应商相互之间，为谋求特定供应商中标或者排斥其他供应商的其他串通行为。</w:t>
      </w:r>
    </w:p>
    <w:p w14:paraId="65ADA5AC">
      <w:pPr>
        <w:pStyle w:val="12"/>
        <w:snapToGrid w:val="0"/>
        <w:spacing w:line="360" w:lineRule="auto"/>
        <w:ind w:left="2" w:leftChars="1" w:firstLine="422" w:firstLineChars="200"/>
        <w:rPr>
          <w:rFonts w:hAnsi="宋体" w:cs="宋体"/>
          <w:b/>
        </w:rPr>
      </w:pPr>
    </w:p>
    <w:p w14:paraId="51B9931F">
      <w:pPr>
        <w:pStyle w:val="4"/>
        <w:keepNext w:val="0"/>
        <w:keepLines w:val="0"/>
        <w:rPr>
          <w:rFonts w:cs="宋体"/>
        </w:rPr>
      </w:pPr>
      <w:bookmarkStart w:id="83" w:name="_Toc254970534"/>
      <w:bookmarkStart w:id="84" w:name="_Toc22879"/>
      <w:bookmarkStart w:id="85" w:name="_Toc254970675"/>
      <w:r>
        <w:rPr>
          <w:rFonts w:hint="eastAsia" w:cs="宋体"/>
        </w:rPr>
        <w:t>二、招标文件</w:t>
      </w:r>
      <w:bookmarkEnd w:id="83"/>
      <w:bookmarkEnd w:id="84"/>
      <w:bookmarkEnd w:id="85"/>
    </w:p>
    <w:p w14:paraId="574DEBB8">
      <w:pPr>
        <w:spacing w:line="360" w:lineRule="auto"/>
        <w:ind w:firstLine="480" w:firstLineChars="200"/>
        <w:rPr>
          <w:rFonts w:ascii="宋体" w:hAnsi="宋体" w:cs="宋体"/>
          <w:sz w:val="24"/>
        </w:rPr>
      </w:pPr>
      <w:r>
        <w:rPr>
          <w:rFonts w:hint="eastAsia" w:ascii="宋体" w:hAnsi="宋体" w:cs="宋体"/>
          <w:sz w:val="24"/>
        </w:rPr>
        <w:t>10.招标文件的组成</w:t>
      </w:r>
    </w:p>
    <w:p w14:paraId="6358DB6A">
      <w:pPr>
        <w:spacing w:line="360" w:lineRule="auto"/>
        <w:ind w:firstLine="420" w:firstLineChars="200"/>
        <w:rPr>
          <w:rFonts w:ascii="宋体" w:hAnsi="宋体" w:cs="宋体"/>
          <w:szCs w:val="21"/>
        </w:rPr>
      </w:pPr>
      <w:r>
        <w:rPr>
          <w:rFonts w:hint="eastAsia" w:ascii="宋体" w:hAnsi="宋体" w:cs="宋体"/>
          <w:szCs w:val="21"/>
        </w:rPr>
        <w:t>第一章 招标公告；</w:t>
      </w:r>
    </w:p>
    <w:p w14:paraId="62E66F16">
      <w:pPr>
        <w:spacing w:line="360" w:lineRule="auto"/>
        <w:ind w:firstLine="420" w:firstLineChars="200"/>
        <w:rPr>
          <w:rFonts w:ascii="宋体" w:hAnsi="宋体" w:cs="宋体"/>
          <w:szCs w:val="21"/>
        </w:rPr>
      </w:pPr>
      <w:r>
        <w:rPr>
          <w:rFonts w:hint="eastAsia" w:ascii="宋体" w:hAnsi="宋体" w:cs="宋体"/>
          <w:szCs w:val="21"/>
        </w:rPr>
        <w:t xml:space="preserve">第二章 采购需求； </w:t>
      </w:r>
    </w:p>
    <w:p w14:paraId="3D408951">
      <w:pPr>
        <w:spacing w:line="360" w:lineRule="auto"/>
        <w:ind w:firstLine="420" w:firstLineChars="200"/>
        <w:rPr>
          <w:rFonts w:ascii="宋体" w:hAnsi="宋体" w:cs="宋体"/>
          <w:szCs w:val="21"/>
        </w:rPr>
      </w:pPr>
      <w:r>
        <w:rPr>
          <w:rFonts w:hint="eastAsia" w:ascii="宋体" w:hAnsi="宋体" w:cs="宋体"/>
          <w:szCs w:val="21"/>
        </w:rPr>
        <w:t>第三章 投标人须知；</w:t>
      </w:r>
    </w:p>
    <w:p w14:paraId="6FE0B899">
      <w:pPr>
        <w:spacing w:line="360" w:lineRule="auto"/>
        <w:ind w:firstLine="420" w:firstLineChars="200"/>
        <w:rPr>
          <w:rFonts w:ascii="宋体" w:hAnsi="宋体" w:cs="宋体"/>
          <w:szCs w:val="21"/>
        </w:rPr>
      </w:pPr>
      <w:r>
        <w:rPr>
          <w:rFonts w:hint="eastAsia" w:ascii="宋体" w:hAnsi="宋体" w:cs="宋体"/>
          <w:szCs w:val="21"/>
        </w:rPr>
        <w:t>第四章 评标方法及评标标准；</w:t>
      </w:r>
    </w:p>
    <w:p w14:paraId="1B16AD10">
      <w:pPr>
        <w:spacing w:line="360" w:lineRule="auto"/>
        <w:ind w:firstLine="420" w:firstLineChars="200"/>
        <w:rPr>
          <w:rFonts w:ascii="宋体" w:hAnsi="宋体" w:cs="宋体"/>
          <w:szCs w:val="21"/>
        </w:rPr>
      </w:pPr>
      <w:r>
        <w:rPr>
          <w:rFonts w:hint="eastAsia" w:ascii="宋体" w:hAnsi="宋体" w:cs="宋体"/>
          <w:szCs w:val="21"/>
        </w:rPr>
        <w:t>第五章 拟签订的合同文本；</w:t>
      </w:r>
    </w:p>
    <w:p w14:paraId="4FF9EC71">
      <w:pPr>
        <w:spacing w:line="360" w:lineRule="auto"/>
        <w:ind w:firstLine="420" w:firstLineChars="200"/>
        <w:rPr>
          <w:rFonts w:ascii="宋体" w:hAnsi="宋体" w:cs="宋体"/>
          <w:szCs w:val="21"/>
        </w:rPr>
      </w:pPr>
      <w:r>
        <w:rPr>
          <w:rFonts w:hint="eastAsia" w:ascii="宋体" w:hAnsi="宋体" w:cs="宋体"/>
          <w:szCs w:val="21"/>
        </w:rPr>
        <w:t>第六章 投标文件格式；</w:t>
      </w:r>
    </w:p>
    <w:p w14:paraId="41F09CA4">
      <w:pPr>
        <w:spacing w:line="360" w:lineRule="auto"/>
        <w:ind w:firstLine="420" w:firstLineChars="200"/>
        <w:rPr>
          <w:rFonts w:ascii="宋体" w:hAnsi="宋体" w:cs="宋体"/>
          <w:szCs w:val="21"/>
        </w:rPr>
      </w:pPr>
      <w:r>
        <w:rPr>
          <w:rFonts w:hint="eastAsia" w:ascii="宋体" w:hAnsi="宋体" w:cs="宋体"/>
          <w:szCs w:val="21"/>
        </w:rPr>
        <w:t>第七章 质疑、投诉材料格式</w:t>
      </w:r>
    </w:p>
    <w:p w14:paraId="46B62781">
      <w:pPr>
        <w:spacing w:line="360" w:lineRule="auto"/>
        <w:ind w:firstLine="420" w:firstLineChars="200"/>
        <w:rPr>
          <w:rFonts w:ascii="宋体" w:hAnsi="宋体" w:cs="宋体"/>
        </w:rPr>
      </w:pPr>
      <w:r>
        <w:rPr>
          <w:rFonts w:hint="eastAsia" w:ascii="宋体" w:hAnsi="宋体" w:cs="宋体"/>
        </w:rPr>
        <w:t>根据本章第11.1项的规定对公开招标文件所做的澄清、修改，构成招标文件的组成部分。当公开招标文件与招标文件的澄清和修改就同一内容的表述不一致时，以最后澄清或修改公告为准。</w:t>
      </w:r>
    </w:p>
    <w:p w14:paraId="5516573B">
      <w:pPr>
        <w:spacing w:line="360" w:lineRule="auto"/>
        <w:ind w:firstLine="480" w:firstLineChars="200"/>
        <w:rPr>
          <w:rFonts w:ascii="宋体" w:hAnsi="宋体" w:cs="宋体"/>
          <w:sz w:val="24"/>
        </w:rPr>
      </w:pPr>
      <w:r>
        <w:rPr>
          <w:rFonts w:hint="eastAsia" w:ascii="宋体" w:hAnsi="宋体" w:cs="宋体"/>
          <w:sz w:val="24"/>
        </w:rPr>
        <w:t>11.招标文件的澄清、修改 、现场考察和答疑会</w:t>
      </w:r>
    </w:p>
    <w:p w14:paraId="551D4454">
      <w:pPr>
        <w:spacing w:line="360" w:lineRule="auto"/>
        <w:ind w:firstLine="422" w:firstLineChars="200"/>
        <w:rPr>
          <w:rFonts w:ascii="宋体" w:hAnsi="宋体" w:cs="宋体"/>
          <w:b/>
          <w:szCs w:val="21"/>
        </w:rPr>
      </w:pPr>
      <w:r>
        <w:rPr>
          <w:rFonts w:hint="eastAsia" w:ascii="宋体" w:hAnsi="宋体" w:cs="宋体"/>
          <w:b/>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ED338CF">
      <w:pPr>
        <w:spacing w:line="360" w:lineRule="auto"/>
        <w:ind w:firstLine="420" w:firstLineChars="200"/>
        <w:rPr>
          <w:rFonts w:ascii="宋体" w:hAnsi="宋体" w:cs="宋体"/>
        </w:rPr>
      </w:pPr>
      <w:r>
        <w:rPr>
          <w:rFonts w:hint="eastAsia" w:ascii="宋体" w:hAnsi="宋体" w:cs="宋体"/>
        </w:rPr>
        <w:t>11.2 投标人应认真审阅本公开招标文件，如有疑问，或发现其中有误或有要求不合理的，应在投标人须知前附表规定的</w:t>
      </w:r>
      <w:r>
        <w:rPr>
          <w:rFonts w:hint="eastAsia" w:ascii="宋体" w:hAnsi="宋体" w:cs="宋体"/>
          <w:kern w:val="0"/>
          <w:szCs w:val="21"/>
        </w:rPr>
        <w:t>投标截止时间</w:t>
      </w:r>
      <w:r>
        <w:rPr>
          <w:rFonts w:hint="eastAsia" w:ascii="宋体" w:hAnsi="宋体" w:cs="宋体"/>
        </w:rPr>
        <w:t>前以书面形式要求采购人或采购代理机构对招标文件予以澄清；否则，由此产生的后果由投标人自行负责。</w:t>
      </w:r>
    </w:p>
    <w:p w14:paraId="6837456C">
      <w:pPr>
        <w:spacing w:line="360" w:lineRule="auto"/>
        <w:ind w:firstLine="420" w:firstLineChars="200"/>
        <w:rPr>
          <w:rFonts w:ascii="宋体" w:hAnsi="宋体" w:cs="宋体"/>
        </w:rPr>
      </w:pPr>
      <w:r>
        <w:rPr>
          <w:rFonts w:hint="eastAsia" w:ascii="宋体" w:hAnsi="宋体" w:cs="宋体"/>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szCs w:val="21"/>
        </w:rPr>
        <w:t>投标人须知前附表”</w:t>
      </w:r>
      <w:r>
        <w:rPr>
          <w:rFonts w:hint="eastAsia" w:ascii="宋体" w:hAnsi="宋体" w:cs="宋体"/>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2B6F337A">
      <w:pPr>
        <w:spacing w:line="360" w:lineRule="auto"/>
        <w:ind w:firstLine="420" w:firstLineChars="200"/>
        <w:rPr>
          <w:rFonts w:ascii="宋体" w:hAnsi="宋体" w:cs="宋体"/>
        </w:rPr>
      </w:pPr>
      <w:r>
        <w:rPr>
          <w:rFonts w:hint="eastAsia" w:ascii="宋体" w:hAnsi="宋体" w:cs="宋体"/>
        </w:rPr>
        <w:t>11.4 采购人和采购代理机构可以视采购具体情况，变更投标截止时间和开标时间，将变更时间将在“</w:t>
      </w:r>
      <w:r>
        <w:rPr>
          <w:rFonts w:hint="eastAsia" w:ascii="宋体" w:hAnsi="宋体" w:cs="宋体"/>
          <w:szCs w:val="21"/>
        </w:rPr>
        <w:t>投标人须知前附表”</w:t>
      </w:r>
      <w:r>
        <w:rPr>
          <w:rFonts w:hint="eastAsia" w:ascii="宋体" w:hAnsi="宋体" w:cs="宋体"/>
          <w:kern w:val="0"/>
          <w:szCs w:val="21"/>
        </w:rPr>
        <w:t>规定的政府采购信息发布媒体上</w:t>
      </w:r>
      <w:r>
        <w:rPr>
          <w:rFonts w:hint="eastAsia" w:ascii="宋体" w:hAnsi="宋体" w:cs="宋体"/>
        </w:rPr>
        <w:t>发布更正公告。</w:t>
      </w:r>
    </w:p>
    <w:p w14:paraId="641690BB">
      <w:pPr>
        <w:spacing w:line="360" w:lineRule="auto"/>
        <w:ind w:firstLine="420" w:firstLineChars="200"/>
        <w:rPr>
          <w:rFonts w:ascii="宋体" w:hAnsi="宋体" w:cs="宋体"/>
        </w:rPr>
      </w:pPr>
      <w:r>
        <w:rPr>
          <w:rFonts w:hint="eastAsia" w:ascii="宋体" w:hAnsi="宋体" w:cs="宋体"/>
        </w:rPr>
        <w:t>11.</w:t>
      </w:r>
      <w:bookmarkStart w:id="86" w:name="_Hlk53134511"/>
      <w:r>
        <w:rPr>
          <w:rFonts w:hint="eastAsia" w:ascii="宋体" w:hAnsi="宋体" w:cs="宋体"/>
        </w:rPr>
        <w:t>5采购人或者采购代理机构可以在招标文件提供期限截止后，组织已获取招标文件的潜在投标人现场考察或者召开开标前答疑会，具体详见“投标人须知前附表”。</w:t>
      </w:r>
    </w:p>
    <w:bookmarkEnd w:id="86"/>
    <w:p w14:paraId="50BB45BA">
      <w:pPr>
        <w:pStyle w:val="4"/>
        <w:keepNext w:val="0"/>
        <w:keepLines w:val="0"/>
        <w:rPr>
          <w:rFonts w:cs="宋体"/>
        </w:rPr>
      </w:pPr>
      <w:bookmarkStart w:id="87" w:name="_Toc13765"/>
      <w:bookmarkStart w:id="88" w:name="_Toc254970535"/>
      <w:bookmarkStart w:id="89" w:name="_Toc254970676"/>
      <w:r>
        <w:rPr>
          <w:rFonts w:hint="eastAsia" w:cs="宋体"/>
        </w:rPr>
        <w:t>三、投标文件的编制</w:t>
      </w:r>
      <w:bookmarkEnd w:id="87"/>
      <w:bookmarkEnd w:id="88"/>
      <w:bookmarkEnd w:id="89"/>
    </w:p>
    <w:p w14:paraId="3B6ECAB6">
      <w:pPr>
        <w:spacing w:line="360" w:lineRule="auto"/>
        <w:ind w:firstLine="480" w:firstLineChars="200"/>
        <w:rPr>
          <w:rFonts w:ascii="宋体" w:hAnsi="宋体" w:cs="宋体"/>
          <w:sz w:val="24"/>
        </w:rPr>
      </w:pPr>
      <w:bookmarkStart w:id="90" w:name="_Toc254970677"/>
      <w:bookmarkStart w:id="91" w:name="_Toc254970536"/>
      <w:r>
        <w:rPr>
          <w:rFonts w:hint="eastAsia" w:ascii="宋体" w:hAnsi="宋体" w:cs="宋体"/>
          <w:sz w:val="24"/>
        </w:rPr>
        <w:t>12.投标文件的编制原则</w:t>
      </w:r>
    </w:p>
    <w:p w14:paraId="24636F4D">
      <w:pPr>
        <w:spacing w:line="360" w:lineRule="auto"/>
        <w:ind w:firstLine="420" w:firstLineChars="200"/>
        <w:rPr>
          <w:rFonts w:ascii="宋体" w:hAnsi="宋体" w:cs="宋体"/>
          <w:szCs w:val="21"/>
        </w:rPr>
      </w:pPr>
      <w:r>
        <w:rPr>
          <w:rFonts w:hint="eastAsia" w:ascii="宋体" w:hAnsi="宋体" w:cs="宋体"/>
          <w:szCs w:val="21"/>
        </w:rPr>
        <w:t>12.1投标人必须按照招标文件的要求编制投标文件。投标文件必须对招标文件提出的要求和条件作出明确响应。</w:t>
      </w:r>
    </w:p>
    <w:p w14:paraId="15B1A5E1">
      <w:pPr>
        <w:spacing w:line="360" w:lineRule="auto"/>
        <w:ind w:firstLine="420" w:firstLineChars="200"/>
        <w:rPr>
          <w:rFonts w:ascii="宋体" w:hAnsi="宋体" w:cs="宋体"/>
          <w:szCs w:val="21"/>
        </w:rPr>
      </w:pPr>
      <w:r>
        <w:rPr>
          <w:rFonts w:hint="eastAsia" w:ascii="宋体" w:hAnsi="宋体" w:cs="宋体"/>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5B357876">
      <w:pPr>
        <w:spacing w:line="360" w:lineRule="auto"/>
        <w:ind w:firstLine="480" w:firstLineChars="200"/>
        <w:rPr>
          <w:rFonts w:ascii="宋体" w:hAnsi="宋体" w:cs="宋体"/>
          <w:sz w:val="24"/>
        </w:rPr>
      </w:pPr>
      <w:r>
        <w:rPr>
          <w:rFonts w:hint="eastAsia" w:ascii="宋体" w:hAnsi="宋体" w:cs="宋体"/>
          <w:sz w:val="24"/>
        </w:rPr>
        <w:t>13.投标文件的组成</w:t>
      </w:r>
      <w:bookmarkEnd w:id="90"/>
      <w:bookmarkEnd w:id="91"/>
    </w:p>
    <w:p w14:paraId="2D5B2AE6">
      <w:pPr>
        <w:spacing w:line="360" w:lineRule="auto"/>
        <w:ind w:firstLine="420" w:firstLineChars="200"/>
        <w:rPr>
          <w:rFonts w:ascii="宋体" w:hAnsi="宋体" w:cs="宋体"/>
          <w:szCs w:val="21"/>
        </w:rPr>
      </w:pPr>
      <w:r>
        <w:rPr>
          <w:rFonts w:hint="eastAsia" w:ascii="宋体" w:hAnsi="宋体" w:cs="宋体"/>
          <w:szCs w:val="21"/>
        </w:rPr>
        <w:t>13.1投标文件由报价文件、资格证明文件、商务文件、技术文件四部分组成。</w:t>
      </w:r>
    </w:p>
    <w:p w14:paraId="1D897FD7">
      <w:pPr>
        <w:spacing w:line="360" w:lineRule="auto"/>
        <w:ind w:firstLine="420" w:firstLineChars="200"/>
        <w:rPr>
          <w:rFonts w:ascii="宋体" w:hAnsi="宋体" w:cs="宋体"/>
          <w:bCs/>
          <w:szCs w:val="21"/>
        </w:rPr>
      </w:pPr>
      <w:bookmarkStart w:id="92" w:name="_13.2资格证明文件：具体材料见“投标人须知前附表”。"/>
      <w:bookmarkEnd w:id="92"/>
      <w:bookmarkStart w:id="93" w:name="_13.1报价文件:_具体材料见“投标人须知前附表”。"/>
      <w:bookmarkEnd w:id="93"/>
      <w:r>
        <w:rPr>
          <w:rFonts w:hint="eastAsia" w:ascii="宋体" w:hAnsi="宋体" w:cs="宋体"/>
          <w:bCs/>
          <w:szCs w:val="21"/>
        </w:rPr>
        <w:t>（1）资格证明文件：具体材料见“投标人须知前附表”。</w:t>
      </w:r>
    </w:p>
    <w:p w14:paraId="3EFA1D1E">
      <w:pPr>
        <w:spacing w:line="360" w:lineRule="auto"/>
        <w:ind w:firstLine="420" w:firstLineChars="200"/>
        <w:rPr>
          <w:rFonts w:ascii="宋体" w:hAnsi="宋体" w:cs="宋体"/>
          <w:bCs/>
          <w:szCs w:val="21"/>
        </w:rPr>
      </w:pPr>
      <w:bookmarkStart w:id="94" w:name="_13.3商务文件:_具体材料见“投标人须知前附表”。"/>
      <w:bookmarkEnd w:id="94"/>
      <w:r>
        <w:rPr>
          <w:rFonts w:hint="eastAsia" w:ascii="宋体" w:hAnsi="宋体" w:cs="宋体"/>
          <w:bCs/>
          <w:szCs w:val="21"/>
        </w:rPr>
        <w:t>（2）商务文件：具体材料见“投标人须知前附表”。</w:t>
      </w:r>
    </w:p>
    <w:p w14:paraId="1C3BE2B7">
      <w:pPr>
        <w:spacing w:line="360" w:lineRule="auto"/>
        <w:ind w:firstLine="420" w:firstLineChars="200"/>
        <w:rPr>
          <w:rFonts w:ascii="宋体" w:hAnsi="宋体" w:cs="宋体"/>
          <w:bCs/>
          <w:szCs w:val="21"/>
        </w:rPr>
      </w:pPr>
      <w:bookmarkStart w:id="95" w:name="_13.4技术文件：具体材料见“投标人须知前附表”。"/>
      <w:bookmarkEnd w:id="95"/>
      <w:r>
        <w:rPr>
          <w:rFonts w:hint="eastAsia" w:ascii="宋体" w:hAnsi="宋体" w:cs="宋体"/>
          <w:bCs/>
          <w:szCs w:val="21"/>
        </w:rPr>
        <w:t xml:space="preserve">（3）技术文件：具体材料见“投标人须知前附表”。 </w:t>
      </w:r>
    </w:p>
    <w:p w14:paraId="40753FA7">
      <w:pPr>
        <w:spacing w:line="360" w:lineRule="auto"/>
        <w:ind w:firstLine="420" w:firstLineChars="200"/>
        <w:rPr>
          <w:rFonts w:ascii="宋体" w:hAnsi="宋体" w:cs="宋体"/>
          <w:bCs/>
          <w:szCs w:val="21"/>
        </w:rPr>
      </w:pPr>
      <w:r>
        <w:rPr>
          <w:rFonts w:hint="eastAsia" w:ascii="宋体" w:hAnsi="宋体" w:cs="宋体"/>
          <w:bCs/>
          <w:szCs w:val="21"/>
        </w:rPr>
        <w:t>（4）报价文件： 具体材料见“投标人须知前附表”。</w:t>
      </w:r>
    </w:p>
    <w:p w14:paraId="6D17B3D8">
      <w:pPr>
        <w:spacing w:line="360" w:lineRule="auto"/>
        <w:ind w:firstLine="420" w:firstLineChars="200"/>
        <w:rPr>
          <w:rFonts w:ascii="宋体" w:hAnsi="宋体" w:cs="宋体"/>
          <w:bCs/>
          <w:szCs w:val="21"/>
        </w:rPr>
      </w:pPr>
      <w:bookmarkStart w:id="96" w:name="_13.5投标文件电子版：具体材料见“投标人须知前附表”。"/>
      <w:bookmarkEnd w:id="96"/>
      <w:r>
        <w:rPr>
          <w:rFonts w:hint="eastAsia" w:ascii="宋体" w:hAnsi="宋体" w:cs="宋体"/>
          <w:bCs/>
          <w:szCs w:val="21"/>
        </w:rPr>
        <w:t>13.2投标文件电子版：具体要求见本节19.投标文件编制。</w:t>
      </w:r>
    </w:p>
    <w:p w14:paraId="415B5EEE">
      <w:pPr>
        <w:spacing w:line="360" w:lineRule="auto"/>
        <w:ind w:firstLine="480" w:firstLineChars="200"/>
        <w:rPr>
          <w:rFonts w:ascii="宋体" w:hAnsi="宋体" w:cs="宋体"/>
          <w:sz w:val="24"/>
        </w:rPr>
      </w:pPr>
      <w:bookmarkStart w:id="97" w:name="_Toc254970537"/>
      <w:bookmarkStart w:id="98" w:name="_Toc254970678"/>
      <w:r>
        <w:rPr>
          <w:rFonts w:hint="eastAsia" w:ascii="宋体" w:hAnsi="宋体" w:cs="宋体"/>
          <w:sz w:val="24"/>
        </w:rPr>
        <w:t>14.投标文件的语言及计量</w:t>
      </w:r>
      <w:bookmarkEnd w:id="97"/>
      <w:bookmarkEnd w:id="98"/>
    </w:p>
    <w:p w14:paraId="695594DE">
      <w:pPr>
        <w:spacing w:line="360" w:lineRule="auto"/>
        <w:ind w:firstLine="420" w:firstLineChars="200"/>
        <w:rPr>
          <w:rFonts w:ascii="宋体" w:hAnsi="宋体" w:cs="宋体"/>
          <w:bCs/>
          <w:szCs w:val="21"/>
        </w:rPr>
      </w:pPr>
      <w:r>
        <w:rPr>
          <w:rFonts w:hint="eastAsia" w:ascii="宋体" w:hAnsi="宋体" w:cs="宋体"/>
          <w:bCs/>
          <w:szCs w:val="21"/>
        </w:rPr>
        <w:t>14.1语言文字</w:t>
      </w:r>
    </w:p>
    <w:p w14:paraId="133D02A2">
      <w:pPr>
        <w:spacing w:line="360" w:lineRule="auto"/>
        <w:ind w:firstLine="420" w:firstLineChars="200"/>
        <w:rPr>
          <w:rFonts w:ascii="宋体" w:hAnsi="宋体" w:cs="宋体"/>
          <w:bCs/>
          <w:szCs w:val="21"/>
        </w:rPr>
      </w:pPr>
      <w:r>
        <w:rPr>
          <w:rFonts w:hint="eastAsia" w:ascii="宋体" w:hAnsi="宋体" w:cs="宋体"/>
          <w:bCs/>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269ACF9A">
      <w:pPr>
        <w:spacing w:line="360" w:lineRule="auto"/>
        <w:ind w:firstLine="420" w:firstLineChars="200"/>
        <w:rPr>
          <w:rFonts w:ascii="宋体" w:hAnsi="宋体" w:cs="宋体"/>
          <w:bCs/>
          <w:szCs w:val="21"/>
        </w:rPr>
      </w:pPr>
      <w:r>
        <w:rPr>
          <w:rFonts w:hint="eastAsia" w:ascii="宋体" w:hAnsi="宋体" w:cs="宋体"/>
          <w:bCs/>
          <w:szCs w:val="21"/>
        </w:rPr>
        <w:t>14.2投标计量单位</w:t>
      </w:r>
    </w:p>
    <w:p w14:paraId="1C1B1D1E">
      <w:pPr>
        <w:spacing w:line="360" w:lineRule="auto"/>
        <w:ind w:firstLine="420" w:firstLineChars="200"/>
        <w:rPr>
          <w:rFonts w:ascii="宋体" w:hAnsi="宋体" w:cs="宋体"/>
          <w:bCs/>
          <w:szCs w:val="21"/>
        </w:rPr>
      </w:pPr>
      <w:r>
        <w:rPr>
          <w:rFonts w:hint="eastAsia" w:ascii="宋体" w:hAnsi="宋体" w:cs="宋体"/>
          <w:bCs/>
          <w:szCs w:val="21"/>
        </w:rPr>
        <w:t>招标文件已有明确规定的，使用招标文件规定的计量单位；招标文件没有规定的，应采用中华人民共和国法定计量单位，货币种类为人民币，否则视同未响应。</w:t>
      </w:r>
    </w:p>
    <w:p w14:paraId="5738B707">
      <w:pPr>
        <w:spacing w:line="360" w:lineRule="auto"/>
        <w:ind w:firstLine="480" w:firstLineChars="200"/>
        <w:rPr>
          <w:rFonts w:ascii="宋体" w:hAnsi="宋体" w:cs="宋体"/>
          <w:sz w:val="24"/>
        </w:rPr>
      </w:pPr>
      <w:r>
        <w:rPr>
          <w:rFonts w:hint="eastAsia" w:ascii="宋体" w:hAnsi="宋体" w:cs="宋体"/>
          <w:sz w:val="24"/>
        </w:rPr>
        <w:t>15.投标的风险</w:t>
      </w:r>
    </w:p>
    <w:p w14:paraId="35D26B0C">
      <w:pPr>
        <w:spacing w:line="360" w:lineRule="auto"/>
        <w:ind w:firstLine="420" w:firstLineChars="200"/>
        <w:rPr>
          <w:rFonts w:ascii="宋体" w:hAnsi="宋体" w:cs="宋体"/>
          <w:b/>
          <w:bCs/>
        </w:rPr>
      </w:pPr>
      <w:r>
        <w:rPr>
          <w:rFonts w:hint="eastAsia" w:ascii="宋体" w:hAnsi="宋体" w:cs="宋体"/>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cs="宋体"/>
          <w:b/>
          <w:bCs/>
        </w:rPr>
        <w:t>投标文件未按规定的格式编制的（如条款中标明“格式后附”等）、没有按照招标文件要求提供全部资料、没有对招标文件作出实质性响应，投标无效；</w:t>
      </w:r>
    </w:p>
    <w:p w14:paraId="64618D97">
      <w:pPr>
        <w:spacing w:line="360" w:lineRule="auto"/>
        <w:ind w:firstLine="480" w:firstLineChars="200"/>
        <w:rPr>
          <w:rFonts w:ascii="宋体" w:hAnsi="宋体" w:cs="宋体"/>
          <w:sz w:val="24"/>
        </w:rPr>
      </w:pPr>
      <w:bookmarkStart w:id="99" w:name="_Toc254970538"/>
      <w:bookmarkStart w:id="100" w:name="_Toc254970679"/>
      <w:r>
        <w:rPr>
          <w:rFonts w:hint="eastAsia" w:ascii="宋体" w:hAnsi="宋体" w:cs="宋体"/>
          <w:sz w:val="24"/>
        </w:rPr>
        <w:t>16.投标报价</w:t>
      </w:r>
      <w:bookmarkEnd w:id="99"/>
      <w:bookmarkEnd w:id="100"/>
    </w:p>
    <w:p w14:paraId="0D81B8B8">
      <w:pPr>
        <w:spacing w:line="360" w:lineRule="auto"/>
        <w:ind w:firstLine="420" w:firstLineChars="200"/>
        <w:rPr>
          <w:rFonts w:ascii="宋体" w:hAnsi="宋体" w:cs="宋体"/>
          <w:bCs/>
          <w:szCs w:val="21"/>
        </w:rPr>
      </w:pPr>
      <w:r>
        <w:rPr>
          <w:rFonts w:hint="eastAsia" w:ascii="宋体" w:hAnsi="宋体" w:cs="宋体"/>
          <w:bCs/>
          <w:szCs w:val="21"/>
        </w:rPr>
        <w:t>16.1投标报价应</w:t>
      </w:r>
      <w:r>
        <w:rPr>
          <w:rFonts w:hint="eastAsia" w:ascii="宋体" w:hAnsi="宋体" w:cs="宋体"/>
          <w:bCs/>
          <w:szCs w:val="20"/>
        </w:rPr>
        <w:t>按“第六章　投标文件格式”中“开标一览表”格式填写。</w:t>
      </w:r>
    </w:p>
    <w:p w14:paraId="44981CAC">
      <w:pPr>
        <w:spacing w:line="360" w:lineRule="auto"/>
        <w:ind w:firstLine="420" w:firstLineChars="200"/>
        <w:rPr>
          <w:rFonts w:ascii="宋体" w:hAnsi="宋体" w:cs="宋体"/>
          <w:bCs/>
          <w:szCs w:val="21"/>
        </w:rPr>
      </w:pPr>
      <w:bookmarkStart w:id="101" w:name="_16.2投标报价具体定义见投标人须知前附表。"/>
      <w:bookmarkEnd w:id="101"/>
      <w:r>
        <w:rPr>
          <w:rFonts w:hint="eastAsia" w:ascii="宋体" w:hAnsi="宋体" w:cs="宋体"/>
          <w:bCs/>
          <w:szCs w:val="21"/>
        </w:rPr>
        <w:t>16.2投标报价具体包括内容详见“投标人须知前附表”。</w:t>
      </w:r>
    </w:p>
    <w:p w14:paraId="1A90C44F">
      <w:pPr>
        <w:spacing w:line="360" w:lineRule="auto"/>
        <w:ind w:firstLine="420" w:firstLineChars="200"/>
        <w:rPr>
          <w:rFonts w:ascii="宋体" w:hAnsi="宋体" w:cs="宋体"/>
          <w:bCs/>
          <w:szCs w:val="21"/>
        </w:rPr>
      </w:pPr>
      <w:r>
        <w:rPr>
          <w:rFonts w:hint="eastAsia" w:ascii="宋体" w:hAnsi="宋体" w:cs="宋体"/>
          <w:bCs/>
          <w:szCs w:val="21"/>
        </w:rPr>
        <w:t>16.3投标人必须就所投每个分标的全部内容分别作完整唯一总价报价，不得存在漏项报价；投标人必须就所投分标的单项内容作唯一报价。</w:t>
      </w:r>
    </w:p>
    <w:p w14:paraId="3EC7CBAA">
      <w:pPr>
        <w:spacing w:line="360" w:lineRule="auto"/>
        <w:ind w:firstLine="480" w:firstLineChars="200"/>
        <w:rPr>
          <w:rFonts w:ascii="宋体" w:hAnsi="宋体" w:cs="宋体"/>
          <w:sz w:val="24"/>
        </w:rPr>
      </w:pPr>
      <w:r>
        <w:rPr>
          <w:rFonts w:hint="eastAsia" w:ascii="宋体" w:hAnsi="宋体" w:cs="宋体"/>
          <w:sz w:val="24"/>
        </w:rPr>
        <w:t>17.投标有效期</w:t>
      </w:r>
    </w:p>
    <w:p w14:paraId="11DCFEBE">
      <w:pPr>
        <w:spacing w:line="360" w:lineRule="auto"/>
        <w:ind w:firstLine="420" w:firstLineChars="200"/>
        <w:rPr>
          <w:rFonts w:ascii="宋体" w:hAnsi="宋体" w:cs="宋体"/>
          <w:bCs/>
          <w:szCs w:val="21"/>
        </w:rPr>
      </w:pPr>
      <w:bookmarkStart w:id="102" w:name="_17.1投标有效期应按“投标人须知中的前附表”规定的期限。"/>
      <w:bookmarkEnd w:id="102"/>
      <w:r>
        <w:rPr>
          <w:rFonts w:hint="eastAsia" w:ascii="宋体" w:hAnsi="宋体" w:cs="宋体"/>
          <w:bCs/>
          <w:szCs w:val="21"/>
        </w:rPr>
        <w:t>17.1投标有效期是指为保证采购人有足够的时间在开标后完成评标、定标、合同签订等工作而要求投标人提交的投标文件在一定时间内保持有效的期限。</w:t>
      </w:r>
    </w:p>
    <w:p w14:paraId="66258B86">
      <w:pPr>
        <w:spacing w:line="360" w:lineRule="auto"/>
        <w:ind w:firstLine="420" w:firstLineChars="200"/>
        <w:rPr>
          <w:rFonts w:ascii="宋体" w:hAnsi="宋体" w:cs="宋体"/>
          <w:bCs/>
          <w:szCs w:val="21"/>
        </w:rPr>
      </w:pPr>
      <w:r>
        <w:rPr>
          <w:rFonts w:hint="eastAsia" w:ascii="宋体" w:hAnsi="宋体" w:cs="宋体"/>
          <w:bCs/>
          <w:szCs w:val="21"/>
        </w:rPr>
        <w:t>17.2</w:t>
      </w:r>
      <w:bookmarkStart w:id="103" w:name="_Toc254970540"/>
      <w:bookmarkStart w:id="104" w:name="_Toc254970681"/>
      <w:r>
        <w:rPr>
          <w:rFonts w:hint="eastAsia" w:ascii="宋体" w:hAnsi="宋体" w:cs="宋体"/>
          <w:bCs/>
          <w:szCs w:val="21"/>
        </w:rPr>
        <w:t xml:space="preserve"> 投标有效期应按规定的期限作出承诺，具体详见“投标人须知前附表”。</w:t>
      </w:r>
    </w:p>
    <w:p w14:paraId="49667EFA">
      <w:pPr>
        <w:spacing w:line="360" w:lineRule="auto"/>
        <w:ind w:firstLine="420" w:firstLineChars="200"/>
        <w:rPr>
          <w:rFonts w:ascii="宋体" w:hAnsi="宋体" w:cs="宋体"/>
          <w:bCs/>
          <w:szCs w:val="21"/>
        </w:rPr>
      </w:pPr>
      <w:r>
        <w:rPr>
          <w:rFonts w:hint="eastAsia" w:ascii="宋体" w:hAnsi="宋体" w:cs="宋体"/>
          <w:bCs/>
          <w:szCs w:val="21"/>
        </w:rPr>
        <w:t>17.3投标人的投标文件在投标有效期内均保持有效。</w:t>
      </w:r>
      <w:bookmarkEnd w:id="103"/>
      <w:bookmarkEnd w:id="104"/>
    </w:p>
    <w:p w14:paraId="7C221ADA">
      <w:pPr>
        <w:spacing w:line="360" w:lineRule="auto"/>
        <w:ind w:firstLine="480" w:firstLineChars="200"/>
        <w:rPr>
          <w:rFonts w:ascii="宋体" w:hAnsi="宋体" w:cs="宋体"/>
          <w:sz w:val="24"/>
        </w:rPr>
      </w:pPr>
      <w:bookmarkStart w:id="105" w:name="_18.投标保证金"/>
      <w:bookmarkEnd w:id="105"/>
      <w:bookmarkStart w:id="106" w:name="_Toc254970682"/>
      <w:bookmarkStart w:id="107" w:name="_Toc254970541"/>
      <w:r>
        <w:rPr>
          <w:rFonts w:hint="eastAsia" w:ascii="宋体" w:hAnsi="宋体" w:cs="宋体"/>
          <w:sz w:val="24"/>
        </w:rPr>
        <w:t>18.投标保证金</w:t>
      </w:r>
      <w:bookmarkEnd w:id="106"/>
      <w:bookmarkEnd w:id="107"/>
    </w:p>
    <w:p w14:paraId="436D1BD3">
      <w:pPr>
        <w:spacing w:line="360" w:lineRule="auto"/>
        <w:ind w:firstLine="420" w:firstLineChars="200"/>
        <w:rPr>
          <w:rFonts w:ascii="宋体" w:hAnsi="宋体" w:cs="宋体"/>
          <w:szCs w:val="21"/>
        </w:rPr>
      </w:pPr>
      <w:bookmarkStart w:id="108" w:name="_Toc254970683"/>
      <w:bookmarkStart w:id="109" w:name="_Toc254970542"/>
      <w:r>
        <w:rPr>
          <w:rFonts w:hint="eastAsia" w:ascii="宋体" w:hAnsi="宋体" w:cs="宋体"/>
          <w:szCs w:val="21"/>
        </w:rPr>
        <w:t>见“投标人须知前附表”。</w:t>
      </w:r>
    </w:p>
    <w:p w14:paraId="4BD14698">
      <w:pPr>
        <w:spacing w:line="360" w:lineRule="auto"/>
        <w:ind w:firstLine="480" w:firstLineChars="200"/>
        <w:rPr>
          <w:rFonts w:ascii="宋体" w:hAnsi="宋体" w:cs="宋体"/>
          <w:sz w:val="24"/>
        </w:rPr>
      </w:pPr>
      <w:r>
        <w:rPr>
          <w:rFonts w:hint="eastAsia" w:ascii="宋体" w:hAnsi="宋体" w:cs="宋体"/>
          <w:sz w:val="24"/>
        </w:rPr>
        <w:t>19.投标文件的</w:t>
      </w:r>
      <w:bookmarkEnd w:id="108"/>
      <w:bookmarkEnd w:id="109"/>
      <w:r>
        <w:rPr>
          <w:rFonts w:hint="eastAsia" w:ascii="宋体" w:hAnsi="宋体" w:cs="宋体"/>
          <w:sz w:val="24"/>
        </w:rPr>
        <w:t>编制</w:t>
      </w:r>
    </w:p>
    <w:p w14:paraId="368E0000">
      <w:pPr>
        <w:spacing w:line="360" w:lineRule="auto"/>
        <w:ind w:firstLine="422" w:firstLineChars="200"/>
        <w:rPr>
          <w:rFonts w:ascii="宋体" w:hAnsi="宋体" w:cs="宋体"/>
          <w:szCs w:val="21"/>
        </w:rPr>
      </w:pPr>
      <w:r>
        <w:rPr>
          <w:rFonts w:hint="eastAsia" w:ascii="宋体" w:hAnsi="宋体" w:cs="宋体"/>
          <w:b/>
          <w:szCs w:val="21"/>
        </w:rPr>
        <w:t xml:space="preserve"> </w:t>
      </w:r>
      <w:r>
        <w:rPr>
          <w:rFonts w:hint="eastAsia" w:ascii="宋体" w:hAnsi="宋体" w:cs="宋体"/>
          <w:szCs w:val="21"/>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0" w:name="_19.2投标文件应按报价文件、资格证明文件、商务文件、技术文件分别编制"/>
      <w:bookmarkEnd w:id="110"/>
      <w:r>
        <w:rPr>
          <w:rFonts w:hint="eastAsia" w:ascii="宋体" w:hAnsi="宋体" w:cs="宋体"/>
          <w:szCs w:val="21"/>
        </w:rPr>
        <w:t xml:space="preserve"> </w:t>
      </w:r>
    </w:p>
    <w:p w14:paraId="00A2BE1F">
      <w:pPr>
        <w:pStyle w:val="31"/>
        <w:snapToGrid w:val="0"/>
        <w:spacing w:before="0"/>
        <w:ind w:firstLine="420"/>
        <w:rPr>
          <w:rFonts w:ascii="宋体" w:hAnsi="宋体" w:cs="宋体"/>
          <w:sz w:val="21"/>
          <w:szCs w:val="21"/>
        </w:rPr>
      </w:pPr>
      <w:r>
        <w:rPr>
          <w:rFonts w:hint="eastAsia" w:ascii="宋体" w:hAnsi="宋体" w:cs="宋体"/>
          <w:sz w:val="21"/>
          <w:szCs w:val="21"/>
        </w:rPr>
        <w:t>19.2投标文件按照招标文件第六章格式要求在规定位置进行签署、盖章。投标人的投标文件未按照招标文件要求签署、盖章的，</w:t>
      </w:r>
      <w:r>
        <w:rPr>
          <w:rFonts w:hint="eastAsia" w:ascii="宋体" w:hAnsi="宋体" w:cs="宋体"/>
          <w:b/>
          <w:sz w:val="21"/>
          <w:szCs w:val="21"/>
        </w:rPr>
        <w:t>其投标无效。</w:t>
      </w:r>
    </w:p>
    <w:p w14:paraId="7E644EA0">
      <w:pPr>
        <w:pStyle w:val="31"/>
        <w:snapToGrid w:val="0"/>
        <w:spacing w:before="0"/>
        <w:ind w:firstLine="420"/>
        <w:rPr>
          <w:rFonts w:ascii="宋体" w:hAnsi="宋体" w:cs="宋体"/>
          <w:sz w:val="21"/>
          <w:szCs w:val="21"/>
        </w:rPr>
      </w:pPr>
      <w:r>
        <w:rPr>
          <w:rFonts w:hint="eastAsia" w:ascii="宋体" w:hAnsi="宋体" w:cs="宋体"/>
          <w:sz w:val="21"/>
          <w:szCs w:val="21"/>
        </w:rPr>
        <w:t>19.3为确保网上操作合法、有效和安全，投标人应当在投标截止时间前完成在“政采云”平台的身份认证，确保在电子投标过程中能够对相关数据电文进行加密和使用电子签名。</w:t>
      </w:r>
    </w:p>
    <w:p w14:paraId="69294623">
      <w:pPr>
        <w:spacing w:line="360" w:lineRule="auto"/>
        <w:ind w:firstLine="422" w:firstLineChars="200"/>
        <w:rPr>
          <w:rFonts w:ascii="宋体" w:hAnsi="宋体" w:cs="宋体"/>
          <w:b/>
          <w:szCs w:val="21"/>
        </w:rPr>
      </w:pPr>
      <w:r>
        <w:rPr>
          <w:rFonts w:hint="eastAsia" w:ascii="宋体" w:hAnsi="宋体" w:cs="宋体"/>
          <w:b/>
          <w:szCs w:val="21"/>
        </w:rPr>
        <w:t>19.4投标文件中标注的投标人名称应与主体资格证明（如营业执照、事业单位法人证书、执业许可证、自然人身份证等）及公章一致，</w:t>
      </w:r>
      <w:r>
        <w:rPr>
          <w:rFonts w:hint="eastAsia" w:ascii="宋体" w:hAnsi="宋体" w:cs="宋体"/>
          <w:szCs w:val="21"/>
        </w:rPr>
        <w:t>否则作无效投标处理</w:t>
      </w:r>
      <w:r>
        <w:rPr>
          <w:rFonts w:hint="eastAsia" w:ascii="宋体" w:hAnsi="宋体" w:cs="宋体"/>
          <w:b/>
          <w:szCs w:val="21"/>
        </w:rPr>
        <w:t>。</w:t>
      </w:r>
    </w:p>
    <w:p w14:paraId="6F749563">
      <w:pPr>
        <w:spacing w:line="360" w:lineRule="auto"/>
        <w:ind w:firstLine="420" w:firstLineChars="200"/>
        <w:rPr>
          <w:rFonts w:ascii="宋体" w:hAnsi="宋体" w:cs="宋体"/>
          <w:szCs w:val="21"/>
        </w:rPr>
      </w:pPr>
      <w:r>
        <w:rPr>
          <w:rFonts w:hint="eastAsia" w:ascii="宋体" w:hAnsi="宋体" w:cs="宋体"/>
          <w:szCs w:val="21"/>
        </w:rPr>
        <w:t xml:space="preserve"> 19.5投标文件应避免涂改、行间插字或者删除，</w:t>
      </w:r>
      <w:r>
        <w:rPr>
          <w:rFonts w:hint="eastAsia" w:ascii="宋体" w:hAnsi="宋体" w:cs="宋体"/>
          <w:b/>
          <w:szCs w:val="21"/>
        </w:rPr>
        <w:t>否则其投标无效。</w:t>
      </w:r>
    </w:p>
    <w:p w14:paraId="6693EDA6">
      <w:pPr>
        <w:spacing w:line="360" w:lineRule="auto"/>
        <w:ind w:firstLine="525" w:firstLineChars="250"/>
        <w:rPr>
          <w:rFonts w:ascii="宋体" w:hAnsi="宋体" w:cs="宋体"/>
        </w:rPr>
      </w:pPr>
      <w:r>
        <w:rPr>
          <w:rFonts w:hint="eastAsia" w:ascii="宋体" w:hAnsi="宋体" w:cs="宋体"/>
        </w:rPr>
        <w:t>19.6 对招标文件的实质性要求和条件作出响应是指投标人必须对招标文件中标注为实质性要求和条件的</w:t>
      </w:r>
      <w:r>
        <w:rPr>
          <w:rFonts w:hint="eastAsia" w:ascii="宋体" w:hAnsi="宋体" w:cs="宋体"/>
          <w:szCs w:val="21"/>
        </w:rPr>
        <w:t>货物内容及要求</w:t>
      </w:r>
      <w:r>
        <w:rPr>
          <w:rFonts w:hint="eastAsia" w:ascii="宋体" w:hAnsi="宋体" w:cs="宋体"/>
        </w:rPr>
        <w:t>、商务条款及其他内容</w:t>
      </w:r>
      <w:r>
        <w:rPr>
          <w:rFonts w:hint="eastAsia" w:ascii="宋体" w:hAnsi="宋体" w:cs="宋体"/>
          <w:b/>
        </w:rPr>
        <w:t>作出满足或者优于原要求和条件的承诺</w:t>
      </w:r>
      <w:r>
        <w:rPr>
          <w:rFonts w:hint="eastAsia" w:ascii="宋体" w:hAnsi="宋体" w:cs="宋体"/>
        </w:rPr>
        <w:t>。</w:t>
      </w:r>
    </w:p>
    <w:p w14:paraId="5410EEB7">
      <w:pPr>
        <w:spacing w:line="360" w:lineRule="auto"/>
        <w:ind w:firstLine="422" w:firstLineChars="200"/>
        <w:rPr>
          <w:rFonts w:ascii="宋体" w:hAnsi="宋体" w:cs="宋体"/>
          <w:b/>
          <w:szCs w:val="21"/>
          <w:u w:val="single"/>
        </w:rPr>
      </w:pPr>
      <w:r>
        <w:rPr>
          <w:rFonts w:hint="eastAsia" w:ascii="宋体" w:hAnsi="宋体" w:cs="宋体"/>
          <w:b/>
          <w:szCs w:val="21"/>
          <w:u w:val="single"/>
        </w:rPr>
        <w:t>19.7本项目为南宁市全流程电子化项目，异常情况见“第二节 投标人须知正文”中“四、24.2开标程序。</w:t>
      </w:r>
    </w:p>
    <w:p w14:paraId="28A2D486">
      <w:pPr>
        <w:spacing w:line="360" w:lineRule="auto"/>
        <w:ind w:firstLine="480" w:firstLineChars="200"/>
        <w:rPr>
          <w:rFonts w:ascii="宋体" w:hAnsi="宋体" w:cs="宋体"/>
          <w:sz w:val="24"/>
        </w:rPr>
      </w:pPr>
      <w:r>
        <w:rPr>
          <w:rFonts w:hint="eastAsia" w:ascii="宋体" w:hAnsi="宋体" w:cs="宋体"/>
          <w:sz w:val="24"/>
        </w:rPr>
        <w:t>20.备份投标文件</w:t>
      </w:r>
    </w:p>
    <w:p w14:paraId="09BFDDB1">
      <w:pPr>
        <w:spacing w:line="360" w:lineRule="auto"/>
        <w:ind w:firstLine="420" w:firstLineChars="200"/>
        <w:rPr>
          <w:rFonts w:ascii="宋体" w:hAnsi="宋体" w:cs="宋体"/>
          <w:sz w:val="24"/>
        </w:rPr>
      </w:pPr>
      <w:r>
        <w:rPr>
          <w:rFonts w:hint="eastAsia" w:ascii="宋体" w:hAnsi="宋体" w:cs="宋体"/>
          <w:bCs/>
          <w:szCs w:val="21"/>
        </w:rPr>
        <w:t>详见在“投标人须知前附表”。</w:t>
      </w:r>
    </w:p>
    <w:p w14:paraId="20A88DF1">
      <w:pPr>
        <w:spacing w:line="360" w:lineRule="auto"/>
        <w:ind w:firstLine="480" w:firstLineChars="200"/>
        <w:rPr>
          <w:rFonts w:ascii="宋体" w:hAnsi="宋体" w:cs="宋体"/>
          <w:sz w:val="24"/>
        </w:rPr>
      </w:pPr>
      <w:r>
        <w:rPr>
          <w:rFonts w:hint="eastAsia" w:ascii="宋体" w:hAnsi="宋体" w:cs="宋体"/>
          <w:sz w:val="24"/>
        </w:rPr>
        <w:t>21.投标文件的提交</w:t>
      </w:r>
    </w:p>
    <w:p w14:paraId="7D5A2AB1">
      <w:pPr>
        <w:spacing w:line="360" w:lineRule="auto"/>
        <w:ind w:firstLine="420" w:firstLineChars="200"/>
        <w:rPr>
          <w:rFonts w:ascii="宋体" w:hAnsi="宋体" w:cs="宋体"/>
          <w:b/>
        </w:rPr>
      </w:pPr>
      <w:bookmarkStart w:id="111" w:name="_21.1投标人必须在“投标人须知中的前附表”规定的投标文件接收时间和投"/>
      <w:bookmarkEnd w:id="111"/>
      <w:r>
        <w:rPr>
          <w:rFonts w:hint="eastAsia" w:ascii="宋体" w:hAnsi="宋体" w:cs="宋体"/>
          <w:bCs/>
          <w:szCs w:val="21"/>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南宁市政采云平台”。 </w:t>
      </w:r>
      <w:r>
        <w:rPr>
          <w:rFonts w:hint="eastAsia" w:ascii="宋体" w:hAnsi="宋体" w:cs="宋体"/>
          <w:b/>
        </w:rPr>
        <w:t xml:space="preserve"> </w:t>
      </w:r>
    </w:p>
    <w:p w14:paraId="0724C7D5">
      <w:pPr>
        <w:spacing w:line="360" w:lineRule="auto"/>
        <w:ind w:firstLine="422" w:firstLineChars="200"/>
        <w:rPr>
          <w:rFonts w:ascii="宋体" w:hAnsi="宋体" w:cs="宋体"/>
          <w:b/>
          <w:szCs w:val="20"/>
        </w:rPr>
      </w:pPr>
      <w:r>
        <w:rPr>
          <w:rFonts w:hint="eastAsia" w:ascii="宋体" w:hAnsi="宋体" w:cs="宋体"/>
          <w:b/>
          <w:szCs w:val="21"/>
        </w:rPr>
        <w:t>21.2未在规定时间内提交或者未按照招标文件要求密封或者标记的电子投标文件，“政采云”平台将拒收。</w:t>
      </w:r>
    </w:p>
    <w:p w14:paraId="2912EFDA">
      <w:pPr>
        <w:spacing w:line="360" w:lineRule="auto"/>
        <w:ind w:firstLine="420" w:firstLineChars="200"/>
        <w:rPr>
          <w:rFonts w:ascii="宋体" w:hAnsi="宋体" w:cs="宋体"/>
          <w:szCs w:val="21"/>
        </w:rPr>
      </w:pPr>
      <w:r>
        <w:rPr>
          <w:rFonts w:hint="eastAsia" w:ascii="宋体" w:hAnsi="宋体" w:cs="宋体"/>
          <w:szCs w:val="21"/>
        </w:rPr>
        <w:t>21.3电子版投标文件提交方式见“招标公告”中“四、提交投标文件截止时间、开标时间和地点”</w:t>
      </w:r>
      <w:r>
        <w:rPr>
          <w:rFonts w:hint="eastAsia" w:ascii="宋体" w:hAnsi="宋体" w:cs="宋体"/>
          <w:b/>
          <w:szCs w:val="21"/>
        </w:rPr>
        <w:t xml:space="preserve"> 。</w:t>
      </w:r>
    </w:p>
    <w:p w14:paraId="56883DE2">
      <w:pPr>
        <w:spacing w:line="360" w:lineRule="auto"/>
        <w:ind w:firstLine="480" w:firstLineChars="200"/>
        <w:rPr>
          <w:rFonts w:ascii="宋体" w:hAnsi="宋体" w:cs="宋体"/>
          <w:sz w:val="24"/>
        </w:rPr>
      </w:pPr>
      <w:r>
        <w:rPr>
          <w:rFonts w:hint="eastAsia" w:ascii="宋体" w:hAnsi="宋体" w:cs="宋体"/>
          <w:sz w:val="24"/>
        </w:rPr>
        <w:t>22. 投标文件的补充、修改、撤回与退回</w:t>
      </w:r>
      <w:bookmarkStart w:id="112" w:name="_Toc254970684"/>
      <w:bookmarkStart w:id="113" w:name="_Toc254970543"/>
    </w:p>
    <w:p w14:paraId="43BAF014">
      <w:pPr>
        <w:spacing w:line="360" w:lineRule="auto"/>
        <w:ind w:firstLine="420" w:firstLineChars="200"/>
        <w:rPr>
          <w:rFonts w:ascii="宋体" w:hAnsi="宋体" w:cs="宋体"/>
          <w:sz w:val="24"/>
        </w:rPr>
      </w:pPr>
      <w:r>
        <w:rPr>
          <w:rFonts w:hint="eastAsia" w:ascii="宋体" w:hAnsi="宋体" w:cs="宋体"/>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14:paraId="7598F519">
      <w:pPr>
        <w:pStyle w:val="31"/>
        <w:spacing w:before="0"/>
        <w:ind w:firstLine="420"/>
        <w:rPr>
          <w:rFonts w:ascii="宋体" w:hAnsi="宋体" w:cs="宋体"/>
          <w:sz w:val="21"/>
          <w:szCs w:val="21"/>
        </w:rPr>
      </w:pPr>
      <w:r>
        <w:rPr>
          <w:rFonts w:hint="eastAsia" w:ascii="宋体" w:hAnsi="宋体" w:cs="宋体"/>
          <w:sz w:val="21"/>
          <w:szCs w:val="21"/>
        </w:rPr>
        <w:t>22.2“政采云”平台收到投标文件，将妥善保存并即时向供应商发出确认回执通知。在投标截止时间前，除供应商补充、修改或者撤回投标文件外，任何单位和个人不得解密或提取投标文件。</w:t>
      </w:r>
    </w:p>
    <w:bookmarkEnd w:id="112"/>
    <w:bookmarkEnd w:id="113"/>
    <w:p w14:paraId="07FFA504">
      <w:pPr>
        <w:spacing w:line="360" w:lineRule="auto"/>
        <w:ind w:firstLine="420" w:firstLineChars="200"/>
        <w:rPr>
          <w:rFonts w:ascii="宋体" w:hAnsi="宋体" w:cs="宋体"/>
          <w:szCs w:val="21"/>
        </w:rPr>
      </w:pPr>
      <w:r>
        <w:rPr>
          <w:rFonts w:hint="eastAsia" w:ascii="宋体" w:hAnsi="宋体" w:cs="宋体"/>
          <w:szCs w:val="21"/>
        </w:rPr>
        <w:t>22.3在投标截止时间止提交电子版投标文件的投标人不足3家时，电子版投标文件由代理机构在“政采云”平台操作退回，除此之外采购人和采购代理机构对已提交的投标文件概不退回。</w:t>
      </w:r>
    </w:p>
    <w:p w14:paraId="756A3157">
      <w:pPr>
        <w:pStyle w:val="10"/>
        <w:snapToGrid w:val="0"/>
        <w:spacing w:line="360" w:lineRule="auto"/>
        <w:ind w:firstLine="739"/>
        <w:rPr>
          <w:rFonts w:hAnsi="宋体" w:cs="宋体"/>
          <w:snapToGrid w:val="0"/>
          <w:sz w:val="21"/>
          <w:szCs w:val="21"/>
        </w:rPr>
      </w:pPr>
    </w:p>
    <w:p w14:paraId="05F3BADD">
      <w:pPr>
        <w:pStyle w:val="4"/>
        <w:keepNext w:val="0"/>
        <w:keepLines w:val="0"/>
        <w:rPr>
          <w:rFonts w:cs="宋体"/>
        </w:rPr>
      </w:pPr>
      <w:bookmarkStart w:id="114" w:name="_Toc254970685"/>
      <w:bookmarkStart w:id="115" w:name="_Toc28352"/>
      <w:bookmarkStart w:id="116" w:name="_Toc254970544"/>
      <w:r>
        <w:rPr>
          <w:rFonts w:hint="eastAsia" w:cs="宋体"/>
        </w:rPr>
        <w:t>四、开    标</w:t>
      </w:r>
      <w:bookmarkEnd w:id="114"/>
      <w:bookmarkEnd w:id="115"/>
      <w:bookmarkEnd w:id="116"/>
    </w:p>
    <w:p w14:paraId="72546542">
      <w:pPr>
        <w:spacing w:line="360" w:lineRule="auto"/>
        <w:ind w:firstLine="480" w:firstLineChars="200"/>
        <w:rPr>
          <w:rFonts w:ascii="宋体" w:hAnsi="宋体" w:cs="宋体"/>
          <w:sz w:val="24"/>
        </w:rPr>
      </w:pPr>
      <w:bookmarkStart w:id="117" w:name="_23.开标时间和地点"/>
      <w:bookmarkEnd w:id="117"/>
      <w:r>
        <w:rPr>
          <w:rFonts w:hint="eastAsia" w:ascii="宋体" w:hAnsi="宋体" w:cs="宋体"/>
          <w:sz w:val="24"/>
        </w:rPr>
        <w:t>23.开标时间和地点</w:t>
      </w:r>
    </w:p>
    <w:p w14:paraId="2ABD7EED">
      <w:pPr>
        <w:spacing w:line="360" w:lineRule="auto"/>
        <w:ind w:firstLine="420" w:firstLineChars="200"/>
        <w:rPr>
          <w:rFonts w:ascii="宋体" w:hAnsi="宋体" w:cs="宋体"/>
          <w:bCs/>
        </w:rPr>
      </w:pPr>
      <w:r>
        <w:rPr>
          <w:rFonts w:hint="eastAsia" w:ascii="宋体" w:hAnsi="宋体" w:cs="宋体"/>
          <w:bCs/>
        </w:rPr>
        <w:t>23.1开标时间及地点详见“投标人须知前附表”</w:t>
      </w:r>
    </w:p>
    <w:p w14:paraId="42BB1DF1">
      <w:pPr>
        <w:spacing w:line="360" w:lineRule="auto"/>
        <w:ind w:firstLine="420" w:firstLineChars="200"/>
        <w:rPr>
          <w:rFonts w:ascii="宋体" w:hAnsi="宋体" w:cs="宋体"/>
        </w:rPr>
      </w:pPr>
      <w:r>
        <w:rPr>
          <w:rFonts w:hint="eastAsia" w:ascii="宋体" w:hAnsi="宋体" w:cs="宋体"/>
        </w:rPr>
        <w:t>23.2如</w:t>
      </w:r>
      <w:r>
        <w:rPr>
          <w:rFonts w:hint="eastAsia" w:ascii="宋体" w:hAnsi="宋体" w:cs="宋体"/>
          <w:bCs/>
        </w:rPr>
        <w:t>投标人成功解密投标文件，但未在“政采云”电子开标大厅参加开标的，视同认可开标过程和结果，</w:t>
      </w:r>
      <w:r>
        <w:rPr>
          <w:rFonts w:hint="eastAsia" w:ascii="宋体" w:hAnsi="宋体" w:cs="宋体"/>
        </w:rPr>
        <w:t>由此产生的后果由投标人自行负责。 投标人不足3家的，不得开标。</w:t>
      </w:r>
    </w:p>
    <w:p w14:paraId="1F788A35">
      <w:pPr>
        <w:spacing w:line="360" w:lineRule="auto"/>
        <w:ind w:firstLine="480" w:firstLineChars="200"/>
        <w:rPr>
          <w:rFonts w:ascii="宋体" w:hAnsi="宋体" w:cs="宋体"/>
          <w:sz w:val="24"/>
        </w:rPr>
      </w:pPr>
      <w:r>
        <w:rPr>
          <w:rFonts w:hint="eastAsia" w:ascii="宋体" w:hAnsi="宋体" w:cs="宋体"/>
          <w:sz w:val="24"/>
        </w:rPr>
        <w:t>24.开标程序</w:t>
      </w:r>
    </w:p>
    <w:p w14:paraId="6E5ADD0E">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bCs/>
          <w:szCs w:val="21"/>
        </w:rPr>
        <w:t>24.1</w:t>
      </w:r>
      <w:r>
        <w:rPr>
          <w:rFonts w:hint="eastAsia" w:ascii="宋体" w:hAnsi="宋体" w:cs="宋体"/>
          <w:kern w:val="0"/>
          <w:szCs w:val="21"/>
        </w:rPr>
        <w:t>开标形式：</w:t>
      </w:r>
    </w:p>
    <w:p w14:paraId="2EDF5F11">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szCs w:val="21"/>
        </w:rPr>
        <w:t>（1）</w:t>
      </w:r>
      <w:r>
        <w:rPr>
          <w:rFonts w:hint="eastAsia" w:ascii="宋体" w:hAnsi="宋体" w:cs="宋体"/>
          <w:bCs/>
          <w:szCs w:val="21"/>
        </w:rPr>
        <w:t>开标的准备工作由采购代理机构负责落实，采购代理机构必须基于“政采云”平台选取评审专家，如采购代理机构未按规定选取专家的，视为本次开评标无效，应当重新采购；</w:t>
      </w:r>
    </w:p>
    <w:p w14:paraId="4A4EE81E">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2）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02B91AD">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24.2开标程序：</w:t>
      </w:r>
    </w:p>
    <w:p w14:paraId="32807E54">
      <w:pPr>
        <w:pStyle w:val="12"/>
        <w:snapToGrid w:val="0"/>
        <w:spacing w:line="360" w:lineRule="auto"/>
        <w:ind w:firstLine="422" w:firstLineChars="200"/>
        <w:rPr>
          <w:rFonts w:hAnsi="宋体" w:cs="宋体"/>
          <w:szCs w:val="21"/>
        </w:rPr>
      </w:pPr>
      <w:r>
        <w:rPr>
          <w:rFonts w:hint="eastAsia" w:hAnsi="宋体" w:cs="宋体"/>
          <w:b/>
          <w:szCs w:val="21"/>
        </w:rPr>
        <w:t>（1）解密电子投标文件。“</w:t>
      </w:r>
      <w:r>
        <w:rPr>
          <w:rFonts w:hint="eastAsia" w:hAnsi="宋体" w:cs="宋体"/>
          <w:szCs w:val="21"/>
        </w:rPr>
        <w:t>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w:t>
      </w:r>
      <w:r>
        <w:rPr>
          <w:rFonts w:hint="eastAsia" w:hAnsi="宋体" w:cs="宋体"/>
          <w:b/>
          <w:szCs w:val="21"/>
        </w:rPr>
        <w:t>须携带加密时所用的CA锁准时登录到“政采云”平台电子开标大厅签到并对电子投标文件解密</w:t>
      </w:r>
      <w:r>
        <w:rPr>
          <w:rFonts w:hint="eastAsia" w:hAnsi="宋体" w:cs="宋体"/>
          <w:szCs w:val="21"/>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szCs w:val="21"/>
        </w:rPr>
        <w:t>均视为无效投标。</w:t>
      </w:r>
    </w:p>
    <w:p w14:paraId="067B2640">
      <w:pPr>
        <w:pStyle w:val="12"/>
        <w:snapToGrid w:val="0"/>
        <w:spacing w:line="360" w:lineRule="auto"/>
        <w:ind w:firstLine="420" w:firstLineChars="200"/>
        <w:rPr>
          <w:rFonts w:hAnsi="宋体" w:cs="宋体"/>
          <w:szCs w:val="21"/>
        </w:rPr>
      </w:pPr>
      <w:r>
        <w:rPr>
          <w:rFonts w:hint="eastAsia" w:hAnsi="宋体" w:cs="宋体"/>
          <w:szCs w:val="21"/>
        </w:rPr>
        <w:t>（解密</w:t>
      </w:r>
      <w:r>
        <w:rPr>
          <w:rFonts w:hint="eastAsia" w:hAnsi="宋体" w:cs="宋体"/>
          <w:bCs/>
          <w:szCs w:val="21"/>
        </w:rPr>
        <w:t>异常情况处理：详见本章</w:t>
      </w:r>
      <w:r>
        <w:rPr>
          <w:rFonts w:hint="eastAsia" w:hAnsi="宋体" w:cs="宋体"/>
        </w:rPr>
        <w:t>29.3 电子交易活动的中止。</w:t>
      </w:r>
      <w:r>
        <w:rPr>
          <w:rFonts w:hint="eastAsia" w:hAnsi="宋体" w:cs="宋体"/>
          <w:szCs w:val="21"/>
        </w:rPr>
        <w:t>）</w:t>
      </w:r>
    </w:p>
    <w:p w14:paraId="3D770E89">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b/>
          <w:szCs w:val="21"/>
        </w:rPr>
        <w:t>电子唱标。</w:t>
      </w:r>
      <w:r>
        <w:rPr>
          <w:rFonts w:hint="eastAsia" w:ascii="宋体" w:hAnsi="宋体" w:cs="宋体"/>
          <w:szCs w:val="21"/>
        </w:rPr>
        <w:t>投标文件解密结束，各投标供应商报价均在“政采云”平台远程不见面开标大厅展示；</w:t>
      </w:r>
    </w:p>
    <w:p w14:paraId="1B757AD5">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b/>
          <w:szCs w:val="21"/>
        </w:rPr>
        <w:t>签署电子《政府采购活动现场确认声明书》。</w:t>
      </w:r>
      <w:r>
        <w:rPr>
          <w:rFonts w:hint="eastAsia" w:ascii="宋体" w:hAnsi="宋体" w:cs="宋体"/>
          <w:szCs w:val="21"/>
        </w:rPr>
        <w:t>通过邮件形式在远程不见面开标大厅发送各投标人签署电子《政府采购活动现场确认声明书》。</w:t>
      </w:r>
    </w:p>
    <w:p w14:paraId="04F607C9">
      <w:pPr>
        <w:spacing w:line="360" w:lineRule="auto"/>
        <w:ind w:firstLine="420" w:firstLineChars="200"/>
        <w:rPr>
          <w:rFonts w:ascii="宋体" w:hAnsi="宋体" w:cs="宋体"/>
          <w:bCs/>
          <w:szCs w:val="21"/>
        </w:rPr>
      </w:pPr>
      <w:r>
        <w:rPr>
          <w:rFonts w:hint="eastAsia" w:ascii="宋体" w:hAnsi="宋体" w:cs="宋体"/>
          <w:bCs/>
          <w:szCs w:val="21"/>
        </w:rPr>
        <w:t>（4）开标过程由采购代理机构如实记录，并电子留痕，由参加电子开标的各投标人代表对电子开标记录在开标记录公布后15分钟内进行当场校核及勘误，并线上确认，未确认的视同认可开标结果。</w:t>
      </w:r>
    </w:p>
    <w:p w14:paraId="6D956BA7">
      <w:pPr>
        <w:spacing w:line="360" w:lineRule="auto"/>
        <w:ind w:firstLine="420" w:firstLineChars="200"/>
        <w:rPr>
          <w:rFonts w:ascii="宋体" w:hAnsi="宋体" w:cs="宋体"/>
          <w:bCs/>
          <w:szCs w:val="21"/>
        </w:rPr>
      </w:pPr>
      <w:r>
        <w:rPr>
          <w:rFonts w:hint="eastAsia" w:ascii="宋体" w:hAnsi="宋体" w:cs="宋体"/>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184FEA5E">
      <w:pPr>
        <w:spacing w:line="360" w:lineRule="auto"/>
        <w:ind w:firstLine="420" w:firstLineChars="200"/>
        <w:rPr>
          <w:rFonts w:ascii="宋体" w:hAnsi="宋体" w:cs="宋体"/>
          <w:bCs/>
          <w:szCs w:val="21"/>
        </w:rPr>
      </w:pPr>
      <w:r>
        <w:rPr>
          <w:rFonts w:hint="eastAsia" w:ascii="宋体" w:hAnsi="宋体" w:cs="宋体"/>
          <w:bCs/>
          <w:szCs w:val="21"/>
        </w:rPr>
        <w:t>（6）开标结束。</w:t>
      </w:r>
    </w:p>
    <w:p w14:paraId="4CDEE600">
      <w:pPr>
        <w:pStyle w:val="12"/>
        <w:snapToGrid w:val="0"/>
        <w:spacing w:line="360" w:lineRule="auto"/>
        <w:ind w:firstLine="422" w:firstLineChars="200"/>
        <w:rPr>
          <w:rFonts w:hAnsi="宋体" w:cs="宋体"/>
          <w:szCs w:val="21"/>
        </w:rPr>
      </w:pPr>
      <w:r>
        <w:rPr>
          <w:rFonts w:hint="eastAsia" w:hAnsi="宋体" w:cs="宋体"/>
          <w:b/>
          <w:bCs/>
          <w:szCs w:val="21"/>
        </w:rPr>
        <w:t>特别说明：</w:t>
      </w:r>
      <w:r>
        <w:rPr>
          <w:rFonts w:hint="eastAsia" w:hAnsi="宋体" w:cs="宋体"/>
          <w:szCs w:val="21"/>
        </w:rPr>
        <w:t>如遇“政采云”平台电子化开标或评审程序调整的，按调整后执行。</w:t>
      </w:r>
    </w:p>
    <w:p w14:paraId="1E2A5D47">
      <w:pPr>
        <w:pStyle w:val="12"/>
        <w:snapToGrid w:val="0"/>
        <w:spacing w:line="360" w:lineRule="auto"/>
        <w:ind w:left="689" w:leftChars="228" w:hanging="210" w:hangingChars="100"/>
        <w:rPr>
          <w:rFonts w:hAnsi="宋体" w:cs="宋体"/>
        </w:rPr>
      </w:pPr>
    </w:p>
    <w:p w14:paraId="5A492703">
      <w:pPr>
        <w:pStyle w:val="4"/>
        <w:keepNext w:val="0"/>
        <w:keepLines w:val="0"/>
        <w:rPr>
          <w:rFonts w:cs="宋体"/>
        </w:rPr>
      </w:pPr>
      <w:bookmarkStart w:id="118" w:name="_Toc10424"/>
      <w:r>
        <w:rPr>
          <w:rFonts w:hint="eastAsia" w:cs="宋体"/>
        </w:rPr>
        <w:t>五、资格审查</w:t>
      </w:r>
      <w:bookmarkEnd w:id="118"/>
    </w:p>
    <w:p w14:paraId="436A7D19">
      <w:pPr>
        <w:spacing w:line="360" w:lineRule="auto"/>
        <w:ind w:firstLine="480" w:firstLineChars="200"/>
        <w:rPr>
          <w:rFonts w:ascii="宋体" w:hAnsi="宋体" w:cs="宋体"/>
          <w:sz w:val="24"/>
        </w:rPr>
      </w:pPr>
      <w:r>
        <w:rPr>
          <w:rFonts w:hint="eastAsia" w:ascii="宋体" w:hAnsi="宋体" w:cs="宋体"/>
          <w:sz w:val="24"/>
        </w:rPr>
        <w:t>25.资格审查</w:t>
      </w:r>
    </w:p>
    <w:p w14:paraId="674E0E35">
      <w:pPr>
        <w:spacing w:line="360" w:lineRule="auto"/>
        <w:ind w:firstLine="422" w:firstLineChars="200"/>
        <w:rPr>
          <w:rFonts w:ascii="宋体" w:hAnsi="宋体" w:cs="宋体"/>
          <w:b/>
          <w:bCs/>
          <w:szCs w:val="20"/>
        </w:rPr>
      </w:pPr>
      <w:r>
        <w:rPr>
          <w:rFonts w:hint="eastAsia" w:ascii="宋体" w:hAnsi="宋体" w:cs="宋体"/>
          <w:b/>
          <w:bCs/>
          <w:szCs w:val="20"/>
        </w:rPr>
        <w:t xml:space="preserve"> 25.1开标结束后，采购人或采购机构依法通过电子投标文件对投标人的资格进行线上审查。</w:t>
      </w:r>
    </w:p>
    <w:p w14:paraId="3883F733">
      <w:pPr>
        <w:spacing w:line="360" w:lineRule="auto"/>
        <w:ind w:firstLine="422" w:firstLineChars="200"/>
        <w:rPr>
          <w:rFonts w:ascii="宋体" w:hAnsi="宋体" w:cs="宋体"/>
          <w:b/>
          <w:bCs/>
          <w:szCs w:val="20"/>
        </w:rPr>
      </w:pPr>
      <w:r>
        <w:rPr>
          <w:rFonts w:hint="eastAsia" w:ascii="宋体" w:hAnsi="宋体" w:cs="宋体"/>
          <w:b/>
          <w:bCs/>
          <w:szCs w:val="20"/>
        </w:rPr>
        <w:t xml:space="preserve"> 25.2采购人或采购机构依据法律法规和招标文件的规定，对投标人的基本资格条件、特定资格条件进行审查。</w:t>
      </w:r>
    </w:p>
    <w:p w14:paraId="39AF213D">
      <w:pPr>
        <w:spacing w:line="360" w:lineRule="auto"/>
        <w:ind w:firstLine="420" w:firstLineChars="200"/>
        <w:rPr>
          <w:rFonts w:ascii="宋体" w:hAnsi="宋体" w:cs="宋体"/>
        </w:rPr>
      </w:pPr>
      <w:r>
        <w:rPr>
          <w:rFonts w:hint="eastAsia" w:ascii="宋体" w:hAnsi="宋体" w:cs="宋体"/>
        </w:rPr>
        <w:t>25.3资格审查标准为本“招标文件”中“投标人须知前附表”13.1点载明对投标人资格要求的条件。本项目资格审查采用合格制，凡符合招标文件规定的投标人资格要求的投标人均通过资格审查。</w:t>
      </w:r>
    </w:p>
    <w:p w14:paraId="0E9B0677">
      <w:pPr>
        <w:spacing w:line="360" w:lineRule="auto"/>
        <w:ind w:firstLine="422" w:firstLineChars="200"/>
        <w:rPr>
          <w:rFonts w:ascii="宋体" w:hAnsi="宋体" w:cs="宋体"/>
          <w:b/>
          <w:bCs/>
          <w:szCs w:val="20"/>
        </w:rPr>
      </w:pPr>
      <w:bookmarkStart w:id="119" w:name="_25.3_投标人有下列情形之一的，资格审查不通过而导致其投标无效："/>
      <w:bookmarkEnd w:id="119"/>
      <w:r>
        <w:rPr>
          <w:rFonts w:hint="eastAsia" w:ascii="宋体" w:hAnsi="宋体" w:cs="宋体"/>
          <w:b/>
          <w:bCs/>
          <w:szCs w:val="20"/>
        </w:rPr>
        <w:t>25.4投标人有下列情形之一的，资格审查不通过，作无效投标处理：</w:t>
      </w:r>
    </w:p>
    <w:p w14:paraId="6C53CCE2">
      <w:pPr>
        <w:spacing w:line="360" w:lineRule="auto"/>
        <w:ind w:firstLine="420" w:firstLineChars="200"/>
        <w:rPr>
          <w:rFonts w:ascii="宋体" w:hAnsi="宋体" w:cs="宋体"/>
        </w:rPr>
      </w:pPr>
      <w:r>
        <w:rPr>
          <w:rFonts w:hint="eastAsia" w:ascii="宋体" w:hAnsi="宋体" w:cs="宋体"/>
        </w:rPr>
        <w:t>（1）不具备招标文件中规定的资格要求的；（注：其中信用查询规则见“投标人须知前附表”，“政采云”平台已与“信用中国”平台做接口，审查专家可直接在线查询）</w:t>
      </w:r>
    </w:p>
    <w:p w14:paraId="65E7E925">
      <w:pPr>
        <w:spacing w:line="360" w:lineRule="auto"/>
        <w:ind w:firstLine="420" w:firstLineChars="200"/>
        <w:rPr>
          <w:rFonts w:ascii="宋体" w:hAnsi="宋体" w:cs="宋体"/>
        </w:rPr>
      </w:pPr>
      <w:r>
        <w:rPr>
          <w:rFonts w:hint="eastAsia" w:ascii="宋体" w:hAnsi="宋体" w:cs="宋体"/>
        </w:rPr>
        <w:t>（2）投标文件未提供任一项“投标人须知前附表”资格证明文件规定的“必须提供”的文件资料的；</w:t>
      </w:r>
    </w:p>
    <w:p w14:paraId="0CE811C7">
      <w:pPr>
        <w:spacing w:line="360" w:lineRule="auto"/>
        <w:ind w:firstLine="420" w:firstLineChars="200"/>
        <w:rPr>
          <w:rFonts w:ascii="宋体" w:hAnsi="宋体" w:cs="宋体"/>
        </w:rPr>
      </w:pPr>
      <w:r>
        <w:rPr>
          <w:rFonts w:hint="eastAsia" w:ascii="宋体" w:hAnsi="宋体" w:cs="宋体"/>
        </w:rPr>
        <w:t>（3）投标文件提供的资格证明文件出现任一项不符合“投标人须知前附表”资格证明文件规定的“必须提供”的文件资料要求或者无效的。</w:t>
      </w:r>
    </w:p>
    <w:p w14:paraId="3DFEB0E5">
      <w:pPr>
        <w:spacing w:line="360" w:lineRule="auto"/>
        <w:ind w:firstLine="420" w:firstLineChars="200"/>
        <w:rPr>
          <w:rFonts w:ascii="宋体" w:hAnsi="宋体" w:cs="宋体"/>
          <w:szCs w:val="20"/>
        </w:rPr>
      </w:pPr>
      <w:r>
        <w:rPr>
          <w:rFonts w:hint="eastAsia" w:ascii="宋体" w:hAnsi="宋体" w:cs="宋体"/>
          <w:szCs w:val="20"/>
        </w:rPr>
        <w:t>25.5资格审查的合格投标人不足3家的，不得评标。</w:t>
      </w:r>
    </w:p>
    <w:p w14:paraId="6ED52478">
      <w:pPr>
        <w:pStyle w:val="4"/>
        <w:keepNext w:val="0"/>
        <w:keepLines w:val="0"/>
        <w:rPr>
          <w:rFonts w:cs="宋体"/>
        </w:rPr>
      </w:pPr>
      <w:bookmarkStart w:id="120" w:name="_Toc7622"/>
      <w:r>
        <w:rPr>
          <w:rFonts w:hint="eastAsia" w:cs="宋体"/>
        </w:rPr>
        <w:t>六、评   标</w:t>
      </w:r>
      <w:bookmarkEnd w:id="120"/>
    </w:p>
    <w:p w14:paraId="01E5034A">
      <w:pPr>
        <w:spacing w:line="360" w:lineRule="auto"/>
        <w:ind w:firstLine="480" w:firstLineChars="200"/>
        <w:rPr>
          <w:rFonts w:ascii="宋体" w:hAnsi="宋体" w:cs="宋体"/>
          <w:sz w:val="24"/>
        </w:rPr>
      </w:pPr>
      <w:bookmarkStart w:id="121" w:name="_26.组建评标委员会"/>
      <w:bookmarkEnd w:id="121"/>
      <w:r>
        <w:rPr>
          <w:rFonts w:hint="eastAsia" w:ascii="宋体" w:hAnsi="宋体" w:cs="宋体"/>
          <w:sz w:val="24"/>
        </w:rPr>
        <w:t>26.组建评标委员会</w:t>
      </w:r>
    </w:p>
    <w:p w14:paraId="49BBCC61">
      <w:pPr>
        <w:spacing w:line="360" w:lineRule="auto"/>
        <w:ind w:firstLine="420" w:firstLineChars="200"/>
        <w:rPr>
          <w:rFonts w:ascii="宋体" w:hAnsi="宋体" w:cs="宋体"/>
        </w:rPr>
      </w:pPr>
      <w:r>
        <w:rPr>
          <w:rFonts w:hint="eastAsia" w:ascii="宋体" w:hAnsi="宋体" w:cs="宋体"/>
        </w:rPr>
        <w:t>评标委员会由采购人代表和评审专家组成，人数为5人以上单数，其中评审专家不得少于成员总数的三分之二。</w:t>
      </w:r>
    </w:p>
    <w:p w14:paraId="449C7C4F">
      <w:pPr>
        <w:spacing w:line="360" w:lineRule="auto"/>
        <w:ind w:firstLine="420" w:firstLineChars="200"/>
        <w:rPr>
          <w:rFonts w:ascii="宋体" w:hAnsi="宋体" w:cs="宋体"/>
        </w:rPr>
      </w:pPr>
      <w:r>
        <w:rPr>
          <w:rFonts w:hint="eastAsia" w:ascii="宋体" w:hAnsi="宋体" w:cs="宋体"/>
        </w:rPr>
        <w:t>参加过采购项目前期咨询论证的专家，不得参加该采购项目的评审活动。</w:t>
      </w:r>
    </w:p>
    <w:p w14:paraId="4259AFBA">
      <w:pPr>
        <w:spacing w:line="360" w:lineRule="auto"/>
        <w:ind w:firstLine="480" w:firstLineChars="200"/>
        <w:rPr>
          <w:rFonts w:ascii="宋体" w:hAnsi="宋体" w:cs="宋体"/>
          <w:sz w:val="24"/>
        </w:rPr>
      </w:pPr>
      <w:r>
        <w:rPr>
          <w:rFonts w:hint="eastAsia" w:ascii="宋体" w:hAnsi="宋体" w:cs="宋体"/>
          <w:sz w:val="24"/>
        </w:rPr>
        <w:t>27.评标的依据</w:t>
      </w:r>
    </w:p>
    <w:p w14:paraId="05B741EC">
      <w:pPr>
        <w:spacing w:line="360" w:lineRule="auto"/>
        <w:ind w:firstLine="420" w:firstLineChars="200"/>
        <w:rPr>
          <w:rFonts w:ascii="宋体" w:hAnsi="宋体" w:cs="宋体"/>
        </w:rPr>
      </w:pPr>
      <w:r>
        <w:rPr>
          <w:rFonts w:hint="eastAsia" w:ascii="宋体" w:hAnsi="宋体" w:cs="宋体"/>
        </w:rPr>
        <w:t>评标委员会以招标文件为依据对投标文件进行评审，“第四章 评标方法和评标标准”没有规定的方法、评审因素和标准，不作为评标依据。</w:t>
      </w:r>
    </w:p>
    <w:p w14:paraId="6268BBEC">
      <w:pPr>
        <w:spacing w:line="360" w:lineRule="auto"/>
        <w:ind w:firstLine="480" w:firstLineChars="200"/>
        <w:rPr>
          <w:rFonts w:ascii="宋体" w:hAnsi="宋体" w:cs="宋体"/>
          <w:sz w:val="24"/>
        </w:rPr>
      </w:pPr>
      <w:r>
        <w:rPr>
          <w:rFonts w:hint="eastAsia" w:ascii="宋体" w:hAnsi="宋体" w:cs="宋体"/>
          <w:sz w:val="24"/>
        </w:rPr>
        <w:t>28.评标原则</w:t>
      </w:r>
    </w:p>
    <w:p w14:paraId="66FE279F">
      <w:pPr>
        <w:spacing w:line="360" w:lineRule="auto"/>
        <w:ind w:firstLine="420" w:firstLineChars="200"/>
        <w:rPr>
          <w:rFonts w:ascii="宋体" w:hAnsi="宋体" w:cs="宋体"/>
        </w:rPr>
      </w:pPr>
      <w:r>
        <w:rPr>
          <w:rFonts w:hint="eastAsia" w:ascii="宋体" w:hAnsi="宋体" w:cs="宋体"/>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F42E544">
      <w:pPr>
        <w:spacing w:line="360" w:lineRule="auto"/>
        <w:ind w:firstLine="420" w:firstLineChars="200"/>
        <w:rPr>
          <w:rFonts w:ascii="宋体" w:hAnsi="宋体" w:cs="宋体"/>
        </w:rPr>
      </w:pPr>
      <w:r>
        <w:rPr>
          <w:rFonts w:hint="eastAsia" w:ascii="宋体" w:hAnsi="宋体" w:cs="宋体"/>
        </w:rPr>
        <w:t>28.2评委表决。在评标过程中出现法律法规和招标文件均没有明确规定的情形时，由评标委员会现场协商解决，协商不一致的，由全体评委投票表决，以得票率二分之一以上专家的意见为准并由采购代理机构做记录。</w:t>
      </w:r>
      <w:bookmarkStart w:id="122" w:name="_28.3评标方法。本项目将按须知前附表规定的评标办法进行评标，具体评标"/>
      <w:bookmarkEnd w:id="122"/>
    </w:p>
    <w:p w14:paraId="046227C4">
      <w:pPr>
        <w:spacing w:line="360" w:lineRule="auto"/>
        <w:ind w:firstLine="420" w:firstLineChars="200"/>
        <w:rPr>
          <w:rFonts w:ascii="宋体" w:hAnsi="宋体" w:cs="宋体"/>
        </w:rPr>
      </w:pPr>
      <w:r>
        <w:rPr>
          <w:rFonts w:hint="eastAsia" w:ascii="宋体" w:hAnsi="宋体" w:cs="宋体"/>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49C374F">
      <w:pPr>
        <w:spacing w:line="360" w:lineRule="auto"/>
        <w:ind w:firstLine="420" w:firstLineChars="200"/>
        <w:rPr>
          <w:rFonts w:ascii="宋体" w:hAnsi="宋体" w:cs="宋体"/>
        </w:rPr>
      </w:pPr>
      <w:r>
        <w:rPr>
          <w:rFonts w:hint="eastAsia" w:ascii="宋体" w:hAnsi="宋体" w:cs="宋体"/>
        </w:rPr>
        <w:t>28.4评标过程的监控。本项目电子评标过程实行网上留痕、全程录音、录像监控，投标人在评标过程中所进行的试图影响评标结果的不公正活动，可能导致其投标按无效处理。</w:t>
      </w:r>
    </w:p>
    <w:p w14:paraId="3802B8E0">
      <w:pPr>
        <w:spacing w:line="360" w:lineRule="auto"/>
        <w:ind w:firstLine="420" w:firstLineChars="200"/>
        <w:rPr>
          <w:rFonts w:ascii="宋体" w:hAnsi="宋体" w:cs="宋体"/>
          <w:sz w:val="24"/>
        </w:rPr>
      </w:pPr>
      <w:r>
        <w:rPr>
          <w:rFonts w:hint="eastAsia" w:ascii="宋体" w:hAnsi="宋体" w:cs="宋体"/>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B7B47C9">
      <w:pPr>
        <w:spacing w:line="360" w:lineRule="auto"/>
        <w:ind w:firstLine="480" w:firstLineChars="200"/>
        <w:rPr>
          <w:rFonts w:ascii="宋体" w:hAnsi="宋体" w:cs="宋体"/>
          <w:sz w:val="24"/>
        </w:rPr>
      </w:pPr>
      <w:r>
        <w:rPr>
          <w:rFonts w:hint="eastAsia" w:ascii="宋体" w:hAnsi="宋体" w:cs="宋体"/>
          <w:sz w:val="24"/>
        </w:rPr>
        <w:t>29.评标方法及评标标准</w:t>
      </w:r>
    </w:p>
    <w:p w14:paraId="237DBEC4">
      <w:pPr>
        <w:spacing w:line="360" w:lineRule="auto"/>
        <w:ind w:firstLine="420" w:firstLineChars="200"/>
        <w:rPr>
          <w:rFonts w:ascii="宋体" w:hAnsi="宋体" w:cs="宋体"/>
        </w:rPr>
      </w:pPr>
      <w:r>
        <w:rPr>
          <w:rFonts w:hint="eastAsia" w:ascii="宋体" w:hAnsi="宋体" w:cs="宋体"/>
        </w:rPr>
        <w:t>29.1本项目的评标方法详见“投标人须知前附表”。</w:t>
      </w:r>
    </w:p>
    <w:p w14:paraId="2A0C2964">
      <w:pPr>
        <w:spacing w:line="360" w:lineRule="auto"/>
        <w:ind w:firstLine="420" w:firstLineChars="200"/>
        <w:rPr>
          <w:rFonts w:ascii="宋体" w:hAnsi="宋体" w:cs="宋体"/>
        </w:rPr>
      </w:pPr>
      <w:r>
        <w:rPr>
          <w:rFonts w:hint="eastAsia" w:ascii="宋体" w:hAnsi="宋体" w:cs="宋体"/>
        </w:rPr>
        <w:t>29.2 评标委员会按照</w:t>
      </w:r>
      <w:r>
        <w:rPr>
          <w:rFonts w:hint="eastAsia" w:ascii="宋体" w:hAnsi="宋体" w:cs="宋体"/>
          <w:b/>
        </w:rPr>
        <w:t>“第四章 评标方法和评标标准”</w:t>
      </w:r>
      <w:r>
        <w:rPr>
          <w:rFonts w:hint="eastAsia" w:ascii="宋体" w:hAnsi="宋体" w:cs="宋体"/>
        </w:rPr>
        <w:t>规定的方法、评审因素、标准和程序对投标文件进行评审。</w:t>
      </w:r>
    </w:p>
    <w:p w14:paraId="2F9CA00B">
      <w:pPr>
        <w:spacing w:line="360" w:lineRule="auto"/>
        <w:ind w:firstLine="420" w:firstLineChars="200"/>
        <w:rPr>
          <w:rFonts w:ascii="宋体" w:hAnsi="宋体" w:cs="宋体"/>
        </w:rPr>
      </w:pPr>
      <w:r>
        <w:rPr>
          <w:rFonts w:hint="eastAsia" w:ascii="宋体" w:hAnsi="宋体" w:cs="宋体"/>
        </w:rPr>
        <w:t>29.3 电子交易活动的中止。采购过程中出现以下情形，导致电子交易平台无法正常运行，或者无法保证电子交易的公平、公正和安全时，采购机构可中止电子交易活动：</w:t>
      </w:r>
    </w:p>
    <w:p w14:paraId="26B4A11C">
      <w:pPr>
        <w:spacing w:line="360" w:lineRule="auto"/>
        <w:ind w:firstLine="420" w:firstLineChars="200"/>
        <w:rPr>
          <w:rFonts w:ascii="宋体" w:hAnsi="宋体" w:cs="宋体"/>
        </w:rPr>
      </w:pPr>
      <w:r>
        <w:rPr>
          <w:rFonts w:hint="eastAsia" w:ascii="宋体" w:hAnsi="宋体" w:cs="宋体"/>
        </w:rPr>
        <w:t xml:space="preserve">（1）电子交易平台发生故障而无法登录访问的； </w:t>
      </w:r>
    </w:p>
    <w:p w14:paraId="7A958436">
      <w:pPr>
        <w:spacing w:line="360" w:lineRule="auto"/>
        <w:ind w:firstLine="420" w:firstLineChars="200"/>
        <w:rPr>
          <w:rFonts w:ascii="宋体" w:hAnsi="宋体" w:cs="宋体"/>
        </w:rPr>
      </w:pPr>
      <w:r>
        <w:rPr>
          <w:rFonts w:hint="eastAsia" w:ascii="宋体" w:hAnsi="宋体" w:cs="宋体"/>
        </w:rPr>
        <w:t>（2）电子交易平台应用或数据库出现错误，不能进行正常操作的；</w:t>
      </w:r>
    </w:p>
    <w:p w14:paraId="54FE120A">
      <w:pPr>
        <w:spacing w:line="360" w:lineRule="auto"/>
        <w:ind w:firstLine="420" w:firstLineChars="200"/>
        <w:rPr>
          <w:rFonts w:ascii="宋体" w:hAnsi="宋体" w:cs="宋体"/>
        </w:rPr>
      </w:pPr>
      <w:r>
        <w:rPr>
          <w:rFonts w:hint="eastAsia" w:ascii="宋体" w:hAnsi="宋体" w:cs="宋体"/>
        </w:rPr>
        <w:t>（3）电子交易平台发现严重安全漏洞，有潜在泄密危险的；</w:t>
      </w:r>
    </w:p>
    <w:p w14:paraId="3206DE61">
      <w:pPr>
        <w:spacing w:line="360" w:lineRule="auto"/>
        <w:ind w:firstLine="420" w:firstLineChars="200"/>
        <w:rPr>
          <w:rFonts w:ascii="宋体" w:hAnsi="宋体" w:cs="宋体"/>
        </w:rPr>
      </w:pPr>
      <w:r>
        <w:rPr>
          <w:rFonts w:hint="eastAsia" w:ascii="宋体" w:hAnsi="宋体" w:cs="宋体"/>
        </w:rPr>
        <w:t xml:space="preserve">（4）病毒发作导致不能进行正常操作的； </w:t>
      </w:r>
    </w:p>
    <w:p w14:paraId="4C8DF36C">
      <w:pPr>
        <w:spacing w:line="360" w:lineRule="auto"/>
        <w:ind w:firstLine="420" w:firstLineChars="200"/>
        <w:rPr>
          <w:rFonts w:ascii="宋体" w:hAnsi="宋体" w:cs="宋体"/>
        </w:rPr>
      </w:pPr>
      <w:r>
        <w:rPr>
          <w:rFonts w:hint="eastAsia" w:ascii="宋体" w:hAnsi="宋体" w:cs="宋体"/>
        </w:rPr>
        <w:t>（4）其他无法保证电子交易的公平、公正和安全的情况。</w:t>
      </w:r>
    </w:p>
    <w:p w14:paraId="7CC05B4F">
      <w:pPr>
        <w:spacing w:line="360" w:lineRule="auto"/>
        <w:ind w:firstLine="420" w:firstLineChars="200"/>
        <w:rPr>
          <w:rFonts w:ascii="宋体" w:hAnsi="宋体" w:cs="宋体"/>
        </w:rPr>
      </w:pPr>
      <w:r>
        <w:rPr>
          <w:rFonts w:hint="eastAsia" w:ascii="宋体" w:hAnsi="宋体" w:cs="宋体"/>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做出妥善保密处理，并报财政部门备案。</w:t>
      </w:r>
    </w:p>
    <w:p w14:paraId="7A7BE72C">
      <w:pPr>
        <w:pStyle w:val="12"/>
        <w:snapToGrid w:val="0"/>
        <w:spacing w:line="360" w:lineRule="auto"/>
        <w:ind w:firstLine="420" w:firstLineChars="200"/>
        <w:rPr>
          <w:rFonts w:hAnsi="宋体" w:cs="宋体"/>
        </w:rPr>
      </w:pPr>
    </w:p>
    <w:p w14:paraId="7E607E63">
      <w:pPr>
        <w:pStyle w:val="4"/>
        <w:keepNext w:val="0"/>
        <w:keepLines w:val="0"/>
        <w:rPr>
          <w:rFonts w:cs="宋体"/>
        </w:rPr>
      </w:pPr>
      <w:bookmarkStart w:id="123" w:name="_Toc254970687"/>
      <w:bookmarkStart w:id="124" w:name="_Toc254970546"/>
      <w:bookmarkStart w:id="125" w:name="_Toc8362"/>
      <w:r>
        <w:rPr>
          <w:rFonts w:hint="eastAsia" w:cs="宋体"/>
        </w:rPr>
        <w:t>七、</w:t>
      </w:r>
      <w:bookmarkEnd w:id="123"/>
      <w:bookmarkEnd w:id="124"/>
      <w:r>
        <w:rPr>
          <w:rFonts w:hint="eastAsia" w:cs="宋体"/>
        </w:rPr>
        <w:t>中标和合同</w:t>
      </w:r>
      <w:bookmarkEnd w:id="125"/>
    </w:p>
    <w:p w14:paraId="56DDA276">
      <w:pPr>
        <w:spacing w:line="360" w:lineRule="auto"/>
        <w:ind w:firstLine="480" w:firstLineChars="200"/>
        <w:rPr>
          <w:rFonts w:ascii="宋体" w:hAnsi="宋体" w:cs="宋体"/>
          <w:sz w:val="24"/>
        </w:rPr>
      </w:pPr>
      <w:r>
        <w:rPr>
          <w:rFonts w:hint="eastAsia" w:ascii="宋体" w:hAnsi="宋体" w:cs="宋体"/>
          <w:sz w:val="24"/>
        </w:rPr>
        <w:t>30.确定中标人</w:t>
      </w:r>
    </w:p>
    <w:p w14:paraId="0FAE6482">
      <w:pPr>
        <w:spacing w:line="360" w:lineRule="auto"/>
        <w:ind w:firstLine="422" w:firstLineChars="200"/>
        <w:rPr>
          <w:rFonts w:ascii="宋体" w:hAnsi="宋体" w:cs="宋体"/>
          <w:b/>
          <w:bCs/>
          <w:szCs w:val="21"/>
        </w:rPr>
      </w:pPr>
      <w:r>
        <w:rPr>
          <w:rFonts w:hint="eastAsia" w:ascii="宋体" w:hAnsi="宋体" w:cs="宋体"/>
          <w:b/>
          <w:bCs/>
          <w:szCs w:val="21"/>
        </w:rPr>
        <w:t>30.1本项目授权评标委员会直接按第四章“评标方法及标准”的规定排列中标候选人顺序，并依照次序确定中标人。</w:t>
      </w:r>
    </w:p>
    <w:p w14:paraId="30528853">
      <w:pPr>
        <w:spacing w:line="360" w:lineRule="auto"/>
        <w:ind w:firstLine="420" w:firstLineChars="200"/>
        <w:rPr>
          <w:rFonts w:ascii="宋体" w:hAnsi="宋体" w:cs="宋体"/>
          <w:szCs w:val="21"/>
        </w:rPr>
      </w:pPr>
      <w:r>
        <w:rPr>
          <w:rFonts w:hint="eastAsia" w:ascii="宋体" w:hAnsi="宋体" w:cs="宋体"/>
          <w:szCs w:val="21"/>
        </w:rPr>
        <w:t>30.2提供相同品牌产品且通过资格审查、符合性审查的不同投标人参加同一合同项下投标的，按一家 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69449B5C">
      <w:pPr>
        <w:spacing w:line="360" w:lineRule="auto"/>
        <w:ind w:firstLine="420" w:firstLineChars="200"/>
        <w:rPr>
          <w:rFonts w:ascii="宋体" w:hAnsi="宋体" w:cs="宋体"/>
          <w:szCs w:val="21"/>
        </w:rPr>
      </w:pPr>
      <w:r>
        <w:rPr>
          <w:rFonts w:hint="eastAsia" w:ascii="宋体" w:hAnsi="宋体" w:cs="宋体"/>
          <w:szCs w:val="21"/>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08091601">
      <w:pPr>
        <w:spacing w:line="360" w:lineRule="auto"/>
        <w:ind w:firstLine="420" w:firstLineChars="200"/>
        <w:rPr>
          <w:rFonts w:ascii="宋体" w:hAnsi="宋体" w:cs="宋体"/>
          <w:szCs w:val="21"/>
        </w:rPr>
      </w:pPr>
      <w:r>
        <w:rPr>
          <w:rFonts w:hint="eastAsia" w:ascii="宋体" w:hAnsi="宋体" w:cs="宋体"/>
          <w:szCs w:val="21"/>
        </w:rPr>
        <w:t>30.4中标人无正当理由拒签合同的，根据《中华人民共和国政府采购法》第七十七条第一款规定处理。</w:t>
      </w:r>
    </w:p>
    <w:p w14:paraId="5F9DE852">
      <w:pPr>
        <w:spacing w:line="360" w:lineRule="auto"/>
        <w:ind w:firstLine="420" w:firstLineChars="200"/>
        <w:rPr>
          <w:rFonts w:ascii="宋体" w:hAnsi="宋体" w:cs="宋体"/>
          <w:szCs w:val="21"/>
        </w:rPr>
      </w:pPr>
      <w:r>
        <w:rPr>
          <w:rFonts w:hint="eastAsia" w:ascii="宋体" w:hAnsi="宋体" w:cs="宋体"/>
          <w:szCs w:val="21"/>
        </w:rPr>
        <w:t>30.5根据《中华人民共和国民法典》</w:t>
      </w:r>
      <w:r>
        <w:rPr>
          <w:rFonts w:hint="eastAsia" w:ascii="宋体" w:hAnsi="宋体" w:cs="宋体"/>
          <w:sz w:val="19"/>
          <w:szCs w:val="19"/>
        </w:rPr>
        <w:t>第五百六十三条</w:t>
      </w:r>
      <w:r>
        <w:rPr>
          <w:rFonts w:hint="eastAsia" w:ascii="宋体" w:hAnsi="宋体" w:cs="宋体"/>
          <w:szCs w:val="21"/>
        </w:rPr>
        <w:t>，因不可抗力致使不能实现合同目的的，当事人可以解除合同。</w:t>
      </w:r>
    </w:p>
    <w:p w14:paraId="47E68853">
      <w:pPr>
        <w:spacing w:line="360" w:lineRule="auto"/>
        <w:ind w:firstLine="480" w:firstLineChars="200"/>
        <w:rPr>
          <w:rFonts w:ascii="宋体" w:hAnsi="宋体" w:cs="宋体"/>
          <w:sz w:val="24"/>
        </w:rPr>
      </w:pPr>
      <w:r>
        <w:rPr>
          <w:rFonts w:hint="eastAsia" w:ascii="宋体" w:hAnsi="宋体" w:cs="宋体"/>
          <w:sz w:val="24"/>
        </w:rPr>
        <w:t>31. 结果公告</w:t>
      </w:r>
    </w:p>
    <w:p w14:paraId="7208BFA0">
      <w:pPr>
        <w:spacing w:line="360" w:lineRule="auto"/>
        <w:ind w:firstLine="420" w:firstLineChars="200"/>
        <w:rPr>
          <w:rFonts w:ascii="宋体" w:hAnsi="宋体" w:cs="宋体"/>
        </w:rPr>
      </w:pPr>
      <w:r>
        <w:rPr>
          <w:rFonts w:hint="eastAsia" w:ascii="宋体" w:hAnsi="宋体" w:cs="宋体"/>
          <w:szCs w:val="21"/>
        </w:rPr>
        <w:t>31.1</w:t>
      </w:r>
      <w:r>
        <w:rPr>
          <w:rFonts w:hint="eastAsia" w:ascii="宋体" w:hAnsi="宋体" w:cs="宋体"/>
        </w:rPr>
        <w:t>在中标人确定之日起2个工作日内，由采购代理机构</w:t>
      </w:r>
      <w:r>
        <w:rPr>
          <w:rFonts w:hint="eastAsia" w:ascii="宋体" w:hAnsi="宋体" w:cs="宋体"/>
          <w:b/>
          <w:szCs w:val="21"/>
        </w:rPr>
        <w:t>在招标公告发布媒体上</w:t>
      </w:r>
      <w:r>
        <w:rPr>
          <w:rFonts w:hint="eastAsia" w:ascii="宋体" w:hAnsi="宋体" w:cs="宋体"/>
        </w:rPr>
        <w:t>发布中标结果公告，中标结果公告期限为1个工作日，发布中标结果公告的同时向中标人发出中标通知书。</w:t>
      </w:r>
      <w:r>
        <w:rPr>
          <w:rFonts w:hint="eastAsia" w:ascii="宋体" w:hAnsi="宋体" w:cs="宋体"/>
          <w:b/>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ascii="宋体" w:hAnsi="宋体" w:cs="宋体"/>
          <w:szCs w:val="21"/>
        </w:rPr>
        <w:t>排名第二的中标候选人因前款规定的同样原因被取消中标资格的，授权的评标委员会可以确定排名第三的中标候选人为中标人，以此类推。</w:t>
      </w:r>
    </w:p>
    <w:p w14:paraId="54AC5768">
      <w:pPr>
        <w:spacing w:line="360" w:lineRule="auto"/>
        <w:ind w:firstLine="420" w:firstLineChars="200"/>
        <w:rPr>
          <w:rFonts w:ascii="宋体" w:hAnsi="宋体" w:cs="宋体"/>
          <w:szCs w:val="21"/>
        </w:rPr>
      </w:pPr>
      <w:r>
        <w:rPr>
          <w:rFonts w:hint="eastAsia" w:ascii="宋体" w:hAnsi="宋体" w:cs="宋体"/>
          <w:szCs w:val="21"/>
        </w:rPr>
        <w:t>以上信息查询记录及相关证据与采购文件一并保存。</w:t>
      </w:r>
    </w:p>
    <w:p w14:paraId="72A21B67">
      <w:pPr>
        <w:spacing w:line="360" w:lineRule="auto"/>
        <w:ind w:firstLine="420" w:firstLineChars="200"/>
        <w:rPr>
          <w:rFonts w:ascii="宋体" w:hAnsi="宋体" w:cs="宋体"/>
          <w:szCs w:val="21"/>
        </w:rPr>
      </w:pPr>
      <w:r>
        <w:rPr>
          <w:rFonts w:hint="eastAsia" w:ascii="宋体" w:hAnsi="宋体" w:cs="宋体"/>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50022A77">
      <w:pPr>
        <w:spacing w:line="360" w:lineRule="auto"/>
        <w:ind w:firstLine="480" w:firstLineChars="200"/>
        <w:rPr>
          <w:rFonts w:ascii="宋体" w:hAnsi="宋体" w:cs="宋体"/>
          <w:sz w:val="24"/>
        </w:rPr>
      </w:pPr>
      <w:r>
        <w:rPr>
          <w:rFonts w:hint="eastAsia" w:ascii="宋体" w:hAnsi="宋体" w:cs="宋体"/>
          <w:sz w:val="24"/>
        </w:rPr>
        <w:t>32.发出中标通知书</w:t>
      </w:r>
    </w:p>
    <w:p w14:paraId="7E23EE5E">
      <w:pPr>
        <w:spacing w:line="360" w:lineRule="auto"/>
        <w:ind w:firstLine="422" w:firstLineChars="200"/>
        <w:rPr>
          <w:rFonts w:ascii="宋体" w:hAnsi="宋体" w:cs="宋体"/>
          <w:b/>
          <w:szCs w:val="21"/>
        </w:rPr>
      </w:pPr>
      <w:r>
        <w:rPr>
          <w:rFonts w:hint="eastAsia" w:ascii="宋体" w:hAnsi="宋体" w:cs="宋体"/>
          <w:b/>
          <w:szCs w:val="21"/>
        </w:rPr>
        <w:t>32.1在发布中标公告的同时，采购代理机构向中标人通过“政采云”平台发出电子中标通知书。</w:t>
      </w:r>
    </w:p>
    <w:p w14:paraId="437C95DE">
      <w:pPr>
        <w:spacing w:line="360" w:lineRule="auto"/>
        <w:ind w:firstLine="422" w:firstLineChars="200"/>
        <w:rPr>
          <w:rFonts w:ascii="宋体" w:hAnsi="宋体" w:cs="宋体"/>
          <w:b/>
          <w:szCs w:val="21"/>
        </w:rPr>
      </w:pPr>
      <w:r>
        <w:rPr>
          <w:rFonts w:hint="eastAsia" w:ascii="宋体" w:hAnsi="宋体" w:cs="宋体"/>
          <w:b/>
          <w:szCs w:val="21"/>
        </w:rPr>
        <w:t>32.2对未通过资格审查的投标人，采购人或采购机构应当告知其未通过的原因；采用综合评分办法评审的，采购人或采购机构还应当告知未中标人本人的评审得分与排序。</w:t>
      </w:r>
    </w:p>
    <w:p w14:paraId="1D8E3A18">
      <w:pPr>
        <w:spacing w:line="360" w:lineRule="auto"/>
        <w:ind w:firstLine="480" w:firstLineChars="200"/>
        <w:rPr>
          <w:rFonts w:ascii="宋体" w:hAnsi="宋体" w:cs="宋体"/>
          <w:sz w:val="24"/>
        </w:rPr>
      </w:pPr>
      <w:r>
        <w:rPr>
          <w:rFonts w:hint="eastAsia" w:ascii="宋体" w:hAnsi="宋体" w:cs="宋体"/>
          <w:sz w:val="24"/>
        </w:rPr>
        <w:t>33. 无义务解释未中标原因</w:t>
      </w:r>
    </w:p>
    <w:p w14:paraId="74577964">
      <w:pPr>
        <w:spacing w:line="360" w:lineRule="auto"/>
        <w:ind w:firstLine="422" w:firstLineChars="200"/>
        <w:rPr>
          <w:rFonts w:ascii="宋体" w:hAnsi="宋体" w:cs="宋体"/>
          <w:b/>
          <w:szCs w:val="21"/>
        </w:rPr>
      </w:pPr>
      <w:r>
        <w:rPr>
          <w:rFonts w:hint="eastAsia" w:ascii="宋体" w:hAnsi="宋体" w:cs="宋体"/>
          <w:b/>
          <w:szCs w:val="21"/>
        </w:rPr>
        <w:t>采购代理机构无义务向未中标的投标人解释未中标原因和退还投标文件。</w:t>
      </w:r>
    </w:p>
    <w:p w14:paraId="5AD8E6E4">
      <w:pPr>
        <w:spacing w:line="360" w:lineRule="auto"/>
        <w:ind w:firstLine="480" w:firstLineChars="200"/>
        <w:rPr>
          <w:rFonts w:ascii="宋体" w:hAnsi="宋体" w:cs="宋体"/>
          <w:sz w:val="24"/>
        </w:rPr>
      </w:pPr>
      <w:r>
        <w:rPr>
          <w:rFonts w:hint="eastAsia" w:ascii="宋体" w:hAnsi="宋体" w:cs="宋体"/>
          <w:sz w:val="24"/>
        </w:rPr>
        <w:t>34.合同授予标准</w:t>
      </w:r>
    </w:p>
    <w:p w14:paraId="4E1E9284">
      <w:pPr>
        <w:spacing w:line="360" w:lineRule="auto"/>
        <w:ind w:firstLine="420" w:firstLineChars="200"/>
        <w:rPr>
          <w:rFonts w:ascii="宋体" w:hAnsi="宋体" w:cs="宋体"/>
          <w:szCs w:val="21"/>
        </w:rPr>
      </w:pPr>
      <w:r>
        <w:rPr>
          <w:rFonts w:hint="eastAsia" w:ascii="宋体" w:hAnsi="宋体" w:cs="宋体"/>
          <w:szCs w:val="21"/>
        </w:rPr>
        <w:t>合同将授予被确定实质上响应招标文件要求，具备履行合同能力的中标人（招标文件另有约定多名中标人的除外）。</w:t>
      </w:r>
    </w:p>
    <w:p w14:paraId="05E7BC0E">
      <w:pPr>
        <w:spacing w:line="360" w:lineRule="auto"/>
        <w:ind w:firstLine="480" w:firstLineChars="200"/>
        <w:rPr>
          <w:rFonts w:ascii="宋体" w:hAnsi="宋体" w:cs="宋体"/>
          <w:sz w:val="24"/>
        </w:rPr>
      </w:pPr>
      <w:r>
        <w:rPr>
          <w:rFonts w:hint="eastAsia" w:ascii="宋体" w:hAnsi="宋体" w:cs="宋体"/>
          <w:sz w:val="24"/>
        </w:rPr>
        <w:t>35.履约保证金</w:t>
      </w:r>
    </w:p>
    <w:p w14:paraId="2626205B">
      <w:pPr>
        <w:spacing w:line="360" w:lineRule="auto"/>
        <w:ind w:firstLine="420" w:firstLineChars="200"/>
        <w:rPr>
          <w:rFonts w:ascii="宋体" w:hAnsi="宋体" w:cs="宋体"/>
          <w:szCs w:val="21"/>
        </w:rPr>
      </w:pPr>
      <w:bookmarkStart w:id="126" w:name="_39.1中标人须于签订合同前按本须知前附表规定的金额转账或电汇到指定账"/>
      <w:bookmarkEnd w:id="126"/>
      <w:r>
        <w:rPr>
          <w:rFonts w:hint="eastAsia" w:ascii="宋体" w:hAnsi="宋体" w:cs="宋体"/>
          <w:szCs w:val="21"/>
        </w:rPr>
        <w:t>见“投标人须知前附表”。</w:t>
      </w:r>
    </w:p>
    <w:p w14:paraId="1FB41089">
      <w:pPr>
        <w:spacing w:line="360" w:lineRule="auto"/>
        <w:ind w:firstLine="480" w:firstLineChars="200"/>
        <w:rPr>
          <w:rFonts w:ascii="宋体" w:hAnsi="宋体" w:cs="宋体"/>
          <w:sz w:val="24"/>
        </w:rPr>
      </w:pPr>
      <w:r>
        <w:rPr>
          <w:rFonts w:hint="eastAsia" w:ascii="宋体" w:hAnsi="宋体" w:cs="宋体"/>
          <w:sz w:val="24"/>
        </w:rPr>
        <w:t>36.签订合同</w:t>
      </w:r>
    </w:p>
    <w:p w14:paraId="59EB2A90">
      <w:pPr>
        <w:pStyle w:val="31"/>
        <w:snapToGrid w:val="0"/>
        <w:spacing w:before="0"/>
        <w:ind w:firstLine="422"/>
        <w:rPr>
          <w:rFonts w:ascii="宋体" w:hAnsi="宋体" w:cs="宋体"/>
          <w:kern w:val="0"/>
          <w:sz w:val="21"/>
          <w:szCs w:val="21"/>
          <w:lang w:val="zh-CN"/>
        </w:rPr>
      </w:pPr>
      <w:bookmarkStart w:id="127" w:name="_40.1投标人接到中标通知书后，按须知前附表规定向采购人出示相关资格证"/>
      <w:bookmarkEnd w:id="127"/>
      <w:r>
        <w:rPr>
          <w:rFonts w:hint="eastAsia" w:ascii="宋体" w:hAnsi="宋体" w:cs="宋体"/>
          <w:b/>
          <w:sz w:val="21"/>
          <w:szCs w:val="21"/>
        </w:rPr>
        <w:t xml:space="preserve"> 36.1中标人领取电子中标通知书后，</w:t>
      </w:r>
      <w:r>
        <w:rPr>
          <w:rFonts w:hint="eastAsia" w:ascii="宋体" w:hAnsi="宋体" w:cs="宋体"/>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2DCCCB80">
      <w:pPr>
        <w:pStyle w:val="31"/>
        <w:snapToGrid w:val="0"/>
        <w:spacing w:before="0"/>
        <w:ind w:firstLine="420"/>
        <w:rPr>
          <w:rFonts w:ascii="宋体" w:hAnsi="宋体" w:cs="宋体"/>
          <w:kern w:val="0"/>
          <w:sz w:val="21"/>
          <w:szCs w:val="21"/>
          <w:lang w:val="zh-CN"/>
        </w:rPr>
      </w:pPr>
      <w:r>
        <w:rPr>
          <w:rFonts w:hint="eastAsia" w:ascii="宋体" w:hAnsi="宋体" w:cs="宋体"/>
          <w:kern w:val="0"/>
          <w:sz w:val="21"/>
          <w:szCs w:val="21"/>
          <w:lang w:val="zh-CN"/>
        </w:rPr>
        <w:t>36.2</w:t>
      </w:r>
      <w:r>
        <w:rPr>
          <w:rFonts w:hint="eastAsia" w:ascii="宋体" w:hAnsi="宋体" w:cs="宋体"/>
          <w:sz w:val="21"/>
          <w:szCs w:val="21"/>
        </w:rPr>
        <w:t>采购合同由采购人与中标人根据招标文件、投标文件等内容通过政府采购电子交易平台在线签订，自动备案。</w:t>
      </w:r>
    </w:p>
    <w:p w14:paraId="24A7CAA3">
      <w:pPr>
        <w:pStyle w:val="31"/>
        <w:snapToGrid w:val="0"/>
        <w:spacing w:before="0"/>
        <w:ind w:firstLine="420"/>
        <w:rPr>
          <w:rFonts w:ascii="宋体" w:hAnsi="宋体" w:cs="宋体"/>
          <w:sz w:val="21"/>
          <w:szCs w:val="21"/>
        </w:rPr>
      </w:pPr>
      <w:r>
        <w:rPr>
          <w:rFonts w:hint="eastAsia" w:ascii="宋体" w:hAnsi="宋体" w:cs="宋体"/>
          <w:sz w:val="21"/>
          <w:szCs w:val="21"/>
        </w:rPr>
        <w:t>36.3签订合同时间：按中标通知书规定的时间与采购人签订合同（最长不能超过25日）。</w:t>
      </w:r>
    </w:p>
    <w:p w14:paraId="5415A096">
      <w:pPr>
        <w:spacing w:line="360" w:lineRule="auto"/>
        <w:ind w:firstLine="420" w:firstLineChars="200"/>
        <w:rPr>
          <w:rFonts w:ascii="宋体" w:hAnsi="宋体" w:cs="宋体"/>
          <w:szCs w:val="21"/>
        </w:rPr>
      </w:pPr>
      <w:r>
        <w:rPr>
          <w:rFonts w:hint="eastAsia" w:ascii="宋体" w:hAnsi="宋体" w:cs="宋体"/>
          <w:szCs w:val="21"/>
        </w:rPr>
        <w:t>36.4中标人拒绝与采购人签订合同的，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5CBE7E5F">
      <w:pPr>
        <w:spacing w:line="360" w:lineRule="auto"/>
        <w:ind w:firstLine="420" w:firstLineChars="200"/>
        <w:rPr>
          <w:rFonts w:ascii="宋体" w:hAnsi="宋体" w:cs="宋体"/>
          <w:szCs w:val="21"/>
        </w:rPr>
      </w:pPr>
      <w:r>
        <w:rPr>
          <w:rFonts w:hint="eastAsia" w:ascii="宋体" w:hAnsi="宋体" w:cs="宋体"/>
          <w:szCs w:val="21"/>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302E139">
      <w:pPr>
        <w:spacing w:line="360" w:lineRule="auto"/>
        <w:ind w:firstLine="420" w:firstLineChars="200"/>
        <w:rPr>
          <w:rFonts w:ascii="宋体" w:hAnsi="宋体" w:cs="宋体"/>
          <w:szCs w:val="21"/>
        </w:rPr>
      </w:pPr>
      <w:r>
        <w:rPr>
          <w:rFonts w:hint="eastAsia" w:ascii="宋体" w:hAnsi="宋体" w:cs="宋体"/>
          <w:szCs w:val="21"/>
        </w:rPr>
        <w:t>36.6采购人或中标人不得单方面向合同另一方提出任何招标文件没有约定的条件或不合理的要求，作为签订合同的条件；也不得协商另行订立背离招标文件和合同实质性内容的协议。</w:t>
      </w:r>
    </w:p>
    <w:p w14:paraId="708711F5">
      <w:pPr>
        <w:spacing w:line="360" w:lineRule="auto"/>
        <w:ind w:firstLine="420" w:firstLineChars="200"/>
        <w:rPr>
          <w:rFonts w:ascii="宋体" w:hAnsi="宋体" w:cs="宋体"/>
          <w:szCs w:val="21"/>
        </w:rPr>
      </w:pPr>
      <w:r>
        <w:rPr>
          <w:rFonts w:hint="eastAsia" w:ascii="宋体" w:hAnsi="宋体" w:cs="宋体"/>
          <w:szCs w:val="21"/>
        </w:rPr>
        <w:t>36.7如签订合同并生效后，供应商无故拒绝或延期，除按照合同条款处理外，将承担相应的法律责任。</w:t>
      </w:r>
    </w:p>
    <w:p w14:paraId="08C8E46F">
      <w:pPr>
        <w:spacing w:line="360" w:lineRule="auto"/>
        <w:ind w:firstLine="422" w:firstLineChars="200"/>
        <w:rPr>
          <w:rFonts w:ascii="宋体" w:hAnsi="宋体" w:cs="宋体"/>
          <w:b/>
          <w:szCs w:val="21"/>
        </w:rPr>
      </w:pPr>
      <w:r>
        <w:rPr>
          <w:rFonts w:hint="eastAsia" w:ascii="宋体" w:hAnsi="宋体" w:cs="宋体"/>
          <w:b/>
          <w:szCs w:val="21"/>
        </w:rPr>
        <w:t>36.8采购人需追加与合同标的相同的货物或者服务的，在不改变原合同条款且已报财政部门批准落实资金的前提下，可从原中标人处添购， 所签订的补充添置合同的采购资金总额不超过原采购合同金额的10%。</w:t>
      </w:r>
    </w:p>
    <w:p w14:paraId="1DF036B1">
      <w:pPr>
        <w:spacing w:line="360" w:lineRule="auto"/>
        <w:ind w:firstLine="480" w:firstLineChars="200"/>
        <w:rPr>
          <w:rFonts w:ascii="宋体" w:hAnsi="宋体" w:cs="宋体"/>
          <w:sz w:val="24"/>
        </w:rPr>
      </w:pPr>
      <w:bookmarkStart w:id="128" w:name="_41.政府采购合同公告"/>
      <w:bookmarkEnd w:id="128"/>
      <w:r>
        <w:rPr>
          <w:rFonts w:hint="eastAsia" w:ascii="宋体" w:hAnsi="宋体" w:cs="宋体"/>
          <w:sz w:val="24"/>
        </w:rPr>
        <w:t>37.政府采购合同公告</w:t>
      </w:r>
    </w:p>
    <w:p w14:paraId="236ED8E7">
      <w:pPr>
        <w:spacing w:line="360" w:lineRule="auto"/>
        <w:ind w:firstLine="420" w:firstLineChars="200"/>
        <w:rPr>
          <w:rFonts w:ascii="宋体" w:hAnsi="宋体" w:cs="宋体"/>
        </w:rPr>
      </w:pPr>
      <w:r>
        <w:rPr>
          <w:rFonts w:hint="eastAsia" w:ascii="宋体" w:hAnsi="宋体" w:cs="宋体"/>
        </w:rPr>
        <w:t>采购人或者受托采购代理机构应当自政府采购合同签订之日起2个工作日内，将政府采购合同</w:t>
      </w:r>
      <w:r>
        <w:rPr>
          <w:rFonts w:hint="eastAsia" w:ascii="宋体" w:hAnsi="宋体" w:cs="宋体"/>
          <w:bCs/>
        </w:rPr>
        <w:t>在以下媒体上发布</w:t>
      </w:r>
      <w:r>
        <w:rPr>
          <w:rFonts w:hint="eastAsia" w:ascii="宋体" w:hAnsi="宋体" w:cs="宋体"/>
          <w:kern w:val="0"/>
          <w:szCs w:val="21"/>
        </w:rPr>
        <w:t xml:space="preserve"> “广西政府采购网”（http://zfcg.gxzf.gov.cn）</w:t>
      </w:r>
      <w:r>
        <w:rPr>
          <w:rFonts w:hint="eastAsia" w:ascii="宋体" w:hAnsi="宋体" w:cs="宋体"/>
        </w:rPr>
        <w:t>上公告，但政府采购合同中涉及国家秘密、商业秘密的内容除外。</w:t>
      </w:r>
    </w:p>
    <w:p w14:paraId="6E83DD06">
      <w:pPr>
        <w:spacing w:line="360" w:lineRule="auto"/>
        <w:ind w:firstLine="480" w:firstLineChars="200"/>
        <w:rPr>
          <w:rFonts w:ascii="宋体" w:hAnsi="宋体" w:cs="宋体"/>
          <w:sz w:val="24"/>
        </w:rPr>
      </w:pPr>
      <w:r>
        <w:rPr>
          <w:rFonts w:hint="eastAsia" w:ascii="宋体" w:hAnsi="宋体" w:cs="宋体"/>
          <w:sz w:val="24"/>
        </w:rPr>
        <w:t>38. 询问、质疑和投诉</w:t>
      </w:r>
    </w:p>
    <w:p w14:paraId="53C3177B">
      <w:pPr>
        <w:spacing w:line="360" w:lineRule="auto"/>
        <w:ind w:firstLine="422" w:firstLineChars="200"/>
        <w:rPr>
          <w:rFonts w:ascii="宋体" w:hAnsi="宋体" w:cs="宋体"/>
          <w:b/>
          <w:szCs w:val="21"/>
        </w:rPr>
      </w:pPr>
      <w:r>
        <w:rPr>
          <w:rFonts w:hint="eastAsia" w:ascii="宋体" w:hAnsi="宋体" w:cs="宋体"/>
          <w:b/>
          <w:szCs w:val="21"/>
        </w:rPr>
        <w:t>38.1询问</w:t>
      </w:r>
    </w:p>
    <w:p w14:paraId="7E689D86">
      <w:pPr>
        <w:spacing w:line="360" w:lineRule="auto"/>
        <w:ind w:firstLine="420" w:firstLineChars="200"/>
        <w:rPr>
          <w:rFonts w:ascii="宋体" w:hAnsi="宋体" w:cs="宋体"/>
          <w:bCs/>
          <w:szCs w:val="21"/>
        </w:rPr>
      </w:pPr>
      <w:r>
        <w:rPr>
          <w:rFonts w:hint="eastAsia" w:ascii="宋体" w:hAnsi="宋体" w:cs="宋体"/>
          <w:bCs/>
          <w:szCs w:val="21"/>
        </w:rPr>
        <w:t>38.1.1供应商在开标前对政府采购活动事项有疑问的，可以向采购人或采购代理机构项目负责人提出询问。</w:t>
      </w:r>
    </w:p>
    <w:p w14:paraId="0E7027B3">
      <w:pPr>
        <w:spacing w:line="360" w:lineRule="auto"/>
        <w:ind w:firstLine="420" w:firstLineChars="200"/>
        <w:rPr>
          <w:rFonts w:ascii="宋体" w:hAnsi="宋体" w:cs="宋体"/>
          <w:bCs/>
          <w:szCs w:val="21"/>
        </w:rPr>
      </w:pPr>
      <w:r>
        <w:rPr>
          <w:rFonts w:hint="eastAsia" w:ascii="宋体" w:hAnsi="宋体" w:cs="宋体"/>
          <w:bCs/>
          <w:szCs w:val="21"/>
        </w:rPr>
        <w:t>38.1.2采购人或采购人委托的采购代理机构自受理询问之日起3个工作日内对供应商依法提出的询问作出答复，</w:t>
      </w:r>
      <w:r>
        <w:rPr>
          <w:rFonts w:hint="eastAsia" w:ascii="宋体" w:hAnsi="宋体" w:cs="宋体"/>
        </w:rPr>
        <w:t>但答复内容不得涉及商业秘密</w:t>
      </w:r>
      <w:r>
        <w:rPr>
          <w:rFonts w:hint="eastAsia" w:ascii="宋体" w:hAnsi="宋体" w:cs="宋体"/>
          <w:bCs/>
          <w:szCs w:val="21"/>
        </w:rPr>
        <w:t>。</w:t>
      </w:r>
    </w:p>
    <w:p w14:paraId="7FAFC7FA">
      <w:pPr>
        <w:spacing w:line="360" w:lineRule="auto"/>
        <w:ind w:firstLine="420" w:firstLineChars="200"/>
        <w:rPr>
          <w:rFonts w:ascii="宋体" w:hAnsi="宋体" w:cs="宋体"/>
          <w:bCs/>
          <w:szCs w:val="21"/>
        </w:rPr>
      </w:pPr>
      <w:r>
        <w:rPr>
          <w:rFonts w:hint="eastAsia" w:ascii="宋体" w:hAnsi="宋体" w:cs="宋体"/>
          <w:bCs/>
          <w:szCs w:val="21"/>
        </w:rPr>
        <w:t>38.1.3 询问事项可能影响中标、成交结果的，采购人应当暂停签订合同，已经签订合同的，应当中止履行合同。</w:t>
      </w:r>
    </w:p>
    <w:p w14:paraId="1597CCBE">
      <w:pPr>
        <w:spacing w:line="360" w:lineRule="auto"/>
        <w:ind w:firstLine="422" w:firstLineChars="200"/>
        <w:rPr>
          <w:rFonts w:ascii="宋体" w:hAnsi="宋体" w:cs="宋体"/>
          <w:szCs w:val="21"/>
        </w:rPr>
      </w:pPr>
      <w:r>
        <w:rPr>
          <w:rFonts w:hint="eastAsia" w:ascii="宋体" w:hAnsi="宋体" w:cs="宋体"/>
          <w:b/>
          <w:szCs w:val="21"/>
        </w:rPr>
        <w:t xml:space="preserve"> </w:t>
      </w:r>
      <w:r>
        <w:rPr>
          <w:rFonts w:hint="eastAsia" w:ascii="宋体" w:hAnsi="宋体" w:cs="宋体"/>
          <w:szCs w:val="21"/>
        </w:rPr>
        <w:t>38.2质疑</w:t>
      </w:r>
    </w:p>
    <w:p w14:paraId="7B963F81">
      <w:pPr>
        <w:spacing w:line="360" w:lineRule="auto"/>
        <w:ind w:firstLine="420" w:firstLineChars="200"/>
        <w:rPr>
          <w:rFonts w:ascii="宋体" w:hAnsi="宋体" w:cs="宋体"/>
          <w:b/>
          <w:szCs w:val="21"/>
        </w:rPr>
      </w:pPr>
      <w:r>
        <w:rPr>
          <w:rFonts w:hint="eastAsia" w:ascii="宋体" w:hAnsi="宋体" w:cs="宋体"/>
          <w:szCs w:val="21"/>
        </w:rPr>
        <w:t>38.2.1</w:t>
      </w:r>
      <w:r>
        <w:rPr>
          <w:rFonts w:hint="eastAsia" w:ascii="宋体" w:hAnsi="宋体" w:cs="宋体"/>
          <w:b/>
          <w:szCs w:val="21"/>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4E0F37B1">
      <w:pPr>
        <w:spacing w:line="360" w:lineRule="auto"/>
        <w:ind w:firstLine="420" w:firstLineChars="200"/>
        <w:rPr>
          <w:rFonts w:ascii="宋体" w:hAnsi="宋体" w:cs="宋体"/>
          <w:bCs/>
        </w:rPr>
      </w:pPr>
      <w:r>
        <w:rPr>
          <w:rFonts w:hint="eastAsia" w:ascii="宋体" w:hAnsi="宋体" w:cs="宋体"/>
          <w:bCs/>
        </w:rPr>
        <w:t>（1）潜在供应商依法获取公开招标文件后，认为采购文件使自己的权益受到损害的，应当在公开招标文件公告期限届满之日起7个工作日内提出质疑。</w:t>
      </w:r>
      <w:r>
        <w:rPr>
          <w:rFonts w:hint="eastAsia" w:ascii="宋体" w:hAnsi="宋体" w:cs="宋体"/>
        </w:rPr>
        <w:t>委托代理协议无特殊约定的，</w:t>
      </w:r>
      <w:r>
        <w:rPr>
          <w:rFonts w:hint="eastAsia" w:ascii="宋体" w:hAnsi="宋体" w:cs="宋体"/>
          <w:bCs/>
        </w:rPr>
        <w:t>对公开招标文件中采购需求（含资格要求、采购预算和评分办法）的质疑由采购人受理并负责答复；对公开招标文件中的采购执行程序的质疑由采购代理机构受理并负责答复。</w:t>
      </w:r>
    </w:p>
    <w:p w14:paraId="38D856A5">
      <w:pPr>
        <w:spacing w:line="360" w:lineRule="auto"/>
        <w:ind w:firstLine="420" w:firstLineChars="200"/>
        <w:rPr>
          <w:rFonts w:ascii="宋体" w:hAnsi="宋体" w:cs="宋体"/>
          <w:bCs/>
        </w:rPr>
      </w:pPr>
      <w:r>
        <w:rPr>
          <w:rFonts w:hint="eastAsia" w:ascii="宋体" w:hAnsi="宋体" w:cs="宋体"/>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5E80CD82">
      <w:pPr>
        <w:spacing w:line="360" w:lineRule="auto"/>
        <w:ind w:firstLine="420" w:firstLineChars="200"/>
        <w:rPr>
          <w:rFonts w:ascii="宋体" w:hAnsi="宋体" w:cs="宋体"/>
          <w:bCs/>
        </w:rPr>
      </w:pPr>
      <w:r>
        <w:rPr>
          <w:rFonts w:hint="eastAsia" w:ascii="宋体" w:hAnsi="宋体" w:cs="宋体"/>
          <w:bCs/>
        </w:rPr>
        <w:t>（3）供应商认为中标或者成交结果使自己的权益受到损害的，应当在中标或者成交结果公告期限届满之日起7个工作日内提出质疑，由采购人受理并负责答复。</w:t>
      </w:r>
    </w:p>
    <w:p w14:paraId="0E58DEB4">
      <w:pPr>
        <w:spacing w:line="360" w:lineRule="auto"/>
        <w:ind w:firstLine="422" w:firstLineChars="200"/>
        <w:rPr>
          <w:rFonts w:ascii="宋体" w:hAnsi="宋体" w:cs="宋体"/>
          <w:bCs/>
          <w:szCs w:val="21"/>
        </w:rPr>
      </w:pPr>
      <w:r>
        <w:rPr>
          <w:rFonts w:hint="eastAsia" w:ascii="宋体" w:hAnsi="宋体" w:cs="宋体"/>
          <w:b/>
          <w:bCs/>
          <w:szCs w:val="21"/>
        </w:rPr>
        <w:t>38.2.2</w:t>
      </w:r>
      <w:r>
        <w:rPr>
          <w:rFonts w:hint="eastAsia" w:ascii="宋体" w:hAnsi="宋体" w:cs="宋体"/>
          <w:bCs/>
          <w:szCs w:val="21"/>
        </w:rPr>
        <w:t>供应商质疑实行实名制，其质疑应当有具体的质疑事项及事实根据，质疑应当坚持依法依规、诚实信用原则，不得进行虚假、恶意质疑。</w:t>
      </w:r>
    </w:p>
    <w:p w14:paraId="02645724">
      <w:pPr>
        <w:spacing w:line="360" w:lineRule="auto"/>
        <w:ind w:firstLine="422" w:firstLineChars="200"/>
        <w:rPr>
          <w:rFonts w:ascii="宋体" w:hAnsi="宋体" w:cs="宋体"/>
          <w:bCs/>
        </w:rPr>
      </w:pPr>
      <w:r>
        <w:rPr>
          <w:rFonts w:hint="eastAsia" w:ascii="宋体" w:hAnsi="宋体" w:cs="宋体"/>
          <w:b/>
          <w:bCs/>
        </w:rPr>
        <w:t>38.2.3</w:t>
      </w:r>
      <w:r>
        <w:rPr>
          <w:rFonts w:hint="eastAsia" w:ascii="宋体" w:hAnsi="宋体" w:cs="宋体"/>
          <w:bCs/>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rPr>
        <w:t>。</w:t>
      </w:r>
    </w:p>
    <w:p w14:paraId="5E6FB8F2">
      <w:pPr>
        <w:spacing w:line="360" w:lineRule="auto"/>
        <w:ind w:firstLine="422" w:firstLineChars="200"/>
        <w:rPr>
          <w:rFonts w:ascii="宋体" w:hAnsi="宋体" w:cs="宋体"/>
          <w:b/>
          <w:bCs/>
        </w:rPr>
      </w:pPr>
      <w:r>
        <w:rPr>
          <w:rFonts w:hint="eastAsia" w:ascii="宋体" w:hAnsi="宋体" w:cs="宋体"/>
          <w:b/>
          <w:bCs/>
        </w:rPr>
        <w:t>38.2.4 质疑供应商提起质疑应当符合下列条件：</w:t>
      </w:r>
    </w:p>
    <w:p w14:paraId="7F1716F2">
      <w:pPr>
        <w:spacing w:line="360" w:lineRule="auto"/>
        <w:ind w:firstLine="420" w:firstLineChars="200"/>
        <w:rPr>
          <w:rFonts w:ascii="宋体" w:hAnsi="宋体" w:cs="宋体"/>
          <w:bCs/>
        </w:rPr>
      </w:pPr>
      <w:r>
        <w:rPr>
          <w:rFonts w:hint="eastAsia" w:ascii="宋体" w:hAnsi="宋体" w:cs="宋体"/>
          <w:bCs/>
        </w:rPr>
        <w:t>（1）质疑供应商是参与所质疑</w:t>
      </w:r>
      <w:r>
        <w:rPr>
          <w:rFonts w:hint="eastAsia" w:ascii="宋体" w:hAnsi="宋体" w:cs="宋体"/>
          <w:bCs/>
          <w:szCs w:val="21"/>
        </w:rPr>
        <w:t>项目</w:t>
      </w:r>
      <w:r>
        <w:rPr>
          <w:rFonts w:hint="eastAsia" w:ascii="宋体" w:hAnsi="宋体" w:cs="宋体"/>
          <w:bCs/>
        </w:rPr>
        <w:t>采购活动的供应商（潜在供应商已依法获取可质疑的采购文件的，可以对该采购文件质疑）；</w:t>
      </w:r>
    </w:p>
    <w:p w14:paraId="33D83C7F">
      <w:pPr>
        <w:spacing w:line="360" w:lineRule="auto"/>
        <w:ind w:firstLine="420" w:firstLineChars="200"/>
        <w:rPr>
          <w:rFonts w:ascii="宋体" w:hAnsi="宋体" w:cs="宋体"/>
          <w:bCs/>
        </w:rPr>
      </w:pPr>
      <w:r>
        <w:rPr>
          <w:rFonts w:hint="eastAsia" w:ascii="宋体" w:hAnsi="宋体" w:cs="宋体"/>
          <w:bCs/>
        </w:rPr>
        <w:t>（2）质疑函内容符合本章第38.2.5项的规定；</w:t>
      </w:r>
    </w:p>
    <w:p w14:paraId="0995B446">
      <w:pPr>
        <w:spacing w:line="360" w:lineRule="auto"/>
        <w:ind w:firstLine="420" w:firstLineChars="200"/>
        <w:rPr>
          <w:rFonts w:ascii="宋体" w:hAnsi="宋体" w:cs="宋体"/>
          <w:bCs/>
        </w:rPr>
      </w:pPr>
      <w:r>
        <w:rPr>
          <w:rFonts w:hint="eastAsia" w:ascii="宋体" w:hAnsi="宋体" w:cs="宋体"/>
          <w:bCs/>
        </w:rPr>
        <w:t>（3）在质疑有效期限内提起质疑；</w:t>
      </w:r>
    </w:p>
    <w:p w14:paraId="4F3196A1">
      <w:pPr>
        <w:spacing w:line="360" w:lineRule="auto"/>
        <w:ind w:firstLine="420" w:firstLineChars="200"/>
        <w:rPr>
          <w:rFonts w:ascii="宋体" w:hAnsi="宋体" w:cs="宋体"/>
          <w:bCs/>
        </w:rPr>
      </w:pPr>
      <w:r>
        <w:rPr>
          <w:rFonts w:hint="eastAsia" w:ascii="宋体" w:hAnsi="宋体" w:cs="宋体"/>
          <w:bCs/>
        </w:rPr>
        <w:t>（4）属于所质疑的采购人或采购人委托的采购代理机构组织的采购活动；</w:t>
      </w:r>
    </w:p>
    <w:p w14:paraId="3C6C76FB">
      <w:pPr>
        <w:spacing w:line="360" w:lineRule="auto"/>
        <w:ind w:firstLine="420" w:firstLineChars="200"/>
        <w:rPr>
          <w:rFonts w:ascii="宋体" w:hAnsi="宋体" w:cs="宋体"/>
          <w:bCs/>
        </w:rPr>
      </w:pPr>
      <w:r>
        <w:rPr>
          <w:rFonts w:hint="eastAsia" w:ascii="宋体" w:hAnsi="宋体" w:cs="宋体"/>
          <w:bCs/>
        </w:rPr>
        <w:t xml:space="preserve">（5）同一质疑事项未经采购人或采购人委托的采购代理机构质疑处理； </w:t>
      </w:r>
    </w:p>
    <w:p w14:paraId="281D4284">
      <w:pPr>
        <w:spacing w:line="360" w:lineRule="auto"/>
        <w:ind w:firstLine="420" w:firstLineChars="200"/>
        <w:rPr>
          <w:rFonts w:ascii="宋体" w:hAnsi="宋体" w:cs="宋体"/>
          <w:bCs/>
        </w:rPr>
      </w:pPr>
      <w:r>
        <w:rPr>
          <w:rFonts w:hint="eastAsia" w:ascii="宋体" w:hAnsi="宋体" w:cs="宋体"/>
          <w:bCs/>
        </w:rPr>
        <w:t>（6）供应商对同一采购程序环节的质疑应当在质疑有效期内一次性提出；</w:t>
      </w:r>
    </w:p>
    <w:p w14:paraId="058D98CD">
      <w:pPr>
        <w:spacing w:line="360" w:lineRule="auto"/>
        <w:ind w:firstLine="420" w:firstLineChars="200"/>
        <w:rPr>
          <w:rFonts w:ascii="宋体" w:hAnsi="宋体" w:cs="宋体"/>
          <w:bCs/>
        </w:rPr>
      </w:pPr>
      <w:r>
        <w:rPr>
          <w:rFonts w:hint="eastAsia" w:ascii="宋体" w:hAnsi="宋体" w:cs="宋体"/>
          <w:bCs/>
        </w:rPr>
        <w:t>（7）供应商提交质疑应当提交必要的证明材料，证明材料应以合法手段取得；</w:t>
      </w:r>
    </w:p>
    <w:p w14:paraId="242B9198">
      <w:pPr>
        <w:spacing w:line="360" w:lineRule="auto"/>
        <w:ind w:firstLine="420" w:firstLineChars="200"/>
        <w:rPr>
          <w:rFonts w:ascii="宋体" w:hAnsi="宋体" w:cs="宋体"/>
        </w:rPr>
      </w:pPr>
      <w:r>
        <w:rPr>
          <w:rFonts w:hint="eastAsia" w:ascii="宋体" w:hAnsi="宋体" w:cs="宋体"/>
          <w:bCs/>
        </w:rPr>
        <w:t>（8）财政部门规定的其他条件。</w:t>
      </w:r>
    </w:p>
    <w:p w14:paraId="367D32A3">
      <w:pPr>
        <w:spacing w:line="360" w:lineRule="auto"/>
        <w:ind w:firstLine="420" w:firstLineChars="200"/>
        <w:rPr>
          <w:rFonts w:ascii="宋体" w:hAnsi="宋体" w:cs="宋体"/>
          <w:b/>
          <w:szCs w:val="21"/>
        </w:rPr>
      </w:pPr>
      <w:bookmarkStart w:id="129" w:name="_9.2质疑、投诉应当采用书面形式，质疑函、投诉书均应明确阐述招标文件、"/>
      <w:bookmarkEnd w:id="129"/>
      <w:r>
        <w:rPr>
          <w:rFonts w:hint="eastAsia" w:ascii="宋体" w:hAnsi="宋体" w:cs="宋体"/>
          <w:szCs w:val="21"/>
        </w:rPr>
        <w:t xml:space="preserve"> 38.2.5 </w:t>
      </w:r>
      <w:r>
        <w:rPr>
          <w:rFonts w:hint="eastAsia" w:ascii="宋体" w:hAnsi="宋体" w:cs="宋体"/>
          <w:bCs/>
        </w:rPr>
        <w:t>供应商提出质疑应当提交质疑函和必要的证明材料，针对同一采购程序环节的质疑必须在法定质疑期内一次性提出。质疑函应当包括下列内容（质疑函格式后附）：</w:t>
      </w:r>
    </w:p>
    <w:p w14:paraId="55BB2CB9">
      <w:pPr>
        <w:spacing w:line="360" w:lineRule="auto"/>
        <w:ind w:firstLine="420" w:firstLineChars="200"/>
        <w:rPr>
          <w:rFonts w:ascii="宋体" w:hAnsi="宋体" w:cs="宋体"/>
          <w:bCs/>
        </w:rPr>
      </w:pPr>
      <w:r>
        <w:rPr>
          <w:rFonts w:hint="eastAsia" w:ascii="宋体" w:hAnsi="宋体" w:cs="宋体"/>
          <w:bCs/>
        </w:rPr>
        <w:t>（1）供应商的姓名或者名称、地址、邮编、联系人及联系电话；</w:t>
      </w:r>
    </w:p>
    <w:p w14:paraId="005D85AC">
      <w:pPr>
        <w:spacing w:line="360" w:lineRule="auto"/>
        <w:ind w:firstLine="420" w:firstLineChars="200"/>
        <w:rPr>
          <w:rFonts w:ascii="宋体" w:hAnsi="宋体" w:cs="宋体"/>
          <w:bCs/>
        </w:rPr>
      </w:pPr>
      <w:r>
        <w:rPr>
          <w:rFonts w:hint="eastAsia" w:ascii="宋体" w:hAnsi="宋体" w:cs="宋体"/>
          <w:bCs/>
        </w:rPr>
        <w:t>（2）质疑项目的名称、编号；</w:t>
      </w:r>
    </w:p>
    <w:p w14:paraId="1EDDCFC2">
      <w:pPr>
        <w:spacing w:line="360" w:lineRule="auto"/>
        <w:ind w:firstLine="420" w:firstLineChars="200"/>
        <w:rPr>
          <w:rFonts w:ascii="宋体" w:hAnsi="宋体" w:cs="宋体"/>
          <w:bCs/>
        </w:rPr>
      </w:pPr>
      <w:r>
        <w:rPr>
          <w:rFonts w:hint="eastAsia" w:ascii="宋体" w:hAnsi="宋体" w:cs="宋体"/>
          <w:bCs/>
        </w:rPr>
        <w:t>（3）具体、明确的质疑事项和与质疑事项相关的请求；</w:t>
      </w:r>
    </w:p>
    <w:p w14:paraId="3E7808C4">
      <w:pPr>
        <w:spacing w:line="360" w:lineRule="auto"/>
        <w:ind w:firstLine="420" w:firstLineChars="200"/>
        <w:rPr>
          <w:rFonts w:ascii="宋体" w:hAnsi="宋体" w:cs="宋体"/>
          <w:bCs/>
        </w:rPr>
      </w:pPr>
      <w:r>
        <w:rPr>
          <w:rFonts w:hint="eastAsia" w:ascii="宋体" w:hAnsi="宋体" w:cs="宋体"/>
          <w:bCs/>
        </w:rPr>
        <w:t>（4）事实依据（列明权益受到损害的事实和理由）；</w:t>
      </w:r>
    </w:p>
    <w:p w14:paraId="1DF50D6A">
      <w:pPr>
        <w:spacing w:line="360" w:lineRule="auto"/>
        <w:ind w:firstLine="420" w:firstLineChars="200"/>
        <w:rPr>
          <w:rFonts w:ascii="宋体" w:hAnsi="宋体" w:cs="宋体"/>
          <w:bCs/>
        </w:rPr>
      </w:pPr>
      <w:r>
        <w:rPr>
          <w:rFonts w:hint="eastAsia" w:ascii="宋体" w:hAnsi="宋体" w:cs="宋体"/>
          <w:bCs/>
        </w:rPr>
        <w:t>（5）必要的法律依据；</w:t>
      </w:r>
    </w:p>
    <w:p w14:paraId="5D10568D">
      <w:pPr>
        <w:spacing w:line="360" w:lineRule="auto"/>
        <w:ind w:firstLine="420" w:firstLineChars="200"/>
        <w:rPr>
          <w:rFonts w:ascii="宋体" w:hAnsi="宋体" w:cs="宋体"/>
          <w:bCs/>
        </w:rPr>
      </w:pPr>
      <w:r>
        <w:rPr>
          <w:rFonts w:hint="eastAsia" w:ascii="宋体" w:hAnsi="宋体" w:cs="宋体"/>
          <w:bCs/>
        </w:rPr>
        <w:t>（6）提出质疑的日期。</w:t>
      </w:r>
    </w:p>
    <w:p w14:paraId="56D53E28">
      <w:pPr>
        <w:spacing w:line="360" w:lineRule="auto"/>
        <w:ind w:firstLine="420" w:firstLineChars="200"/>
        <w:rPr>
          <w:rFonts w:ascii="宋体" w:hAnsi="宋体" w:cs="宋体"/>
          <w:bCs/>
        </w:rPr>
      </w:pPr>
      <w:r>
        <w:rPr>
          <w:rFonts w:hint="eastAsia" w:ascii="宋体" w:hAnsi="宋体" w:cs="宋体"/>
          <w:bCs/>
        </w:rPr>
        <w:t>供应商为自然人的，应当由本人签字；供应商为法人或者其他组织的，应当由法定代表人、主要负责人，或者其委托代理人签字或者盖章，并加盖公章。</w:t>
      </w:r>
    </w:p>
    <w:p w14:paraId="4DBE63B1">
      <w:pPr>
        <w:spacing w:line="360" w:lineRule="auto"/>
        <w:ind w:firstLine="422" w:firstLineChars="200"/>
        <w:rPr>
          <w:rFonts w:ascii="宋体" w:hAnsi="宋体" w:cs="宋体"/>
          <w:b/>
          <w:szCs w:val="20"/>
        </w:rPr>
      </w:pPr>
      <w:r>
        <w:rPr>
          <w:rFonts w:hint="eastAsia" w:ascii="宋体" w:hAnsi="宋体" w:cs="宋体"/>
          <w:b/>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1C034B01">
      <w:pPr>
        <w:spacing w:line="360" w:lineRule="auto"/>
        <w:ind w:firstLine="420" w:firstLineChars="200"/>
        <w:rPr>
          <w:rFonts w:ascii="宋体" w:hAnsi="宋体" w:cs="宋体"/>
          <w:bCs/>
          <w:szCs w:val="21"/>
        </w:rPr>
      </w:pPr>
      <w:r>
        <w:rPr>
          <w:rFonts w:hint="eastAsia" w:ascii="宋体" w:hAnsi="宋体" w:cs="宋体"/>
          <w:szCs w:val="21"/>
        </w:rPr>
        <w:t>3</w:t>
      </w:r>
      <w:r>
        <w:rPr>
          <w:rFonts w:hint="eastAsia" w:ascii="宋体" w:hAnsi="宋体" w:cs="宋体"/>
          <w:bCs/>
          <w:szCs w:val="21"/>
        </w:rPr>
        <w:t>8.2.7采购人、采购代理机构认为供应商质疑不成立，或者成立但未对中标结果构成影响的，继续开展采购活动；认为供应商质疑成立且影响或者可能影响中标结果的，按照下列情况处理：</w:t>
      </w:r>
    </w:p>
    <w:p w14:paraId="456126B3">
      <w:pPr>
        <w:spacing w:line="360" w:lineRule="auto"/>
        <w:ind w:firstLine="420" w:firstLineChars="200"/>
        <w:rPr>
          <w:rFonts w:ascii="宋体" w:hAnsi="宋体" w:cs="宋体"/>
          <w:bCs/>
        </w:rPr>
      </w:pPr>
      <w:r>
        <w:rPr>
          <w:rFonts w:hint="eastAsia" w:ascii="宋体" w:hAnsi="宋体" w:cs="宋体"/>
          <w:bCs/>
        </w:rPr>
        <w:t>　　（一）对招标文件提出的质疑，依法通过澄清或者修改可以继续开展采购活动的，澄清或者修改招标文件后继续开展采购活动；否则应当修改招标文件后重新开展采购活动。</w:t>
      </w:r>
    </w:p>
    <w:p w14:paraId="3B1689DA">
      <w:pPr>
        <w:spacing w:line="360" w:lineRule="auto"/>
        <w:ind w:firstLine="420" w:firstLineChars="200"/>
        <w:rPr>
          <w:rFonts w:ascii="宋体" w:hAnsi="宋体" w:cs="宋体"/>
          <w:bCs/>
        </w:rPr>
      </w:pPr>
      <w:r>
        <w:rPr>
          <w:rFonts w:hint="eastAsia" w:ascii="宋体" w:hAnsi="宋体" w:cs="宋体"/>
          <w:bCs/>
        </w:rPr>
        <w:t>　　（二）对采购过程、中标结果提出的质疑，合格供应商符合法定数量时，可以从合格的中标候选人中另行确定中标人的，应当依法另行确定中标人；否则应当重新开展采购活动。</w:t>
      </w:r>
    </w:p>
    <w:p w14:paraId="6AB34E74">
      <w:pPr>
        <w:spacing w:line="360" w:lineRule="auto"/>
        <w:ind w:firstLine="420" w:firstLineChars="200"/>
        <w:rPr>
          <w:rFonts w:ascii="宋体" w:hAnsi="宋体" w:cs="宋体"/>
          <w:bCs/>
        </w:rPr>
      </w:pPr>
      <w:r>
        <w:rPr>
          <w:rFonts w:hint="eastAsia" w:ascii="宋体" w:hAnsi="宋体" w:cs="宋体"/>
          <w:bCs/>
        </w:rPr>
        <w:t>质疑答复导致中标结果改变的，采购人或者采购代理机构应当将有关情况书面报告本级财政部门。</w:t>
      </w:r>
    </w:p>
    <w:p w14:paraId="7BD5A54F">
      <w:pPr>
        <w:spacing w:line="360" w:lineRule="auto"/>
        <w:ind w:firstLine="422" w:firstLineChars="200"/>
        <w:rPr>
          <w:rFonts w:ascii="宋体" w:hAnsi="宋体" w:cs="宋体"/>
          <w:b/>
        </w:rPr>
      </w:pPr>
      <w:r>
        <w:rPr>
          <w:rFonts w:hint="eastAsia" w:ascii="宋体" w:hAnsi="宋体" w:cs="宋体"/>
          <w:b/>
        </w:rPr>
        <w:t>38.3投诉</w:t>
      </w:r>
    </w:p>
    <w:p w14:paraId="4E33BA7D">
      <w:pPr>
        <w:spacing w:line="360" w:lineRule="auto"/>
        <w:ind w:firstLine="422" w:firstLineChars="200"/>
        <w:rPr>
          <w:rFonts w:ascii="宋体" w:hAnsi="宋体" w:cs="宋体"/>
          <w:bCs/>
        </w:rPr>
      </w:pPr>
      <w:r>
        <w:rPr>
          <w:rFonts w:hint="eastAsia" w:ascii="宋体" w:hAnsi="宋体" w:cs="宋体"/>
          <w:b/>
        </w:rPr>
        <w:t>38.3</w:t>
      </w:r>
      <w:r>
        <w:rPr>
          <w:rFonts w:hint="eastAsia" w:ascii="宋体" w:hAnsi="宋体" w:cs="宋体"/>
          <w:bCs/>
        </w:rPr>
        <w:t>.</w:t>
      </w:r>
      <w:r>
        <w:rPr>
          <w:rFonts w:hint="eastAsia" w:ascii="宋体" w:hAnsi="宋体" w:cs="宋体"/>
          <w:b/>
          <w:bCs/>
        </w:rPr>
        <w:t xml:space="preserve">1 </w:t>
      </w:r>
      <w:r>
        <w:rPr>
          <w:rFonts w:hint="eastAsia" w:ascii="宋体" w:hAnsi="宋体" w:cs="宋体"/>
          <w:bCs/>
        </w:rPr>
        <w:t xml:space="preserve"> 供应商认为采购文件、采购过程、中标和成交结果使自己的合法权益受到损害的，应当首先依法向采购人或采购人委托的</w:t>
      </w:r>
      <w:r>
        <w:rPr>
          <w:rFonts w:hint="eastAsia" w:ascii="宋体" w:hAnsi="宋体" w:cs="宋体"/>
        </w:rPr>
        <w:t>采购代理机构</w:t>
      </w:r>
      <w:r>
        <w:rPr>
          <w:rFonts w:hint="eastAsia" w:ascii="宋体" w:hAnsi="宋体" w:cs="宋体"/>
          <w:bCs/>
        </w:rPr>
        <w:t>提出质疑。对采购人、</w:t>
      </w:r>
      <w:r>
        <w:rPr>
          <w:rFonts w:hint="eastAsia" w:ascii="宋体" w:hAnsi="宋体" w:cs="宋体"/>
        </w:rPr>
        <w:t>采购代理机构</w:t>
      </w:r>
      <w:r>
        <w:rPr>
          <w:rFonts w:hint="eastAsia" w:ascii="宋体" w:hAnsi="宋体" w:cs="宋体"/>
          <w:bCs/>
        </w:rPr>
        <w:t>的答复不满意，或者采购人、</w:t>
      </w:r>
      <w:r>
        <w:rPr>
          <w:rFonts w:hint="eastAsia" w:ascii="宋体" w:hAnsi="宋体" w:cs="宋体"/>
        </w:rPr>
        <w:t>采购代理机构</w:t>
      </w:r>
      <w:r>
        <w:rPr>
          <w:rFonts w:hint="eastAsia" w:ascii="宋体" w:hAnsi="宋体" w:cs="宋体"/>
          <w:bCs/>
        </w:rPr>
        <w:t>未在规定期限内作出答复的，供应商可以在答复期满后15个工作日内向隆安县财政局政府采购监督管理办公室提起投诉，投诉联系方式见“投标人须知前附表”。</w:t>
      </w:r>
    </w:p>
    <w:p w14:paraId="318631BE">
      <w:pPr>
        <w:spacing w:line="360" w:lineRule="auto"/>
        <w:ind w:firstLine="422" w:firstLineChars="200"/>
        <w:rPr>
          <w:rFonts w:ascii="宋体" w:hAnsi="宋体" w:cs="宋体"/>
          <w:bCs/>
        </w:rPr>
      </w:pPr>
      <w:r>
        <w:rPr>
          <w:rFonts w:hint="eastAsia" w:ascii="宋体" w:hAnsi="宋体" w:cs="宋体"/>
          <w:b/>
        </w:rPr>
        <w:t xml:space="preserve">38.3.2 </w:t>
      </w:r>
      <w:r>
        <w:rPr>
          <w:rFonts w:hint="eastAsia" w:ascii="宋体" w:hAnsi="宋体" w:cs="宋体"/>
        </w:rPr>
        <w:t xml:space="preserve"> 投诉人投诉时，应当提交投诉书，并按照被投诉采购人、采购代理机构和与投诉事项有关的供应商数量提供投诉书的副本。投诉书</w:t>
      </w:r>
      <w:r>
        <w:rPr>
          <w:rFonts w:hint="eastAsia" w:ascii="宋体" w:hAnsi="宋体" w:cs="宋体"/>
          <w:szCs w:val="21"/>
        </w:rPr>
        <w:t>应当包括下列主要内容</w:t>
      </w:r>
      <w:r>
        <w:rPr>
          <w:rFonts w:hint="eastAsia" w:ascii="宋体" w:hAnsi="宋体" w:cs="宋体"/>
        </w:rPr>
        <w:t>（如材料中有外文资料应同时附上对应的中文译本）</w:t>
      </w:r>
      <w:r>
        <w:rPr>
          <w:rFonts w:hint="eastAsia" w:ascii="宋体" w:hAnsi="宋体" w:cs="宋体"/>
          <w:bCs/>
        </w:rPr>
        <w:t>（投诉书格式后附）</w:t>
      </w:r>
      <w:r>
        <w:rPr>
          <w:rFonts w:hint="eastAsia" w:ascii="宋体" w:hAnsi="宋体" w:cs="宋体"/>
          <w:szCs w:val="21"/>
        </w:rPr>
        <w:t>：</w:t>
      </w:r>
    </w:p>
    <w:p w14:paraId="042F01D2">
      <w:pPr>
        <w:spacing w:line="360" w:lineRule="auto"/>
        <w:ind w:firstLine="420" w:firstLineChars="200"/>
        <w:rPr>
          <w:rFonts w:ascii="宋体" w:hAnsi="宋体" w:cs="宋体"/>
        </w:rPr>
      </w:pPr>
      <w:r>
        <w:rPr>
          <w:rFonts w:hint="eastAsia" w:ascii="宋体" w:hAnsi="宋体" w:cs="宋体"/>
        </w:rPr>
        <w:t xml:space="preserve">（1）投诉人和被投诉人的名称、地址、邮编、联系人及联系电话等； </w:t>
      </w:r>
    </w:p>
    <w:p w14:paraId="1A6586D2">
      <w:pPr>
        <w:spacing w:line="360" w:lineRule="auto"/>
        <w:ind w:firstLine="420" w:firstLineChars="200"/>
        <w:rPr>
          <w:rFonts w:ascii="宋体" w:hAnsi="宋体" w:cs="宋体"/>
        </w:rPr>
      </w:pPr>
      <w:r>
        <w:rPr>
          <w:rFonts w:hint="eastAsia" w:ascii="宋体" w:hAnsi="宋体" w:cs="宋体"/>
        </w:rPr>
        <w:t xml:space="preserve">（2）质疑和质疑答复情况及相关证明材料； </w:t>
      </w:r>
    </w:p>
    <w:p w14:paraId="43F1DC3D">
      <w:pPr>
        <w:spacing w:line="360" w:lineRule="auto"/>
        <w:ind w:firstLine="420" w:firstLineChars="200"/>
        <w:rPr>
          <w:rFonts w:ascii="宋体" w:hAnsi="宋体" w:cs="宋体"/>
        </w:rPr>
      </w:pPr>
      <w:r>
        <w:rPr>
          <w:rFonts w:hint="eastAsia" w:ascii="宋体" w:hAnsi="宋体" w:cs="宋体"/>
        </w:rPr>
        <w:t>（3）具体、明确的投诉事项和与投诉事项相关的投诉请求；</w:t>
      </w:r>
    </w:p>
    <w:p w14:paraId="309AE19C">
      <w:pPr>
        <w:spacing w:line="360" w:lineRule="auto"/>
        <w:ind w:firstLine="420" w:firstLineChars="200"/>
        <w:rPr>
          <w:rFonts w:ascii="宋体" w:hAnsi="宋体" w:cs="宋体"/>
        </w:rPr>
      </w:pPr>
      <w:r>
        <w:rPr>
          <w:rFonts w:hint="eastAsia" w:ascii="宋体" w:hAnsi="宋体" w:cs="宋体"/>
        </w:rPr>
        <w:t>（4）事实依据；</w:t>
      </w:r>
    </w:p>
    <w:p w14:paraId="40CDE228">
      <w:pPr>
        <w:spacing w:line="360" w:lineRule="auto"/>
        <w:ind w:firstLine="420" w:firstLineChars="200"/>
        <w:rPr>
          <w:rFonts w:ascii="宋体" w:hAnsi="宋体" w:cs="宋体"/>
        </w:rPr>
      </w:pPr>
      <w:r>
        <w:rPr>
          <w:rFonts w:hint="eastAsia" w:ascii="宋体" w:hAnsi="宋体" w:cs="宋体"/>
        </w:rPr>
        <w:t>（5）法律依据；</w:t>
      </w:r>
    </w:p>
    <w:p w14:paraId="3569F31F">
      <w:pPr>
        <w:spacing w:line="360" w:lineRule="auto"/>
        <w:ind w:firstLine="420" w:firstLineChars="200"/>
        <w:rPr>
          <w:rFonts w:ascii="宋体" w:hAnsi="宋体" w:cs="宋体"/>
        </w:rPr>
      </w:pPr>
      <w:r>
        <w:rPr>
          <w:rFonts w:hint="eastAsia" w:ascii="宋体" w:hAnsi="宋体" w:cs="宋体"/>
        </w:rPr>
        <w:t>（6）提起投诉的日期。</w:t>
      </w:r>
    </w:p>
    <w:p w14:paraId="3CA0B6E4">
      <w:pPr>
        <w:spacing w:line="360" w:lineRule="auto"/>
        <w:ind w:firstLine="420" w:firstLineChars="200"/>
        <w:rPr>
          <w:rFonts w:ascii="宋体" w:hAnsi="宋体" w:cs="宋体"/>
        </w:rPr>
      </w:pPr>
      <w:r>
        <w:rPr>
          <w:rFonts w:hint="eastAsia" w:ascii="宋体" w:hAnsi="宋体" w:cs="宋体"/>
        </w:rPr>
        <w:t>（7）附件材料：营业执照副本内页复印件【要求证件有效并清晰反映企业法人经营范围；近期连续三个月依法缴纳税收和在职职工社会保障资金证明材料（复印件）】。</w:t>
      </w:r>
      <w:r>
        <w:rPr>
          <w:rFonts w:hint="eastAsia" w:ascii="宋体" w:hAnsi="宋体" w:cs="宋体"/>
        </w:rPr>
        <w:tab/>
      </w:r>
    </w:p>
    <w:p w14:paraId="7C951F5E">
      <w:pPr>
        <w:spacing w:line="360" w:lineRule="auto"/>
        <w:ind w:firstLine="422" w:firstLineChars="200"/>
        <w:rPr>
          <w:rFonts w:ascii="宋体" w:hAnsi="宋体" w:cs="宋体"/>
          <w:bCs/>
        </w:rPr>
      </w:pPr>
      <w:r>
        <w:rPr>
          <w:rFonts w:hint="eastAsia" w:ascii="宋体" w:hAnsi="宋体" w:cs="宋体"/>
          <w:b/>
        </w:rPr>
        <w:t xml:space="preserve">38.3.3  </w:t>
      </w:r>
      <w:r>
        <w:rPr>
          <w:rFonts w:hint="eastAsia" w:ascii="宋体" w:hAnsi="宋体" w:cs="宋体"/>
        </w:rPr>
        <w:t>投诉人可以委托代理人办理投诉事务。</w:t>
      </w:r>
      <w:r>
        <w:rPr>
          <w:rFonts w:hint="eastAsia" w:ascii="宋体" w:hAnsi="宋体" w:cs="宋体"/>
          <w:bCs/>
        </w:rPr>
        <w:t>委托代理人应熟悉相关业务情况。</w:t>
      </w:r>
      <w:r>
        <w:rPr>
          <w:rFonts w:hint="eastAsia" w:ascii="宋体" w:hAnsi="宋体" w:cs="宋体"/>
        </w:rPr>
        <w:t>代理人办理投诉事务时，除提交投诉书外，还应当提交投诉人的授权委托书和委托代理人身份证明复印件。</w:t>
      </w:r>
    </w:p>
    <w:p w14:paraId="7FE1517B">
      <w:pPr>
        <w:spacing w:line="360" w:lineRule="auto"/>
        <w:ind w:firstLine="422" w:firstLineChars="200"/>
        <w:rPr>
          <w:rFonts w:ascii="宋体" w:hAnsi="宋体" w:cs="宋体"/>
        </w:rPr>
      </w:pPr>
      <w:r>
        <w:rPr>
          <w:rFonts w:hint="eastAsia" w:ascii="宋体" w:hAnsi="宋体" w:cs="宋体"/>
          <w:b/>
        </w:rPr>
        <w:t>38.3.4</w:t>
      </w:r>
      <w:r>
        <w:rPr>
          <w:rFonts w:hint="eastAsia" w:ascii="宋体" w:hAnsi="宋体" w:cs="宋体"/>
        </w:rPr>
        <w:t xml:space="preserve">  投诉人提起投诉应当符合下列条件：</w:t>
      </w:r>
    </w:p>
    <w:p w14:paraId="01FFD11A">
      <w:pPr>
        <w:spacing w:line="360" w:lineRule="auto"/>
        <w:ind w:firstLine="420" w:firstLineChars="200"/>
        <w:rPr>
          <w:rFonts w:ascii="宋体" w:hAnsi="宋体" w:cs="宋体"/>
        </w:rPr>
      </w:pPr>
      <w:r>
        <w:rPr>
          <w:rFonts w:hint="eastAsia" w:ascii="宋体" w:hAnsi="宋体" w:cs="宋体"/>
        </w:rPr>
        <w:t>（1）投诉人是参与所投诉政府采购活动的供应商；</w:t>
      </w:r>
    </w:p>
    <w:p w14:paraId="4E0577D6">
      <w:pPr>
        <w:spacing w:line="360" w:lineRule="auto"/>
        <w:ind w:firstLine="420" w:firstLineChars="200"/>
        <w:rPr>
          <w:rFonts w:ascii="宋体" w:hAnsi="宋体" w:cs="宋体"/>
        </w:rPr>
      </w:pPr>
      <w:r>
        <w:rPr>
          <w:rFonts w:hint="eastAsia" w:ascii="宋体" w:hAnsi="宋体" w:cs="宋体"/>
        </w:rPr>
        <w:t>（2）提起投诉前已依法进行质疑；</w:t>
      </w:r>
    </w:p>
    <w:p w14:paraId="42D318B9">
      <w:pPr>
        <w:spacing w:line="360" w:lineRule="auto"/>
        <w:ind w:firstLine="420" w:firstLineChars="200"/>
        <w:rPr>
          <w:rFonts w:ascii="宋体" w:hAnsi="宋体" w:cs="宋体"/>
        </w:rPr>
      </w:pPr>
      <w:r>
        <w:rPr>
          <w:rFonts w:hint="eastAsia" w:ascii="宋体" w:hAnsi="宋体" w:cs="宋体"/>
        </w:rPr>
        <w:t>（3）投诉书内容符合本章第38.3.2项的规定；</w:t>
      </w:r>
    </w:p>
    <w:p w14:paraId="376842BB">
      <w:pPr>
        <w:spacing w:line="360" w:lineRule="auto"/>
        <w:ind w:firstLine="420" w:firstLineChars="200"/>
        <w:rPr>
          <w:rFonts w:ascii="宋体" w:hAnsi="宋体" w:cs="宋体"/>
        </w:rPr>
      </w:pPr>
      <w:r>
        <w:rPr>
          <w:rFonts w:hint="eastAsia" w:ascii="宋体" w:hAnsi="宋体" w:cs="宋体"/>
        </w:rPr>
        <w:t>（4）在投诉有效期限内提起投诉；</w:t>
      </w:r>
    </w:p>
    <w:p w14:paraId="35D4CB63">
      <w:pPr>
        <w:spacing w:line="360" w:lineRule="auto"/>
        <w:ind w:firstLine="420" w:firstLineChars="200"/>
        <w:rPr>
          <w:rFonts w:ascii="宋体" w:hAnsi="宋体" w:cs="宋体"/>
        </w:rPr>
      </w:pPr>
      <w:r>
        <w:rPr>
          <w:rFonts w:hint="eastAsia" w:ascii="宋体" w:hAnsi="宋体" w:cs="宋体"/>
        </w:rPr>
        <w:t>（5）属于隆安县财政局政府采购监督管理办公室管辖；</w:t>
      </w:r>
    </w:p>
    <w:p w14:paraId="3F8B6B6F">
      <w:pPr>
        <w:spacing w:line="360" w:lineRule="auto"/>
        <w:ind w:firstLine="420" w:firstLineChars="200"/>
        <w:rPr>
          <w:rFonts w:ascii="宋体" w:hAnsi="宋体" w:cs="宋体"/>
        </w:rPr>
      </w:pPr>
      <w:r>
        <w:rPr>
          <w:rFonts w:hint="eastAsia" w:ascii="宋体" w:hAnsi="宋体" w:cs="宋体"/>
        </w:rPr>
        <w:t>（6）同一投诉事项未经</w:t>
      </w:r>
      <w:r>
        <w:rPr>
          <w:rFonts w:hint="eastAsia" w:ascii="宋体" w:hAnsi="宋体" w:cs="宋体"/>
          <w:bCs/>
        </w:rPr>
        <w:t>隆安县财政局政府采购监督管理办公室</w:t>
      </w:r>
      <w:r>
        <w:rPr>
          <w:rFonts w:hint="eastAsia" w:ascii="宋体" w:hAnsi="宋体" w:cs="宋体"/>
        </w:rPr>
        <w:t>投诉处理；</w:t>
      </w:r>
    </w:p>
    <w:p w14:paraId="62A54C53">
      <w:pPr>
        <w:spacing w:line="360" w:lineRule="auto"/>
        <w:ind w:firstLine="420" w:firstLineChars="200"/>
        <w:rPr>
          <w:rFonts w:ascii="宋体" w:hAnsi="宋体" w:cs="宋体"/>
        </w:rPr>
      </w:pPr>
      <w:r>
        <w:rPr>
          <w:rFonts w:hint="eastAsia" w:ascii="宋体" w:hAnsi="宋体" w:cs="宋体"/>
        </w:rPr>
        <w:t>（7）国务院财政部门规定的其他条件。</w:t>
      </w:r>
    </w:p>
    <w:p w14:paraId="7A6E0588">
      <w:pPr>
        <w:spacing w:line="360" w:lineRule="auto"/>
        <w:ind w:firstLine="422" w:firstLineChars="200"/>
        <w:rPr>
          <w:rFonts w:ascii="宋体" w:hAnsi="宋体" w:cs="宋体"/>
        </w:rPr>
      </w:pPr>
      <w:r>
        <w:rPr>
          <w:rFonts w:hint="eastAsia" w:ascii="宋体" w:hAnsi="宋体" w:cs="宋体"/>
          <w:b/>
        </w:rPr>
        <w:t>38.3.5</w:t>
      </w:r>
      <w:r>
        <w:rPr>
          <w:rFonts w:hint="eastAsia" w:ascii="宋体" w:hAnsi="宋体" w:cs="宋体"/>
        </w:rPr>
        <w:t xml:space="preserve">  隆安县财政局政府采购监督管理办公室自受理投诉之日起30个工作日内，对投诉事项作出处理决定，并以书面形式通知投诉人、被投诉人及其他与投诉处理结果有利害关系的政府采购当事人。并将投诉结果在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kern w:val="0"/>
          <w:szCs w:val="21"/>
        </w:rPr>
        <w:t>“广西政府采购网”（http://zfcg.gxzf.gov.cn）</w:t>
      </w:r>
      <w:r>
        <w:rPr>
          <w:rFonts w:hint="eastAsia" w:ascii="宋体" w:hAnsi="宋体" w:cs="宋体"/>
        </w:rPr>
        <w:t>发布。</w:t>
      </w:r>
    </w:p>
    <w:p w14:paraId="69D73C7F">
      <w:pPr>
        <w:spacing w:line="360" w:lineRule="auto"/>
        <w:ind w:firstLine="422" w:firstLineChars="200"/>
        <w:rPr>
          <w:rFonts w:ascii="宋体" w:hAnsi="宋体" w:cs="宋体"/>
        </w:rPr>
      </w:pPr>
      <w:r>
        <w:rPr>
          <w:rFonts w:hint="eastAsia" w:ascii="宋体" w:hAnsi="宋体" w:cs="宋体"/>
          <w:b/>
        </w:rPr>
        <w:t>38.3.6</w:t>
      </w:r>
      <w:r>
        <w:rPr>
          <w:rFonts w:hint="eastAsia" w:ascii="宋体" w:hAnsi="宋体" w:cs="宋体"/>
        </w:rPr>
        <w:t xml:space="preserve">  隆安县财政局政府采购监督管理办公室在处理投诉事项期间，可以视具体情况暂停采购活动。</w:t>
      </w:r>
    </w:p>
    <w:p w14:paraId="0138CB5A">
      <w:pPr>
        <w:pStyle w:val="4"/>
        <w:keepNext w:val="0"/>
        <w:keepLines w:val="0"/>
        <w:rPr>
          <w:rFonts w:cs="宋体"/>
        </w:rPr>
      </w:pPr>
      <w:bookmarkStart w:id="130" w:name="_Toc20741"/>
      <w:r>
        <w:rPr>
          <w:rFonts w:hint="eastAsia" w:cs="宋体"/>
        </w:rPr>
        <w:t>八、验收</w:t>
      </w:r>
      <w:bookmarkEnd w:id="130"/>
    </w:p>
    <w:p w14:paraId="7ADDEECB">
      <w:pPr>
        <w:spacing w:line="360" w:lineRule="auto"/>
        <w:ind w:firstLine="422" w:firstLineChars="200"/>
        <w:rPr>
          <w:rFonts w:ascii="宋体" w:hAnsi="宋体" w:cs="宋体"/>
          <w:b/>
        </w:rPr>
      </w:pPr>
      <w:r>
        <w:rPr>
          <w:rFonts w:hint="eastAsia" w:ascii="宋体" w:hAnsi="宋体" w:cs="宋体"/>
          <w:b/>
        </w:rPr>
        <w:t>39.验收</w:t>
      </w:r>
    </w:p>
    <w:p w14:paraId="2F1EDD4E">
      <w:pPr>
        <w:tabs>
          <w:tab w:val="left" w:pos="0"/>
        </w:tabs>
        <w:spacing w:line="360" w:lineRule="auto"/>
        <w:ind w:firstLine="480"/>
        <w:rPr>
          <w:rFonts w:ascii="宋体" w:hAnsi="宋体" w:cs="宋体"/>
        </w:rPr>
      </w:pPr>
      <w:r>
        <w:rPr>
          <w:rFonts w:hint="eastAsia" w:ascii="宋体" w:hAnsi="宋体" w:cs="宋体"/>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1CCC95">
      <w:pPr>
        <w:tabs>
          <w:tab w:val="left" w:pos="0"/>
        </w:tabs>
        <w:spacing w:line="360" w:lineRule="auto"/>
        <w:ind w:firstLine="480"/>
        <w:rPr>
          <w:rFonts w:ascii="宋体" w:hAnsi="宋体" w:cs="宋体"/>
        </w:rPr>
      </w:pPr>
      <w:r>
        <w:rPr>
          <w:rFonts w:hint="eastAsia" w:ascii="宋体" w:hAnsi="宋体" w:cs="宋体"/>
        </w:rPr>
        <w:t>39.2采购人可以邀请参加本项目的其他投标人或者第三方机构参与验收。参与验收的投标人或者第三方机构的意见作为验收书的参考资料一并存档。</w:t>
      </w:r>
    </w:p>
    <w:p w14:paraId="41E14266">
      <w:pPr>
        <w:tabs>
          <w:tab w:val="left" w:pos="0"/>
        </w:tabs>
        <w:spacing w:line="360" w:lineRule="auto"/>
        <w:ind w:firstLine="480"/>
        <w:rPr>
          <w:rFonts w:ascii="宋体" w:hAnsi="宋体" w:cs="宋体"/>
        </w:rPr>
      </w:pPr>
      <w:r>
        <w:rPr>
          <w:rFonts w:hint="eastAsia" w:ascii="宋体" w:hAnsi="宋体" w:cs="宋体"/>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9BD2DD3">
      <w:pPr>
        <w:tabs>
          <w:tab w:val="left" w:pos="0"/>
        </w:tabs>
        <w:spacing w:line="360" w:lineRule="auto"/>
        <w:ind w:firstLine="480"/>
        <w:rPr>
          <w:rFonts w:ascii="宋体" w:hAnsi="宋体" w:cs="宋体"/>
        </w:rPr>
      </w:pPr>
      <w:r>
        <w:rPr>
          <w:rFonts w:hint="eastAsia" w:ascii="宋体" w:hAnsi="宋体" w:cs="宋体"/>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993F1A2">
      <w:pPr>
        <w:pStyle w:val="12"/>
        <w:snapToGrid w:val="0"/>
        <w:spacing w:line="360" w:lineRule="auto"/>
        <w:rPr>
          <w:rFonts w:hAnsi="宋体" w:cs="宋体"/>
        </w:rPr>
      </w:pPr>
    </w:p>
    <w:p w14:paraId="6BA9C8F6">
      <w:pPr>
        <w:pStyle w:val="4"/>
        <w:keepNext w:val="0"/>
        <w:keepLines w:val="0"/>
        <w:rPr>
          <w:rFonts w:cs="宋体"/>
        </w:rPr>
      </w:pPr>
      <w:bookmarkStart w:id="131" w:name="_八、其他事项"/>
      <w:bookmarkEnd w:id="131"/>
      <w:bookmarkStart w:id="132" w:name="_Toc14161"/>
      <w:r>
        <w:rPr>
          <w:rFonts w:hint="eastAsia" w:cs="宋体"/>
        </w:rPr>
        <w:t>九、其他事项</w:t>
      </w:r>
      <w:bookmarkEnd w:id="132"/>
    </w:p>
    <w:p w14:paraId="6B8F81E5">
      <w:pPr>
        <w:spacing w:line="360" w:lineRule="auto"/>
        <w:ind w:firstLine="480" w:firstLineChars="200"/>
        <w:rPr>
          <w:rFonts w:ascii="宋体" w:hAnsi="宋体" w:cs="宋体"/>
          <w:sz w:val="24"/>
        </w:rPr>
      </w:pPr>
      <w:bookmarkStart w:id="133" w:name="_42.代理服务费"/>
      <w:bookmarkEnd w:id="133"/>
      <w:r>
        <w:rPr>
          <w:rFonts w:hint="eastAsia" w:ascii="宋体" w:hAnsi="宋体" w:cs="宋体"/>
          <w:sz w:val="24"/>
        </w:rPr>
        <w:t>40.代理服务费</w:t>
      </w:r>
    </w:p>
    <w:p w14:paraId="7B772A32">
      <w:pPr>
        <w:spacing w:line="360" w:lineRule="auto"/>
        <w:ind w:firstLine="422" w:firstLineChars="200"/>
        <w:rPr>
          <w:rFonts w:ascii="宋体" w:hAnsi="宋体" w:cs="宋体"/>
          <w:b/>
          <w:szCs w:val="21"/>
        </w:rPr>
      </w:pPr>
      <w:r>
        <w:rPr>
          <w:rFonts w:hint="eastAsia" w:ascii="宋体" w:hAnsi="宋体" w:cs="宋体"/>
          <w:b/>
          <w:szCs w:val="21"/>
        </w:rPr>
        <w:t>代理服务收费标准及缴费账户详见“投标人须知前附表”，投标人为联合体的，可以由联合体中的一方或者多方共同缴纳代理服务费。</w:t>
      </w:r>
    </w:p>
    <w:p w14:paraId="259AB1AF">
      <w:pPr>
        <w:spacing w:line="360" w:lineRule="auto"/>
        <w:ind w:firstLine="480" w:firstLineChars="200"/>
        <w:rPr>
          <w:rFonts w:ascii="宋体" w:hAnsi="宋体" w:cs="宋体"/>
          <w:sz w:val="24"/>
        </w:rPr>
      </w:pPr>
      <w:r>
        <w:rPr>
          <w:rFonts w:hint="eastAsia" w:ascii="宋体" w:hAnsi="宋体" w:cs="宋体"/>
          <w:sz w:val="24"/>
        </w:rPr>
        <w:t>41. 需要补充的其他内容</w:t>
      </w:r>
    </w:p>
    <w:p w14:paraId="3A9F413E">
      <w:pPr>
        <w:spacing w:line="360" w:lineRule="auto"/>
        <w:ind w:firstLine="420" w:firstLineChars="200"/>
        <w:rPr>
          <w:rFonts w:ascii="宋体" w:hAnsi="宋体" w:cs="宋体"/>
        </w:rPr>
      </w:pPr>
      <w:r>
        <w:rPr>
          <w:rFonts w:hint="eastAsia" w:ascii="宋体" w:hAnsi="宋体" w:cs="宋体"/>
        </w:rPr>
        <w:t>41.1本招标文件解释规则详见“投标人须知前附表”。</w:t>
      </w:r>
    </w:p>
    <w:p w14:paraId="0A96C9FC">
      <w:pPr>
        <w:spacing w:line="360" w:lineRule="auto"/>
        <w:ind w:firstLine="420" w:firstLineChars="200"/>
        <w:rPr>
          <w:rFonts w:ascii="宋体" w:hAnsi="宋体" w:cs="宋体"/>
        </w:rPr>
      </w:pPr>
      <w:r>
        <w:rPr>
          <w:rFonts w:hint="eastAsia" w:ascii="宋体" w:hAnsi="宋体" w:cs="宋体"/>
        </w:rPr>
        <w:t>41.2 其他事项详见“投标人须知前附表”。</w:t>
      </w:r>
    </w:p>
    <w:p w14:paraId="55CF6F95">
      <w:pPr>
        <w:spacing w:line="360" w:lineRule="auto"/>
        <w:ind w:firstLine="420" w:firstLineChars="200"/>
        <w:rPr>
          <w:rFonts w:ascii="宋体" w:hAnsi="宋体" w:cs="宋体"/>
        </w:rPr>
      </w:pPr>
      <w:r>
        <w:rPr>
          <w:rFonts w:hint="eastAsia" w:ascii="宋体" w:hAnsi="宋体" w:cs="宋体"/>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 不对其中涉及的工程承建商和服务的承接商作出要求的， 享受本文件规定的中小企业扶持政策。</w:t>
      </w:r>
    </w:p>
    <w:p w14:paraId="11F89953">
      <w:pPr>
        <w:spacing w:line="360" w:lineRule="auto"/>
        <w:ind w:firstLine="420" w:firstLineChars="200"/>
        <w:rPr>
          <w:rFonts w:ascii="宋体" w:hAnsi="宋体" w:cs="宋体"/>
        </w:rPr>
      </w:pPr>
      <w:r>
        <w:rPr>
          <w:rFonts w:hint="eastAsia" w:ascii="宋体" w:hAnsi="宋体" w:cs="宋体"/>
        </w:rPr>
        <w:t>在货物采购项目中，供应商提供的货物既有中小企业制造货物，也有大型企业制造货物的，不享受本文件规定的中小企业扶持政策。</w:t>
      </w:r>
    </w:p>
    <w:p w14:paraId="091EB1BD">
      <w:pPr>
        <w:spacing w:line="360" w:lineRule="auto"/>
        <w:ind w:firstLine="420" w:firstLineChars="20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14:paraId="7995560E">
      <w:pPr>
        <w:spacing w:line="360" w:lineRule="auto"/>
        <w:ind w:firstLine="420" w:firstLineChars="200"/>
        <w:rPr>
          <w:rFonts w:ascii="宋体" w:hAnsi="宋体" w:cs="宋体"/>
        </w:rPr>
      </w:pPr>
      <w:r>
        <w:rPr>
          <w:rFonts w:hint="eastAsia" w:ascii="宋体" w:hAnsi="宋体" w:cs="宋体"/>
        </w:rPr>
        <w:t>依据本文件规定享受扶持政策获得政府采购合同的，小微企业不得将合同分包给大中型企业，中型企业不得将合同分包给大型企业。</w:t>
      </w:r>
    </w:p>
    <w:p w14:paraId="71135257">
      <w:pPr>
        <w:spacing w:line="360" w:lineRule="auto"/>
        <w:ind w:firstLine="480" w:firstLineChars="200"/>
        <w:rPr>
          <w:rFonts w:ascii="宋体" w:hAnsi="宋体" w:cs="宋体"/>
          <w:sz w:val="24"/>
        </w:rPr>
      </w:pPr>
      <w:r>
        <w:rPr>
          <w:rFonts w:hint="eastAsia" w:ascii="宋体" w:hAnsi="宋体" w:cs="宋体"/>
          <w:sz w:val="24"/>
        </w:rPr>
        <w:t>42. 政采贷相关说明</w:t>
      </w:r>
    </w:p>
    <w:p w14:paraId="0D4ACC2B">
      <w:pPr>
        <w:spacing w:line="360" w:lineRule="auto"/>
        <w:ind w:firstLine="420" w:firstLineChars="200"/>
        <w:jc w:val="left"/>
        <w:rPr>
          <w:rFonts w:ascii="宋体" w:hAnsi="宋体" w:cs="宋体"/>
        </w:rPr>
      </w:pPr>
      <w:r>
        <w:rPr>
          <w:rFonts w:hint="eastAsia" w:ascii="宋体" w:hAnsi="宋体" w:cs="宋体"/>
        </w:rPr>
        <w:t>为优化政府采购营商环境，缓解供应商资金难题，南宁市政府采购试行政府采购信用融资制度，中标人如有融资需求，可凭政府采购合同在“南宁市公共资源交易中心”官网（网址：http://www.nnggzy.org.cn）“交易信息-政府采购-政府采购信用融资”中融资银行和南宁市企业融资服务中心专栏信息申请政府采购信用融资。</w:t>
      </w:r>
      <w:r>
        <w:rPr>
          <w:rFonts w:hint="eastAsia" w:ascii="宋体" w:hAnsi="宋体" w:cs="宋体"/>
        </w:rPr>
        <w:br w:type="page"/>
      </w:r>
      <w:bookmarkStart w:id="134" w:name="_Toc532545043"/>
    </w:p>
    <w:p w14:paraId="09874B24">
      <w:pPr>
        <w:pStyle w:val="12"/>
        <w:spacing w:line="360" w:lineRule="auto"/>
        <w:jc w:val="center"/>
        <w:outlineLvl w:val="0"/>
        <w:rPr>
          <w:rFonts w:hAnsi="宋体" w:cs="宋体"/>
          <w:b/>
          <w:sz w:val="36"/>
        </w:rPr>
      </w:pPr>
      <w:bookmarkStart w:id="135" w:name="_Toc30466"/>
      <w:r>
        <w:rPr>
          <w:rFonts w:hint="eastAsia" w:hAnsi="宋体" w:cs="宋体"/>
          <w:b/>
          <w:sz w:val="36"/>
        </w:rPr>
        <w:t>第四章  评标方法</w:t>
      </w:r>
      <w:bookmarkEnd w:id="134"/>
      <w:r>
        <w:rPr>
          <w:rFonts w:hint="eastAsia" w:hAnsi="宋体" w:cs="宋体"/>
          <w:b/>
          <w:sz w:val="36"/>
        </w:rPr>
        <w:t>及评分标准</w:t>
      </w:r>
      <w:bookmarkEnd w:id="135"/>
    </w:p>
    <w:p w14:paraId="265A5C6D">
      <w:pPr>
        <w:pStyle w:val="12"/>
        <w:spacing w:line="360" w:lineRule="auto"/>
        <w:ind w:firstLine="420"/>
        <w:rPr>
          <w:rFonts w:hAnsi="宋体" w:cs="宋体"/>
          <w:bCs/>
        </w:rPr>
      </w:pPr>
      <w:r>
        <w:rPr>
          <w:rFonts w:hint="eastAsia" w:hAnsi="宋体" w:cs="宋体"/>
          <w:bCs/>
        </w:rPr>
        <w:t>注：计分方法按四舍五入取至百分位。商务技术评审因素为客观评分项的，应在评分项目或评分标准中予以标注为“客观分”。对投标人的客观评分项目，各评标专家评分应当一致。</w:t>
      </w:r>
    </w:p>
    <w:p w14:paraId="73988BD9">
      <w:pPr>
        <w:pStyle w:val="13"/>
        <w:rPr>
          <w:b/>
          <w:bCs/>
          <w:color w:val="FF0000"/>
          <w:sz w:val="28"/>
          <w:szCs w:val="28"/>
        </w:rPr>
      </w:pPr>
      <w:r>
        <w:rPr>
          <w:rFonts w:hint="eastAsia"/>
          <w:b/>
          <w:bCs/>
          <w:color w:val="FF0000"/>
          <w:sz w:val="28"/>
          <w:szCs w:val="28"/>
        </w:rPr>
        <w:t>A分标（1分标）：</w:t>
      </w:r>
    </w:p>
    <w:tbl>
      <w:tblPr>
        <w:tblStyle w:val="24"/>
        <w:tblpPr w:leftFromText="180" w:rightFromText="180" w:vertAnchor="text" w:tblpXSpec="center" w:tblpY="1"/>
        <w:tblOverlap w:val="never"/>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715"/>
        <w:gridCol w:w="8529"/>
      </w:tblGrid>
      <w:tr w14:paraId="00EC5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97" w:type="dxa"/>
            <w:gridSpan w:val="2"/>
            <w:vAlign w:val="center"/>
          </w:tcPr>
          <w:p w14:paraId="3E3A0442">
            <w:pPr>
              <w:jc w:val="center"/>
              <w:rPr>
                <w:rFonts w:ascii="宋体" w:hAnsi="宋体" w:cs="宋体"/>
                <w:b/>
                <w:szCs w:val="21"/>
              </w:rPr>
            </w:pPr>
            <w:r>
              <w:rPr>
                <w:rFonts w:hint="eastAsia" w:ascii="宋体" w:hAnsi="宋体"/>
                <w:b/>
                <w:szCs w:val="21"/>
              </w:rPr>
              <w:t>评分项目</w:t>
            </w:r>
          </w:p>
        </w:tc>
        <w:tc>
          <w:tcPr>
            <w:tcW w:w="8529" w:type="dxa"/>
            <w:vAlign w:val="center"/>
          </w:tcPr>
          <w:p w14:paraId="52C23EB4">
            <w:pPr>
              <w:jc w:val="center"/>
              <w:rPr>
                <w:rFonts w:ascii="宋体" w:hAnsi="宋体"/>
                <w:b/>
                <w:szCs w:val="21"/>
              </w:rPr>
            </w:pPr>
            <w:r>
              <w:rPr>
                <w:rFonts w:hint="eastAsia" w:ascii="宋体" w:hAnsi="宋体" w:cs="宋体"/>
                <w:b/>
                <w:szCs w:val="21"/>
              </w:rPr>
              <w:t>评分细则</w:t>
            </w:r>
          </w:p>
        </w:tc>
      </w:tr>
      <w:tr w14:paraId="7901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7" w:type="dxa"/>
            <w:gridSpan w:val="2"/>
            <w:vAlign w:val="center"/>
          </w:tcPr>
          <w:p w14:paraId="06531C2B">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价格部分(</w:t>
            </w:r>
            <w:r>
              <w:rPr>
                <w:rFonts w:hint="eastAsia" w:ascii="宋体" w:hAnsi="宋体" w:cs="宋体"/>
                <w:b/>
                <w:szCs w:val="21"/>
                <w:shd w:val="clear" w:color="auto" w:fill="FFFFFF"/>
                <w:lang w:val="en-US" w:eastAsia="zh-CN"/>
              </w:rPr>
              <w:t>30</w:t>
            </w:r>
            <w:r>
              <w:rPr>
                <w:rFonts w:hint="eastAsia" w:ascii="宋体" w:hAnsi="宋体" w:cs="宋体"/>
                <w:b/>
                <w:szCs w:val="21"/>
                <w:shd w:val="clear" w:color="auto" w:fill="FFFFFF"/>
              </w:rPr>
              <w:t>分)</w:t>
            </w:r>
          </w:p>
        </w:tc>
        <w:tc>
          <w:tcPr>
            <w:tcW w:w="8529" w:type="dxa"/>
            <w:vAlign w:val="center"/>
          </w:tcPr>
          <w:p w14:paraId="3D6C5F8F">
            <w:pPr>
              <w:snapToGrid w:val="0"/>
              <w:spacing w:line="360" w:lineRule="auto"/>
              <w:ind w:firstLine="233" w:firstLineChars="111"/>
              <w:rPr>
                <w:rFonts w:ascii="宋体" w:hAnsi="宋体"/>
                <w:bCs/>
                <w:szCs w:val="21"/>
              </w:rPr>
            </w:pPr>
            <w:r>
              <w:rPr>
                <w:rFonts w:hint="eastAsia" w:ascii="宋体" w:hAnsi="宋体"/>
                <w:bCs/>
                <w:szCs w:val="21"/>
              </w:rPr>
              <w:t>（1）评标报价为投标人的投标报价进行政策性扣除后的价格，评标报价只是作为评标时使用。最终中标人的中标金额等于投标报价。</w:t>
            </w:r>
          </w:p>
          <w:p w14:paraId="019AD04C">
            <w:pPr>
              <w:spacing w:line="400" w:lineRule="exact"/>
              <w:ind w:firstLine="420" w:firstLineChars="200"/>
              <w:rPr>
                <w:rFonts w:ascii="宋体" w:hAnsi="Courier New"/>
                <w:szCs w:val="20"/>
              </w:rPr>
            </w:pPr>
            <w:r>
              <w:rPr>
                <w:rFonts w:hint="eastAsia" w:ascii="宋体" w:hAnsi="宋体"/>
                <w:bCs/>
                <w:szCs w:val="21"/>
              </w:rPr>
              <w:t>（2）按照</w:t>
            </w:r>
            <w:r>
              <w:rPr>
                <w:rFonts w:ascii="宋体" w:hAnsi="宋体"/>
              </w:rPr>
              <w:t>《政府采购促进中小企业发展管理办法》（财库﹝2020﹞46号）</w:t>
            </w:r>
            <w:r>
              <w:rPr>
                <w:rFonts w:hint="eastAsia" w:ascii="宋体" w:hAnsi="宋体"/>
              </w:rPr>
              <w:t>及《广西壮族自治区财政厅关于进一步发挥政府采购政策功能促进企业发展的通知》（桂财采〔2022〕30号）规定</w:t>
            </w:r>
            <w:r>
              <w:rPr>
                <w:rFonts w:hint="eastAsia" w:ascii="宋体" w:hAnsi="宋体"/>
                <w:bCs/>
                <w:szCs w:val="21"/>
              </w:rPr>
              <w:t>，投标人在其投标文件中提供《中小企业声明函》，且其服务为小型和微型企业承接的，对其最后报价给予20%的扣除。</w:t>
            </w:r>
          </w:p>
          <w:p w14:paraId="2B359195">
            <w:pPr>
              <w:snapToGrid w:val="0"/>
              <w:spacing w:line="360" w:lineRule="auto"/>
              <w:ind w:firstLine="233" w:firstLineChars="111"/>
              <w:rPr>
                <w:rFonts w:ascii="宋体" w:hAnsi="宋体"/>
                <w:bCs/>
                <w:szCs w:val="21"/>
              </w:rPr>
            </w:pPr>
            <w:r>
              <w:rPr>
                <w:rFonts w:hint="eastAsia" w:ascii="宋体" w:hAnsi="宋体"/>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szCs w:val="21"/>
              </w:rPr>
              <w:t>监狱企业参加政府采购活动时，应当提供由省级以上监狱管理局、戒毒管理局(含新疆生产建设兵团)出具的属于监狱企业的证明文件。</w:t>
            </w:r>
            <w:r>
              <w:rPr>
                <w:rFonts w:hint="eastAsia" w:ascii="宋体" w:hAnsi="宋体"/>
                <w:bCs/>
                <w:szCs w:val="21"/>
              </w:rPr>
              <w:t>不重复享受政策。</w:t>
            </w:r>
          </w:p>
          <w:p w14:paraId="411ECDC8">
            <w:pPr>
              <w:snapToGrid w:val="0"/>
              <w:spacing w:line="360" w:lineRule="auto"/>
              <w:ind w:firstLine="233" w:firstLineChars="111"/>
              <w:rPr>
                <w:rFonts w:ascii="宋体" w:hAnsi="宋体"/>
                <w:bCs/>
                <w:szCs w:val="21"/>
              </w:rPr>
            </w:pPr>
            <w:r>
              <w:rPr>
                <w:rFonts w:hint="eastAsia" w:ascii="宋体" w:hAnsi="宋体"/>
                <w:szCs w:val="21"/>
              </w:rPr>
              <w:t>（4）按照</w:t>
            </w:r>
            <w:r>
              <w:rPr>
                <w:rFonts w:hint="eastAsia" w:ascii="宋体" w:hAnsi="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szCs w:val="21"/>
              </w:rPr>
              <w:t>残疾人福利性单位参加政府采购活动时，应当提供该通知规定的《残疾人福利性单位声明函》，并对声明的真实性负责。</w:t>
            </w:r>
            <w:r>
              <w:rPr>
                <w:rFonts w:hint="eastAsia" w:ascii="宋体" w:hAnsi="宋体"/>
                <w:bCs/>
                <w:szCs w:val="21"/>
              </w:rPr>
              <w:t>残疾人福利性单位属于小型、微型企业的，不重复享受政策。</w:t>
            </w:r>
          </w:p>
          <w:p w14:paraId="55C95007">
            <w:pPr>
              <w:snapToGrid w:val="0"/>
              <w:spacing w:line="360" w:lineRule="auto"/>
              <w:ind w:firstLine="233" w:firstLineChars="111"/>
              <w:rPr>
                <w:rFonts w:ascii="宋体" w:hAnsi="宋体"/>
                <w:bCs/>
                <w:szCs w:val="21"/>
              </w:rPr>
            </w:pPr>
            <w:r>
              <w:rPr>
                <w:rFonts w:hint="eastAsia" w:ascii="宋体" w:hAnsi="宋体"/>
                <w:bCs/>
                <w:szCs w:val="21"/>
              </w:rPr>
              <w:t>（5）政策性扣除计算方法。</w:t>
            </w:r>
          </w:p>
          <w:p w14:paraId="271000F3">
            <w:pPr>
              <w:snapToGrid w:val="0"/>
              <w:spacing w:line="360" w:lineRule="auto"/>
              <w:ind w:firstLine="443" w:firstLineChars="211"/>
              <w:rPr>
                <w:rFonts w:ascii="宋体" w:hAnsi="宋体"/>
                <w:szCs w:val="21"/>
              </w:rPr>
            </w:pPr>
            <w:r>
              <w:rPr>
                <w:rFonts w:hint="eastAsia" w:ascii="宋体" w:hAnsi="宋体"/>
                <w:bCs/>
                <w:szCs w:val="21"/>
              </w:rPr>
              <w:t>在服务采购项目中，服务由小微企业承接；对符合上述要求的投标人的投标报价给予20%的扣除，扣除后的价格为评标报价，即评标报价=投标报价×（1-2</w:t>
            </w:r>
            <w:r>
              <w:rPr>
                <w:rFonts w:ascii="宋体" w:hAnsi="宋体"/>
                <w:bCs/>
                <w:szCs w:val="21"/>
              </w:rPr>
              <w:t>0</w:t>
            </w:r>
            <w:r>
              <w:rPr>
                <w:rFonts w:hint="eastAsia" w:ascii="宋体" w:hAnsi="宋体"/>
                <w:bCs/>
                <w:szCs w:val="21"/>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szCs w:val="21"/>
                <w:u w:val="single"/>
              </w:rPr>
              <w:t xml:space="preserve"> 6%</w:t>
            </w:r>
            <w:r>
              <w:rPr>
                <w:rFonts w:hint="eastAsia" w:ascii="宋体" w:hAnsi="宋体"/>
                <w:bCs/>
                <w:szCs w:val="21"/>
              </w:rPr>
              <w:t>的扣除，用扣除后的价格参加评审，接受分包的小微企业与分包企业之间存在直接控股、管理关系的，不享受价格扣除优惠政策。扣除后的价格为评标报价，即评标报价=投标报价×（1-</w:t>
            </w:r>
            <w:r>
              <w:rPr>
                <w:rFonts w:hint="eastAsia" w:ascii="宋体" w:hAnsi="宋体"/>
                <w:bCs/>
                <w:szCs w:val="21"/>
                <w:u w:val="single"/>
              </w:rPr>
              <w:t>6</w:t>
            </w:r>
            <w:r>
              <w:rPr>
                <w:rFonts w:hint="eastAsia" w:ascii="宋体" w:hAnsi="宋体"/>
                <w:bCs/>
                <w:szCs w:val="21"/>
              </w:rPr>
              <w:t>%）。除上述情况外，评标报价=投标报价。</w:t>
            </w:r>
          </w:p>
          <w:p w14:paraId="2C012D0A">
            <w:pPr>
              <w:snapToGrid w:val="0"/>
              <w:spacing w:line="360" w:lineRule="auto"/>
              <w:ind w:firstLine="233" w:firstLineChars="111"/>
              <w:rPr>
                <w:rFonts w:ascii="宋体" w:hAnsi="宋体"/>
                <w:bCs/>
                <w:szCs w:val="21"/>
              </w:rPr>
            </w:pPr>
            <w:r>
              <w:rPr>
                <w:rFonts w:hint="eastAsia" w:ascii="宋体" w:hAnsi="宋体"/>
                <w:bCs/>
                <w:szCs w:val="21"/>
              </w:rPr>
              <w:t>（6）满足招标文件要求且评标报价最低的评标报价为评标基准价，其价格分为满分。</w:t>
            </w:r>
          </w:p>
          <w:p w14:paraId="4429AC67">
            <w:pPr>
              <w:spacing w:line="360" w:lineRule="auto"/>
              <w:ind w:firstLine="233" w:firstLineChars="111"/>
              <w:rPr>
                <w:rFonts w:ascii="宋体" w:hAnsi="宋体"/>
                <w:bCs/>
                <w:szCs w:val="21"/>
              </w:rPr>
            </w:pPr>
            <w:r>
              <w:rPr>
                <w:rFonts w:hint="eastAsia" w:ascii="宋体" w:hAnsi="宋体"/>
                <w:bCs/>
                <w:szCs w:val="21"/>
              </w:rPr>
              <w:t xml:space="preserve">（7）价格分计算公式：        </w:t>
            </w:r>
          </w:p>
          <w:p w14:paraId="0DC7C81C">
            <w:pPr>
              <w:ind w:firstLine="630" w:firstLineChars="300"/>
              <w:rPr>
                <w:rFonts w:hAnsi="宋体" w:cs="Courier New"/>
                <w:bCs/>
              </w:rPr>
            </w:pPr>
            <w:r>
              <w:rPr>
                <w:rFonts w:hint="eastAsia" w:hAnsi="宋体"/>
                <w:bCs/>
              </w:rPr>
              <w:t>价格分</w:t>
            </w:r>
            <w:r>
              <w:rPr>
                <w:rFonts w:hint="eastAsia" w:hAnsi="宋体" w:cs="Courier New"/>
                <w:bCs/>
              </w:rPr>
              <w:t>=(评标基准价／评标报价)×</w:t>
            </w:r>
            <w:r>
              <w:rPr>
                <w:rFonts w:hint="eastAsia" w:hAnsi="宋体"/>
                <w:bCs/>
                <w:u w:val="single"/>
              </w:rPr>
              <w:t xml:space="preserve"> </w:t>
            </w:r>
            <w:r>
              <w:rPr>
                <w:rFonts w:hint="eastAsia" w:hAnsi="宋体"/>
                <w:bCs/>
                <w:u w:val="single"/>
                <w:lang w:val="en-US" w:eastAsia="zh-CN"/>
              </w:rPr>
              <w:t>30</w:t>
            </w:r>
            <w:r>
              <w:rPr>
                <w:rFonts w:hint="eastAsia" w:hAnsi="宋体"/>
                <w:bCs/>
                <w:u w:val="single"/>
              </w:rPr>
              <w:t xml:space="preserve"> </w:t>
            </w:r>
            <w:r>
              <w:rPr>
                <w:rFonts w:hint="eastAsia" w:hAnsi="宋体" w:cs="Courier New"/>
                <w:bCs/>
              </w:rPr>
              <w:t>分</w:t>
            </w:r>
          </w:p>
          <w:p w14:paraId="445481BC">
            <w:pPr>
              <w:ind w:firstLine="630" w:firstLineChars="300"/>
              <w:rPr>
                <w:rFonts w:hAnsi="宋体" w:cs="Courier New"/>
                <w:bCs/>
              </w:rPr>
            </w:pPr>
          </w:p>
        </w:tc>
      </w:tr>
      <w:tr w14:paraId="38CC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restart"/>
            <w:vAlign w:val="center"/>
          </w:tcPr>
          <w:p w14:paraId="57E98D98">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技术分(</w:t>
            </w:r>
            <w:r>
              <w:rPr>
                <w:rFonts w:hint="eastAsia" w:ascii="宋体" w:hAnsi="宋体" w:cs="宋体"/>
                <w:b/>
                <w:szCs w:val="21"/>
                <w:shd w:val="clear" w:color="auto" w:fill="FFFFFF"/>
                <w:lang w:val="en-US" w:eastAsia="zh-CN"/>
              </w:rPr>
              <w:t>48</w:t>
            </w:r>
            <w:r>
              <w:rPr>
                <w:rFonts w:hint="eastAsia" w:ascii="宋体" w:hAnsi="宋体" w:cs="宋体"/>
                <w:b/>
                <w:szCs w:val="21"/>
                <w:shd w:val="clear" w:color="auto" w:fill="FFFFFF"/>
              </w:rPr>
              <w:t>分)</w:t>
            </w:r>
          </w:p>
        </w:tc>
        <w:tc>
          <w:tcPr>
            <w:tcW w:w="715" w:type="dxa"/>
            <w:vMerge w:val="restart"/>
            <w:vAlign w:val="center"/>
          </w:tcPr>
          <w:p w14:paraId="35E9DFC1">
            <w:pPr>
              <w:spacing w:line="400" w:lineRule="exact"/>
              <w:jc w:val="center"/>
              <w:rPr>
                <w:rFonts w:ascii="宋体" w:hAnsi="宋体" w:cs="宋体"/>
                <w:b/>
                <w:kern w:val="0"/>
                <w:szCs w:val="21"/>
              </w:rPr>
            </w:pPr>
            <w:r>
              <w:rPr>
                <w:rFonts w:hint="eastAsia" w:ascii="宋体" w:hAnsi="宋体" w:cs="宋体"/>
                <w:b/>
                <w:kern w:val="0"/>
                <w:szCs w:val="21"/>
                <w:lang w:bidi="ar"/>
              </w:rPr>
              <w:t>货物性能分（</w:t>
            </w:r>
            <w:r>
              <w:rPr>
                <w:rFonts w:hint="eastAsia" w:ascii="宋体" w:hAnsi="宋体" w:cs="宋体"/>
                <w:b/>
                <w:kern w:val="0"/>
                <w:szCs w:val="21"/>
                <w:lang w:val="en-US" w:eastAsia="zh-CN" w:bidi="ar"/>
              </w:rPr>
              <w:t>35</w:t>
            </w:r>
            <w:r>
              <w:rPr>
                <w:rFonts w:hint="eastAsia" w:ascii="宋体" w:hAnsi="宋体" w:cs="宋体"/>
                <w:b/>
                <w:kern w:val="0"/>
                <w:szCs w:val="21"/>
                <w:lang w:bidi="ar"/>
              </w:rPr>
              <w:t>分）</w:t>
            </w:r>
          </w:p>
        </w:tc>
        <w:tc>
          <w:tcPr>
            <w:tcW w:w="8529" w:type="dxa"/>
            <w:vAlign w:val="center"/>
          </w:tcPr>
          <w:p w14:paraId="6839B94A">
            <w:pPr>
              <w:pStyle w:val="12"/>
              <w:spacing w:line="360" w:lineRule="auto"/>
              <w:rPr>
                <w:rFonts w:hAnsi="宋体"/>
                <w:b/>
              </w:rPr>
            </w:pPr>
            <w:r>
              <w:rPr>
                <w:rFonts w:hint="eastAsia" w:hAnsi="宋体"/>
                <w:b/>
              </w:rPr>
              <w:t>产品基本分（满分25分）</w:t>
            </w:r>
          </w:p>
          <w:p w14:paraId="09864558">
            <w:pPr>
              <w:pStyle w:val="12"/>
              <w:spacing w:line="360" w:lineRule="auto"/>
              <w:rPr>
                <w:rFonts w:hAnsi="宋体"/>
                <w:bCs/>
              </w:rPr>
            </w:pPr>
            <w:r>
              <w:rPr>
                <w:rFonts w:hint="eastAsia" w:hAnsi="宋体"/>
                <w:bCs/>
              </w:rPr>
              <w:t>标注“▲”号的技术参数为主要技术参数必须满足或优于，招标文件有要求提供相关证明文件的，则必须要提供，不满足或不提供做投标无效处理。</w:t>
            </w:r>
          </w:p>
          <w:p w14:paraId="7F1F054D">
            <w:pPr>
              <w:pStyle w:val="12"/>
              <w:spacing w:line="360" w:lineRule="auto"/>
              <w:rPr>
                <w:rFonts w:hAnsi="宋体"/>
                <w:bCs/>
              </w:rPr>
            </w:pPr>
            <w:r>
              <w:rPr>
                <w:rFonts w:hint="eastAsia" w:hAnsi="宋体"/>
                <w:bCs/>
              </w:rPr>
              <w:t>完全满足招标文件技术参数要求的得25分；不标注“▲”号的技术参数，出现负偏离的，每一项扣减5分，扣完25分为止。</w:t>
            </w:r>
          </w:p>
          <w:p w14:paraId="641B4DFC">
            <w:pPr>
              <w:pStyle w:val="12"/>
              <w:spacing w:line="360" w:lineRule="auto"/>
              <w:rPr>
                <w:rFonts w:hAnsi="宋体"/>
                <w:bCs/>
              </w:rPr>
            </w:pPr>
            <w:r>
              <w:rPr>
                <w:rFonts w:hint="eastAsia" w:hAnsi="宋体"/>
                <w:bCs/>
              </w:rPr>
              <w:t>注：相同型号产品不重复扣分或加分。</w:t>
            </w:r>
          </w:p>
          <w:p w14:paraId="068BB5DC">
            <w:pPr>
              <w:ind w:firstLine="420" w:firstLineChars="200"/>
              <w:rPr>
                <w:rFonts w:ascii="宋体" w:hAnsi="宋体"/>
                <w:szCs w:val="21"/>
              </w:rPr>
            </w:pPr>
          </w:p>
        </w:tc>
      </w:tr>
      <w:tr w14:paraId="108B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vAlign w:val="center"/>
          </w:tcPr>
          <w:p w14:paraId="15D771B0">
            <w:pPr>
              <w:spacing w:line="360" w:lineRule="auto"/>
              <w:jc w:val="left"/>
              <w:rPr>
                <w:rFonts w:ascii="宋体" w:hAnsi="宋体" w:cs="宋体"/>
                <w:b/>
                <w:szCs w:val="21"/>
                <w:shd w:val="clear" w:color="auto" w:fill="FFFFFF"/>
              </w:rPr>
            </w:pPr>
          </w:p>
        </w:tc>
        <w:tc>
          <w:tcPr>
            <w:tcW w:w="715" w:type="dxa"/>
            <w:vMerge w:val="continue"/>
            <w:vAlign w:val="center"/>
          </w:tcPr>
          <w:p w14:paraId="053118B3">
            <w:pPr>
              <w:spacing w:line="400" w:lineRule="exact"/>
              <w:jc w:val="center"/>
              <w:rPr>
                <w:rFonts w:ascii="宋体" w:hAnsi="宋体" w:cs="宋体"/>
                <w:b/>
                <w:kern w:val="0"/>
                <w:szCs w:val="21"/>
                <w:lang w:bidi="ar"/>
              </w:rPr>
            </w:pPr>
          </w:p>
        </w:tc>
        <w:tc>
          <w:tcPr>
            <w:tcW w:w="8529" w:type="dxa"/>
            <w:vAlign w:val="center"/>
          </w:tcPr>
          <w:p w14:paraId="478D4180">
            <w:pPr>
              <w:pStyle w:val="12"/>
              <w:spacing w:line="360" w:lineRule="auto"/>
              <w:rPr>
                <w:rFonts w:hAnsi="宋体"/>
                <w:b/>
              </w:rPr>
            </w:pPr>
            <w:r>
              <w:rPr>
                <w:rFonts w:hint="eastAsia" w:hAnsi="宋体"/>
                <w:b/>
              </w:rPr>
              <w:t>技术参数正偏离加分(满分</w:t>
            </w:r>
            <w:r>
              <w:rPr>
                <w:rFonts w:hint="eastAsia" w:hAnsi="宋体"/>
                <w:b/>
                <w:lang w:val="en-US" w:eastAsia="zh-CN"/>
              </w:rPr>
              <w:t>10</w:t>
            </w:r>
            <w:r>
              <w:rPr>
                <w:rFonts w:hint="eastAsia" w:hAnsi="宋体"/>
                <w:b/>
              </w:rPr>
              <w:t>分)</w:t>
            </w:r>
          </w:p>
          <w:p w14:paraId="1116A75E">
            <w:r>
              <w:rPr>
                <w:rFonts w:hint="eastAsia"/>
              </w:rPr>
              <w:t>技术参数有优于招标文件要求且评标时被评标委员会接受的，每优于1项加</w:t>
            </w:r>
            <w:r>
              <w:rPr>
                <w:rFonts w:hint="eastAsia"/>
                <w:lang w:val="en-US" w:eastAsia="zh-CN"/>
              </w:rPr>
              <w:t>2</w:t>
            </w:r>
            <w:r>
              <w:rPr>
                <w:rFonts w:hint="eastAsia"/>
              </w:rPr>
              <w:t xml:space="preserve">分，本项满分 </w:t>
            </w:r>
            <w:r>
              <w:rPr>
                <w:rFonts w:hint="eastAsia"/>
                <w:lang w:val="en-US" w:eastAsia="zh-CN"/>
              </w:rPr>
              <w:t>10</w:t>
            </w:r>
            <w:r>
              <w:rPr>
                <w:rFonts w:hint="eastAsia"/>
              </w:rPr>
              <w:t>分。</w:t>
            </w:r>
          </w:p>
          <w:p w14:paraId="2D1F68C9">
            <w:r>
              <w:rPr>
                <w:rFonts w:hint="eastAsia"/>
              </w:rPr>
              <w:t>注:技术参数有优于招标文件要求的，投标人须在投标文件中提供第三方具有检测资质的检测机构出具的有效检测报告复印件并加盖投标人公章作为佐证材料，否则不得分。</w:t>
            </w:r>
          </w:p>
          <w:p w14:paraId="2903C43B">
            <w:pPr>
              <w:rPr>
                <w:rFonts w:ascii="宋体" w:hAnsi="宋体"/>
                <w:szCs w:val="21"/>
              </w:rPr>
            </w:pPr>
          </w:p>
        </w:tc>
      </w:tr>
      <w:tr w14:paraId="4B37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vAlign w:val="center"/>
          </w:tcPr>
          <w:p w14:paraId="61AE02B0">
            <w:pPr>
              <w:jc w:val="center"/>
              <w:rPr>
                <w:rFonts w:ascii="宋体" w:hAnsi="宋体" w:cs="宋体"/>
                <w:b/>
                <w:szCs w:val="21"/>
                <w:shd w:val="clear" w:color="auto" w:fill="FFFFFF"/>
              </w:rPr>
            </w:pPr>
          </w:p>
        </w:tc>
        <w:tc>
          <w:tcPr>
            <w:tcW w:w="715" w:type="dxa"/>
            <w:vAlign w:val="center"/>
          </w:tcPr>
          <w:p w14:paraId="6BA9F905">
            <w:pPr>
              <w:spacing w:line="400" w:lineRule="exact"/>
              <w:jc w:val="center"/>
              <w:rPr>
                <w:rFonts w:ascii="宋体" w:hAnsi="宋体" w:cs="宋体"/>
                <w:b/>
                <w:szCs w:val="21"/>
              </w:rPr>
            </w:pPr>
            <w:r>
              <w:rPr>
                <w:rFonts w:hint="eastAsia" w:ascii="宋体" w:hAnsi="宋体" w:cs="宋体"/>
                <w:b/>
                <w:szCs w:val="21"/>
              </w:rPr>
              <w:t>实施方案分（满分1</w:t>
            </w:r>
            <w:r>
              <w:rPr>
                <w:rFonts w:hint="eastAsia" w:ascii="宋体" w:hAnsi="宋体" w:cs="宋体"/>
                <w:b/>
                <w:szCs w:val="21"/>
                <w:lang w:val="en-US" w:eastAsia="zh-CN"/>
              </w:rPr>
              <w:t>3</w:t>
            </w:r>
            <w:r>
              <w:rPr>
                <w:rFonts w:hint="eastAsia" w:ascii="宋体" w:hAnsi="宋体" w:cs="宋体"/>
                <w:b/>
                <w:szCs w:val="21"/>
              </w:rPr>
              <w:t>分）</w:t>
            </w:r>
          </w:p>
        </w:tc>
        <w:tc>
          <w:tcPr>
            <w:tcW w:w="8529" w:type="dxa"/>
          </w:tcPr>
          <w:p w14:paraId="72C321E9">
            <w:pPr>
              <w:autoSpaceDE w:val="0"/>
              <w:autoSpaceDN w:val="0"/>
              <w:adjustRightInd w:val="0"/>
              <w:spacing w:line="360" w:lineRule="auto"/>
              <w:ind w:firstLine="420" w:firstLineChars="200"/>
              <w:rPr>
                <w:rFonts w:ascii="宋体" w:hAnsi="宋体"/>
                <w:bCs/>
                <w:color w:val="000000"/>
                <w:szCs w:val="22"/>
              </w:rPr>
            </w:pPr>
            <w:r>
              <w:rPr>
                <w:rFonts w:hint="eastAsia" w:ascii="宋体" w:hAnsi="宋体"/>
                <w:bCs/>
                <w:color w:val="000000"/>
                <w:szCs w:val="22"/>
              </w:rPr>
              <w:t>一档（5分）：投标人提供项目实施方案进度安排、相关保障措施能力，有对各项关键工作安排等描述；</w:t>
            </w:r>
          </w:p>
          <w:p w14:paraId="42F8D377">
            <w:pPr>
              <w:autoSpaceDE w:val="0"/>
              <w:autoSpaceDN w:val="0"/>
              <w:adjustRightInd w:val="0"/>
              <w:spacing w:line="360" w:lineRule="auto"/>
              <w:ind w:firstLine="420" w:firstLineChars="200"/>
              <w:rPr>
                <w:rFonts w:ascii="宋体" w:hAnsi="宋体"/>
                <w:bCs/>
                <w:color w:val="000000"/>
                <w:szCs w:val="22"/>
              </w:rPr>
            </w:pPr>
            <w:r>
              <w:rPr>
                <w:rFonts w:hint="eastAsia" w:ascii="宋体" w:hAnsi="宋体"/>
                <w:bCs/>
                <w:color w:val="000000"/>
                <w:szCs w:val="22"/>
              </w:rPr>
              <w:t>二档（</w:t>
            </w:r>
            <w:r>
              <w:rPr>
                <w:rFonts w:hint="eastAsia" w:ascii="宋体" w:hAnsi="宋体"/>
                <w:bCs/>
                <w:color w:val="000000"/>
                <w:szCs w:val="22"/>
                <w:lang w:val="en-US" w:eastAsia="zh-CN"/>
              </w:rPr>
              <w:t>9</w:t>
            </w:r>
            <w:r>
              <w:rPr>
                <w:rFonts w:hint="eastAsia" w:ascii="宋体" w:hAnsi="宋体"/>
                <w:bCs/>
                <w:color w:val="000000"/>
                <w:szCs w:val="22"/>
              </w:rPr>
              <w:t>分）：投标人提供的项目实施方案进度安排合理、有相关保障能力措施，对各项关键工作合理安排，对本项目的风险预见、设备安装调试等项目管理实施方案满足项目要求。</w:t>
            </w:r>
          </w:p>
          <w:p w14:paraId="5ED564C1">
            <w:pPr>
              <w:pStyle w:val="12"/>
              <w:spacing w:line="360" w:lineRule="auto"/>
              <w:ind w:firstLine="420" w:firstLineChars="200"/>
              <w:rPr>
                <w:rFonts w:hAnsi="宋体"/>
                <w:bCs/>
              </w:rPr>
            </w:pPr>
            <w:r>
              <w:rPr>
                <w:rFonts w:hint="eastAsia" w:hAnsi="宋体"/>
                <w:bCs/>
              </w:rPr>
              <w:t>三档（1</w:t>
            </w:r>
            <w:r>
              <w:rPr>
                <w:rFonts w:hint="eastAsia" w:hAnsi="宋体"/>
                <w:bCs/>
                <w:lang w:val="en-US" w:eastAsia="zh-CN"/>
              </w:rPr>
              <w:t>3</w:t>
            </w:r>
            <w:r>
              <w:rPr>
                <w:rFonts w:hint="eastAsia" w:hAnsi="宋体"/>
                <w:bCs/>
              </w:rPr>
              <w:t>分）：投标人提供的项目实施方案进度安排合理，且相关保障措施到位；对各项关键工作安排合理；对本项目的风险预见、风险应对措施完备，有完善的项目于解决方案；项目管理方案完整,组织机构合理，人员有保障，分工与职责明确；提出具有建设性的方案优化建议，项目方案贴近本项目实际执行内容与要求。</w:t>
            </w:r>
          </w:p>
          <w:p w14:paraId="3B8728DD">
            <w:pPr>
              <w:widowControl/>
              <w:spacing w:line="400" w:lineRule="exact"/>
              <w:rPr>
                <w:rFonts w:ascii="宋体" w:hAnsi="宋体" w:cs="宋体"/>
                <w:szCs w:val="21"/>
                <w:lang w:bidi="ar"/>
              </w:rPr>
            </w:pPr>
            <w:r>
              <w:rPr>
                <w:rFonts w:hint="eastAsia" w:hAnsi="宋体" w:cs="新宋体"/>
                <w:b/>
                <w:bCs/>
                <w:szCs w:val="21"/>
              </w:rPr>
              <w:t>评审依据：投标文件中提供项目实施方案，由</w:t>
            </w:r>
            <w:r>
              <w:rPr>
                <w:rFonts w:hint="eastAsia" w:hAnsi="宋体"/>
                <w:b/>
                <w:szCs w:val="21"/>
              </w:rPr>
              <w:t>评标委员会判定档次</w:t>
            </w:r>
            <w:r>
              <w:rPr>
                <w:rFonts w:hint="eastAsia" w:hAnsi="宋体" w:cs="新宋体"/>
                <w:b/>
                <w:bCs/>
                <w:szCs w:val="21"/>
              </w:rPr>
              <w:t>得分。</w:t>
            </w:r>
          </w:p>
        </w:tc>
      </w:tr>
      <w:tr w14:paraId="4C18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82" w:type="dxa"/>
            <w:vMerge w:val="restart"/>
            <w:vAlign w:val="center"/>
          </w:tcPr>
          <w:p w14:paraId="2AD961B2">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商务分(</w:t>
            </w:r>
            <w:r>
              <w:rPr>
                <w:rFonts w:hint="eastAsia" w:ascii="宋体" w:hAnsi="宋体" w:cs="宋体"/>
                <w:b/>
                <w:szCs w:val="21"/>
                <w:shd w:val="clear" w:color="auto" w:fill="FFFFFF"/>
                <w:lang w:val="en-US" w:eastAsia="zh-CN"/>
              </w:rPr>
              <w:t>22</w:t>
            </w:r>
            <w:r>
              <w:rPr>
                <w:rFonts w:hint="eastAsia" w:ascii="宋体" w:hAnsi="宋体" w:cs="宋体"/>
                <w:b/>
                <w:szCs w:val="21"/>
                <w:shd w:val="clear" w:color="auto" w:fill="FFFFFF"/>
              </w:rPr>
              <w:t>分)</w:t>
            </w:r>
          </w:p>
        </w:tc>
        <w:tc>
          <w:tcPr>
            <w:tcW w:w="715" w:type="dxa"/>
            <w:vAlign w:val="center"/>
          </w:tcPr>
          <w:p w14:paraId="7085B5B7">
            <w:pPr>
              <w:spacing w:line="400" w:lineRule="exact"/>
              <w:rPr>
                <w:rFonts w:ascii="宋体" w:hAnsi="宋体" w:cs="宋体"/>
                <w:b/>
                <w:szCs w:val="21"/>
              </w:rPr>
            </w:pPr>
            <w:r>
              <w:rPr>
                <w:rFonts w:hint="eastAsia" w:ascii="宋体" w:hAnsi="宋体" w:cs="新宋体"/>
                <w:b/>
                <w:bCs/>
                <w:szCs w:val="21"/>
              </w:rPr>
              <w:t>信誉分（满分10分）</w:t>
            </w:r>
          </w:p>
        </w:tc>
        <w:tc>
          <w:tcPr>
            <w:tcW w:w="8529" w:type="dxa"/>
          </w:tcPr>
          <w:p w14:paraId="54991555">
            <w:pPr>
              <w:widowControl/>
              <w:spacing w:line="400" w:lineRule="exact"/>
              <w:ind w:firstLine="420" w:firstLineChars="200"/>
              <w:rPr>
                <w:rFonts w:ascii="宋体" w:hAnsi="宋体" w:cs="宋体"/>
                <w:szCs w:val="21"/>
                <w:lang w:bidi="ar"/>
              </w:rPr>
            </w:pPr>
            <w:r>
              <w:rPr>
                <w:rFonts w:hint="eastAsia" w:ascii="宋体" w:hAnsi="宋体" w:cs="宋体"/>
                <w:szCs w:val="21"/>
                <w:lang w:bidi="ar"/>
              </w:rPr>
              <w:t>(1) 为确保此次采购货物后续的升级开发以及避免知识产权纠纷影响学校使用，投标人或所投核心产品制造商须通过GB/T29490的知识产权管理体系认证，须提供认证证书复印件及官网截图，得2分；</w:t>
            </w:r>
          </w:p>
          <w:p w14:paraId="0FD42E6E">
            <w:pPr>
              <w:widowControl/>
              <w:spacing w:line="400" w:lineRule="exact"/>
              <w:ind w:firstLine="420" w:firstLineChars="200"/>
              <w:rPr>
                <w:rFonts w:ascii="宋体" w:hAnsi="宋体" w:cs="宋体"/>
                <w:szCs w:val="21"/>
                <w:lang w:bidi="ar"/>
              </w:rPr>
            </w:pPr>
            <w:r>
              <w:rPr>
                <w:rFonts w:hint="eastAsia" w:ascii="宋体" w:hAnsi="宋体" w:cs="宋体"/>
                <w:szCs w:val="21"/>
                <w:lang w:bidi="ar"/>
              </w:rPr>
              <w:t>(2) 为响应国家节能减排政策号召，投标人或所投核心产品制造商通过ISO14064核准认证证书复印件及官网查询截图，得2分；</w:t>
            </w:r>
          </w:p>
          <w:p w14:paraId="5A05EF8D">
            <w:pPr>
              <w:widowControl/>
              <w:spacing w:line="400" w:lineRule="exact"/>
              <w:ind w:firstLine="420" w:firstLineChars="200"/>
              <w:rPr>
                <w:rFonts w:ascii="宋体" w:hAnsi="宋体" w:cs="宋体"/>
                <w:szCs w:val="21"/>
                <w:lang w:bidi="ar"/>
              </w:rPr>
            </w:pPr>
            <w:r>
              <w:rPr>
                <w:rFonts w:hint="eastAsia" w:ascii="宋体" w:hAnsi="宋体" w:cs="宋体"/>
                <w:szCs w:val="21"/>
                <w:lang w:bidi="ar"/>
              </w:rPr>
              <w:t>(3) 为确保教学环境的安全性，投标人或所投核心产品制造商通过国际电工委员会电子元器件质量评定体系（IECQ）出具的QC080000危害物质过程管理体系认证（须提供证明文件复印件及官网认证范围查询截图），得分2分</w:t>
            </w:r>
          </w:p>
          <w:p w14:paraId="30C3D9E7">
            <w:pPr>
              <w:widowControl/>
              <w:spacing w:line="400" w:lineRule="exact"/>
              <w:ind w:firstLine="420" w:firstLineChars="200"/>
              <w:rPr>
                <w:rFonts w:ascii="宋体" w:hAnsi="宋体" w:cs="宋体"/>
                <w:szCs w:val="21"/>
                <w:lang w:bidi="ar"/>
              </w:rPr>
            </w:pPr>
            <w:r>
              <w:rPr>
                <w:rFonts w:hint="eastAsia" w:ascii="宋体" w:hAnsi="宋体" w:cs="宋体"/>
                <w:szCs w:val="21"/>
                <w:lang w:bidi="ar"/>
              </w:rPr>
              <w:t>(4) 为确保产品可获得体系化、全天候及时的售后服务，所投一体机制造商须通过GB/T 27922-2011商品售后服务评价认证，服务等级不低于五星级，且认证范围需包含所投产品，提供认证证书复印件及官网查询截图，得2分；</w:t>
            </w:r>
          </w:p>
          <w:p w14:paraId="648B390D">
            <w:pPr>
              <w:spacing w:line="360" w:lineRule="auto"/>
              <w:ind w:firstLine="435"/>
            </w:pPr>
            <w:r>
              <w:rPr>
                <w:rFonts w:hint="eastAsia" w:ascii="宋体" w:hAnsi="宋体" w:cs="宋体"/>
                <w:szCs w:val="21"/>
                <w:lang w:bidi="ar"/>
              </w:rPr>
              <w:t>(5) 为确保云端信息数据安全管理，所投电脑教学设备产品生产者须通过ISO 27017云服务信息安全管理体系，提供证书，得2分。</w:t>
            </w:r>
          </w:p>
        </w:tc>
      </w:tr>
      <w:tr w14:paraId="586B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82" w:type="dxa"/>
            <w:vMerge w:val="continue"/>
            <w:vAlign w:val="center"/>
          </w:tcPr>
          <w:p w14:paraId="634641F3">
            <w:pPr>
              <w:spacing w:line="360" w:lineRule="auto"/>
              <w:jc w:val="left"/>
              <w:rPr>
                <w:rFonts w:ascii="宋体" w:hAnsi="宋体" w:cs="宋体"/>
                <w:b/>
                <w:szCs w:val="21"/>
                <w:shd w:val="clear" w:color="auto" w:fill="FFFFFF"/>
              </w:rPr>
            </w:pPr>
          </w:p>
        </w:tc>
        <w:tc>
          <w:tcPr>
            <w:tcW w:w="715" w:type="dxa"/>
            <w:vAlign w:val="center"/>
          </w:tcPr>
          <w:p w14:paraId="195CE610">
            <w:pPr>
              <w:spacing w:line="400" w:lineRule="exact"/>
              <w:jc w:val="center"/>
              <w:rPr>
                <w:rFonts w:ascii="宋体" w:hAnsi="宋体" w:cs="宋体"/>
                <w:b/>
                <w:kern w:val="0"/>
                <w:szCs w:val="21"/>
              </w:rPr>
            </w:pPr>
            <w:r>
              <w:rPr>
                <w:rFonts w:hint="eastAsia" w:ascii="宋体" w:hAnsi="宋体" w:cs="宋体"/>
                <w:b/>
                <w:szCs w:val="21"/>
              </w:rPr>
              <w:t>售后服务分（满分1</w:t>
            </w:r>
            <w:r>
              <w:rPr>
                <w:rFonts w:hint="eastAsia" w:ascii="宋体" w:hAnsi="宋体" w:cs="宋体"/>
                <w:b/>
                <w:szCs w:val="21"/>
                <w:lang w:val="en-US" w:eastAsia="zh-CN"/>
              </w:rPr>
              <w:t>0</w:t>
            </w:r>
            <w:r>
              <w:rPr>
                <w:rFonts w:hint="eastAsia" w:ascii="宋体" w:hAnsi="宋体" w:cs="宋体"/>
                <w:b/>
                <w:szCs w:val="21"/>
              </w:rPr>
              <w:t>分）</w:t>
            </w:r>
          </w:p>
        </w:tc>
        <w:tc>
          <w:tcPr>
            <w:tcW w:w="8529" w:type="dxa"/>
            <w:vAlign w:val="center"/>
          </w:tcPr>
          <w:p w14:paraId="1BF2C50A">
            <w:pPr>
              <w:pStyle w:val="12"/>
              <w:spacing w:line="360" w:lineRule="auto"/>
              <w:ind w:firstLine="420" w:firstLineChars="200"/>
              <w:rPr>
                <w:rFonts w:hAnsi="宋体"/>
                <w:bCs/>
              </w:rPr>
            </w:pPr>
            <w:r>
              <w:rPr>
                <w:rFonts w:hint="eastAsia" w:hAnsi="宋体"/>
                <w:bCs/>
              </w:rPr>
              <w:t>一档（5分）：投标人针对本项目的售后服务方案，要求以售后服务承诺书内容有技术培训方案、保修期（免费软件升级期）外维修方案等。</w:t>
            </w:r>
          </w:p>
          <w:p w14:paraId="4B7DC036">
            <w:pPr>
              <w:pStyle w:val="12"/>
              <w:spacing w:line="360" w:lineRule="auto"/>
              <w:ind w:firstLine="420" w:firstLineChars="200"/>
              <w:rPr>
                <w:rFonts w:hAnsi="宋体"/>
                <w:bCs/>
              </w:rPr>
            </w:pPr>
            <w:r>
              <w:rPr>
                <w:rFonts w:hint="eastAsia" w:hAnsi="宋体"/>
                <w:bCs/>
              </w:rPr>
              <w:t>二档（</w:t>
            </w:r>
            <w:r>
              <w:rPr>
                <w:rFonts w:hint="eastAsia" w:hAnsi="宋体"/>
                <w:bCs/>
                <w:lang w:val="en-US" w:eastAsia="zh-CN"/>
              </w:rPr>
              <w:t>7</w:t>
            </w:r>
            <w:r>
              <w:rPr>
                <w:rFonts w:hint="eastAsia" w:hAnsi="宋体"/>
                <w:bCs/>
              </w:rPr>
              <w:t>分）：投标人的售后方案中，售后服务承诺书内容完整、提供免费技术培训方案、保修期（免费软件升级期）外维修方案、售后服务措施，故障解决方案中维修时间超过12小时不超过24个小时，能提供备用产品用于替待使用，有安装要求及方案且描述了项目售后维护和应急保障方案的方法以及实现方式和其他优惠措施。</w:t>
            </w:r>
          </w:p>
          <w:p w14:paraId="3243BE92">
            <w:pPr>
              <w:pStyle w:val="12"/>
              <w:spacing w:line="360" w:lineRule="auto"/>
              <w:ind w:firstLine="420" w:firstLineChars="200"/>
              <w:rPr>
                <w:rFonts w:hAnsi="宋体"/>
                <w:bCs/>
              </w:rPr>
            </w:pPr>
            <w:r>
              <w:rPr>
                <w:rFonts w:hint="eastAsia" w:hAnsi="宋体"/>
                <w:bCs/>
              </w:rPr>
              <w:t>三档（</w:t>
            </w:r>
            <w:r>
              <w:rPr>
                <w:rFonts w:hint="eastAsia" w:hAnsi="宋体"/>
                <w:bCs/>
                <w:lang w:val="en-US" w:eastAsia="zh-CN"/>
              </w:rPr>
              <w:t>10</w:t>
            </w:r>
            <w:r>
              <w:rPr>
                <w:rFonts w:hint="eastAsia" w:hAnsi="宋体"/>
                <w:bCs/>
              </w:rPr>
              <w:t>分）：投标人的售后方案中，售后服务承诺书内容完整、3小时到达故障现场时间、故障出现解决方案中维修时间不超过12小时，当天能提供备用产品用于替代使用，有定期维护 (注明时间)、有免费技术培训方案、免费保修期（免费软件升级期）外维修方案、售后服务措施、其他优惠措施、安装要求及方案，应急保障方案且描述了项目售后维护和应急保障方案的方法以及实现方式，服务承诺和保障措施考虑周全完整。</w:t>
            </w:r>
          </w:p>
          <w:p w14:paraId="6BF2B08B">
            <w:pPr>
              <w:rPr>
                <w:rFonts w:ascii="宋体" w:hAnsi="宋体"/>
                <w:szCs w:val="21"/>
              </w:rPr>
            </w:pPr>
            <w:r>
              <w:rPr>
                <w:rFonts w:hint="eastAsia" w:ascii="宋体" w:hAnsi="宋体" w:cs="新宋体"/>
                <w:b/>
                <w:szCs w:val="21"/>
              </w:rPr>
              <w:t>评审依据：投标文件中提供售后服务方案，由评标委员会判定档次得分</w:t>
            </w:r>
            <w:r>
              <w:rPr>
                <w:rFonts w:hint="eastAsia" w:hAnsi="宋体" w:cs="新宋体"/>
                <w:b/>
                <w:bCs/>
                <w:szCs w:val="21"/>
              </w:rPr>
              <w:t>。</w:t>
            </w:r>
          </w:p>
        </w:tc>
      </w:tr>
      <w:tr w14:paraId="2C86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vAlign w:val="center"/>
          </w:tcPr>
          <w:p w14:paraId="34BCEE5F">
            <w:pPr>
              <w:spacing w:line="360" w:lineRule="auto"/>
              <w:jc w:val="left"/>
              <w:rPr>
                <w:rFonts w:ascii="宋体" w:hAnsi="宋体" w:cs="宋体"/>
                <w:b/>
                <w:szCs w:val="21"/>
                <w:shd w:val="clear" w:color="auto" w:fill="FFFFFF"/>
              </w:rPr>
            </w:pPr>
          </w:p>
        </w:tc>
        <w:tc>
          <w:tcPr>
            <w:tcW w:w="715" w:type="dxa"/>
            <w:vAlign w:val="center"/>
          </w:tcPr>
          <w:p w14:paraId="4F117BCA">
            <w:pPr>
              <w:spacing w:line="400" w:lineRule="exact"/>
              <w:jc w:val="center"/>
              <w:rPr>
                <w:rFonts w:ascii="宋体" w:hAnsi="宋体" w:cs="宋体"/>
                <w:b/>
                <w:szCs w:val="21"/>
              </w:rPr>
            </w:pPr>
            <w:r>
              <w:rPr>
                <w:rFonts w:hint="eastAsia" w:ascii="宋体" w:hAnsi="宋体" w:cs="宋体"/>
                <w:b/>
                <w:szCs w:val="21"/>
              </w:rPr>
              <w:t>政策分（满分2）</w:t>
            </w:r>
          </w:p>
        </w:tc>
        <w:tc>
          <w:tcPr>
            <w:tcW w:w="8529" w:type="dxa"/>
            <w:vAlign w:val="center"/>
          </w:tcPr>
          <w:p w14:paraId="6CC6E6F2">
            <w:pPr>
              <w:widowControl/>
              <w:spacing w:line="380" w:lineRule="exact"/>
              <w:jc w:val="left"/>
              <w:rPr>
                <w:rFonts w:ascii="宋体" w:hAnsi="宋体"/>
                <w:szCs w:val="21"/>
              </w:rPr>
            </w:pPr>
            <w:r>
              <w:rPr>
                <w:rFonts w:hint="eastAsia" w:ascii="宋体" w:hAnsi="宋体"/>
                <w:szCs w:val="21"/>
              </w:rPr>
              <w:t>（1）投标产品为政府采购节能产品的得1分（适用于非强制采购节能产品，以有效的政府采购节能产品认证证书复印件为准，投标产品需清晰反映在证书上）。</w:t>
            </w:r>
          </w:p>
          <w:p w14:paraId="2596C7B4">
            <w:pPr>
              <w:widowControl/>
              <w:spacing w:line="380" w:lineRule="exact"/>
              <w:jc w:val="left"/>
              <w:rPr>
                <w:rFonts w:ascii="宋体" w:hAnsi="宋体"/>
                <w:szCs w:val="21"/>
              </w:rPr>
            </w:pPr>
            <w:r>
              <w:rPr>
                <w:rFonts w:hint="eastAsia" w:ascii="宋体" w:hAnsi="宋体"/>
                <w:szCs w:val="21"/>
              </w:rPr>
              <w:t>（2）投标产品为政府采购环境标志产品的得1分（以有效的政府采购环境标志产品认证证书复印件为准，投标产品需清晰反映在证书上）。</w:t>
            </w:r>
          </w:p>
          <w:p w14:paraId="24780C8C">
            <w:pPr>
              <w:pStyle w:val="38"/>
              <w:spacing w:line="276" w:lineRule="auto"/>
              <w:ind w:left="420" w:hanging="420"/>
              <w:rPr>
                <w:rFonts w:ascii="宋体" w:hAnsi="宋体" w:eastAsia="宋体" w:cs="新宋体"/>
                <w:b w:val="0"/>
                <w:bCs/>
                <w:sz w:val="21"/>
                <w:szCs w:val="21"/>
              </w:rPr>
            </w:pPr>
            <w:r>
              <w:rPr>
                <w:rFonts w:hint="eastAsia" w:ascii="宋体" w:hAnsi="宋体" w:eastAsia="宋体"/>
                <w:b w:val="0"/>
                <w:sz w:val="21"/>
                <w:szCs w:val="21"/>
              </w:rPr>
              <w:t>（3）非节能、环保的产品不得分。</w:t>
            </w:r>
          </w:p>
        </w:tc>
      </w:tr>
      <w:tr w14:paraId="1F97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82" w:type="dxa"/>
            <w:vAlign w:val="center"/>
          </w:tcPr>
          <w:p w14:paraId="32913A01">
            <w:pPr>
              <w:spacing w:line="360" w:lineRule="auto"/>
              <w:jc w:val="left"/>
              <w:rPr>
                <w:rFonts w:ascii="宋体" w:hAnsi="宋体" w:cs="宋体"/>
                <w:b/>
                <w:szCs w:val="21"/>
                <w:shd w:val="clear" w:color="auto" w:fill="FFFFFF"/>
              </w:rPr>
            </w:pPr>
          </w:p>
        </w:tc>
        <w:tc>
          <w:tcPr>
            <w:tcW w:w="715" w:type="dxa"/>
            <w:vAlign w:val="center"/>
          </w:tcPr>
          <w:p w14:paraId="086AFAE7">
            <w:pPr>
              <w:spacing w:line="400" w:lineRule="exact"/>
              <w:jc w:val="center"/>
              <w:rPr>
                <w:rFonts w:ascii="宋体" w:hAnsi="宋体" w:cs="宋体"/>
                <w:b/>
                <w:szCs w:val="21"/>
              </w:rPr>
            </w:pPr>
            <w:r>
              <w:rPr>
                <w:rFonts w:hint="eastAsia" w:ascii="宋体" w:hAnsi="宋体" w:cs="宋体"/>
                <w:b/>
                <w:szCs w:val="21"/>
              </w:rPr>
              <w:t>诚信分（-6~0分</w:t>
            </w:r>
            <w:r>
              <w:rPr>
                <w:rFonts w:hint="eastAsia" w:ascii="宋体" w:hAnsi="宋体"/>
                <w:bCs/>
                <w:szCs w:val="21"/>
              </w:rPr>
              <w:t>）</w:t>
            </w:r>
          </w:p>
        </w:tc>
        <w:tc>
          <w:tcPr>
            <w:tcW w:w="8529" w:type="dxa"/>
            <w:vAlign w:val="center"/>
          </w:tcPr>
          <w:p w14:paraId="0B282EC9">
            <w:pPr>
              <w:pStyle w:val="38"/>
              <w:spacing w:line="276" w:lineRule="auto"/>
              <w:rPr>
                <w:rFonts w:ascii="宋体" w:hAnsi="宋体" w:eastAsia="宋体" w:cs="新宋体"/>
                <w:bCs/>
                <w:sz w:val="21"/>
                <w:szCs w:val="21"/>
              </w:rPr>
            </w:pPr>
            <w:r>
              <w:rPr>
                <w:rFonts w:hint="eastAsia" w:ascii="宋体" w:hAnsi="宋体" w:eastAsia="宋体" w:cs="新宋体"/>
                <w:b w:val="0"/>
                <w:sz w:val="21"/>
                <w:szCs w:val="21"/>
              </w:rPr>
              <w:t>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w:t>
            </w:r>
          </w:p>
        </w:tc>
      </w:tr>
    </w:tbl>
    <w:p w14:paraId="15A3C78F">
      <w:pPr>
        <w:pStyle w:val="13"/>
      </w:pPr>
    </w:p>
    <w:p w14:paraId="472B7365">
      <w:pPr>
        <w:pStyle w:val="13"/>
        <w:rPr>
          <w:b/>
          <w:bCs/>
          <w:color w:val="FF0000"/>
          <w:sz w:val="28"/>
          <w:szCs w:val="28"/>
        </w:rPr>
      </w:pPr>
    </w:p>
    <w:p w14:paraId="68F6B73D">
      <w:pPr>
        <w:pStyle w:val="13"/>
        <w:rPr>
          <w:b/>
          <w:bCs/>
          <w:color w:val="FF0000"/>
          <w:sz w:val="28"/>
          <w:szCs w:val="28"/>
        </w:rPr>
      </w:pPr>
    </w:p>
    <w:p w14:paraId="5BE09F49">
      <w:pPr>
        <w:pStyle w:val="13"/>
        <w:rPr>
          <w:b/>
          <w:bCs/>
          <w:color w:val="FF0000"/>
          <w:sz w:val="28"/>
          <w:szCs w:val="28"/>
        </w:rPr>
      </w:pPr>
      <w:r>
        <w:rPr>
          <w:rFonts w:hint="eastAsia"/>
          <w:b/>
          <w:bCs/>
          <w:color w:val="FF0000"/>
          <w:sz w:val="28"/>
          <w:szCs w:val="28"/>
        </w:rPr>
        <w:t>B分标（2分标）：</w:t>
      </w:r>
    </w:p>
    <w:tbl>
      <w:tblPr>
        <w:tblStyle w:val="24"/>
        <w:tblpPr w:leftFromText="180" w:rightFromText="180" w:vertAnchor="text" w:tblpXSpec="center" w:tblpY="1"/>
        <w:tblOverlap w:val="never"/>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715"/>
        <w:gridCol w:w="8529"/>
      </w:tblGrid>
      <w:tr w14:paraId="506B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97" w:type="dxa"/>
            <w:gridSpan w:val="2"/>
            <w:vAlign w:val="center"/>
          </w:tcPr>
          <w:p w14:paraId="534BA496">
            <w:pPr>
              <w:jc w:val="center"/>
              <w:rPr>
                <w:rFonts w:ascii="宋体" w:hAnsi="宋体" w:cs="宋体"/>
                <w:b/>
                <w:szCs w:val="21"/>
              </w:rPr>
            </w:pPr>
            <w:r>
              <w:rPr>
                <w:rFonts w:hint="eastAsia" w:ascii="宋体" w:hAnsi="宋体"/>
                <w:b/>
                <w:szCs w:val="21"/>
              </w:rPr>
              <w:t>评分项目</w:t>
            </w:r>
          </w:p>
        </w:tc>
        <w:tc>
          <w:tcPr>
            <w:tcW w:w="8529" w:type="dxa"/>
            <w:vAlign w:val="center"/>
          </w:tcPr>
          <w:p w14:paraId="17F5EC01">
            <w:pPr>
              <w:jc w:val="center"/>
              <w:rPr>
                <w:rFonts w:ascii="宋体" w:hAnsi="宋体"/>
                <w:b/>
                <w:szCs w:val="21"/>
              </w:rPr>
            </w:pPr>
            <w:r>
              <w:rPr>
                <w:rFonts w:hint="eastAsia" w:ascii="宋体" w:hAnsi="宋体" w:cs="宋体"/>
                <w:b/>
                <w:szCs w:val="21"/>
              </w:rPr>
              <w:t>评分细则</w:t>
            </w:r>
          </w:p>
        </w:tc>
      </w:tr>
      <w:tr w14:paraId="435E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7" w:type="dxa"/>
            <w:gridSpan w:val="2"/>
            <w:vAlign w:val="center"/>
          </w:tcPr>
          <w:p w14:paraId="4E53FD41">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价格部分(</w:t>
            </w:r>
            <w:r>
              <w:rPr>
                <w:rFonts w:ascii="宋体" w:hAnsi="宋体" w:cs="宋体"/>
                <w:b/>
                <w:szCs w:val="21"/>
                <w:shd w:val="clear" w:color="auto" w:fill="FFFFFF"/>
              </w:rPr>
              <w:t>3</w:t>
            </w:r>
            <w:r>
              <w:rPr>
                <w:rFonts w:hint="eastAsia" w:ascii="宋体" w:hAnsi="宋体" w:cs="宋体"/>
                <w:b/>
                <w:szCs w:val="21"/>
                <w:shd w:val="clear" w:color="auto" w:fill="FFFFFF"/>
              </w:rPr>
              <w:t>0分)</w:t>
            </w:r>
          </w:p>
        </w:tc>
        <w:tc>
          <w:tcPr>
            <w:tcW w:w="8529" w:type="dxa"/>
            <w:vAlign w:val="center"/>
          </w:tcPr>
          <w:p w14:paraId="07278733">
            <w:pPr>
              <w:snapToGrid w:val="0"/>
              <w:spacing w:line="360" w:lineRule="auto"/>
              <w:ind w:firstLine="233" w:firstLineChars="111"/>
              <w:rPr>
                <w:rFonts w:ascii="宋体" w:hAnsi="宋体"/>
                <w:bCs/>
                <w:szCs w:val="21"/>
              </w:rPr>
            </w:pPr>
            <w:r>
              <w:rPr>
                <w:rFonts w:hint="eastAsia" w:ascii="宋体" w:hAnsi="宋体"/>
                <w:bCs/>
                <w:szCs w:val="21"/>
              </w:rPr>
              <w:t>（1）评标报价为投标人的投标报价进行政策性扣除后的价格，评标报价只是作为评标时使用。最终中标人的中标金额等于投标报价。</w:t>
            </w:r>
          </w:p>
          <w:p w14:paraId="127A682D">
            <w:pPr>
              <w:spacing w:line="400" w:lineRule="exact"/>
              <w:ind w:firstLine="420" w:firstLineChars="200"/>
              <w:rPr>
                <w:rFonts w:ascii="宋体" w:hAnsi="Courier New"/>
                <w:szCs w:val="20"/>
              </w:rPr>
            </w:pPr>
            <w:r>
              <w:rPr>
                <w:rFonts w:hint="eastAsia" w:ascii="宋体" w:hAnsi="宋体"/>
                <w:bCs/>
                <w:szCs w:val="21"/>
              </w:rPr>
              <w:t>（2）按照</w:t>
            </w:r>
            <w:r>
              <w:rPr>
                <w:rFonts w:ascii="宋体" w:hAnsi="宋体"/>
              </w:rPr>
              <w:t>《政府采购促进中小企业发展管理办法》（财库﹝2020﹞46号）</w:t>
            </w:r>
            <w:r>
              <w:rPr>
                <w:rFonts w:hint="eastAsia" w:ascii="宋体" w:hAnsi="宋体"/>
              </w:rPr>
              <w:t>及《广西壮族自治区财政厅关于进一步发挥政府采购政策功能促进企业发展的通知》（桂财采〔2022〕30号）规定</w:t>
            </w:r>
            <w:r>
              <w:rPr>
                <w:rFonts w:hint="eastAsia" w:ascii="宋体" w:hAnsi="宋体"/>
                <w:bCs/>
                <w:szCs w:val="21"/>
              </w:rPr>
              <w:t>，投标人在其投标文件中提供《中小企业声明函》，且其服务为小型和微型企业承接的，对其最后报价给予20%的扣除。</w:t>
            </w:r>
          </w:p>
          <w:p w14:paraId="7CFB461C">
            <w:pPr>
              <w:snapToGrid w:val="0"/>
              <w:spacing w:line="360" w:lineRule="auto"/>
              <w:ind w:firstLine="233" w:firstLineChars="111"/>
              <w:rPr>
                <w:rFonts w:ascii="宋体" w:hAnsi="宋体"/>
                <w:bCs/>
                <w:szCs w:val="21"/>
              </w:rPr>
            </w:pPr>
            <w:r>
              <w:rPr>
                <w:rFonts w:hint="eastAsia" w:ascii="宋体" w:hAnsi="宋体"/>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szCs w:val="21"/>
              </w:rPr>
              <w:t>监狱企业参加政府采购活动时，应当提供由省级以上监狱管理局、戒毒管理局(含新疆生产建设兵团)出具的属于监狱企业的证明文件。</w:t>
            </w:r>
            <w:r>
              <w:rPr>
                <w:rFonts w:hint="eastAsia" w:ascii="宋体" w:hAnsi="宋体"/>
                <w:bCs/>
                <w:szCs w:val="21"/>
              </w:rPr>
              <w:t>不重复享受政策。</w:t>
            </w:r>
          </w:p>
          <w:p w14:paraId="4EBD901D">
            <w:pPr>
              <w:snapToGrid w:val="0"/>
              <w:spacing w:line="360" w:lineRule="auto"/>
              <w:ind w:firstLine="233" w:firstLineChars="111"/>
              <w:rPr>
                <w:rFonts w:ascii="宋体" w:hAnsi="宋体"/>
                <w:bCs/>
                <w:szCs w:val="21"/>
              </w:rPr>
            </w:pPr>
            <w:r>
              <w:rPr>
                <w:rFonts w:hint="eastAsia" w:ascii="宋体" w:hAnsi="宋体"/>
                <w:szCs w:val="21"/>
              </w:rPr>
              <w:t>（4）按照</w:t>
            </w:r>
            <w:r>
              <w:rPr>
                <w:rFonts w:hint="eastAsia" w:ascii="宋体" w:hAnsi="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szCs w:val="21"/>
              </w:rPr>
              <w:t>残疾人福利性单位参加政府采购活动时，应当提供该通知规定的《残疾人福利性单位声明函》，并对声明的真实性负责。</w:t>
            </w:r>
            <w:r>
              <w:rPr>
                <w:rFonts w:hint="eastAsia" w:ascii="宋体" w:hAnsi="宋体"/>
                <w:bCs/>
                <w:szCs w:val="21"/>
              </w:rPr>
              <w:t>残疾人福利性单位属于小型、微型企业的，不重复享受政策。</w:t>
            </w:r>
          </w:p>
          <w:p w14:paraId="594E90C2">
            <w:pPr>
              <w:snapToGrid w:val="0"/>
              <w:spacing w:line="360" w:lineRule="auto"/>
              <w:ind w:firstLine="233" w:firstLineChars="111"/>
              <w:rPr>
                <w:rFonts w:ascii="宋体" w:hAnsi="宋体"/>
                <w:bCs/>
                <w:szCs w:val="21"/>
              </w:rPr>
            </w:pPr>
            <w:r>
              <w:rPr>
                <w:rFonts w:hint="eastAsia" w:ascii="宋体" w:hAnsi="宋体"/>
                <w:bCs/>
                <w:szCs w:val="21"/>
              </w:rPr>
              <w:t>（5）政策性扣除计算方法。</w:t>
            </w:r>
          </w:p>
          <w:p w14:paraId="361455B8">
            <w:pPr>
              <w:snapToGrid w:val="0"/>
              <w:spacing w:line="360" w:lineRule="auto"/>
              <w:ind w:firstLine="443" w:firstLineChars="211"/>
              <w:rPr>
                <w:rFonts w:ascii="宋体" w:hAnsi="宋体"/>
                <w:szCs w:val="21"/>
              </w:rPr>
            </w:pPr>
            <w:r>
              <w:rPr>
                <w:rFonts w:hint="eastAsia" w:ascii="宋体" w:hAnsi="宋体"/>
                <w:bCs/>
                <w:szCs w:val="21"/>
              </w:rPr>
              <w:t>在服务采购项目中，服务由小微企业承接；对符合上述要求的投标人的投标报价给予20%的扣除，扣除后的价格为评标报价，即评标报价=投标报价×（1-2</w:t>
            </w:r>
            <w:r>
              <w:rPr>
                <w:rFonts w:ascii="宋体" w:hAnsi="宋体"/>
                <w:bCs/>
                <w:szCs w:val="21"/>
              </w:rPr>
              <w:t>0</w:t>
            </w:r>
            <w:r>
              <w:rPr>
                <w:rFonts w:hint="eastAsia" w:ascii="宋体" w:hAnsi="宋体"/>
                <w:bCs/>
                <w:szCs w:val="21"/>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szCs w:val="21"/>
                <w:u w:val="single"/>
              </w:rPr>
              <w:t xml:space="preserve"> 6%</w:t>
            </w:r>
            <w:r>
              <w:rPr>
                <w:rFonts w:hint="eastAsia" w:ascii="宋体" w:hAnsi="宋体"/>
                <w:bCs/>
                <w:szCs w:val="21"/>
              </w:rPr>
              <w:t>的扣除，用扣除后的价格参加评审，接受分包的小微企业与分包企业之间存在直接控股、管理关系的，不享受价格扣除优惠政策。扣除后的价格为评标报价，即评标报价=投标报价×（1-</w:t>
            </w:r>
            <w:r>
              <w:rPr>
                <w:rFonts w:hint="eastAsia" w:ascii="宋体" w:hAnsi="宋体"/>
                <w:bCs/>
                <w:szCs w:val="21"/>
                <w:u w:val="single"/>
              </w:rPr>
              <w:t>6</w:t>
            </w:r>
            <w:r>
              <w:rPr>
                <w:rFonts w:hint="eastAsia" w:ascii="宋体" w:hAnsi="宋体"/>
                <w:bCs/>
                <w:szCs w:val="21"/>
              </w:rPr>
              <w:t>%）。除上述情况外，评标报价=投标报价。</w:t>
            </w:r>
          </w:p>
          <w:p w14:paraId="45293542">
            <w:pPr>
              <w:snapToGrid w:val="0"/>
              <w:spacing w:line="360" w:lineRule="auto"/>
              <w:ind w:firstLine="233" w:firstLineChars="111"/>
              <w:rPr>
                <w:rFonts w:ascii="宋体" w:hAnsi="宋体"/>
                <w:bCs/>
                <w:szCs w:val="21"/>
              </w:rPr>
            </w:pPr>
            <w:r>
              <w:rPr>
                <w:rFonts w:hint="eastAsia" w:ascii="宋体" w:hAnsi="宋体"/>
                <w:bCs/>
                <w:szCs w:val="21"/>
              </w:rPr>
              <w:t>（6）满足招标文件要求且评标报价最低的评标报价为评标基准价，其价格分为满分。</w:t>
            </w:r>
          </w:p>
          <w:p w14:paraId="58ECEE68">
            <w:pPr>
              <w:spacing w:line="360" w:lineRule="auto"/>
              <w:ind w:firstLine="233" w:firstLineChars="111"/>
              <w:rPr>
                <w:rFonts w:ascii="宋体" w:hAnsi="宋体"/>
                <w:bCs/>
                <w:szCs w:val="21"/>
              </w:rPr>
            </w:pPr>
            <w:r>
              <w:rPr>
                <w:rFonts w:hint="eastAsia" w:ascii="宋体" w:hAnsi="宋体"/>
                <w:bCs/>
                <w:szCs w:val="21"/>
              </w:rPr>
              <w:t xml:space="preserve">（7）价格分计算公式：        </w:t>
            </w:r>
          </w:p>
          <w:p w14:paraId="1482E5EC">
            <w:pPr>
              <w:ind w:firstLine="630" w:firstLineChars="300"/>
              <w:rPr>
                <w:rFonts w:hAnsi="宋体" w:cs="Courier New"/>
                <w:bCs/>
              </w:rPr>
            </w:pPr>
            <w:r>
              <w:rPr>
                <w:rFonts w:hint="eastAsia" w:hAnsi="宋体"/>
                <w:bCs/>
              </w:rPr>
              <w:t>价格分</w:t>
            </w:r>
            <w:r>
              <w:rPr>
                <w:rFonts w:hint="eastAsia" w:hAnsi="宋体" w:cs="Courier New"/>
                <w:bCs/>
              </w:rPr>
              <w:t>=(评标基准价／评标报价)×</w:t>
            </w:r>
            <w:r>
              <w:rPr>
                <w:rFonts w:hint="eastAsia" w:hAnsi="宋体"/>
                <w:bCs/>
                <w:u w:val="single"/>
              </w:rPr>
              <w:t xml:space="preserve"> 30 </w:t>
            </w:r>
            <w:r>
              <w:rPr>
                <w:rFonts w:hint="eastAsia" w:hAnsi="宋体" w:cs="Courier New"/>
                <w:bCs/>
              </w:rPr>
              <w:t>分</w:t>
            </w:r>
          </w:p>
          <w:p w14:paraId="7CBB55EA">
            <w:pPr>
              <w:ind w:firstLine="630" w:firstLineChars="300"/>
              <w:rPr>
                <w:rFonts w:hAnsi="宋体" w:cs="Courier New"/>
                <w:bCs/>
              </w:rPr>
            </w:pPr>
          </w:p>
          <w:p w14:paraId="39DBE147">
            <w:pPr>
              <w:ind w:firstLine="630" w:firstLineChars="300"/>
              <w:rPr>
                <w:rFonts w:hAnsi="宋体" w:cs="Courier New"/>
                <w:bCs/>
              </w:rPr>
            </w:pPr>
          </w:p>
        </w:tc>
      </w:tr>
      <w:tr w14:paraId="4D87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restart"/>
            <w:vAlign w:val="center"/>
          </w:tcPr>
          <w:p w14:paraId="0F7AFBDB">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技术分(50分)</w:t>
            </w:r>
          </w:p>
        </w:tc>
        <w:tc>
          <w:tcPr>
            <w:tcW w:w="715" w:type="dxa"/>
            <w:vAlign w:val="center"/>
          </w:tcPr>
          <w:p w14:paraId="7C1CC2B8">
            <w:pPr>
              <w:spacing w:line="400" w:lineRule="exact"/>
              <w:jc w:val="center"/>
              <w:rPr>
                <w:rFonts w:ascii="宋体" w:hAnsi="宋体" w:cs="宋体"/>
                <w:b/>
                <w:kern w:val="0"/>
                <w:szCs w:val="21"/>
              </w:rPr>
            </w:pPr>
            <w:r>
              <w:rPr>
                <w:rFonts w:hint="eastAsia" w:ascii="宋体" w:hAnsi="宋体" w:cs="宋体"/>
                <w:b/>
                <w:kern w:val="0"/>
                <w:szCs w:val="21"/>
                <w:lang w:bidi="ar"/>
              </w:rPr>
              <w:t>项目实施方案（满分 15 分）</w:t>
            </w:r>
          </w:p>
        </w:tc>
        <w:tc>
          <w:tcPr>
            <w:tcW w:w="8529" w:type="dxa"/>
            <w:vAlign w:val="center"/>
          </w:tcPr>
          <w:p w14:paraId="7666F597">
            <w:pPr>
              <w:ind w:firstLine="420" w:firstLineChars="200"/>
              <w:jc w:val="left"/>
              <w:rPr>
                <w:rFonts w:ascii="宋体" w:hAnsi="宋体"/>
                <w:szCs w:val="21"/>
              </w:rPr>
            </w:pPr>
            <w:r>
              <w:rPr>
                <w:rFonts w:hint="eastAsia" w:ascii="宋体" w:hAnsi="宋体"/>
                <w:szCs w:val="21"/>
              </w:rPr>
              <w:t>一档（5 分）：项目实施方案中有人员组织、工作内容、时间进度表等内容，基本能满足项目实施要求。</w:t>
            </w:r>
          </w:p>
          <w:p w14:paraId="66E89FA8">
            <w:pPr>
              <w:ind w:firstLine="420" w:firstLineChars="200"/>
              <w:jc w:val="left"/>
              <w:rPr>
                <w:rFonts w:ascii="宋体" w:hAnsi="宋体"/>
                <w:szCs w:val="21"/>
              </w:rPr>
            </w:pPr>
            <w:r>
              <w:rPr>
                <w:rFonts w:hint="eastAsia" w:ascii="宋体" w:hAnsi="宋体"/>
                <w:szCs w:val="21"/>
              </w:rPr>
              <w:t>二档（10 分）：项目实施方案中有人员组织、工作内容、时间进度表、图书加工服务等内容，描述详细，满足项目实施要求，优于一档。</w:t>
            </w:r>
          </w:p>
          <w:p w14:paraId="0541EF57">
            <w:pPr>
              <w:ind w:firstLine="420" w:firstLineChars="200"/>
              <w:jc w:val="left"/>
              <w:rPr>
                <w:rFonts w:ascii="宋体" w:hAnsi="宋体"/>
                <w:szCs w:val="21"/>
              </w:rPr>
            </w:pPr>
            <w:r>
              <w:rPr>
                <w:rFonts w:hint="eastAsia" w:ascii="宋体" w:hAnsi="宋体"/>
                <w:szCs w:val="21"/>
              </w:rPr>
              <w:t>三档（15 分）：项目实施方案中有人员组织、工作内容、时间进度表、图书加工服务，包括书架配送及安装、图书加工编目等内容描述详细，满足供货要求，项目实施人员配备满足项目实施要求，优于二档。</w:t>
            </w:r>
          </w:p>
        </w:tc>
      </w:tr>
      <w:tr w14:paraId="56BF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782" w:type="dxa"/>
            <w:vMerge w:val="continue"/>
            <w:vAlign w:val="center"/>
          </w:tcPr>
          <w:p w14:paraId="626D814B">
            <w:pPr>
              <w:spacing w:line="360" w:lineRule="auto"/>
              <w:jc w:val="left"/>
              <w:rPr>
                <w:rFonts w:ascii="宋体" w:hAnsi="宋体" w:cs="宋体"/>
                <w:b/>
                <w:szCs w:val="21"/>
                <w:shd w:val="clear" w:color="auto" w:fill="FFFFFF"/>
              </w:rPr>
            </w:pPr>
          </w:p>
        </w:tc>
        <w:tc>
          <w:tcPr>
            <w:tcW w:w="715" w:type="dxa"/>
            <w:vAlign w:val="center"/>
          </w:tcPr>
          <w:p w14:paraId="1E060A57">
            <w:pPr>
              <w:spacing w:line="400" w:lineRule="exact"/>
              <w:jc w:val="center"/>
              <w:rPr>
                <w:rFonts w:ascii="宋体" w:hAnsi="宋体" w:cs="宋体"/>
                <w:b/>
                <w:kern w:val="0"/>
                <w:szCs w:val="21"/>
                <w:lang w:bidi="ar"/>
              </w:rPr>
            </w:pPr>
            <w:r>
              <w:rPr>
                <w:rFonts w:hint="eastAsia" w:ascii="宋体" w:hAnsi="宋体" w:cs="宋体"/>
                <w:b/>
                <w:kern w:val="0"/>
                <w:szCs w:val="21"/>
                <w:lang w:bidi="ar"/>
              </w:rPr>
              <w:t>图书配送方案（满分 15 分）</w:t>
            </w:r>
          </w:p>
        </w:tc>
        <w:tc>
          <w:tcPr>
            <w:tcW w:w="8529" w:type="dxa"/>
            <w:vAlign w:val="center"/>
          </w:tcPr>
          <w:p w14:paraId="68C77B41">
            <w:pPr>
              <w:rPr>
                <w:rFonts w:ascii="宋体" w:hAnsi="宋体"/>
                <w:szCs w:val="21"/>
              </w:rPr>
            </w:pPr>
            <w:r>
              <w:rPr>
                <w:rFonts w:hint="eastAsia" w:ascii="宋体" w:hAnsi="宋体"/>
                <w:szCs w:val="21"/>
              </w:rPr>
              <w:t>一档 （5分）：有图书配送方案，配送队伍专业、运输工具合理、运输能力等保障条件满足要求。</w:t>
            </w:r>
          </w:p>
          <w:p w14:paraId="47D049AD">
            <w:pPr>
              <w:rPr>
                <w:rFonts w:ascii="宋体" w:hAnsi="宋体"/>
                <w:szCs w:val="21"/>
              </w:rPr>
            </w:pPr>
            <w:r>
              <w:rPr>
                <w:rFonts w:hint="eastAsia" w:ascii="宋体" w:hAnsi="宋体"/>
                <w:szCs w:val="21"/>
              </w:rPr>
              <w:t>二档 （10 分）：图书配送方案详细，配送队伍专业、运输工具合理、运输能力等保障条件满足要求，对采购人有合理化的建议，优于一档的。</w:t>
            </w:r>
          </w:p>
          <w:p w14:paraId="1CA73C41">
            <w:pPr>
              <w:rPr>
                <w:rFonts w:ascii="宋体" w:hAnsi="宋体"/>
                <w:szCs w:val="21"/>
              </w:rPr>
            </w:pPr>
            <w:r>
              <w:rPr>
                <w:rFonts w:hint="eastAsia" w:ascii="宋体" w:hAnsi="宋体"/>
                <w:szCs w:val="21"/>
              </w:rPr>
              <w:t>三档 （15 分）：图书配送方案详细，配送队伍专业、运输工具合理、运输能力等保障条件和管理能力能更好满足要求，对采购人有合理化的建议具有很强针对性，优于二档的。</w:t>
            </w:r>
          </w:p>
        </w:tc>
      </w:tr>
      <w:tr w14:paraId="7BD7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782" w:type="dxa"/>
            <w:vMerge w:val="continue"/>
            <w:vAlign w:val="center"/>
          </w:tcPr>
          <w:p w14:paraId="03B6B497">
            <w:pPr>
              <w:spacing w:line="360" w:lineRule="auto"/>
              <w:jc w:val="left"/>
              <w:rPr>
                <w:rFonts w:ascii="宋体" w:hAnsi="宋体" w:cs="宋体"/>
                <w:b/>
                <w:szCs w:val="21"/>
                <w:shd w:val="clear" w:color="auto" w:fill="FFFFFF"/>
              </w:rPr>
            </w:pPr>
          </w:p>
        </w:tc>
        <w:tc>
          <w:tcPr>
            <w:tcW w:w="715" w:type="dxa"/>
            <w:vAlign w:val="center"/>
          </w:tcPr>
          <w:p w14:paraId="133AAC45">
            <w:pPr>
              <w:spacing w:line="400" w:lineRule="exact"/>
              <w:jc w:val="center"/>
              <w:rPr>
                <w:rFonts w:ascii="宋体" w:hAnsi="宋体" w:cs="宋体"/>
                <w:b/>
                <w:kern w:val="0"/>
                <w:szCs w:val="21"/>
                <w:lang w:bidi="ar"/>
              </w:rPr>
            </w:pPr>
            <w:r>
              <w:rPr>
                <w:rFonts w:hint="eastAsia" w:ascii="宋体" w:hAnsi="宋体" w:cs="宋体"/>
                <w:b/>
                <w:kern w:val="0"/>
                <w:szCs w:val="21"/>
                <w:lang w:bidi="ar"/>
              </w:rPr>
              <w:t>学校图书管理员培训、开展学校图书活动方案（满分 20分）</w:t>
            </w:r>
          </w:p>
        </w:tc>
        <w:tc>
          <w:tcPr>
            <w:tcW w:w="8529" w:type="dxa"/>
            <w:vAlign w:val="center"/>
          </w:tcPr>
          <w:p w14:paraId="4CEF9B5F">
            <w:pPr>
              <w:rPr>
                <w:rFonts w:ascii="宋体" w:hAnsi="宋体"/>
                <w:szCs w:val="21"/>
              </w:rPr>
            </w:pPr>
            <w:r>
              <w:rPr>
                <w:rFonts w:hint="eastAsia" w:ascii="宋体" w:hAnsi="宋体"/>
                <w:szCs w:val="21"/>
              </w:rPr>
              <w:t>一档（5 分）：学校图书管理员培训、开展学校图书活动方案、阅读活动方案，方案简单，具有可行性。</w:t>
            </w:r>
          </w:p>
          <w:p w14:paraId="1F287038">
            <w:pPr>
              <w:rPr>
                <w:rFonts w:ascii="宋体" w:hAnsi="宋体"/>
                <w:szCs w:val="21"/>
              </w:rPr>
            </w:pPr>
            <w:r>
              <w:rPr>
                <w:rFonts w:hint="eastAsia" w:ascii="宋体" w:hAnsi="宋体"/>
                <w:szCs w:val="21"/>
              </w:rPr>
              <w:t>二档（10 分）：开展学校图书活动方案不限于少儿图书导读视频、图书馆员培训、阅读培训指导及阅读活动方案，方案详细，具有针对性和可行性，优于一档。</w:t>
            </w:r>
          </w:p>
          <w:p w14:paraId="6D65CC9D">
            <w:pPr>
              <w:rPr>
                <w:rFonts w:ascii="宋体" w:hAnsi="宋体"/>
                <w:szCs w:val="21"/>
              </w:rPr>
            </w:pPr>
            <w:r>
              <w:rPr>
                <w:rFonts w:hint="eastAsia" w:ascii="宋体" w:hAnsi="宋体"/>
                <w:szCs w:val="21"/>
              </w:rPr>
              <w:t>三档（15 分）：开展学校图书活动方案不限于少儿图书导读视频、图书馆员培训、阅读校本课程、阅读培训指导及阅读活动方案，方案内容丰富、多样化，具有针对性和可行性，优于二档。</w:t>
            </w:r>
          </w:p>
          <w:p w14:paraId="75678CAE">
            <w:pPr>
              <w:widowControl/>
              <w:jc w:val="left"/>
            </w:pPr>
            <w:r>
              <w:rPr>
                <w:rFonts w:hint="eastAsia" w:ascii="宋体" w:hAnsi="宋体" w:cs="宋体"/>
                <w:color w:val="000000"/>
                <w:kern w:val="0"/>
                <w:szCs w:val="21"/>
                <w:lang w:bidi="ar"/>
              </w:rPr>
              <w:t>四档（20 分）开展学校图书活动方案不限于少儿图书导读视频、图书馆员培训、阅读实物辅助、阅 读校本课程、阅读培训指导及阅读活动方案切合采购人单位特点，符合学校需求，考虑全面，具有很强针 对性和可行性，优于三档。</w:t>
            </w:r>
          </w:p>
          <w:p w14:paraId="208CF3E9">
            <w:pPr>
              <w:rPr>
                <w:rFonts w:ascii="宋体" w:hAnsi="宋体"/>
                <w:szCs w:val="21"/>
              </w:rPr>
            </w:pPr>
          </w:p>
          <w:p w14:paraId="5A75FF7E">
            <w:pPr>
              <w:rPr>
                <w:rFonts w:ascii="宋体" w:hAnsi="宋体"/>
                <w:szCs w:val="21"/>
              </w:rPr>
            </w:pPr>
          </w:p>
        </w:tc>
      </w:tr>
      <w:tr w14:paraId="7C6B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82" w:type="dxa"/>
            <w:vMerge w:val="restart"/>
            <w:vAlign w:val="center"/>
          </w:tcPr>
          <w:p w14:paraId="147FEEBB">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商务分(2</w:t>
            </w:r>
            <w:r>
              <w:rPr>
                <w:rFonts w:ascii="宋体" w:hAnsi="宋体" w:cs="宋体"/>
                <w:b/>
                <w:szCs w:val="21"/>
                <w:shd w:val="clear" w:color="auto" w:fill="FFFFFF"/>
              </w:rPr>
              <w:t>0</w:t>
            </w:r>
            <w:r>
              <w:rPr>
                <w:rFonts w:hint="eastAsia" w:ascii="宋体" w:hAnsi="宋体" w:cs="宋体"/>
                <w:b/>
                <w:szCs w:val="21"/>
                <w:shd w:val="clear" w:color="auto" w:fill="FFFFFF"/>
              </w:rPr>
              <w:t>分)</w:t>
            </w:r>
          </w:p>
        </w:tc>
        <w:tc>
          <w:tcPr>
            <w:tcW w:w="715" w:type="dxa"/>
            <w:vAlign w:val="center"/>
          </w:tcPr>
          <w:p w14:paraId="0AF634A8">
            <w:pPr>
              <w:spacing w:line="400" w:lineRule="exact"/>
              <w:rPr>
                <w:rFonts w:ascii="宋体" w:hAnsi="宋体" w:cs="宋体"/>
                <w:b/>
                <w:szCs w:val="21"/>
              </w:rPr>
            </w:pPr>
            <w:r>
              <w:rPr>
                <w:rFonts w:hint="eastAsia" w:ascii="宋体" w:hAnsi="宋体" w:cs="新宋体"/>
                <w:b/>
                <w:bCs/>
                <w:szCs w:val="21"/>
              </w:rPr>
              <w:t>业绩综合分（满分5分）</w:t>
            </w:r>
          </w:p>
        </w:tc>
        <w:tc>
          <w:tcPr>
            <w:tcW w:w="8529" w:type="dxa"/>
          </w:tcPr>
          <w:p w14:paraId="224ED7C4">
            <w:pPr>
              <w:widowControl/>
              <w:jc w:val="left"/>
            </w:pPr>
            <w:r>
              <w:rPr>
                <w:rFonts w:hint="eastAsia" w:ascii="宋体" w:hAnsi="宋体" w:cs="宋体"/>
                <w:color w:val="000000"/>
                <w:kern w:val="0"/>
                <w:szCs w:val="21"/>
                <w:lang w:bidi="ar"/>
              </w:rPr>
              <w:t xml:space="preserve">1、投标人 2020 年以来完成同类产品销售业绩，每个得 1 分，满分3分，以中标成交通知书或签订的销售合同复印件为准，并能清晰反映所销售的货物名称、时间，否则将不予计分，（同一个编号的项 目有两个或两个以上的分标中标的只算一次）。 </w:t>
            </w:r>
          </w:p>
          <w:p w14:paraId="45B83FA9">
            <w:pPr>
              <w:widowControl/>
              <w:jc w:val="left"/>
              <w:rPr>
                <w:rFonts w:ascii="宋体" w:hAnsi="宋体" w:cs="宋体"/>
                <w:color w:val="000000"/>
                <w:kern w:val="0"/>
                <w:szCs w:val="21"/>
                <w:lang w:bidi="ar"/>
              </w:rPr>
            </w:pPr>
          </w:p>
          <w:p w14:paraId="486F1ED8">
            <w:pPr>
              <w:widowControl/>
              <w:jc w:val="left"/>
            </w:pPr>
            <w:r>
              <w:rPr>
                <w:rFonts w:hint="eastAsia" w:ascii="宋体" w:hAnsi="宋体" w:cs="宋体"/>
                <w:color w:val="000000"/>
                <w:kern w:val="0"/>
                <w:szCs w:val="21"/>
                <w:lang w:bidi="ar"/>
              </w:rPr>
              <w:t>2、分拣能力比较：拥有专业图书配发分拣设备、分拣场地得2 分（投标人需提供房产证或房产合 同或租赁合同复印件加盖公章，否则不予计分）。</w:t>
            </w:r>
          </w:p>
          <w:p w14:paraId="69FF263F">
            <w:pPr>
              <w:widowControl/>
              <w:spacing w:line="400" w:lineRule="exact"/>
            </w:pPr>
          </w:p>
        </w:tc>
      </w:tr>
      <w:tr w14:paraId="5D6E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4" w:hRule="atLeast"/>
          <w:jc w:val="center"/>
        </w:trPr>
        <w:tc>
          <w:tcPr>
            <w:tcW w:w="782" w:type="dxa"/>
            <w:vMerge w:val="continue"/>
            <w:vAlign w:val="center"/>
          </w:tcPr>
          <w:p w14:paraId="399C8450">
            <w:pPr>
              <w:spacing w:line="360" w:lineRule="auto"/>
              <w:jc w:val="left"/>
              <w:rPr>
                <w:rFonts w:ascii="宋体" w:hAnsi="宋体" w:cs="宋体"/>
                <w:b/>
                <w:szCs w:val="21"/>
                <w:shd w:val="clear" w:color="auto" w:fill="FFFFFF"/>
              </w:rPr>
            </w:pPr>
          </w:p>
        </w:tc>
        <w:tc>
          <w:tcPr>
            <w:tcW w:w="715" w:type="dxa"/>
            <w:vAlign w:val="center"/>
          </w:tcPr>
          <w:p w14:paraId="448CC0B6">
            <w:pPr>
              <w:spacing w:line="400" w:lineRule="exact"/>
              <w:jc w:val="center"/>
              <w:rPr>
                <w:rFonts w:ascii="宋体" w:hAnsi="宋体" w:cs="宋体"/>
                <w:b/>
                <w:kern w:val="0"/>
                <w:szCs w:val="21"/>
              </w:rPr>
            </w:pPr>
            <w:r>
              <w:rPr>
                <w:rFonts w:hint="eastAsia" w:ascii="宋体" w:hAnsi="宋体" w:cs="宋体"/>
                <w:b/>
                <w:szCs w:val="21"/>
              </w:rPr>
              <w:t>售后服务分（满分15分）</w:t>
            </w:r>
          </w:p>
        </w:tc>
        <w:tc>
          <w:tcPr>
            <w:tcW w:w="8529" w:type="dxa"/>
            <w:vAlign w:val="center"/>
          </w:tcPr>
          <w:p w14:paraId="66C9E32D">
            <w:pPr>
              <w:rPr>
                <w:rFonts w:ascii="宋体" w:hAnsi="宋体" w:cs="宋体"/>
                <w:szCs w:val="21"/>
                <w:lang w:bidi="ar"/>
              </w:rPr>
            </w:pPr>
            <w:r>
              <w:rPr>
                <w:rFonts w:hint="eastAsia" w:ascii="宋体" w:hAnsi="宋体" w:cs="宋体"/>
                <w:szCs w:val="21"/>
                <w:lang w:bidi="ar"/>
              </w:rPr>
              <w:t>一档（6 分）：投标人提供的售后服务方案对“到达故障现场时间、故障出现解决方案、定期维护、质保期维护方案”等内容的描述简单，方案不完整，基本满足项目要求”。</w:t>
            </w:r>
          </w:p>
          <w:p w14:paraId="6A1D261D">
            <w:pPr>
              <w:rPr>
                <w:rFonts w:ascii="宋体" w:hAnsi="宋体" w:cs="宋体"/>
                <w:szCs w:val="21"/>
                <w:lang w:bidi="ar"/>
              </w:rPr>
            </w:pPr>
            <w:r>
              <w:rPr>
                <w:rFonts w:hint="eastAsia" w:ascii="宋体" w:hAnsi="宋体" w:cs="宋体"/>
                <w:szCs w:val="21"/>
                <w:lang w:bidi="ar"/>
              </w:rPr>
              <w:t>二档（9 分）：投标人提供的售后服务方案对“到达故障现场时间、故障出现解决方案、定期维护、质保期维护方案”等内容的描述详细完整，投标人有售后服务场所，完全满足项目要求，优于一档的。</w:t>
            </w:r>
          </w:p>
          <w:p w14:paraId="7B4C0E88">
            <w:pPr>
              <w:rPr>
                <w:rFonts w:ascii="宋体" w:hAnsi="宋体" w:cs="宋体"/>
                <w:szCs w:val="21"/>
                <w:lang w:bidi="ar"/>
              </w:rPr>
            </w:pPr>
            <w:r>
              <w:rPr>
                <w:rFonts w:hint="eastAsia" w:ascii="宋体" w:hAnsi="宋体" w:cs="宋体"/>
                <w:szCs w:val="21"/>
                <w:lang w:bidi="ar"/>
              </w:rPr>
              <w:t>三档（12 分）：售后服务方案对“到达故障现场时间、故障出现解决方案、定期维护、免费技术培训方案、质保期维护方案、其他优惠措施”等内容的描述完整，方案整体描述细致、合理、可行，保障响应措施到位，服务经验丰富，并提供售后服务热线，响应时间短，快捷、迅速，有详细的售后服务方案、售后服务流程、应急预案、质量保障，投标人有售后服务机制，能为采购人提供优质的快捷服务，优于二档。</w:t>
            </w:r>
          </w:p>
          <w:p w14:paraId="2FD67C1B">
            <w:pPr>
              <w:rPr>
                <w:rFonts w:ascii="宋体" w:hAnsi="宋体" w:cs="宋体"/>
                <w:szCs w:val="21"/>
                <w:lang w:bidi="ar"/>
              </w:rPr>
            </w:pPr>
            <w:r>
              <w:rPr>
                <w:rFonts w:hint="eastAsia" w:ascii="宋体" w:hAnsi="宋体" w:cs="宋体"/>
                <w:szCs w:val="21"/>
                <w:lang w:bidi="ar"/>
              </w:rPr>
              <w:t>四档（15 分）：投标人提供的售后服务方案对“到达故障现场时间、故障出现解决方案、定期维护、免费技术培训方案、质保期维护方案、其他优惠措施”等内容的描述完整，方案整体描述细致、合理、可行，保障响应措施到位，服务经验丰富，并提供售后服务热线，响应时间短，快捷、迅速，有详细的售后服务方案、售后服务流程、应急预案、质量保障，投标人有完善的售后服务机制，能为采购人提供优质的快捷服务，更换有缺陷的图书方案切合招标人单位特点，符合招标人需求，考虑全面，具有很强针对性和可行性，优于三档。</w:t>
            </w:r>
          </w:p>
          <w:p w14:paraId="5263E5A9">
            <w:pPr>
              <w:rPr>
                <w:rFonts w:ascii="宋体" w:hAnsi="宋体"/>
                <w:szCs w:val="21"/>
              </w:rPr>
            </w:pPr>
            <w:r>
              <w:rPr>
                <w:rFonts w:hint="eastAsia" w:ascii="宋体" w:hAnsi="宋体" w:cs="新宋体"/>
                <w:b/>
                <w:szCs w:val="21"/>
              </w:rPr>
              <w:t>评审依据：投标文件中提供售后服务方案，由评标委员会判定档次得分</w:t>
            </w:r>
            <w:r>
              <w:rPr>
                <w:rFonts w:hint="eastAsia" w:hAnsi="宋体" w:cs="新宋体"/>
                <w:b/>
                <w:bCs/>
                <w:szCs w:val="21"/>
              </w:rPr>
              <w:t>。</w:t>
            </w:r>
          </w:p>
        </w:tc>
      </w:tr>
      <w:tr w14:paraId="2E42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82" w:type="dxa"/>
            <w:vAlign w:val="center"/>
          </w:tcPr>
          <w:p w14:paraId="6C8CA7B4">
            <w:pPr>
              <w:spacing w:line="360" w:lineRule="auto"/>
              <w:jc w:val="left"/>
              <w:rPr>
                <w:rFonts w:ascii="宋体" w:hAnsi="宋体" w:cs="宋体"/>
                <w:b/>
                <w:szCs w:val="21"/>
                <w:shd w:val="clear" w:color="auto" w:fill="FFFFFF"/>
              </w:rPr>
            </w:pPr>
          </w:p>
        </w:tc>
        <w:tc>
          <w:tcPr>
            <w:tcW w:w="715" w:type="dxa"/>
            <w:vAlign w:val="center"/>
          </w:tcPr>
          <w:p w14:paraId="6B0A8366">
            <w:pPr>
              <w:spacing w:line="400" w:lineRule="exact"/>
              <w:jc w:val="center"/>
              <w:rPr>
                <w:rFonts w:ascii="宋体" w:hAnsi="宋体" w:cs="宋体"/>
                <w:b/>
                <w:szCs w:val="21"/>
              </w:rPr>
            </w:pPr>
            <w:r>
              <w:rPr>
                <w:rFonts w:hint="eastAsia" w:ascii="宋体" w:hAnsi="宋体" w:cs="宋体"/>
                <w:b/>
                <w:szCs w:val="21"/>
              </w:rPr>
              <w:t>诚信分（-6~0分</w:t>
            </w:r>
            <w:r>
              <w:rPr>
                <w:rFonts w:hint="eastAsia" w:ascii="宋体" w:hAnsi="宋体"/>
                <w:bCs/>
                <w:szCs w:val="21"/>
              </w:rPr>
              <w:t>）</w:t>
            </w:r>
          </w:p>
        </w:tc>
        <w:tc>
          <w:tcPr>
            <w:tcW w:w="8529" w:type="dxa"/>
            <w:vAlign w:val="center"/>
          </w:tcPr>
          <w:p w14:paraId="0D5FC62F">
            <w:pPr>
              <w:pStyle w:val="38"/>
              <w:spacing w:line="276" w:lineRule="auto"/>
              <w:rPr>
                <w:rFonts w:ascii="宋体" w:hAnsi="宋体" w:eastAsia="宋体" w:cs="新宋体"/>
                <w:bCs/>
                <w:sz w:val="21"/>
                <w:szCs w:val="21"/>
              </w:rPr>
            </w:pPr>
            <w:r>
              <w:rPr>
                <w:rFonts w:hint="eastAsia" w:ascii="宋体" w:hAnsi="宋体" w:eastAsia="宋体" w:cs="新宋体"/>
                <w:b w:val="0"/>
                <w:sz w:val="21"/>
                <w:szCs w:val="21"/>
              </w:rPr>
              <w:t>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w:t>
            </w:r>
          </w:p>
        </w:tc>
      </w:tr>
    </w:tbl>
    <w:p w14:paraId="5235489D"/>
    <w:p w14:paraId="612F9037"/>
    <w:p w14:paraId="78BC7E5F">
      <w:pPr>
        <w:pStyle w:val="13"/>
      </w:pPr>
    </w:p>
    <w:p w14:paraId="7248EE08"/>
    <w:p w14:paraId="72E09BEB"/>
    <w:p w14:paraId="2DCA7FAE"/>
    <w:p w14:paraId="4C91130C"/>
    <w:p w14:paraId="74948F38"/>
    <w:p w14:paraId="02474BB6"/>
    <w:p w14:paraId="04303C0B"/>
    <w:p w14:paraId="497C2AF2"/>
    <w:p w14:paraId="3B88522F"/>
    <w:p w14:paraId="77C59C2E"/>
    <w:p w14:paraId="73057902"/>
    <w:p w14:paraId="34003BF0"/>
    <w:p w14:paraId="0808238F"/>
    <w:p w14:paraId="3B48CF5C"/>
    <w:p w14:paraId="7347CEEA">
      <w:pPr>
        <w:rPr>
          <w:rFonts w:hint="eastAsia"/>
        </w:rPr>
      </w:pPr>
    </w:p>
    <w:p w14:paraId="24D9E6B0"/>
    <w:p w14:paraId="5673B531"/>
    <w:p w14:paraId="2FFB0F0A">
      <w:pPr>
        <w:pStyle w:val="13"/>
        <w:rPr>
          <w:b/>
          <w:bCs/>
          <w:color w:val="FF0000"/>
          <w:sz w:val="28"/>
          <w:szCs w:val="28"/>
        </w:rPr>
      </w:pPr>
      <w:r>
        <w:rPr>
          <w:rFonts w:hint="eastAsia"/>
          <w:b/>
          <w:bCs/>
          <w:color w:val="FF0000"/>
          <w:sz w:val="28"/>
          <w:szCs w:val="28"/>
        </w:rPr>
        <w:t>C分标（3分标）：</w:t>
      </w:r>
    </w:p>
    <w:tbl>
      <w:tblPr>
        <w:tblStyle w:val="24"/>
        <w:tblpPr w:leftFromText="180" w:rightFromText="180" w:vertAnchor="text" w:tblpXSpec="center" w:tblpY="1"/>
        <w:tblOverlap w:val="never"/>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715"/>
        <w:gridCol w:w="8529"/>
      </w:tblGrid>
      <w:tr w14:paraId="62CA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97" w:type="dxa"/>
            <w:gridSpan w:val="2"/>
            <w:vAlign w:val="center"/>
          </w:tcPr>
          <w:p w14:paraId="4D7CBE3C">
            <w:pPr>
              <w:jc w:val="center"/>
              <w:rPr>
                <w:rFonts w:ascii="宋体" w:hAnsi="宋体" w:cs="宋体"/>
                <w:b/>
                <w:szCs w:val="21"/>
              </w:rPr>
            </w:pPr>
            <w:r>
              <w:rPr>
                <w:rFonts w:hint="eastAsia" w:ascii="宋体" w:hAnsi="宋体"/>
                <w:b/>
                <w:szCs w:val="21"/>
              </w:rPr>
              <w:t>评分项目</w:t>
            </w:r>
          </w:p>
        </w:tc>
        <w:tc>
          <w:tcPr>
            <w:tcW w:w="8529" w:type="dxa"/>
            <w:vAlign w:val="center"/>
          </w:tcPr>
          <w:p w14:paraId="459AE833">
            <w:pPr>
              <w:jc w:val="center"/>
              <w:rPr>
                <w:rFonts w:ascii="宋体" w:hAnsi="宋体"/>
                <w:b/>
                <w:szCs w:val="21"/>
              </w:rPr>
            </w:pPr>
            <w:r>
              <w:rPr>
                <w:rFonts w:hint="eastAsia" w:ascii="宋体" w:hAnsi="宋体" w:cs="宋体"/>
                <w:b/>
                <w:szCs w:val="21"/>
              </w:rPr>
              <w:t>评分细则</w:t>
            </w:r>
          </w:p>
        </w:tc>
      </w:tr>
      <w:tr w14:paraId="185A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7" w:type="dxa"/>
            <w:gridSpan w:val="2"/>
            <w:vAlign w:val="center"/>
          </w:tcPr>
          <w:p w14:paraId="1A733B71">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价格部分(</w:t>
            </w:r>
            <w:r>
              <w:rPr>
                <w:rFonts w:hint="eastAsia" w:ascii="宋体" w:hAnsi="宋体" w:cs="宋体"/>
                <w:b/>
                <w:szCs w:val="21"/>
                <w:shd w:val="clear" w:color="auto" w:fill="FFFFFF"/>
                <w:lang w:val="en-US" w:eastAsia="zh-CN"/>
              </w:rPr>
              <w:t>30</w:t>
            </w:r>
            <w:r>
              <w:rPr>
                <w:rFonts w:hint="eastAsia" w:ascii="宋体" w:hAnsi="宋体" w:cs="宋体"/>
                <w:b/>
                <w:szCs w:val="21"/>
                <w:shd w:val="clear" w:color="auto" w:fill="FFFFFF"/>
              </w:rPr>
              <w:t>分)</w:t>
            </w:r>
          </w:p>
        </w:tc>
        <w:tc>
          <w:tcPr>
            <w:tcW w:w="8529" w:type="dxa"/>
            <w:vAlign w:val="center"/>
          </w:tcPr>
          <w:p w14:paraId="51BC145F">
            <w:pPr>
              <w:snapToGrid w:val="0"/>
              <w:spacing w:line="360" w:lineRule="auto"/>
              <w:ind w:firstLine="233" w:firstLineChars="111"/>
              <w:rPr>
                <w:rFonts w:ascii="宋体" w:hAnsi="宋体"/>
                <w:bCs/>
                <w:szCs w:val="21"/>
              </w:rPr>
            </w:pPr>
            <w:r>
              <w:rPr>
                <w:rFonts w:hint="eastAsia" w:ascii="宋体" w:hAnsi="宋体"/>
                <w:bCs/>
                <w:szCs w:val="21"/>
              </w:rPr>
              <w:t>（1）评标报价为投标人的投标报价进行政策性扣除后的价格，评标报价只是作为评标时使用。最终中标人的中标金额等于投标报价。</w:t>
            </w:r>
          </w:p>
          <w:p w14:paraId="376674CD">
            <w:pPr>
              <w:spacing w:line="400" w:lineRule="exact"/>
              <w:ind w:firstLine="420" w:firstLineChars="200"/>
              <w:rPr>
                <w:rFonts w:ascii="宋体" w:hAnsi="Courier New"/>
                <w:szCs w:val="20"/>
              </w:rPr>
            </w:pPr>
            <w:r>
              <w:rPr>
                <w:rFonts w:hint="eastAsia" w:ascii="宋体" w:hAnsi="宋体"/>
                <w:bCs/>
                <w:szCs w:val="21"/>
              </w:rPr>
              <w:t>（2）按照</w:t>
            </w:r>
            <w:r>
              <w:rPr>
                <w:rFonts w:ascii="宋体" w:hAnsi="宋体"/>
              </w:rPr>
              <w:t>《政府采购促进中小企业发展管理办法》（财库﹝2020﹞46号）</w:t>
            </w:r>
            <w:r>
              <w:rPr>
                <w:rFonts w:hint="eastAsia" w:ascii="宋体" w:hAnsi="宋体"/>
              </w:rPr>
              <w:t>及《广西壮族自治区财政厅关于进一步发挥政府采购政策功能促进企业发展的通知》（桂财采〔2022〕30号）规定</w:t>
            </w:r>
            <w:r>
              <w:rPr>
                <w:rFonts w:hint="eastAsia" w:ascii="宋体" w:hAnsi="宋体"/>
                <w:bCs/>
                <w:szCs w:val="21"/>
              </w:rPr>
              <w:t>，投标人在其投标文件中提供《中小企业声明函》，且其服务为小型和微型企业承接的，对其最后报价给予20%的扣除。</w:t>
            </w:r>
          </w:p>
          <w:p w14:paraId="709BB2B6">
            <w:pPr>
              <w:snapToGrid w:val="0"/>
              <w:spacing w:line="360" w:lineRule="auto"/>
              <w:ind w:firstLine="233" w:firstLineChars="111"/>
              <w:rPr>
                <w:rFonts w:ascii="宋体" w:hAnsi="宋体"/>
                <w:bCs/>
                <w:szCs w:val="21"/>
              </w:rPr>
            </w:pPr>
            <w:r>
              <w:rPr>
                <w:rFonts w:hint="eastAsia" w:ascii="宋体" w:hAnsi="宋体"/>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szCs w:val="21"/>
              </w:rPr>
              <w:t>监狱企业参加政府采购活动时，应当提供由省级以上监狱管理局、戒毒管理局(含新疆生产建设兵团)出具的属于监狱企业的证明文件。</w:t>
            </w:r>
            <w:r>
              <w:rPr>
                <w:rFonts w:hint="eastAsia" w:ascii="宋体" w:hAnsi="宋体"/>
                <w:bCs/>
                <w:szCs w:val="21"/>
              </w:rPr>
              <w:t>不重复享受政策。</w:t>
            </w:r>
          </w:p>
          <w:p w14:paraId="2023F2F2">
            <w:pPr>
              <w:snapToGrid w:val="0"/>
              <w:spacing w:line="360" w:lineRule="auto"/>
              <w:ind w:firstLine="233" w:firstLineChars="111"/>
              <w:rPr>
                <w:rFonts w:ascii="宋体" w:hAnsi="宋体"/>
                <w:bCs/>
                <w:szCs w:val="21"/>
              </w:rPr>
            </w:pPr>
            <w:r>
              <w:rPr>
                <w:rFonts w:hint="eastAsia" w:ascii="宋体" w:hAnsi="宋体"/>
                <w:szCs w:val="21"/>
              </w:rPr>
              <w:t>（4）按照</w:t>
            </w:r>
            <w:r>
              <w:rPr>
                <w:rFonts w:hint="eastAsia" w:ascii="宋体" w:hAnsi="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szCs w:val="21"/>
              </w:rPr>
              <w:t>残疾人福利性单位参加政府采购活动时，应当提供该通知规定的《残疾人福利性单位声明函》，并对声明的真实性负责。</w:t>
            </w:r>
            <w:r>
              <w:rPr>
                <w:rFonts w:hint="eastAsia" w:ascii="宋体" w:hAnsi="宋体"/>
                <w:bCs/>
                <w:szCs w:val="21"/>
              </w:rPr>
              <w:t>残疾人福利性单位属于小型、微型企业的，不重复享受政策。</w:t>
            </w:r>
          </w:p>
          <w:p w14:paraId="1E2BE716">
            <w:pPr>
              <w:snapToGrid w:val="0"/>
              <w:spacing w:line="360" w:lineRule="auto"/>
              <w:ind w:firstLine="233" w:firstLineChars="111"/>
              <w:rPr>
                <w:rFonts w:ascii="宋体" w:hAnsi="宋体"/>
                <w:bCs/>
                <w:szCs w:val="21"/>
              </w:rPr>
            </w:pPr>
            <w:r>
              <w:rPr>
                <w:rFonts w:hint="eastAsia" w:ascii="宋体" w:hAnsi="宋体"/>
                <w:bCs/>
                <w:szCs w:val="21"/>
              </w:rPr>
              <w:t>（5）政策性扣除计算方法。</w:t>
            </w:r>
          </w:p>
          <w:p w14:paraId="154D012D">
            <w:pPr>
              <w:snapToGrid w:val="0"/>
              <w:spacing w:line="360" w:lineRule="auto"/>
              <w:ind w:firstLine="443" w:firstLineChars="211"/>
              <w:rPr>
                <w:rFonts w:ascii="宋体" w:hAnsi="宋体"/>
                <w:szCs w:val="21"/>
              </w:rPr>
            </w:pPr>
            <w:r>
              <w:rPr>
                <w:rFonts w:hint="eastAsia" w:ascii="宋体" w:hAnsi="宋体"/>
                <w:bCs/>
                <w:szCs w:val="21"/>
              </w:rPr>
              <w:t>在服务采购项目中，服务由小微企业承接；对符合上述要求的投标人的投标报价给予20%的扣除，扣除后的价格为评标报价，即评标报价=投标报价×（1-2</w:t>
            </w:r>
            <w:r>
              <w:rPr>
                <w:rFonts w:ascii="宋体" w:hAnsi="宋体"/>
                <w:bCs/>
                <w:szCs w:val="21"/>
              </w:rPr>
              <w:t>0</w:t>
            </w:r>
            <w:r>
              <w:rPr>
                <w:rFonts w:hint="eastAsia" w:ascii="宋体" w:hAnsi="宋体"/>
                <w:bCs/>
                <w:szCs w:val="21"/>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szCs w:val="21"/>
                <w:u w:val="single"/>
              </w:rPr>
              <w:t xml:space="preserve"> 6%</w:t>
            </w:r>
            <w:r>
              <w:rPr>
                <w:rFonts w:hint="eastAsia" w:ascii="宋体" w:hAnsi="宋体"/>
                <w:bCs/>
                <w:szCs w:val="21"/>
              </w:rPr>
              <w:t>的扣除，用扣除后的价格参加评审，接受分包的小微企业与分包企业之间存在直接控股、管理关系的，不享受价格扣除优惠政策。扣除后的价格为评标报价，即评标报价=投标报价×（1-</w:t>
            </w:r>
            <w:r>
              <w:rPr>
                <w:rFonts w:hint="eastAsia" w:ascii="宋体" w:hAnsi="宋体"/>
                <w:bCs/>
                <w:szCs w:val="21"/>
                <w:u w:val="single"/>
              </w:rPr>
              <w:t>6</w:t>
            </w:r>
            <w:r>
              <w:rPr>
                <w:rFonts w:hint="eastAsia" w:ascii="宋体" w:hAnsi="宋体"/>
                <w:bCs/>
                <w:szCs w:val="21"/>
              </w:rPr>
              <w:t>%）。除上述情况外，评标报价=投标报价。</w:t>
            </w:r>
          </w:p>
          <w:p w14:paraId="4632C814">
            <w:pPr>
              <w:snapToGrid w:val="0"/>
              <w:spacing w:line="360" w:lineRule="auto"/>
              <w:ind w:firstLine="233" w:firstLineChars="111"/>
              <w:rPr>
                <w:rFonts w:ascii="宋体" w:hAnsi="宋体"/>
                <w:bCs/>
                <w:szCs w:val="21"/>
              </w:rPr>
            </w:pPr>
            <w:r>
              <w:rPr>
                <w:rFonts w:hint="eastAsia" w:ascii="宋体" w:hAnsi="宋体"/>
                <w:bCs/>
                <w:szCs w:val="21"/>
              </w:rPr>
              <w:t>（6）满足招标文件要求且评标报价最低的评标报价为评标基准价，其价格分为满分。</w:t>
            </w:r>
          </w:p>
          <w:p w14:paraId="253291F7">
            <w:pPr>
              <w:spacing w:line="360" w:lineRule="auto"/>
              <w:ind w:firstLine="233" w:firstLineChars="111"/>
              <w:rPr>
                <w:rFonts w:ascii="宋体" w:hAnsi="宋体"/>
                <w:bCs/>
                <w:szCs w:val="21"/>
              </w:rPr>
            </w:pPr>
            <w:r>
              <w:rPr>
                <w:rFonts w:hint="eastAsia" w:ascii="宋体" w:hAnsi="宋体"/>
                <w:bCs/>
                <w:szCs w:val="21"/>
              </w:rPr>
              <w:t xml:space="preserve">（7）价格分计算公式：        </w:t>
            </w:r>
          </w:p>
          <w:p w14:paraId="20167D62">
            <w:pPr>
              <w:ind w:firstLine="630" w:firstLineChars="300"/>
              <w:rPr>
                <w:rFonts w:hAnsi="宋体" w:cs="Courier New"/>
                <w:bCs/>
              </w:rPr>
            </w:pPr>
            <w:r>
              <w:rPr>
                <w:rFonts w:hint="eastAsia" w:hAnsi="宋体"/>
                <w:bCs/>
              </w:rPr>
              <w:t>价格分</w:t>
            </w:r>
            <w:r>
              <w:rPr>
                <w:rFonts w:hint="eastAsia" w:hAnsi="宋体" w:cs="Courier New"/>
                <w:bCs/>
              </w:rPr>
              <w:t>=(评标基准价／评标报价)×</w:t>
            </w:r>
            <w:r>
              <w:rPr>
                <w:rFonts w:hint="eastAsia" w:hAnsi="宋体"/>
                <w:bCs/>
                <w:u w:val="single"/>
              </w:rPr>
              <w:t xml:space="preserve"> </w:t>
            </w:r>
            <w:r>
              <w:rPr>
                <w:rFonts w:hint="eastAsia" w:hAnsi="宋体"/>
                <w:bCs/>
                <w:u w:val="single"/>
                <w:lang w:val="en-US" w:eastAsia="zh-CN"/>
              </w:rPr>
              <w:t>30</w:t>
            </w:r>
            <w:r>
              <w:rPr>
                <w:rFonts w:hint="eastAsia" w:hAnsi="宋体"/>
                <w:bCs/>
                <w:u w:val="single"/>
              </w:rPr>
              <w:t xml:space="preserve"> </w:t>
            </w:r>
            <w:r>
              <w:rPr>
                <w:rFonts w:hint="eastAsia" w:hAnsi="宋体" w:cs="Courier New"/>
                <w:bCs/>
              </w:rPr>
              <w:t>分</w:t>
            </w:r>
          </w:p>
          <w:p w14:paraId="19D4EB7A">
            <w:pPr>
              <w:ind w:firstLine="630" w:firstLineChars="300"/>
              <w:rPr>
                <w:rFonts w:hAnsi="宋体" w:cs="Courier New"/>
                <w:bCs/>
              </w:rPr>
            </w:pPr>
          </w:p>
        </w:tc>
      </w:tr>
      <w:tr w14:paraId="1CCD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restart"/>
            <w:vAlign w:val="center"/>
          </w:tcPr>
          <w:p w14:paraId="5CBEDCC3">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技术分(</w:t>
            </w:r>
            <w:r>
              <w:rPr>
                <w:rFonts w:hint="eastAsia" w:ascii="宋体" w:hAnsi="宋体" w:cs="宋体"/>
                <w:b/>
                <w:szCs w:val="21"/>
                <w:shd w:val="clear" w:color="auto" w:fill="FFFFFF"/>
                <w:lang w:val="en-US" w:eastAsia="zh-CN"/>
              </w:rPr>
              <w:t>50</w:t>
            </w:r>
            <w:r>
              <w:rPr>
                <w:rFonts w:hint="eastAsia" w:ascii="宋体" w:hAnsi="宋体" w:cs="宋体"/>
                <w:b/>
                <w:szCs w:val="21"/>
                <w:shd w:val="clear" w:color="auto" w:fill="FFFFFF"/>
              </w:rPr>
              <w:t>分)</w:t>
            </w:r>
          </w:p>
        </w:tc>
        <w:tc>
          <w:tcPr>
            <w:tcW w:w="715" w:type="dxa"/>
            <w:vMerge w:val="restart"/>
            <w:vAlign w:val="center"/>
          </w:tcPr>
          <w:p w14:paraId="21281CF4">
            <w:pPr>
              <w:spacing w:line="400" w:lineRule="exact"/>
              <w:jc w:val="center"/>
              <w:rPr>
                <w:rFonts w:ascii="宋体" w:hAnsi="宋体" w:cs="宋体"/>
                <w:b/>
                <w:kern w:val="0"/>
                <w:szCs w:val="21"/>
              </w:rPr>
            </w:pPr>
            <w:r>
              <w:rPr>
                <w:rFonts w:hint="eastAsia" w:ascii="宋体" w:hAnsi="宋体" w:cs="宋体"/>
                <w:b/>
                <w:kern w:val="0"/>
                <w:szCs w:val="21"/>
                <w:lang w:bidi="ar"/>
              </w:rPr>
              <w:t>货物性能分（35分）</w:t>
            </w:r>
          </w:p>
        </w:tc>
        <w:tc>
          <w:tcPr>
            <w:tcW w:w="8529" w:type="dxa"/>
            <w:vAlign w:val="center"/>
          </w:tcPr>
          <w:p w14:paraId="1AEB76A3">
            <w:pPr>
              <w:pStyle w:val="12"/>
              <w:spacing w:line="360" w:lineRule="auto"/>
              <w:rPr>
                <w:rFonts w:hAnsi="宋体"/>
                <w:b/>
              </w:rPr>
            </w:pPr>
            <w:r>
              <w:rPr>
                <w:rFonts w:hint="eastAsia" w:hAnsi="宋体"/>
                <w:b/>
              </w:rPr>
              <w:t>产品基本分（满分25分）</w:t>
            </w:r>
          </w:p>
          <w:p w14:paraId="56331551">
            <w:pPr>
              <w:pStyle w:val="12"/>
              <w:spacing w:line="360" w:lineRule="auto"/>
              <w:rPr>
                <w:rFonts w:hAnsi="宋体"/>
                <w:bCs/>
              </w:rPr>
            </w:pPr>
            <w:r>
              <w:rPr>
                <w:rFonts w:hint="eastAsia" w:hAnsi="宋体"/>
                <w:bCs/>
              </w:rPr>
              <w:t>标注“▲”号的技术参数为主要技术参数必须满足或优于，招标文件有要求提供相关证明文件的，则必须要提供，不满足或不提供做投标无效处理。</w:t>
            </w:r>
          </w:p>
          <w:p w14:paraId="00C5B6EC">
            <w:pPr>
              <w:pStyle w:val="12"/>
              <w:spacing w:line="360" w:lineRule="auto"/>
              <w:rPr>
                <w:rFonts w:hAnsi="宋体"/>
                <w:bCs/>
              </w:rPr>
            </w:pPr>
            <w:r>
              <w:rPr>
                <w:rFonts w:hint="eastAsia" w:hAnsi="宋体"/>
                <w:bCs/>
              </w:rPr>
              <w:t>完全满足招标文件技术参数要求的得25分；不标注“▲”号的技术参数，出现负偏离的，每一项扣减5分，扣完25分为止。</w:t>
            </w:r>
          </w:p>
          <w:p w14:paraId="3C071DD4">
            <w:pPr>
              <w:pStyle w:val="12"/>
              <w:spacing w:line="360" w:lineRule="auto"/>
              <w:rPr>
                <w:rFonts w:hAnsi="宋体"/>
                <w:bCs/>
              </w:rPr>
            </w:pPr>
            <w:r>
              <w:rPr>
                <w:rFonts w:hint="eastAsia" w:hAnsi="宋体"/>
                <w:bCs/>
              </w:rPr>
              <w:t>注：相同型号产品不重复扣分或加分。</w:t>
            </w:r>
          </w:p>
          <w:p w14:paraId="78101A4A">
            <w:pPr>
              <w:ind w:firstLine="420" w:firstLineChars="200"/>
              <w:rPr>
                <w:rFonts w:ascii="宋体" w:hAnsi="宋体"/>
                <w:szCs w:val="21"/>
              </w:rPr>
            </w:pPr>
          </w:p>
        </w:tc>
      </w:tr>
      <w:tr w14:paraId="0E1D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vAlign w:val="center"/>
          </w:tcPr>
          <w:p w14:paraId="154474FB">
            <w:pPr>
              <w:spacing w:line="360" w:lineRule="auto"/>
              <w:jc w:val="left"/>
              <w:rPr>
                <w:rFonts w:ascii="宋体" w:hAnsi="宋体" w:cs="宋体"/>
                <w:b/>
                <w:szCs w:val="21"/>
                <w:shd w:val="clear" w:color="auto" w:fill="FFFFFF"/>
              </w:rPr>
            </w:pPr>
          </w:p>
        </w:tc>
        <w:tc>
          <w:tcPr>
            <w:tcW w:w="715" w:type="dxa"/>
            <w:vMerge w:val="continue"/>
            <w:vAlign w:val="center"/>
          </w:tcPr>
          <w:p w14:paraId="7E486F30">
            <w:pPr>
              <w:spacing w:line="400" w:lineRule="exact"/>
              <w:jc w:val="center"/>
              <w:rPr>
                <w:rFonts w:ascii="宋体" w:hAnsi="宋体" w:cs="宋体"/>
                <w:b/>
                <w:kern w:val="0"/>
                <w:szCs w:val="21"/>
                <w:lang w:bidi="ar"/>
              </w:rPr>
            </w:pPr>
          </w:p>
        </w:tc>
        <w:tc>
          <w:tcPr>
            <w:tcW w:w="8529" w:type="dxa"/>
            <w:vAlign w:val="center"/>
          </w:tcPr>
          <w:p w14:paraId="3BDE7282">
            <w:pPr>
              <w:pStyle w:val="12"/>
              <w:spacing w:line="360" w:lineRule="auto"/>
              <w:rPr>
                <w:rFonts w:hAnsi="宋体"/>
                <w:b/>
              </w:rPr>
            </w:pPr>
            <w:r>
              <w:rPr>
                <w:rFonts w:hint="eastAsia" w:hAnsi="宋体"/>
                <w:b/>
              </w:rPr>
              <w:t>技术参数正偏离加分(满分10分)</w:t>
            </w:r>
          </w:p>
          <w:p w14:paraId="5FDBB89F">
            <w:r>
              <w:rPr>
                <w:rFonts w:hint="eastAsia"/>
              </w:rPr>
              <w:t>技术参数有优于招标文件要求且评标时被评标委员会接受的，每优于1项加2分，本项满分 10分。</w:t>
            </w:r>
          </w:p>
          <w:p w14:paraId="0B468BF9">
            <w:r>
              <w:rPr>
                <w:rFonts w:hint="eastAsia"/>
              </w:rPr>
              <w:t>注:技术参数有优于招标文件要求的，投标人须在投标文件中提供第三方具有检测资质的检测机构出具的有效检测报告复印件并加盖投标人公章作为佐证材料，否则不得分。</w:t>
            </w:r>
          </w:p>
          <w:p w14:paraId="2C748BA0">
            <w:pPr>
              <w:rPr>
                <w:rFonts w:ascii="宋体" w:hAnsi="宋体"/>
                <w:szCs w:val="21"/>
              </w:rPr>
            </w:pPr>
          </w:p>
        </w:tc>
      </w:tr>
      <w:tr w14:paraId="31F9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vAlign w:val="center"/>
          </w:tcPr>
          <w:p w14:paraId="1532C8D9">
            <w:pPr>
              <w:jc w:val="center"/>
              <w:rPr>
                <w:rFonts w:ascii="宋体" w:hAnsi="宋体" w:cs="宋体"/>
                <w:b/>
                <w:szCs w:val="21"/>
                <w:shd w:val="clear" w:color="auto" w:fill="FFFFFF"/>
              </w:rPr>
            </w:pPr>
          </w:p>
        </w:tc>
        <w:tc>
          <w:tcPr>
            <w:tcW w:w="715" w:type="dxa"/>
            <w:vAlign w:val="center"/>
          </w:tcPr>
          <w:p w14:paraId="584FD9CA">
            <w:pPr>
              <w:spacing w:line="400" w:lineRule="exact"/>
              <w:jc w:val="center"/>
              <w:rPr>
                <w:rFonts w:ascii="宋体" w:hAnsi="宋体" w:cs="宋体"/>
                <w:b/>
                <w:szCs w:val="21"/>
              </w:rPr>
            </w:pPr>
            <w:r>
              <w:rPr>
                <w:rFonts w:hint="eastAsia" w:ascii="宋体" w:hAnsi="宋体" w:cs="宋体"/>
                <w:b/>
                <w:szCs w:val="21"/>
              </w:rPr>
              <w:t>实施方案分（满分15分）</w:t>
            </w:r>
          </w:p>
        </w:tc>
        <w:tc>
          <w:tcPr>
            <w:tcW w:w="8529" w:type="dxa"/>
          </w:tcPr>
          <w:p w14:paraId="0A62F3A0">
            <w:pPr>
              <w:autoSpaceDE w:val="0"/>
              <w:autoSpaceDN w:val="0"/>
              <w:adjustRightInd w:val="0"/>
              <w:spacing w:line="360" w:lineRule="auto"/>
              <w:ind w:firstLine="420" w:firstLineChars="200"/>
              <w:rPr>
                <w:rFonts w:ascii="宋体" w:hAnsi="宋体"/>
                <w:bCs/>
                <w:color w:val="000000"/>
                <w:szCs w:val="22"/>
              </w:rPr>
            </w:pPr>
            <w:r>
              <w:rPr>
                <w:rFonts w:hint="eastAsia" w:ascii="宋体" w:hAnsi="宋体"/>
                <w:bCs/>
                <w:color w:val="000000"/>
                <w:szCs w:val="22"/>
              </w:rPr>
              <w:t>一档（5分）：投标人提供项目实施方案进度安排、相关保障措施能力，有对各项关键工作安排等描述；</w:t>
            </w:r>
          </w:p>
          <w:p w14:paraId="1129016B">
            <w:pPr>
              <w:autoSpaceDE w:val="0"/>
              <w:autoSpaceDN w:val="0"/>
              <w:adjustRightInd w:val="0"/>
              <w:spacing w:line="360" w:lineRule="auto"/>
              <w:ind w:firstLine="420" w:firstLineChars="200"/>
              <w:rPr>
                <w:rFonts w:ascii="宋体" w:hAnsi="宋体"/>
                <w:bCs/>
                <w:color w:val="000000"/>
                <w:szCs w:val="22"/>
              </w:rPr>
            </w:pPr>
            <w:r>
              <w:rPr>
                <w:rFonts w:hint="eastAsia" w:ascii="宋体" w:hAnsi="宋体"/>
                <w:bCs/>
                <w:color w:val="000000"/>
                <w:szCs w:val="22"/>
              </w:rPr>
              <w:t>二档（10分）：投标人提供的项目实施方案进度安排合理、有相关保障能力措施，对各项关键工作合理安排，对本项目的风险预见、设备安装调试等项目管理实施方案满足项目要求。</w:t>
            </w:r>
          </w:p>
          <w:p w14:paraId="6D281380">
            <w:pPr>
              <w:pStyle w:val="12"/>
              <w:spacing w:line="360" w:lineRule="auto"/>
              <w:ind w:firstLine="420" w:firstLineChars="200"/>
              <w:rPr>
                <w:rFonts w:hAnsi="宋体"/>
                <w:bCs/>
              </w:rPr>
            </w:pPr>
            <w:r>
              <w:rPr>
                <w:rFonts w:hint="eastAsia" w:hAnsi="宋体"/>
                <w:bCs/>
              </w:rPr>
              <w:t>三档（15分）：投标人提供的项目实施方案进度安排合理，且相关保障措施到位；对各项关键工作安排合理；对本项目的风险预见、风险应对措施完备，有完善的项目于解决方案；项目管理方案完整,组织机构合理，人员有保障，分工与职责明确；提出具有建设性的方案优化建议，项目方案贴近本项目实际执行内容与要求。</w:t>
            </w:r>
          </w:p>
          <w:p w14:paraId="35810718">
            <w:pPr>
              <w:widowControl/>
              <w:spacing w:line="400" w:lineRule="exact"/>
              <w:rPr>
                <w:rFonts w:ascii="宋体" w:hAnsi="宋体" w:cs="宋体"/>
                <w:szCs w:val="21"/>
                <w:lang w:bidi="ar"/>
              </w:rPr>
            </w:pPr>
            <w:r>
              <w:rPr>
                <w:rFonts w:hint="eastAsia" w:hAnsi="宋体" w:cs="新宋体"/>
                <w:b/>
                <w:bCs/>
                <w:szCs w:val="21"/>
              </w:rPr>
              <w:t>评审依据：投标文件中提供项目实施方案，由</w:t>
            </w:r>
            <w:r>
              <w:rPr>
                <w:rFonts w:hint="eastAsia" w:hAnsi="宋体"/>
                <w:b/>
                <w:szCs w:val="21"/>
              </w:rPr>
              <w:t>评标委员会判定档次</w:t>
            </w:r>
            <w:r>
              <w:rPr>
                <w:rFonts w:hint="eastAsia" w:hAnsi="宋体" w:cs="新宋体"/>
                <w:b/>
                <w:bCs/>
                <w:szCs w:val="21"/>
              </w:rPr>
              <w:t>得分。</w:t>
            </w:r>
          </w:p>
        </w:tc>
      </w:tr>
      <w:tr w14:paraId="6E7F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82" w:type="dxa"/>
            <w:vMerge w:val="restart"/>
            <w:vAlign w:val="center"/>
          </w:tcPr>
          <w:p w14:paraId="5ADDD285">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商务分(</w:t>
            </w:r>
            <w:r>
              <w:rPr>
                <w:rFonts w:hint="eastAsia" w:ascii="宋体" w:hAnsi="宋体" w:cs="宋体"/>
                <w:b/>
                <w:szCs w:val="21"/>
                <w:shd w:val="clear" w:color="auto" w:fill="FFFFFF"/>
                <w:lang w:val="en-US" w:eastAsia="zh-CN"/>
              </w:rPr>
              <w:t>20</w:t>
            </w:r>
            <w:r>
              <w:rPr>
                <w:rFonts w:hint="eastAsia" w:ascii="宋体" w:hAnsi="宋体" w:cs="宋体"/>
                <w:b/>
                <w:szCs w:val="21"/>
                <w:shd w:val="clear" w:color="auto" w:fill="FFFFFF"/>
              </w:rPr>
              <w:t>分)</w:t>
            </w:r>
          </w:p>
        </w:tc>
        <w:tc>
          <w:tcPr>
            <w:tcW w:w="715" w:type="dxa"/>
            <w:vAlign w:val="center"/>
          </w:tcPr>
          <w:p w14:paraId="0AE23094">
            <w:pPr>
              <w:spacing w:line="400" w:lineRule="exact"/>
              <w:rPr>
                <w:rFonts w:ascii="宋体" w:hAnsi="宋体" w:cs="宋体"/>
                <w:b/>
                <w:szCs w:val="21"/>
              </w:rPr>
            </w:pPr>
            <w:r>
              <w:rPr>
                <w:rFonts w:hint="eastAsia" w:ascii="宋体" w:hAnsi="宋体" w:cs="新宋体"/>
                <w:b/>
                <w:bCs/>
                <w:szCs w:val="21"/>
              </w:rPr>
              <w:t>信誉分（满分10分）</w:t>
            </w:r>
          </w:p>
        </w:tc>
        <w:tc>
          <w:tcPr>
            <w:tcW w:w="8529" w:type="dxa"/>
          </w:tcPr>
          <w:p w14:paraId="226E65B3">
            <w:pPr>
              <w:widowControl/>
              <w:spacing w:line="400" w:lineRule="exact"/>
              <w:ind w:firstLine="420" w:firstLineChars="200"/>
              <w:rPr>
                <w:rFonts w:ascii="宋体" w:hAnsi="宋体" w:cs="宋体"/>
                <w:szCs w:val="21"/>
                <w:lang w:bidi="ar"/>
              </w:rPr>
            </w:pPr>
            <w:r>
              <w:rPr>
                <w:rFonts w:hint="eastAsia" w:ascii="宋体" w:hAnsi="宋体" w:cs="宋体"/>
                <w:szCs w:val="21"/>
                <w:lang w:bidi="ar"/>
              </w:rPr>
              <w:t>(1) 为确保此次采购货物后续的升级开发以及避免知识产权纠纷影响学校使用，投标人或所投核心产品制造商须通过GB/T29490的知识产权管理体系认证，须提供认证证书复印件及官网截图，得2分；</w:t>
            </w:r>
          </w:p>
          <w:p w14:paraId="004045E5">
            <w:pPr>
              <w:widowControl/>
              <w:spacing w:line="400" w:lineRule="exact"/>
              <w:ind w:firstLine="420" w:firstLineChars="200"/>
              <w:rPr>
                <w:rFonts w:ascii="宋体" w:hAnsi="宋体" w:cs="宋体"/>
                <w:szCs w:val="21"/>
                <w:lang w:bidi="ar"/>
              </w:rPr>
            </w:pPr>
            <w:r>
              <w:rPr>
                <w:rFonts w:hint="eastAsia" w:ascii="宋体" w:hAnsi="宋体" w:cs="宋体"/>
                <w:szCs w:val="21"/>
                <w:lang w:bidi="ar"/>
              </w:rPr>
              <w:t>(2) 为响应国家节能减排政策号召，投标人或所投核心产品制造商通过ISO14064核准认证证书复印件及官网查询截图，得2分；</w:t>
            </w:r>
          </w:p>
          <w:p w14:paraId="3CC608B4">
            <w:pPr>
              <w:widowControl/>
              <w:spacing w:line="400" w:lineRule="exact"/>
              <w:ind w:firstLine="420" w:firstLineChars="200"/>
              <w:rPr>
                <w:rFonts w:ascii="宋体" w:hAnsi="宋体" w:cs="宋体"/>
                <w:szCs w:val="21"/>
                <w:lang w:bidi="ar"/>
              </w:rPr>
            </w:pPr>
            <w:r>
              <w:rPr>
                <w:rFonts w:hint="eastAsia" w:ascii="宋体" w:hAnsi="宋体" w:cs="宋体"/>
                <w:szCs w:val="21"/>
                <w:lang w:bidi="ar"/>
              </w:rPr>
              <w:t>(3) 为确保教学环境的安全性，投标人或所投核心产品制造商通过国际电工委员会电子元器件质量评定体系（IECQ）出具的QC080000危害物质过程管理体系认证（须提供证明文件复印件及官网认证范围查询截图），得分2分</w:t>
            </w:r>
          </w:p>
          <w:p w14:paraId="1448C92C">
            <w:pPr>
              <w:widowControl/>
              <w:spacing w:line="400" w:lineRule="exact"/>
              <w:ind w:firstLine="420" w:firstLineChars="200"/>
              <w:rPr>
                <w:rFonts w:ascii="宋体" w:hAnsi="宋体" w:cs="宋体"/>
                <w:szCs w:val="21"/>
                <w:lang w:bidi="ar"/>
              </w:rPr>
            </w:pPr>
            <w:r>
              <w:rPr>
                <w:rFonts w:hint="eastAsia" w:ascii="宋体" w:hAnsi="宋体" w:cs="宋体"/>
                <w:szCs w:val="21"/>
                <w:lang w:bidi="ar"/>
              </w:rPr>
              <w:t>(4) 为确保产品可获得体系化、全天候及时的售后服务，所投一体机制造商须通过GB/T 27922-2011商品售后服务评价认证，服务等级不低于五星级，且认证范围需包含所投产品，提供认证证书复印件及官网查询截图，得2分；</w:t>
            </w:r>
          </w:p>
          <w:p w14:paraId="475A4E70">
            <w:pPr>
              <w:spacing w:line="360" w:lineRule="auto"/>
              <w:ind w:firstLine="435"/>
            </w:pPr>
            <w:r>
              <w:rPr>
                <w:rFonts w:hint="eastAsia" w:ascii="宋体" w:hAnsi="宋体" w:cs="宋体"/>
                <w:szCs w:val="21"/>
                <w:lang w:bidi="ar"/>
              </w:rPr>
              <w:t>(5) 为确保云端信息数据安全管理，所投电脑教学设备产品生产者须通过ISO 27017云服务信息安全管理体系，提供证书，得2分。</w:t>
            </w:r>
          </w:p>
        </w:tc>
      </w:tr>
      <w:tr w14:paraId="43C1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82" w:type="dxa"/>
            <w:vMerge w:val="continue"/>
            <w:vAlign w:val="center"/>
          </w:tcPr>
          <w:p w14:paraId="3DC1AC7A">
            <w:pPr>
              <w:spacing w:line="360" w:lineRule="auto"/>
              <w:jc w:val="left"/>
              <w:rPr>
                <w:rFonts w:ascii="宋体" w:hAnsi="宋体" w:cs="宋体"/>
                <w:b/>
                <w:szCs w:val="21"/>
                <w:shd w:val="clear" w:color="auto" w:fill="FFFFFF"/>
              </w:rPr>
            </w:pPr>
          </w:p>
        </w:tc>
        <w:tc>
          <w:tcPr>
            <w:tcW w:w="715" w:type="dxa"/>
            <w:vAlign w:val="center"/>
          </w:tcPr>
          <w:p w14:paraId="4A028894">
            <w:pPr>
              <w:spacing w:line="400" w:lineRule="exact"/>
              <w:jc w:val="center"/>
              <w:rPr>
                <w:rFonts w:ascii="宋体" w:hAnsi="宋体" w:cs="宋体"/>
                <w:b/>
                <w:kern w:val="0"/>
                <w:szCs w:val="21"/>
              </w:rPr>
            </w:pPr>
            <w:r>
              <w:rPr>
                <w:rFonts w:hint="eastAsia" w:ascii="宋体" w:hAnsi="宋体" w:cs="宋体"/>
                <w:b/>
                <w:szCs w:val="21"/>
              </w:rPr>
              <w:t>售后服务分（满分</w:t>
            </w:r>
            <w:r>
              <w:rPr>
                <w:rFonts w:hint="eastAsia" w:ascii="宋体" w:hAnsi="宋体" w:cs="宋体"/>
                <w:b/>
                <w:szCs w:val="21"/>
                <w:lang w:val="en-US" w:eastAsia="zh-CN"/>
              </w:rPr>
              <w:t>8</w:t>
            </w:r>
            <w:r>
              <w:rPr>
                <w:rFonts w:hint="eastAsia" w:ascii="宋体" w:hAnsi="宋体" w:cs="宋体"/>
                <w:b/>
                <w:szCs w:val="21"/>
              </w:rPr>
              <w:t>分）</w:t>
            </w:r>
          </w:p>
        </w:tc>
        <w:tc>
          <w:tcPr>
            <w:tcW w:w="8529" w:type="dxa"/>
            <w:vAlign w:val="center"/>
          </w:tcPr>
          <w:p w14:paraId="5E3E81D0">
            <w:pPr>
              <w:pStyle w:val="12"/>
              <w:spacing w:line="360" w:lineRule="auto"/>
              <w:ind w:firstLine="420" w:firstLineChars="200"/>
              <w:rPr>
                <w:rFonts w:hAnsi="宋体"/>
                <w:bCs/>
              </w:rPr>
            </w:pPr>
            <w:r>
              <w:rPr>
                <w:rFonts w:hint="eastAsia" w:hAnsi="宋体"/>
                <w:bCs/>
              </w:rPr>
              <w:t>一档（</w:t>
            </w:r>
            <w:r>
              <w:rPr>
                <w:rFonts w:hint="eastAsia" w:hAnsi="宋体"/>
                <w:bCs/>
                <w:lang w:val="en-US" w:eastAsia="zh-CN"/>
              </w:rPr>
              <w:t>4</w:t>
            </w:r>
            <w:r>
              <w:rPr>
                <w:rFonts w:hint="eastAsia" w:hAnsi="宋体"/>
                <w:bCs/>
              </w:rPr>
              <w:t>分）：投标人针对本项目的售后服务方案，要求以售后服务承诺书内容有技术培训方案、保修期（免费软件升级期）外维修方案等。</w:t>
            </w:r>
          </w:p>
          <w:p w14:paraId="1F06DF8E">
            <w:pPr>
              <w:pStyle w:val="12"/>
              <w:spacing w:line="360" w:lineRule="auto"/>
              <w:ind w:firstLine="420" w:firstLineChars="200"/>
              <w:rPr>
                <w:rFonts w:hAnsi="宋体"/>
                <w:bCs/>
              </w:rPr>
            </w:pPr>
            <w:r>
              <w:rPr>
                <w:rFonts w:hint="eastAsia" w:hAnsi="宋体"/>
                <w:bCs/>
              </w:rPr>
              <w:t>二档（</w:t>
            </w:r>
            <w:r>
              <w:rPr>
                <w:rFonts w:hint="eastAsia" w:hAnsi="宋体"/>
                <w:bCs/>
                <w:lang w:val="en-US" w:eastAsia="zh-CN"/>
              </w:rPr>
              <w:t>6</w:t>
            </w:r>
            <w:r>
              <w:rPr>
                <w:rFonts w:hint="eastAsia" w:hAnsi="宋体"/>
                <w:bCs/>
              </w:rPr>
              <w:t>分）：投标人的售后方案中，售后服务承诺书内容完整、提供免费技术培训方案、保修期（免费软件升级期）外维修方案、售后服务措施，故障解决方案中维修时间超过12小时不超过24个小时，能提供备用产品用于替待使用，有安装要求及方案且描述了项目售后维护和应急保障方案的方法以及实现方式和其他优惠措施。</w:t>
            </w:r>
          </w:p>
          <w:p w14:paraId="65BB2001">
            <w:pPr>
              <w:pStyle w:val="12"/>
              <w:spacing w:line="360" w:lineRule="auto"/>
              <w:ind w:firstLine="420" w:firstLineChars="200"/>
              <w:rPr>
                <w:rFonts w:hAnsi="宋体"/>
                <w:bCs/>
              </w:rPr>
            </w:pPr>
            <w:r>
              <w:rPr>
                <w:rFonts w:hint="eastAsia" w:hAnsi="宋体"/>
                <w:bCs/>
              </w:rPr>
              <w:t>三档（</w:t>
            </w:r>
            <w:r>
              <w:rPr>
                <w:rFonts w:hint="eastAsia" w:hAnsi="宋体"/>
                <w:bCs/>
                <w:lang w:val="en-US" w:eastAsia="zh-CN"/>
              </w:rPr>
              <w:t>8</w:t>
            </w:r>
            <w:r>
              <w:rPr>
                <w:rFonts w:hint="eastAsia" w:hAnsi="宋体"/>
                <w:bCs/>
              </w:rPr>
              <w:t>分）：投标人的售后方案中，售后服务承诺书内容完整、3小时到达故障现场时间、故障出现解决方案中维修时间不超过12小时，当天能提供备用产品用于替代使用，有定期维护 (注明时间)、有免费技术培训方案、免费保修期（免费软件升级期）外维修方案、售后服务措施、其他优惠措施、安装要求及方案，应急保障方案且描述了项目售后维护和应急保障方案的方法以及实现方式，服务承诺和保障措施考虑周全完整。</w:t>
            </w:r>
          </w:p>
          <w:p w14:paraId="56C7A2E6">
            <w:pPr>
              <w:rPr>
                <w:rFonts w:ascii="宋体" w:hAnsi="宋体"/>
                <w:szCs w:val="21"/>
              </w:rPr>
            </w:pPr>
            <w:r>
              <w:rPr>
                <w:rFonts w:hint="eastAsia" w:ascii="宋体" w:hAnsi="宋体" w:cs="新宋体"/>
                <w:b/>
                <w:szCs w:val="21"/>
              </w:rPr>
              <w:t>评审依据：投标文件中提供售后服务方案，由评标委员会判定档次得分</w:t>
            </w:r>
            <w:r>
              <w:rPr>
                <w:rFonts w:hint="eastAsia" w:hAnsi="宋体" w:cs="新宋体"/>
                <w:b/>
                <w:bCs/>
                <w:szCs w:val="21"/>
              </w:rPr>
              <w:t>。</w:t>
            </w:r>
          </w:p>
        </w:tc>
      </w:tr>
      <w:tr w14:paraId="7D3B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vAlign w:val="center"/>
          </w:tcPr>
          <w:p w14:paraId="668A9DC4">
            <w:pPr>
              <w:spacing w:line="360" w:lineRule="auto"/>
              <w:jc w:val="left"/>
              <w:rPr>
                <w:rFonts w:ascii="宋体" w:hAnsi="宋体" w:cs="宋体"/>
                <w:b/>
                <w:szCs w:val="21"/>
                <w:shd w:val="clear" w:color="auto" w:fill="FFFFFF"/>
              </w:rPr>
            </w:pPr>
          </w:p>
        </w:tc>
        <w:tc>
          <w:tcPr>
            <w:tcW w:w="715" w:type="dxa"/>
            <w:vAlign w:val="center"/>
          </w:tcPr>
          <w:p w14:paraId="6ED343EA">
            <w:pPr>
              <w:spacing w:line="400" w:lineRule="exact"/>
              <w:jc w:val="center"/>
              <w:rPr>
                <w:rFonts w:ascii="宋体" w:hAnsi="宋体" w:cs="宋体"/>
                <w:b/>
                <w:szCs w:val="21"/>
              </w:rPr>
            </w:pPr>
            <w:r>
              <w:rPr>
                <w:rFonts w:hint="eastAsia" w:ascii="宋体" w:hAnsi="宋体" w:cs="宋体"/>
                <w:b/>
                <w:szCs w:val="21"/>
              </w:rPr>
              <w:t>政策分（满分2）</w:t>
            </w:r>
          </w:p>
        </w:tc>
        <w:tc>
          <w:tcPr>
            <w:tcW w:w="8529" w:type="dxa"/>
            <w:vAlign w:val="center"/>
          </w:tcPr>
          <w:p w14:paraId="39E14E6F">
            <w:pPr>
              <w:widowControl/>
              <w:spacing w:line="380" w:lineRule="exact"/>
              <w:jc w:val="left"/>
              <w:rPr>
                <w:rFonts w:ascii="宋体" w:hAnsi="宋体"/>
                <w:szCs w:val="21"/>
              </w:rPr>
            </w:pPr>
            <w:r>
              <w:rPr>
                <w:rFonts w:hint="eastAsia" w:ascii="宋体" w:hAnsi="宋体"/>
                <w:szCs w:val="21"/>
              </w:rPr>
              <w:t>（1）投标产品为政府采购节能产品的得1分（适用于非强制采购节能产品，以有效的政府采购节能产品认证证书复印件为准，投标产品需清晰反映在证书上）。</w:t>
            </w:r>
          </w:p>
          <w:p w14:paraId="138ADDDB">
            <w:pPr>
              <w:widowControl/>
              <w:spacing w:line="380" w:lineRule="exact"/>
              <w:jc w:val="left"/>
              <w:rPr>
                <w:rFonts w:ascii="宋体" w:hAnsi="宋体"/>
                <w:szCs w:val="21"/>
              </w:rPr>
            </w:pPr>
            <w:r>
              <w:rPr>
                <w:rFonts w:hint="eastAsia" w:ascii="宋体" w:hAnsi="宋体"/>
                <w:szCs w:val="21"/>
              </w:rPr>
              <w:t>（2）投标产品为政府采购环境标志产品的得1分（以有效的政府采购环境标志产品认证证书复印件为准，投标产品需清晰反映在证书上）。</w:t>
            </w:r>
          </w:p>
          <w:p w14:paraId="516DD2C1">
            <w:pPr>
              <w:pStyle w:val="38"/>
              <w:spacing w:line="276" w:lineRule="auto"/>
              <w:ind w:left="420" w:hanging="420"/>
              <w:rPr>
                <w:rFonts w:ascii="宋体" w:hAnsi="宋体" w:eastAsia="宋体" w:cs="新宋体"/>
                <w:b w:val="0"/>
                <w:bCs/>
                <w:sz w:val="21"/>
                <w:szCs w:val="21"/>
              </w:rPr>
            </w:pPr>
            <w:r>
              <w:rPr>
                <w:rFonts w:hint="eastAsia" w:ascii="宋体" w:hAnsi="宋体" w:eastAsia="宋体"/>
                <w:b w:val="0"/>
                <w:sz w:val="21"/>
                <w:szCs w:val="21"/>
              </w:rPr>
              <w:t>（3）非节能、环保的产品不得分。</w:t>
            </w:r>
          </w:p>
        </w:tc>
      </w:tr>
      <w:tr w14:paraId="079A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82" w:type="dxa"/>
            <w:vAlign w:val="center"/>
          </w:tcPr>
          <w:p w14:paraId="5F33060D">
            <w:pPr>
              <w:spacing w:line="360" w:lineRule="auto"/>
              <w:jc w:val="left"/>
              <w:rPr>
                <w:rFonts w:ascii="宋体" w:hAnsi="宋体" w:cs="宋体"/>
                <w:b/>
                <w:szCs w:val="21"/>
                <w:shd w:val="clear" w:color="auto" w:fill="FFFFFF"/>
              </w:rPr>
            </w:pPr>
          </w:p>
        </w:tc>
        <w:tc>
          <w:tcPr>
            <w:tcW w:w="715" w:type="dxa"/>
            <w:vAlign w:val="center"/>
          </w:tcPr>
          <w:p w14:paraId="437C068D">
            <w:pPr>
              <w:spacing w:line="400" w:lineRule="exact"/>
              <w:jc w:val="center"/>
              <w:rPr>
                <w:rFonts w:ascii="宋体" w:hAnsi="宋体" w:cs="宋体"/>
                <w:b/>
                <w:szCs w:val="21"/>
              </w:rPr>
            </w:pPr>
            <w:r>
              <w:rPr>
                <w:rFonts w:hint="eastAsia" w:ascii="宋体" w:hAnsi="宋体" w:cs="宋体"/>
                <w:b/>
                <w:szCs w:val="21"/>
              </w:rPr>
              <w:t>诚信分（-6~0分</w:t>
            </w:r>
            <w:r>
              <w:rPr>
                <w:rFonts w:hint="eastAsia" w:ascii="宋体" w:hAnsi="宋体"/>
                <w:bCs/>
                <w:szCs w:val="21"/>
              </w:rPr>
              <w:t>）</w:t>
            </w:r>
          </w:p>
        </w:tc>
        <w:tc>
          <w:tcPr>
            <w:tcW w:w="8529" w:type="dxa"/>
            <w:vAlign w:val="center"/>
          </w:tcPr>
          <w:p w14:paraId="0814234C">
            <w:pPr>
              <w:pStyle w:val="38"/>
              <w:spacing w:line="276" w:lineRule="auto"/>
              <w:rPr>
                <w:rFonts w:ascii="宋体" w:hAnsi="宋体" w:eastAsia="宋体" w:cs="新宋体"/>
                <w:bCs/>
                <w:sz w:val="21"/>
                <w:szCs w:val="21"/>
              </w:rPr>
            </w:pPr>
            <w:r>
              <w:rPr>
                <w:rFonts w:hint="eastAsia" w:ascii="宋体" w:hAnsi="宋体" w:eastAsia="宋体" w:cs="新宋体"/>
                <w:b w:val="0"/>
                <w:sz w:val="21"/>
                <w:szCs w:val="21"/>
              </w:rPr>
              <w:t>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w:t>
            </w:r>
          </w:p>
        </w:tc>
      </w:tr>
    </w:tbl>
    <w:p w14:paraId="57BBC0DB">
      <w:pPr>
        <w:pStyle w:val="12"/>
        <w:tabs>
          <w:tab w:val="left" w:pos="2472"/>
        </w:tabs>
        <w:spacing w:line="360" w:lineRule="auto"/>
        <w:rPr>
          <w:rFonts w:hAnsi="宋体" w:cs="宋体"/>
          <w:b/>
          <w:sz w:val="36"/>
        </w:rPr>
      </w:pPr>
    </w:p>
    <w:p w14:paraId="58E2694C">
      <w:pPr>
        <w:rPr>
          <w:rFonts w:hAnsi="宋体" w:cs="宋体"/>
          <w:b/>
          <w:sz w:val="36"/>
        </w:rPr>
      </w:pPr>
      <w:bookmarkStart w:id="136" w:name="_Toc5664"/>
      <w:r>
        <w:rPr>
          <w:rFonts w:hint="eastAsia" w:hAnsi="宋体" w:cs="宋体"/>
          <w:b/>
          <w:sz w:val="36"/>
        </w:rPr>
        <w:br w:type="page"/>
      </w:r>
    </w:p>
    <w:p w14:paraId="00EE7D5A">
      <w:pPr>
        <w:pStyle w:val="12"/>
        <w:tabs>
          <w:tab w:val="left" w:pos="2472"/>
        </w:tabs>
        <w:spacing w:line="360" w:lineRule="auto"/>
        <w:jc w:val="center"/>
        <w:outlineLvl w:val="0"/>
        <w:rPr>
          <w:rFonts w:hAnsi="宋体" w:cs="宋体"/>
          <w:b/>
          <w:sz w:val="36"/>
        </w:rPr>
      </w:pPr>
      <w:r>
        <w:rPr>
          <w:rFonts w:hint="eastAsia" w:hAnsi="宋体" w:cs="宋体"/>
          <w:b/>
          <w:sz w:val="36"/>
        </w:rPr>
        <w:t>第五章 拟签订的合同文本</w:t>
      </w:r>
      <w:bookmarkEnd w:id="136"/>
    </w:p>
    <w:p w14:paraId="584B9905">
      <w:pPr>
        <w:spacing w:line="360" w:lineRule="auto"/>
        <w:rPr>
          <w:rFonts w:ascii="宋体" w:hAnsi="宋体" w:cs="宋体"/>
          <w:sz w:val="24"/>
        </w:rPr>
      </w:pPr>
    </w:p>
    <w:p w14:paraId="673A3EEA">
      <w:pPr>
        <w:spacing w:line="360" w:lineRule="auto"/>
        <w:rPr>
          <w:rFonts w:ascii="宋体" w:hAnsi="宋体" w:cs="宋体"/>
          <w:sz w:val="24"/>
          <w:u w:val="single"/>
        </w:rPr>
      </w:pPr>
      <w:r>
        <w:rPr>
          <w:rFonts w:hint="eastAsia" w:ascii="宋体" w:hAnsi="宋体" w:cs="宋体"/>
          <w:sz w:val="24"/>
        </w:rPr>
        <w:t>“政采云”平台合同编号：</w:t>
      </w:r>
      <w:r>
        <w:rPr>
          <w:rFonts w:hint="eastAsia" w:ascii="宋体" w:hAnsi="宋体" w:cs="宋体"/>
          <w:sz w:val="24"/>
          <w:u w:val="single"/>
        </w:rPr>
        <w:t xml:space="preserve">           </w:t>
      </w:r>
    </w:p>
    <w:p w14:paraId="408C841B">
      <w:pPr>
        <w:spacing w:line="360" w:lineRule="auto"/>
        <w:jc w:val="center"/>
        <w:rPr>
          <w:rFonts w:ascii="宋体" w:hAnsi="宋体" w:cs="宋体"/>
          <w:b/>
          <w:bCs/>
          <w:sz w:val="52"/>
        </w:rPr>
      </w:pPr>
    </w:p>
    <w:p w14:paraId="69B4C544">
      <w:pPr>
        <w:spacing w:line="360" w:lineRule="auto"/>
        <w:jc w:val="center"/>
        <w:rPr>
          <w:rFonts w:ascii="宋体" w:hAnsi="宋体" w:cs="宋体"/>
          <w:b/>
          <w:bCs/>
          <w:sz w:val="52"/>
        </w:rPr>
      </w:pPr>
    </w:p>
    <w:p w14:paraId="5700AA27">
      <w:pPr>
        <w:spacing w:line="360" w:lineRule="auto"/>
        <w:jc w:val="center"/>
        <w:rPr>
          <w:rFonts w:ascii="宋体" w:hAnsi="宋体" w:cs="宋体"/>
          <w:b/>
          <w:bCs/>
          <w:sz w:val="52"/>
        </w:rPr>
      </w:pPr>
      <w:r>
        <w:rPr>
          <w:rFonts w:hint="eastAsia" w:ascii="宋体" w:hAnsi="宋体" w:cs="宋体"/>
          <w:b/>
          <w:bCs/>
          <w:sz w:val="52"/>
        </w:rPr>
        <w:t>南 宁 市 政 府 采 购</w:t>
      </w:r>
    </w:p>
    <w:p w14:paraId="4F8C7BF3">
      <w:pPr>
        <w:spacing w:line="360" w:lineRule="auto"/>
        <w:ind w:firstLine="420" w:firstLineChars="200"/>
        <w:rPr>
          <w:rFonts w:ascii="宋体" w:hAnsi="宋体" w:cs="宋体"/>
        </w:rPr>
      </w:pPr>
    </w:p>
    <w:p w14:paraId="5B7BF4B0">
      <w:pPr>
        <w:spacing w:line="360" w:lineRule="auto"/>
        <w:ind w:firstLine="420" w:firstLineChars="200"/>
        <w:rPr>
          <w:rFonts w:ascii="宋体" w:hAnsi="宋体" w:cs="宋体"/>
        </w:rPr>
      </w:pPr>
      <w:r>
        <w:rPr>
          <w:rFonts w:hint="eastAsia" w:ascii="宋体" w:hAnsi="宋体" w:cs="宋体"/>
        </w:rPr>
        <w:t xml:space="preserve">                                                 </w:t>
      </w:r>
    </w:p>
    <w:p w14:paraId="3D66F4DB">
      <w:pPr>
        <w:spacing w:line="360" w:lineRule="auto"/>
        <w:jc w:val="center"/>
        <w:rPr>
          <w:rFonts w:ascii="宋体" w:hAnsi="宋体" w:cs="宋体"/>
          <w:b/>
          <w:bCs/>
          <w:spacing w:val="-6"/>
          <w:sz w:val="36"/>
          <w:szCs w:val="36"/>
        </w:rPr>
      </w:pPr>
      <w:r>
        <w:rPr>
          <w:rFonts w:hint="eastAsia" w:ascii="宋体" w:hAnsi="宋体" w:cs="宋体"/>
          <w:b/>
          <w:bCs/>
          <w:spacing w:val="-6"/>
          <w:sz w:val="36"/>
          <w:szCs w:val="36"/>
          <w:u w:val="single"/>
        </w:rPr>
        <w:t xml:space="preserve">                   </w:t>
      </w:r>
      <w:r>
        <w:rPr>
          <w:rFonts w:hint="eastAsia" w:ascii="宋体" w:hAnsi="宋体" w:cs="宋体"/>
          <w:b/>
          <w:bCs/>
          <w:spacing w:val="-6"/>
          <w:sz w:val="36"/>
          <w:szCs w:val="36"/>
        </w:rPr>
        <w:t>合同</w:t>
      </w:r>
    </w:p>
    <w:p w14:paraId="31CC4522">
      <w:pPr>
        <w:spacing w:line="360" w:lineRule="auto"/>
        <w:jc w:val="center"/>
        <w:rPr>
          <w:rFonts w:ascii="宋体" w:hAnsi="宋体" w:cs="宋体"/>
          <w:b/>
          <w:bCs/>
          <w:sz w:val="44"/>
        </w:rPr>
      </w:pPr>
    </w:p>
    <w:p w14:paraId="0484FF73">
      <w:pPr>
        <w:spacing w:line="360" w:lineRule="auto"/>
        <w:jc w:val="center"/>
        <w:rPr>
          <w:rFonts w:ascii="宋体" w:hAnsi="宋体" w:cs="宋体"/>
          <w:b/>
          <w:bCs/>
          <w:sz w:val="44"/>
        </w:rPr>
      </w:pPr>
    </w:p>
    <w:p w14:paraId="7D4886EF">
      <w:pPr>
        <w:spacing w:line="360" w:lineRule="auto"/>
        <w:ind w:firstLine="3507" w:firstLineChars="794"/>
        <w:rPr>
          <w:rFonts w:ascii="宋体" w:hAnsi="宋体" w:cs="宋体"/>
          <w:b/>
          <w:bCs/>
          <w:sz w:val="44"/>
        </w:rPr>
      </w:pPr>
    </w:p>
    <w:p w14:paraId="626D8CD0">
      <w:pPr>
        <w:spacing w:line="360" w:lineRule="auto"/>
        <w:ind w:firstLine="3507" w:firstLineChars="794"/>
        <w:rPr>
          <w:rFonts w:ascii="宋体" w:hAnsi="宋体" w:cs="宋体"/>
          <w:b/>
          <w:bCs/>
          <w:sz w:val="44"/>
        </w:rPr>
      </w:pPr>
    </w:p>
    <w:p w14:paraId="1FBFE97F">
      <w:pPr>
        <w:spacing w:line="360" w:lineRule="auto"/>
        <w:ind w:firstLine="1995" w:firstLineChars="552"/>
        <w:rPr>
          <w:rFonts w:ascii="宋体" w:hAnsi="宋体" w:cs="宋体"/>
          <w:b/>
          <w:sz w:val="36"/>
          <w:szCs w:val="36"/>
        </w:rPr>
      </w:pPr>
      <w:r>
        <w:rPr>
          <w:rFonts w:hint="eastAsia" w:ascii="宋体" w:hAnsi="宋体" w:cs="宋体"/>
          <w:b/>
          <w:sz w:val="36"/>
          <w:szCs w:val="36"/>
        </w:rPr>
        <w:t>项目编号：</w:t>
      </w:r>
      <w:r>
        <w:rPr>
          <w:rFonts w:hint="eastAsia" w:ascii="宋体" w:hAnsi="宋体" w:cs="宋体"/>
          <w:b/>
          <w:sz w:val="36"/>
          <w:szCs w:val="36"/>
          <w:u w:val="single"/>
        </w:rPr>
        <w:t xml:space="preserve">                     </w:t>
      </w:r>
    </w:p>
    <w:p w14:paraId="206D7020">
      <w:pPr>
        <w:spacing w:line="360" w:lineRule="auto"/>
        <w:ind w:firstLine="1995" w:firstLineChars="552"/>
        <w:rPr>
          <w:rFonts w:ascii="宋体" w:hAnsi="宋体" w:cs="宋体"/>
          <w:b/>
          <w:sz w:val="36"/>
          <w:szCs w:val="36"/>
        </w:rPr>
      </w:pPr>
      <w:r>
        <w:rPr>
          <w:rFonts w:hint="eastAsia" w:ascii="宋体" w:hAnsi="宋体" w:cs="宋体"/>
          <w:b/>
          <w:sz w:val="36"/>
          <w:szCs w:val="36"/>
        </w:rPr>
        <w:t>计划编号：</w:t>
      </w:r>
      <w:r>
        <w:rPr>
          <w:rFonts w:hint="eastAsia" w:ascii="宋体" w:hAnsi="宋体" w:cs="宋体"/>
          <w:b/>
          <w:sz w:val="36"/>
          <w:szCs w:val="36"/>
          <w:u w:val="single"/>
        </w:rPr>
        <w:t xml:space="preserve">                      </w:t>
      </w:r>
    </w:p>
    <w:p w14:paraId="21733DF0">
      <w:pPr>
        <w:spacing w:line="360" w:lineRule="auto"/>
        <w:ind w:firstLine="1970" w:firstLineChars="545"/>
        <w:rPr>
          <w:rFonts w:ascii="宋体" w:hAnsi="宋体" w:cs="宋体"/>
          <w:b/>
          <w:sz w:val="36"/>
          <w:szCs w:val="36"/>
          <w:u w:val="single"/>
        </w:rPr>
      </w:pPr>
    </w:p>
    <w:p w14:paraId="5D1BF082">
      <w:pPr>
        <w:tabs>
          <w:tab w:val="left" w:pos="7200"/>
        </w:tabs>
        <w:spacing w:line="360" w:lineRule="auto"/>
        <w:ind w:firstLine="1995" w:firstLineChars="552"/>
        <w:rPr>
          <w:rFonts w:ascii="宋体" w:hAnsi="宋体" w:cs="宋体"/>
          <w:b/>
          <w:sz w:val="36"/>
          <w:szCs w:val="36"/>
          <w:u w:val="single"/>
        </w:rPr>
      </w:pPr>
      <w:r>
        <w:rPr>
          <w:rFonts w:hint="eastAsia" w:ascii="宋体" w:hAnsi="宋体" w:cs="宋体"/>
          <w:b/>
          <w:sz w:val="36"/>
          <w:szCs w:val="36"/>
        </w:rPr>
        <w:t>采购人：</w:t>
      </w:r>
      <w:r>
        <w:rPr>
          <w:rFonts w:hint="eastAsia" w:ascii="宋体" w:hAnsi="宋体" w:cs="宋体"/>
          <w:b/>
          <w:sz w:val="36"/>
          <w:szCs w:val="36"/>
          <w:u w:val="single"/>
        </w:rPr>
        <w:t xml:space="preserve"> 隆安县教育局  </w:t>
      </w:r>
    </w:p>
    <w:p w14:paraId="13E6A0A4">
      <w:pPr>
        <w:tabs>
          <w:tab w:val="left" w:pos="7380"/>
        </w:tabs>
        <w:spacing w:line="360" w:lineRule="auto"/>
        <w:ind w:firstLine="1995" w:firstLineChars="552"/>
        <w:rPr>
          <w:rFonts w:ascii="宋体" w:hAnsi="宋体" w:cs="宋体"/>
          <w:b/>
          <w:bCs/>
          <w:sz w:val="44"/>
        </w:rPr>
      </w:pPr>
      <w:r>
        <w:rPr>
          <w:rFonts w:hint="eastAsia" w:ascii="宋体" w:hAnsi="宋体" w:cs="宋体"/>
          <w:b/>
          <w:sz w:val="36"/>
          <w:szCs w:val="36"/>
        </w:rPr>
        <w:t>中标人：</w:t>
      </w:r>
      <w:r>
        <w:rPr>
          <w:rFonts w:hint="eastAsia" w:ascii="宋体" w:hAnsi="宋体" w:cs="宋体"/>
          <w:b/>
          <w:sz w:val="36"/>
          <w:szCs w:val="36"/>
          <w:u w:val="single"/>
        </w:rPr>
        <w:t xml:space="preserve">                   </w:t>
      </w:r>
    </w:p>
    <w:p w14:paraId="11AD7F42">
      <w:pPr>
        <w:tabs>
          <w:tab w:val="left" w:pos="7380"/>
        </w:tabs>
        <w:spacing w:line="360" w:lineRule="auto"/>
        <w:rPr>
          <w:rFonts w:ascii="宋体" w:hAnsi="宋体" w:cs="宋体"/>
          <w:b/>
          <w:bCs/>
          <w:sz w:val="44"/>
        </w:rPr>
      </w:pPr>
    </w:p>
    <w:p w14:paraId="47F7CBFC">
      <w:pPr>
        <w:spacing w:before="120" w:line="360" w:lineRule="auto"/>
        <w:ind w:firstLine="2280" w:firstLineChars="950"/>
        <w:rPr>
          <w:rFonts w:ascii="宋体" w:hAnsi="宋体" w:cs="宋体"/>
          <w:b/>
          <w:bCs/>
          <w:sz w:val="44"/>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859678E">
      <w:pPr>
        <w:snapToGrid w:val="0"/>
        <w:spacing w:line="360" w:lineRule="auto"/>
        <w:jc w:val="center"/>
        <w:rPr>
          <w:rFonts w:ascii="宋体" w:hAnsi="宋体" w:cs="宋体"/>
          <w:b/>
          <w:sz w:val="24"/>
        </w:rPr>
      </w:pPr>
      <w:r>
        <w:rPr>
          <w:rFonts w:hint="eastAsia" w:ascii="宋体" w:hAnsi="宋体" w:cs="宋体"/>
          <w:b/>
          <w:bCs/>
          <w:sz w:val="44"/>
        </w:rPr>
        <w:br w:type="page"/>
      </w:r>
      <w:r>
        <w:rPr>
          <w:rFonts w:hint="eastAsia" w:ascii="宋体" w:hAnsi="宋体" w:cs="宋体"/>
          <w:b/>
          <w:sz w:val="24"/>
        </w:rPr>
        <w:t>合同目录</w:t>
      </w:r>
    </w:p>
    <w:p w14:paraId="68E6605D">
      <w:pPr>
        <w:snapToGrid w:val="0"/>
        <w:spacing w:line="360" w:lineRule="auto"/>
        <w:jc w:val="center"/>
        <w:rPr>
          <w:rFonts w:ascii="宋体" w:hAnsi="宋体" w:cs="宋体"/>
          <w:b/>
          <w:bCs/>
          <w:sz w:val="44"/>
        </w:rPr>
      </w:pPr>
    </w:p>
    <w:p w14:paraId="690BCF50">
      <w:pPr>
        <w:snapToGrid w:val="0"/>
        <w:spacing w:line="360" w:lineRule="auto"/>
        <w:rPr>
          <w:rFonts w:ascii="宋体" w:hAnsi="宋体" w:cs="宋体"/>
          <w:kern w:val="0"/>
          <w:sz w:val="24"/>
        </w:rPr>
      </w:pPr>
      <w:r>
        <w:rPr>
          <w:rFonts w:hint="eastAsia" w:ascii="宋体" w:hAnsi="宋体" w:cs="宋体"/>
          <w:kern w:val="0"/>
          <w:sz w:val="24"/>
        </w:rPr>
        <w:t>一、</w:t>
      </w:r>
      <w:r>
        <w:rPr>
          <w:rFonts w:hint="eastAsia" w:ascii="宋体" w:hAnsi="宋体" w:cs="宋体"/>
          <w:sz w:val="24"/>
        </w:rPr>
        <w:t>第一部分 合同书</w:t>
      </w:r>
      <w:r>
        <w:rPr>
          <w:rFonts w:hint="eastAsia" w:ascii="宋体" w:hAnsi="宋体" w:cs="宋体"/>
          <w:kern w:val="0"/>
          <w:sz w:val="24"/>
        </w:rPr>
        <w:t>……………………………………………………………（页码）</w:t>
      </w:r>
    </w:p>
    <w:p w14:paraId="051D0FC0">
      <w:pPr>
        <w:snapToGrid w:val="0"/>
        <w:spacing w:line="360" w:lineRule="auto"/>
        <w:rPr>
          <w:rFonts w:ascii="宋体" w:hAnsi="宋体" w:cs="宋体"/>
          <w:kern w:val="0"/>
          <w:sz w:val="24"/>
        </w:rPr>
      </w:pPr>
      <w:r>
        <w:rPr>
          <w:rFonts w:hint="eastAsia" w:ascii="宋体" w:hAnsi="宋体" w:cs="宋体"/>
          <w:kern w:val="0"/>
          <w:sz w:val="24"/>
        </w:rPr>
        <w:t>二、第二部分 合同一般条款……………………………………………………（页码）</w:t>
      </w:r>
    </w:p>
    <w:p w14:paraId="46F1EA81">
      <w:pPr>
        <w:snapToGrid w:val="0"/>
        <w:spacing w:line="360" w:lineRule="auto"/>
        <w:rPr>
          <w:rFonts w:ascii="宋体" w:hAnsi="宋体" w:cs="宋体"/>
          <w:kern w:val="0"/>
          <w:sz w:val="24"/>
        </w:rPr>
      </w:pPr>
      <w:r>
        <w:rPr>
          <w:rFonts w:hint="eastAsia" w:ascii="宋体" w:hAnsi="宋体" w:cs="宋体"/>
          <w:kern w:val="0"/>
          <w:sz w:val="24"/>
        </w:rPr>
        <w:t>三、第三部分 合同专用条款……………………………………………………（页码）</w:t>
      </w:r>
    </w:p>
    <w:p w14:paraId="49BE21B7">
      <w:pPr>
        <w:snapToGrid w:val="0"/>
        <w:spacing w:line="360" w:lineRule="auto"/>
        <w:rPr>
          <w:rFonts w:ascii="宋体" w:hAnsi="宋体" w:cs="宋体"/>
          <w:kern w:val="0"/>
          <w:sz w:val="24"/>
        </w:rPr>
      </w:pPr>
      <w:r>
        <w:rPr>
          <w:rFonts w:hint="eastAsia" w:ascii="宋体" w:hAnsi="宋体" w:cs="宋体"/>
          <w:kern w:val="0"/>
          <w:sz w:val="24"/>
        </w:rPr>
        <w:t>四、</w:t>
      </w:r>
      <w:r>
        <w:rPr>
          <w:rFonts w:hint="eastAsia" w:ascii="宋体" w:hAnsi="宋体" w:cs="宋体"/>
          <w:sz w:val="24"/>
        </w:rPr>
        <w:t>第四部分 合同附件</w:t>
      </w:r>
      <w:r>
        <w:rPr>
          <w:rFonts w:hint="eastAsia" w:ascii="宋体" w:hAnsi="宋体" w:cs="宋体"/>
          <w:kern w:val="0"/>
          <w:sz w:val="24"/>
        </w:rPr>
        <w:t>…………………………………………………………（页码）</w:t>
      </w:r>
    </w:p>
    <w:p w14:paraId="1E2054EE">
      <w:pPr>
        <w:snapToGrid w:val="0"/>
        <w:spacing w:line="360" w:lineRule="auto"/>
        <w:rPr>
          <w:rFonts w:ascii="宋体" w:hAnsi="宋体" w:cs="宋体"/>
          <w:kern w:val="0"/>
          <w:sz w:val="24"/>
        </w:rPr>
      </w:pPr>
      <w:r>
        <w:rPr>
          <w:rFonts w:hint="eastAsia" w:ascii="宋体" w:hAnsi="宋体" w:cs="宋体"/>
          <w:kern w:val="0"/>
          <w:sz w:val="24"/>
        </w:rPr>
        <w:t>4.1中标通知书 …………………………………………………………………（页码）</w:t>
      </w:r>
    </w:p>
    <w:p w14:paraId="5966F411">
      <w:pPr>
        <w:snapToGrid w:val="0"/>
        <w:spacing w:line="360" w:lineRule="auto"/>
        <w:rPr>
          <w:rFonts w:ascii="宋体" w:hAnsi="宋体" w:cs="宋体"/>
          <w:kern w:val="0"/>
          <w:sz w:val="24"/>
        </w:rPr>
      </w:pPr>
      <w:r>
        <w:rPr>
          <w:rFonts w:hint="eastAsia" w:ascii="宋体" w:hAnsi="宋体" w:cs="宋体"/>
          <w:kern w:val="0"/>
          <w:sz w:val="24"/>
        </w:rPr>
        <w:t>4.2招标文件货物需求一览表 …………………………………………………（页码）</w:t>
      </w:r>
    </w:p>
    <w:p w14:paraId="5DAE2690">
      <w:pPr>
        <w:snapToGrid w:val="0"/>
        <w:spacing w:line="360" w:lineRule="auto"/>
        <w:rPr>
          <w:rFonts w:ascii="宋体" w:hAnsi="宋体" w:cs="宋体"/>
          <w:kern w:val="0"/>
          <w:sz w:val="24"/>
        </w:rPr>
      </w:pPr>
      <w:r>
        <w:rPr>
          <w:rFonts w:hint="eastAsia" w:ascii="宋体" w:hAnsi="宋体" w:cs="宋体"/>
          <w:kern w:val="0"/>
          <w:sz w:val="24"/>
        </w:rPr>
        <w:t>4.3招标文件的更改通知（如有） ……………………………………………（页码）</w:t>
      </w:r>
    </w:p>
    <w:p w14:paraId="7D0A3BD9">
      <w:pPr>
        <w:snapToGrid w:val="0"/>
        <w:spacing w:line="360" w:lineRule="auto"/>
        <w:rPr>
          <w:rFonts w:ascii="宋体" w:hAnsi="宋体" w:cs="宋体"/>
          <w:kern w:val="0"/>
          <w:sz w:val="24"/>
        </w:rPr>
      </w:pPr>
      <w:r>
        <w:rPr>
          <w:rFonts w:hint="eastAsia" w:ascii="宋体" w:hAnsi="宋体" w:cs="宋体"/>
          <w:kern w:val="0"/>
          <w:sz w:val="24"/>
        </w:rPr>
        <w:t>4.4投标函 ………………………………………………………………………（页码）</w:t>
      </w:r>
    </w:p>
    <w:p w14:paraId="0CA6F65C">
      <w:pPr>
        <w:snapToGrid w:val="0"/>
        <w:spacing w:line="360" w:lineRule="auto"/>
        <w:rPr>
          <w:rFonts w:ascii="宋体" w:hAnsi="宋体" w:cs="宋体"/>
          <w:kern w:val="0"/>
          <w:sz w:val="24"/>
        </w:rPr>
      </w:pPr>
      <w:r>
        <w:rPr>
          <w:rFonts w:hint="eastAsia" w:ascii="宋体" w:hAnsi="宋体" w:cs="宋体"/>
          <w:kern w:val="0"/>
          <w:sz w:val="24"/>
        </w:rPr>
        <w:t>4.5开标一览表 …………………………………………………………………（页码）</w:t>
      </w:r>
    </w:p>
    <w:p w14:paraId="7C45EB14">
      <w:pPr>
        <w:snapToGrid w:val="0"/>
        <w:spacing w:line="360" w:lineRule="auto"/>
        <w:rPr>
          <w:rFonts w:ascii="宋体" w:hAnsi="宋体" w:cs="宋体"/>
          <w:kern w:val="0"/>
          <w:sz w:val="24"/>
        </w:rPr>
      </w:pPr>
      <w:r>
        <w:rPr>
          <w:rFonts w:hint="eastAsia" w:ascii="宋体" w:hAnsi="宋体" w:cs="宋体"/>
          <w:kern w:val="0"/>
          <w:sz w:val="24"/>
        </w:rPr>
        <w:t>4.6投标货物技术需求偏离表 …………………………………………………（页码）</w:t>
      </w:r>
    </w:p>
    <w:p w14:paraId="21585F4B">
      <w:pPr>
        <w:snapToGrid w:val="0"/>
        <w:spacing w:line="360" w:lineRule="auto"/>
        <w:rPr>
          <w:rFonts w:ascii="宋体" w:hAnsi="宋体" w:cs="宋体"/>
          <w:kern w:val="0"/>
          <w:sz w:val="24"/>
        </w:rPr>
      </w:pPr>
      <w:r>
        <w:rPr>
          <w:rFonts w:hint="eastAsia" w:ascii="宋体" w:hAnsi="宋体" w:cs="宋体"/>
          <w:kern w:val="0"/>
          <w:sz w:val="24"/>
        </w:rPr>
        <w:t>4.7商务条款偏离表 ……………………………………………………………（页码）</w:t>
      </w:r>
    </w:p>
    <w:p w14:paraId="564C91FE">
      <w:pPr>
        <w:snapToGrid w:val="0"/>
        <w:spacing w:line="360" w:lineRule="auto"/>
        <w:rPr>
          <w:rFonts w:ascii="宋体" w:hAnsi="宋体" w:cs="宋体"/>
          <w:kern w:val="0"/>
          <w:sz w:val="24"/>
        </w:rPr>
      </w:pPr>
      <w:r>
        <w:rPr>
          <w:rFonts w:hint="eastAsia" w:ascii="宋体" w:hAnsi="宋体" w:cs="宋体"/>
          <w:kern w:val="0"/>
          <w:sz w:val="24"/>
        </w:rPr>
        <w:t>4.8中标人澄清函（如有请提供） ……………………………………………（页码）</w:t>
      </w:r>
    </w:p>
    <w:p w14:paraId="52899DA1">
      <w:pPr>
        <w:snapToGrid w:val="0"/>
        <w:spacing w:line="360" w:lineRule="auto"/>
        <w:rPr>
          <w:rFonts w:ascii="宋体" w:hAnsi="宋体" w:cs="宋体"/>
          <w:kern w:val="0"/>
          <w:sz w:val="24"/>
        </w:rPr>
      </w:pPr>
      <w:r>
        <w:rPr>
          <w:rFonts w:hint="eastAsia" w:ascii="宋体" w:hAnsi="宋体" w:cs="宋体"/>
          <w:kern w:val="0"/>
          <w:sz w:val="24"/>
        </w:rPr>
        <w:t>4.9其他与本合同相关的资料（如有请提供） ………………………………（页码）</w:t>
      </w:r>
    </w:p>
    <w:p w14:paraId="047119F6">
      <w:pPr>
        <w:snapToGrid w:val="0"/>
        <w:spacing w:line="360" w:lineRule="auto"/>
        <w:rPr>
          <w:rFonts w:ascii="宋体" w:hAnsi="宋体" w:cs="宋体"/>
          <w:kern w:val="0"/>
          <w:sz w:val="24"/>
        </w:rPr>
      </w:pPr>
    </w:p>
    <w:p w14:paraId="01FD9823">
      <w:pPr>
        <w:pStyle w:val="10"/>
        <w:spacing w:line="360" w:lineRule="auto"/>
        <w:rPr>
          <w:rFonts w:hAnsi="宋体" w:cs="宋体"/>
        </w:rPr>
        <w:sectPr>
          <w:pgSz w:w="11906" w:h="16838"/>
          <w:pgMar w:top="1440" w:right="1080" w:bottom="1440" w:left="1080" w:header="720" w:footer="720" w:gutter="0"/>
          <w:cols w:space="720" w:num="1"/>
          <w:docGrid w:type="lines" w:linePitch="331" w:charSpace="0"/>
        </w:sectPr>
      </w:pPr>
    </w:p>
    <w:p w14:paraId="78C218CE">
      <w:pPr>
        <w:pStyle w:val="33"/>
        <w:spacing w:after="0"/>
        <w:ind w:firstLine="562"/>
        <w:jc w:val="center"/>
        <w:rPr>
          <w:rFonts w:ascii="宋体" w:hAnsi="宋体" w:cs="宋体"/>
          <w:b/>
          <w:sz w:val="28"/>
          <w:szCs w:val="28"/>
        </w:rPr>
      </w:pPr>
      <w:r>
        <w:rPr>
          <w:rFonts w:hint="eastAsia" w:ascii="宋体" w:hAnsi="宋体" w:cs="宋体"/>
          <w:b/>
          <w:sz w:val="28"/>
          <w:szCs w:val="28"/>
        </w:rPr>
        <w:t>第一部分 合同书</w:t>
      </w:r>
    </w:p>
    <w:p w14:paraId="493E897A">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隆安县教育局  </w:t>
      </w:r>
      <w:r>
        <w:rPr>
          <w:rFonts w:hint="eastAsia" w:ascii="宋体" w:hAnsi="宋体" w:cs="宋体"/>
          <w:sz w:val="24"/>
        </w:rPr>
        <w:t>以</w:t>
      </w:r>
      <w:r>
        <w:rPr>
          <w:rFonts w:hint="eastAsia" w:ascii="宋体" w:hAnsi="宋体" w:cs="宋体"/>
          <w:sz w:val="24"/>
          <w:u w:val="single"/>
        </w:rPr>
        <w:t xml:space="preserve">   公开招标方式  </w:t>
      </w:r>
      <w:r>
        <w:rPr>
          <w:rFonts w:hint="eastAsia" w:ascii="宋体" w:hAnsi="宋体" w:cs="宋体"/>
          <w:sz w:val="24"/>
        </w:rPr>
        <w:t>对</w:t>
      </w:r>
      <w:r>
        <w:rPr>
          <w:rFonts w:hint="eastAsia" w:ascii="宋体" w:hAnsi="宋体" w:cs="宋体"/>
          <w:sz w:val="24"/>
          <w:u w:val="single"/>
        </w:rPr>
        <w:t xml:space="preserve"> 隆安县2024年改善普通高中学校办学条件设备设施采购项目（重） </w:t>
      </w:r>
      <w:r>
        <w:rPr>
          <w:rFonts w:hint="eastAsia" w:ascii="宋体" w:hAnsi="宋体" w:cs="宋体"/>
          <w:sz w:val="24"/>
        </w:rPr>
        <w:t xml:space="preserve">项目进行了采购（项目编号： </w:t>
      </w:r>
      <w:r>
        <w:rPr>
          <w:rFonts w:ascii="宋体" w:hAnsi="宋体" w:cs="宋体"/>
          <w:sz w:val="24"/>
        </w:rPr>
        <w:t xml:space="preserve">      </w:t>
      </w:r>
      <w:r>
        <w:rPr>
          <w:rFonts w:hint="eastAsia" w:ascii="宋体" w:hAnsi="宋体" w:cs="宋体"/>
          <w:sz w:val="24"/>
        </w:rPr>
        <w:t>）。经</w:t>
      </w:r>
      <w:r>
        <w:rPr>
          <w:rFonts w:hint="eastAsia" w:ascii="宋体" w:hAnsi="宋体" w:cs="宋体"/>
          <w:sz w:val="24"/>
          <w:u w:val="single"/>
        </w:rPr>
        <w:t xml:space="preserve">   项目评标委员会   </w:t>
      </w:r>
      <w:r>
        <w:rPr>
          <w:rFonts w:hint="eastAsia" w:ascii="宋体" w:hAnsi="宋体" w:cs="宋体"/>
          <w:sz w:val="24"/>
        </w:rPr>
        <w:t>评定，</w:t>
      </w:r>
      <w:r>
        <w:rPr>
          <w:rFonts w:hint="eastAsia" w:ascii="宋体" w:hAnsi="宋体" w:cs="宋体"/>
          <w:sz w:val="24"/>
          <w:u w:val="single"/>
        </w:rPr>
        <w:t xml:space="preserve">   （中标人名称）</w:t>
      </w:r>
      <w:r>
        <w:rPr>
          <w:rFonts w:hint="eastAsia" w:ascii="宋体" w:hAnsi="宋体" w:cs="宋体"/>
          <w:sz w:val="24"/>
        </w:rPr>
        <w:t>为该项目中标人。现于中标通知书发出之日起</w:t>
      </w:r>
      <w:r>
        <w:rPr>
          <w:rFonts w:hint="eastAsia" w:ascii="宋体" w:hAnsi="宋体" w:cs="宋体"/>
          <w:sz w:val="24"/>
          <w:u w:val="single"/>
        </w:rPr>
        <w:t xml:space="preserve"> </w:t>
      </w:r>
      <w:r>
        <w:rPr>
          <w:rFonts w:ascii="宋体" w:hAnsi="宋体" w:cs="宋体"/>
          <w:sz w:val="24"/>
          <w:u w:val="single"/>
        </w:rPr>
        <w:t>5</w:t>
      </w:r>
      <w:r>
        <w:rPr>
          <w:rFonts w:hint="eastAsia" w:ascii="宋体" w:hAnsi="宋体" w:cs="宋体"/>
          <w:sz w:val="24"/>
          <w:u w:val="single"/>
        </w:rPr>
        <w:t xml:space="preserve"> </w:t>
      </w:r>
      <w:r>
        <w:rPr>
          <w:rFonts w:hint="eastAsia" w:ascii="宋体" w:hAnsi="宋体" w:cs="宋体"/>
          <w:sz w:val="24"/>
        </w:rPr>
        <w:t>日内（根据项目实际情况填写，不能超过25日），按照采购文件确定的事项签订本合同。</w:t>
      </w:r>
    </w:p>
    <w:p w14:paraId="7F2CFAC9">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隆安县教育局 （</w:t>
      </w:r>
      <w:r>
        <w:rPr>
          <w:rFonts w:hint="eastAsia" w:ascii="宋体" w:hAnsi="宋体" w:cs="宋体"/>
          <w:sz w:val="24"/>
          <w:lang w:val="zh-CN"/>
        </w:rPr>
        <w:t>以下简称：甲方）和</w:t>
      </w:r>
      <w:r>
        <w:rPr>
          <w:rFonts w:hint="eastAsia" w:ascii="宋体" w:hAnsi="宋体" w:cs="宋体"/>
          <w:sz w:val="24"/>
          <w:u w:val="single"/>
        </w:rPr>
        <w:t xml:space="preserve">   （中标人名称）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7B9DFFAE">
      <w:pPr>
        <w:spacing w:line="360" w:lineRule="auto"/>
        <w:ind w:firstLine="482" w:firstLineChars="200"/>
        <w:rPr>
          <w:rFonts w:ascii="宋体" w:hAnsi="宋体" w:cs="宋体"/>
          <w:b/>
          <w:sz w:val="24"/>
        </w:rPr>
      </w:pPr>
      <w:bookmarkStart w:id="137" w:name="_Toc24059"/>
      <w:bookmarkStart w:id="138" w:name="_Toc3029"/>
      <w:bookmarkStart w:id="139" w:name="_Toc2232"/>
      <w:r>
        <w:rPr>
          <w:rFonts w:hint="eastAsia" w:ascii="宋体" w:hAnsi="宋体" w:cs="宋体"/>
          <w:b/>
          <w:sz w:val="24"/>
        </w:rPr>
        <w:t>1.1 合同组成部分</w:t>
      </w:r>
      <w:bookmarkEnd w:id="137"/>
      <w:bookmarkEnd w:id="138"/>
      <w:bookmarkEnd w:id="139"/>
    </w:p>
    <w:p w14:paraId="7766B06A">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398ADC9A">
      <w:pPr>
        <w:spacing w:line="360" w:lineRule="auto"/>
        <w:ind w:firstLine="480" w:firstLineChars="200"/>
        <w:rPr>
          <w:rFonts w:ascii="宋体" w:hAnsi="宋体" w:cs="宋体"/>
          <w:sz w:val="24"/>
        </w:rPr>
      </w:pPr>
      <w:r>
        <w:rPr>
          <w:rFonts w:hint="eastAsia" w:ascii="宋体" w:hAnsi="宋体" w:cs="宋体"/>
          <w:sz w:val="24"/>
        </w:rPr>
        <w:t>1.1.1 本合同及其补充合同、变更协议；</w:t>
      </w:r>
    </w:p>
    <w:p w14:paraId="1F3DD0CC">
      <w:pPr>
        <w:spacing w:line="360" w:lineRule="auto"/>
        <w:ind w:firstLine="480" w:firstLineChars="200"/>
        <w:rPr>
          <w:rFonts w:ascii="宋体" w:hAnsi="宋体" w:cs="宋体"/>
          <w:sz w:val="24"/>
        </w:rPr>
      </w:pPr>
      <w:r>
        <w:rPr>
          <w:rFonts w:hint="eastAsia" w:ascii="宋体" w:hAnsi="宋体" w:cs="宋体"/>
          <w:sz w:val="24"/>
        </w:rPr>
        <w:t>1.1.2 中标通知书；</w:t>
      </w:r>
    </w:p>
    <w:p w14:paraId="217FD536">
      <w:pPr>
        <w:spacing w:line="360" w:lineRule="auto"/>
        <w:ind w:firstLine="480" w:firstLineChars="200"/>
        <w:rPr>
          <w:rFonts w:ascii="宋体" w:hAnsi="宋体" w:cs="宋体"/>
          <w:sz w:val="24"/>
        </w:rPr>
      </w:pPr>
      <w:r>
        <w:rPr>
          <w:rFonts w:hint="eastAsia" w:ascii="宋体" w:hAnsi="宋体" w:cs="宋体"/>
          <w:sz w:val="24"/>
        </w:rPr>
        <w:t>1.1.3 投标文件及“投标报价”（含澄清或者说明文件）；</w:t>
      </w:r>
    </w:p>
    <w:p w14:paraId="40234DD0">
      <w:pPr>
        <w:spacing w:line="360" w:lineRule="auto"/>
        <w:ind w:firstLine="480" w:firstLineChars="200"/>
        <w:rPr>
          <w:rFonts w:ascii="宋体" w:hAnsi="宋体" w:cs="宋体"/>
          <w:sz w:val="24"/>
        </w:rPr>
      </w:pPr>
      <w:r>
        <w:rPr>
          <w:rFonts w:hint="eastAsia" w:ascii="宋体" w:hAnsi="宋体" w:cs="宋体"/>
          <w:sz w:val="24"/>
        </w:rPr>
        <w:t>1.1.4 招标文件（含澄清或者修改文件）；</w:t>
      </w:r>
    </w:p>
    <w:p w14:paraId="256CEC32">
      <w:pPr>
        <w:spacing w:line="360" w:lineRule="auto"/>
        <w:ind w:firstLine="480" w:firstLineChars="200"/>
        <w:rPr>
          <w:rFonts w:ascii="宋体" w:hAnsi="宋体" w:cs="宋体"/>
          <w:sz w:val="24"/>
        </w:rPr>
      </w:pPr>
      <w:r>
        <w:rPr>
          <w:rFonts w:hint="eastAsia" w:ascii="宋体" w:hAnsi="宋体" w:cs="宋体"/>
          <w:sz w:val="24"/>
        </w:rPr>
        <w:t>1.1.5 其他相关采购文件。</w:t>
      </w:r>
    </w:p>
    <w:p w14:paraId="5EAE0684">
      <w:pPr>
        <w:spacing w:line="360" w:lineRule="auto"/>
        <w:ind w:firstLine="482" w:firstLineChars="200"/>
        <w:rPr>
          <w:rFonts w:ascii="宋体" w:hAnsi="宋体" w:cs="宋体"/>
          <w:b/>
          <w:sz w:val="24"/>
        </w:rPr>
      </w:pPr>
      <w:bookmarkStart w:id="140" w:name="_Toc27126"/>
      <w:bookmarkStart w:id="141" w:name="_Toc21295"/>
      <w:bookmarkStart w:id="142" w:name="_Toc24300"/>
      <w:r>
        <w:rPr>
          <w:rFonts w:hint="eastAsia" w:ascii="宋体" w:hAnsi="宋体" w:cs="宋体"/>
          <w:b/>
          <w:sz w:val="24"/>
        </w:rPr>
        <w:t>1.2 标的物</w:t>
      </w:r>
      <w:bookmarkEnd w:id="140"/>
      <w:bookmarkEnd w:id="141"/>
      <w:bookmarkEnd w:id="142"/>
    </w:p>
    <w:p w14:paraId="553CD350">
      <w:pPr>
        <w:spacing w:line="360" w:lineRule="auto"/>
        <w:ind w:firstLine="480" w:firstLineChars="200"/>
        <w:rPr>
          <w:rFonts w:ascii="宋体" w:hAnsi="宋体" w:cs="宋体"/>
          <w:sz w:val="24"/>
        </w:rPr>
      </w:pPr>
      <w:r>
        <w:rPr>
          <w:rFonts w:hint="eastAsia" w:ascii="宋体" w:hAnsi="宋体" w:cs="宋体"/>
          <w:sz w:val="24"/>
        </w:rPr>
        <w:t>1.2.1 标的物1信息</w:t>
      </w:r>
    </w:p>
    <w:p w14:paraId="19838A58">
      <w:pPr>
        <w:spacing w:line="360" w:lineRule="auto"/>
        <w:ind w:firstLine="480" w:firstLineChars="200"/>
        <w:rPr>
          <w:rFonts w:ascii="宋体" w:hAnsi="宋体" w:cs="宋体"/>
          <w:sz w:val="24"/>
          <w:u w:val="single"/>
        </w:rPr>
      </w:pPr>
      <w:r>
        <w:rPr>
          <w:rFonts w:hint="eastAsia" w:ascii="宋体" w:hAnsi="宋体" w:cs="宋体"/>
          <w:sz w:val="24"/>
        </w:rPr>
        <w:t>1.2.1.1名称：</w:t>
      </w:r>
      <w:r>
        <w:rPr>
          <w:rFonts w:hint="eastAsia" w:ascii="宋体" w:hAnsi="宋体" w:cs="宋体"/>
          <w:sz w:val="24"/>
          <w:u w:val="single"/>
        </w:rPr>
        <w:t xml:space="preserve">  详见合同附件：开标一览表  </w:t>
      </w:r>
      <w:r>
        <w:rPr>
          <w:rFonts w:hint="eastAsia" w:ascii="宋体" w:hAnsi="宋体" w:cs="宋体"/>
          <w:sz w:val="24"/>
        </w:rPr>
        <w:t>；</w:t>
      </w:r>
    </w:p>
    <w:p w14:paraId="665F031F">
      <w:pPr>
        <w:spacing w:line="360" w:lineRule="auto"/>
        <w:ind w:firstLine="480" w:firstLineChars="200"/>
        <w:rPr>
          <w:rFonts w:ascii="宋体" w:hAnsi="宋体" w:cs="宋体"/>
          <w:sz w:val="24"/>
          <w:u w:val="single"/>
        </w:rPr>
      </w:pPr>
      <w:r>
        <w:rPr>
          <w:rFonts w:hint="eastAsia" w:ascii="宋体" w:hAnsi="宋体" w:cs="宋体"/>
          <w:sz w:val="24"/>
        </w:rPr>
        <w:t>1.2.1.2数量：</w:t>
      </w:r>
      <w:r>
        <w:rPr>
          <w:rFonts w:hint="eastAsia" w:ascii="宋体" w:hAnsi="宋体" w:cs="宋体"/>
          <w:sz w:val="24"/>
          <w:u w:val="single"/>
        </w:rPr>
        <w:t xml:space="preserve">  详见合同附件：开标一览表  </w:t>
      </w:r>
      <w:r>
        <w:rPr>
          <w:rFonts w:hint="eastAsia" w:ascii="宋体" w:hAnsi="宋体" w:cs="宋体"/>
          <w:sz w:val="24"/>
        </w:rPr>
        <w:t>；</w:t>
      </w:r>
    </w:p>
    <w:p w14:paraId="66079C18">
      <w:pPr>
        <w:spacing w:line="360" w:lineRule="auto"/>
        <w:ind w:firstLine="480" w:firstLineChars="200"/>
        <w:rPr>
          <w:rFonts w:ascii="宋体" w:hAnsi="宋体" w:cs="宋体"/>
          <w:sz w:val="24"/>
        </w:rPr>
      </w:pPr>
      <w:r>
        <w:rPr>
          <w:rFonts w:hint="eastAsia" w:ascii="宋体" w:hAnsi="宋体" w:cs="宋体"/>
          <w:sz w:val="24"/>
        </w:rPr>
        <w:t>1.2.1.3质量：</w:t>
      </w:r>
      <w:r>
        <w:rPr>
          <w:rFonts w:hint="eastAsia" w:ascii="宋体" w:hAnsi="宋体" w:cs="宋体"/>
          <w:sz w:val="24"/>
          <w:u w:val="single"/>
        </w:rPr>
        <w:t xml:space="preserve">　详见合同附件：投标货物技术需求偏离表  </w:t>
      </w:r>
      <w:r>
        <w:rPr>
          <w:rFonts w:hint="eastAsia" w:ascii="宋体" w:hAnsi="宋体" w:cs="宋体"/>
          <w:sz w:val="24"/>
        </w:rPr>
        <w:t>。</w:t>
      </w:r>
    </w:p>
    <w:p w14:paraId="4CFC2AC5">
      <w:pPr>
        <w:spacing w:line="360" w:lineRule="auto"/>
        <w:ind w:firstLine="480" w:firstLineChars="200"/>
        <w:rPr>
          <w:rFonts w:ascii="宋体" w:hAnsi="宋体" w:cs="宋体"/>
          <w:sz w:val="24"/>
        </w:rPr>
      </w:pPr>
      <w:r>
        <w:rPr>
          <w:rFonts w:hint="eastAsia" w:ascii="宋体" w:hAnsi="宋体" w:cs="宋体"/>
          <w:sz w:val="24"/>
        </w:rPr>
        <w:t>……</w:t>
      </w:r>
    </w:p>
    <w:p w14:paraId="0101B08C">
      <w:pPr>
        <w:spacing w:line="360" w:lineRule="auto"/>
        <w:ind w:firstLine="482" w:firstLineChars="200"/>
        <w:rPr>
          <w:rFonts w:ascii="宋体" w:hAnsi="宋体" w:cs="宋体"/>
          <w:b/>
          <w:sz w:val="24"/>
        </w:rPr>
      </w:pPr>
      <w:bookmarkStart w:id="143" w:name="_Toc21551"/>
      <w:bookmarkStart w:id="144" w:name="_Toc21631"/>
      <w:bookmarkStart w:id="145" w:name="_Toc23292"/>
      <w:r>
        <w:rPr>
          <w:rFonts w:hint="eastAsia" w:ascii="宋体" w:hAnsi="宋体" w:cs="宋体"/>
          <w:b/>
          <w:sz w:val="24"/>
        </w:rPr>
        <w:t>1.3 价款</w:t>
      </w:r>
      <w:bookmarkEnd w:id="143"/>
      <w:bookmarkEnd w:id="144"/>
      <w:bookmarkEnd w:id="145"/>
    </w:p>
    <w:p w14:paraId="38DE8A54">
      <w:pPr>
        <w:spacing w:line="360" w:lineRule="auto"/>
        <w:ind w:firstLine="480" w:firstLineChars="200"/>
        <w:rPr>
          <w:rFonts w:ascii="宋体" w:hAnsi="宋体" w:cs="宋体"/>
          <w:sz w:val="24"/>
        </w:rPr>
      </w:pPr>
      <w:r>
        <w:rPr>
          <w:rFonts w:hint="eastAsia" w:ascii="宋体" w:hAnsi="宋体" w:cs="宋体"/>
          <w:sz w:val="24"/>
        </w:rPr>
        <w:t>本合同总价为：人民币</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元人民币，含税）。</w:t>
      </w:r>
    </w:p>
    <w:p w14:paraId="4C6D9D72">
      <w:pPr>
        <w:spacing w:line="360" w:lineRule="auto"/>
        <w:ind w:firstLine="480" w:firstLineChars="200"/>
        <w:rPr>
          <w:rFonts w:ascii="宋体" w:hAnsi="宋体" w:cs="宋体"/>
          <w:sz w:val="24"/>
          <w:u w:val="single"/>
        </w:rPr>
      </w:pPr>
      <w:r>
        <w:rPr>
          <w:rFonts w:hint="eastAsia" w:ascii="宋体" w:hAnsi="宋体" w:cs="宋体"/>
          <w:sz w:val="24"/>
        </w:rPr>
        <w:t>分项价格：</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A23D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3DF70E">
            <w:pPr>
              <w:spacing w:line="360" w:lineRule="auto"/>
              <w:jc w:val="center"/>
              <w:rPr>
                <w:rFonts w:ascii="宋体" w:hAnsi="宋体" w:cs="宋体"/>
                <w:sz w:val="24"/>
              </w:rPr>
            </w:pPr>
            <w:r>
              <w:rPr>
                <w:rFonts w:hint="eastAsia" w:ascii="宋体" w:hAnsi="宋体" w:cs="宋体"/>
                <w:sz w:val="24"/>
              </w:rPr>
              <w:t>序号</w:t>
            </w:r>
          </w:p>
        </w:tc>
        <w:tc>
          <w:tcPr>
            <w:tcW w:w="3402" w:type="dxa"/>
            <w:vAlign w:val="center"/>
          </w:tcPr>
          <w:p w14:paraId="783BA95A">
            <w:pPr>
              <w:spacing w:line="360" w:lineRule="auto"/>
              <w:jc w:val="center"/>
              <w:rPr>
                <w:rFonts w:ascii="宋体" w:hAnsi="宋体" w:cs="宋体"/>
                <w:sz w:val="24"/>
              </w:rPr>
            </w:pPr>
            <w:r>
              <w:rPr>
                <w:rFonts w:hint="eastAsia" w:ascii="宋体" w:hAnsi="宋体" w:cs="宋体"/>
                <w:sz w:val="24"/>
              </w:rPr>
              <w:t>分项名称</w:t>
            </w:r>
          </w:p>
        </w:tc>
        <w:tc>
          <w:tcPr>
            <w:tcW w:w="2552" w:type="dxa"/>
            <w:vAlign w:val="center"/>
          </w:tcPr>
          <w:p w14:paraId="23DCD6A9">
            <w:pPr>
              <w:spacing w:line="360" w:lineRule="auto"/>
              <w:jc w:val="center"/>
              <w:rPr>
                <w:rFonts w:ascii="宋体" w:hAnsi="宋体" w:cs="宋体"/>
                <w:sz w:val="24"/>
              </w:rPr>
            </w:pPr>
            <w:r>
              <w:rPr>
                <w:rFonts w:hint="eastAsia" w:ascii="宋体" w:hAnsi="宋体" w:cs="宋体"/>
                <w:sz w:val="24"/>
              </w:rPr>
              <w:t>分项价格</w:t>
            </w:r>
          </w:p>
        </w:tc>
      </w:tr>
      <w:tr w14:paraId="51CA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C638CBA">
            <w:pPr>
              <w:spacing w:line="360" w:lineRule="auto"/>
              <w:ind w:firstLine="480" w:firstLineChars="200"/>
              <w:rPr>
                <w:rFonts w:ascii="宋体" w:hAnsi="宋体" w:cs="宋体"/>
                <w:sz w:val="24"/>
              </w:rPr>
            </w:pPr>
          </w:p>
        </w:tc>
        <w:tc>
          <w:tcPr>
            <w:tcW w:w="3402" w:type="dxa"/>
            <w:vAlign w:val="center"/>
          </w:tcPr>
          <w:p w14:paraId="121AC092">
            <w:pPr>
              <w:spacing w:line="360" w:lineRule="auto"/>
              <w:ind w:firstLine="480" w:firstLineChars="200"/>
              <w:rPr>
                <w:rFonts w:ascii="宋体" w:hAnsi="宋体" w:cs="宋体"/>
                <w:sz w:val="24"/>
              </w:rPr>
            </w:pPr>
          </w:p>
        </w:tc>
        <w:tc>
          <w:tcPr>
            <w:tcW w:w="2552" w:type="dxa"/>
            <w:vAlign w:val="center"/>
          </w:tcPr>
          <w:p w14:paraId="275A6467">
            <w:pPr>
              <w:spacing w:line="360" w:lineRule="auto"/>
              <w:ind w:firstLine="480" w:firstLineChars="200"/>
              <w:rPr>
                <w:rFonts w:ascii="宋体" w:hAnsi="宋体" w:cs="宋体"/>
                <w:sz w:val="24"/>
              </w:rPr>
            </w:pPr>
          </w:p>
        </w:tc>
      </w:tr>
      <w:tr w14:paraId="0C74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F20D55">
            <w:pPr>
              <w:spacing w:line="360" w:lineRule="auto"/>
              <w:ind w:firstLine="480" w:firstLineChars="200"/>
              <w:rPr>
                <w:rFonts w:ascii="宋体" w:hAnsi="宋体" w:cs="宋体"/>
                <w:sz w:val="24"/>
              </w:rPr>
            </w:pPr>
          </w:p>
        </w:tc>
        <w:tc>
          <w:tcPr>
            <w:tcW w:w="3402" w:type="dxa"/>
            <w:vAlign w:val="center"/>
          </w:tcPr>
          <w:p w14:paraId="40F66D2A">
            <w:pPr>
              <w:spacing w:line="360" w:lineRule="auto"/>
              <w:ind w:firstLine="480" w:firstLineChars="200"/>
              <w:rPr>
                <w:rFonts w:ascii="宋体" w:hAnsi="宋体" w:cs="宋体"/>
                <w:sz w:val="24"/>
              </w:rPr>
            </w:pPr>
          </w:p>
        </w:tc>
        <w:tc>
          <w:tcPr>
            <w:tcW w:w="2552" w:type="dxa"/>
            <w:vAlign w:val="center"/>
          </w:tcPr>
          <w:p w14:paraId="48C6C4B1">
            <w:pPr>
              <w:spacing w:line="360" w:lineRule="auto"/>
              <w:ind w:firstLine="480" w:firstLineChars="200"/>
              <w:rPr>
                <w:rFonts w:ascii="宋体" w:hAnsi="宋体" w:cs="宋体"/>
                <w:sz w:val="24"/>
              </w:rPr>
            </w:pPr>
          </w:p>
        </w:tc>
      </w:tr>
      <w:tr w14:paraId="2219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13A9E1">
            <w:pPr>
              <w:spacing w:line="360" w:lineRule="auto"/>
              <w:ind w:firstLine="480" w:firstLineChars="200"/>
              <w:rPr>
                <w:rFonts w:ascii="宋体" w:hAnsi="宋体" w:cs="宋体"/>
                <w:sz w:val="24"/>
              </w:rPr>
            </w:pPr>
          </w:p>
        </w:tc>
        <w:tc>
          <w:tcPr>
            <w:tcW w:w="3402" w:type="dxa"/>
            <w:vAlign w:val="center"/>
          </w:tcPr>
          <w:p w14:paraId="03690BF0">
            <w:pPr>
              <w:spacing w:line="360" w:lineRule="auto"/>
              <w:ind w:firstLine="480" w:firstLineChars="200"/>
              <w:rPr>
                <w:rFonts w:ascii="宋体" w:hAnsi="宋体" w:cs="宋体"/>
                <w:sz w:val="24"/>
              </w:rPr>
            </w:pPr>
          </w:p>
        </w:tc>
        <w:tc>
          <w:tcPr>
            <w:tcW w:w="2552" w:type="dxa"/>
            <w:vAlign w:val="center"/>
          </w:tcPr>
          <w:p w14:paraId="6FFB9894">
            <w:pPr>
              <w:spacing w:line="360" w:lineRule="auto"/>
              <w:ind w:firstLine="480" w:firstLineChars="200"/>
              <w:rPr>
                <w:rFonts w:ascii="宋体" w:hAnsi="宋体" w:cs="宋体"/>
                <w:sz w:val="24"/>
              </w:rPr>
            </w:pPr>
          </w:p>
        </w:tc>
      </w:tr>
      <w:tr w14:paraId="3D9A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FCEF66E">
            <w:pPr>
              <w:spacing w:line="360" w:lineRule="auto"/>
              <w:ind w:firstLine="480" w:firstLineChars="200"/>
              <w:rPr>
                <w:rFonts w:ascii="宋体" w:hAnsi="宋体" w:cs="宋体"/>
                <w:sz w:val="24"/>
              </w:rPr>
            </w:pPr>
            <w:r>
              <w:rPr>
                <w:rFonts w:hint="eastAsia" w:ascii="宋体" w:hAnsi="宋体" w:cs="宋体"/>
                <w:sz w:val="24"/>
              </w:rPr>
              <w:t>总价</w:t>
            </w:r>
          </w:p>
        </w:tc>
        <w:tc>
          <w:tcPr>
            <w:tcW w:w="2552" w:type="dxa"/>
            <w:vAlign w:val="center"/>
          </w:tcPr>
          <w:p w14:paraId="01D0AD6F">
            <w:pPr>
              <w:spacing w:line="360" w:lineRule="auto"/>
              <w:ind w:firstLine="480" w:firstLineChars="200"/>
              <w:rPr>
                <w:rFonts w:ascii="宋体" w:hAnsi="宋体" w:cs="宋体"/>
                <w:sz w:val="24"/>
              </w:rPr>
            </w:pPr>
          </w:p>
        </w:tc>
      </w:tr>
    </w:tbl>
    <w:p w14:paraId="6101E920">
      <w:pPr>
        <w:spacing w:line="360" w:lineRule="auto"/>
        <w:ind w:firstLine="482" w:firstLineChars="200"/>
        <w:rPr>
          <w:rFonts w:ascii="宋体" w:hAnsi="宋体" w:cs="宋体"/>
          <w:b/>
          <w:sz w:val="24"/>
        </w:rPr>
      </w:pPr>
      <w:bookmarkStart w:id="146" w:name="_Toc22618"/>
      <w:bookmarkStart w:id="147" w:name="_Toc1814"/>
      <w:bookmarkStart w:id="148" w:name="_Toc10340"/>
      <w:r>
        <w:rPr>
          <w:rFonts w:hint="eastAsia" w:ascii="宋体" w:hAnsi="宋体" w:cs="宋体"/>
          <w:b/>
          <w:sz w:val="24"/>
        </w:rPr>
        <w:t>1.4 付款方式和发票开具方式</w:t>
      </w:r>
      <w:bookmarkEnd w:id="146"/>
      <w:bookmarkEnd w:id="147"/>
      <w:bookmarkEnd w:id="148"/>
    </w:p>
    <w:p w14:paraId="21595C60">
      <w:pPr>
        <w:spacing w:line="360" w:lineRule="auto"/>
        <w:ind w:firstLine="480" w:firstLineChars="200"/>
        <w:rPr>
          <w:rFonts w:ascii="宋体" w:hAnsi="宋体" w:cs="宋体"/>
          <w:sz w:val="24"/>
          <w:highlight w:val="none"/>
        </w:rPr>
      </w:pPr>
      <w:r>
        <w:rPr>
          <w:rFonts w:hint="eastAsia" w:ascii="宋体" w:hAnsi="宋体" w:cs="宋体"/>
          <w:sz w:val="24"/>
        </w:rPr>
        <w:t>1</w:t>
      </w:r>
      <w:r>
        <w:rPr>
          <w:rFonts w:hint="eastAsia" w:ascii="宋体" w:hAnsi="宋体" w:cs="宋体"/>
          <w:sz w:val="24"/>
          <w:highlight w:val="none"/>
        </w:rPr>
        <w:t>.4.1 付款方式：</w:t>
      </w:r>
      <w:r>
        <w:rPr>
          <w:rFonts w:hint="eastAsia" w:ascii="宋体" w:hAnsi="宋体" w:cs="宋体"/>
          <w:sz w:val="24"/>
          <w:highlight w:val="none"/>
          <w:u w:val="single"/>
        </w:rPr>
        <w:t xml:space="preserve">本项目无预付款。中标供应商交货安装完毕后，经采购人书面验收合格，并按采购人要求提交项目请款有关资料，在财政部门审批同意用款计划后30日内，支付合同款。如因客观原因造成设备无法正常安装，乙方可在已部分供货的前提下向甲方申请支付项目进度款，甲方根据乙方供货进度并结合当时审批部门有关要求酌情办理进度款支付。 </w:t>
      </w:r>
      <w:r>
        <w:rPr>
          <w:rFonts w:hint="eastAsia" w:ascii="宋体" w:hAnsi="宋体" w:cs="宋体"/>
          <w:sz w:val="24"/>
          <w:highlight w:val="none"/>
        </w:rPr>
        <w:t>；</w:t>
      </w:r>
    </w:p>
    <w:p w14:paraId="7C3989FD">
      <w:pPr>
        <w:spacing w:line="360" w:lineRule="auto"/>
        <w:ind w:firstLine="480" w:firstLineChars="200"/>
        <w:rPr>
          <w:rFonts w:ascii="宋体" w:hAnsi="宋体" w:cs="宋体"/>
          <w:sz w:val="24"/>
          <w:highlight w:val="none"/>
        </w:rPr>
      </w:pPr>
      <w:r>
        <w:rPr>
          <w:rFonts w:hint="eastAsia" w:ascii="宋体" w:hAnsi="宋体" w:cs="宋体"/>
          <w:sz w:val="24"/>
          <w:highlight w:val="none"/>
        </w:rPr>
        <w:t>1.4.2 发票开具方式：</w:t>
      </w:r>
      <w:r>
        <w:rPr>
          <w:rFonts w:hint="eastAsia" w:ascii="宋体" w:hAnsi="宋体" w:cs="宋体"/>
          <w:sz w:val="24"/>
          <w:highlight w:val="none"/>
          <w:u w:val="single"/>
        </w:rPr>
        <w:t xml:space="preserve">支付货款前，由甲方根据用款计划审批情况通知乙方开具发票。乙方收到通知后，应及时开具不少于请款金额的发票给甲方，乙方未能开具合法有效的发票的，甲方有权不予付款并无需承担任何延期付款责任   </w:t>
      </w:r>
      <w:r>
        <w:rPr>
          <w:rFonts w:hint="eastAsia" w:ascii="宋体" w:hAnsi="宋体" w:cs="宋体"/>
          <w:sz w:val="24"/>
          <w:highlight w:val="none"/>
        </w:rPr>
        <w:t>。</w:t>
      </w:r>
    </w:p>
    <w:p w14:paraId="466FBB2D">
      <w:pPr>
        <w:spacing w:line="360" w:lineRule="auto"/>
        <w:ind w:firstLine="482" w:firstLineChars="200"/>
        <w:rPr>
          <w:rFonts w:ascii="宋体" w:hAnsi="宋体" w:cs="宋体"/>
          <w:b/>
          <w:sz w:val="24"/>
          <w:highlight w:val="none"/>
        </w:rPr>
      </w:pPr>
      <w:bookmarkStart w:id="149" w:name="_Toc2846"/>
      <w:bookmarkStart w:id="150" w:name="_Toc32071"/>
      <w:bookmarkStart w:id="151" w:name="_Toc19304"/>
      <w:r>
        <w:rPr>
          <w:rFonts w:hint="eastAsia" w:ascii="宋体" w:hAnsi="宋体" w:cs="宋体"/>
          <w:b/>
          <w:sz w:val="24"/>
          <w:highlight w:val="none"/>
        </w:rPr>
        <w:t>1.5 标的物交付期限、地点、方式</w:t>
      </w:r>
      <w:bookmarkEnd w:id="149"/>
      <w:bookmarkEnd w:id="150"/>
      <w:bookmarkEnd w:id="151"/>
      <w:r>
        <w:rPr>
          <w:rFonts w:hint="eastAsia" w:ascii="宋体" w:hAnsi="宋体" w:cs="宋体"/>
          <w:b/>
          <w:sz w:val="24"/>
          <w:highlight w:val="none"/>
        </w:rPr>
        <w:t>和质保期限</w:t>
      </w:r>
    </w:p>
    <w:p w14:paraId="476C8863">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1.5.1 交付期限：</w:t>
      </w:r>
      <w:r>
        <w:rPr>
          <w:rFonts w:hint="eastAsia" w:ascii="宋体" w:hAnsi="宋体" w:cs="宋体"/>
          <w:sz w:val="24"/>
          <w:highlight w:val="none"/>
          <w:u w:val="single"/>
        </w:rPr>
        <w:t xml:space="preserve">  按招标文件商务条款   ；</w:t>
      </w:r>
    </w:p>
    <w:p w14:paraId="29B90C0B">
      <w:pPr>
        <w:spacing w:line="360" w:lineRule="auto"/>
        <w:ind w:firstLine="480" w:firstLineChars="200"/>
        <w:rPr>
          <w:rFonts w:ascii="宋体" w:hAnsi="宋体" w:cs="宋体"/>
          <w:sz w:val="24"/>
          <w:highlight w:val="none"/>
        </w:rPr>
      </w:pPr>
      <w:r>
        <w:rPr>
          <w:rFonts w:hint="eastAsia" w:ascii="宋体" w:hAnsi="宋体" w:cs="宋体"/>
          <w:sz w:val="24"/>
          <w:highlight w:val="none"/>
        </w:rPr>
        <w:t>1.5.2 交付地点：</w:t>
      </w:r>
      <w:r>
        <w:rPr>
          <w:rFonts w:hint="eastAsia" w:ascii="宋体" w:hAnsi="宋体" w:cs="宋体"/>
          <w:sz w:val="24"/>
          <w:highlight w:val="none"/>
          <w:u w:val="single"/>
        </w:rPr>
        <w:t xml:space="preserve">  按招标文件商务条款   </w:t>
      </w:r>
      <w:r>
        <w:rPr>
          <w:rFonts w:hint="eastAsia" w:ascii="宋体" w:hAnsi="宋体" w:cs="宋体"/>
          <w:sz w:val="24"/>
          <w:highlight w:val="none"/>
        </w:rPr>
        <w:t>；</w:t>
      </w:r>
    </w:p>
    <w:p w14:paraId="3B0FBFD0">
      <w:pPr>
        <w:spacing w:line="360" w:lineRule="auto"/>
        <w:ind w:firstLine="480" w:firstLineChars="200"/>
        <w:rPr>
          <w:rFonts w:ascii="宋体" w:hAnsi="宋体" w:cs="宋体"/>
          <w:sz w:val="24"/>
          <w:highlight w:val="none"/>
        </w:rPr>
      </w:pPr>
      <w:r>
        <w:rPr>
          <w:rFonts w:hint="eastAsia" w:ascii="宋体" w:hAnsi="宋体" w:cs="宋体"/>
          <w:sz w:val="24"/>
          <w:highlight w:val="none"/>
        </w:rPr>
        <w:t>1.5.3 交付方式：</w:t>
      </w:r>
      <w:r>
        <w:rPr>
          <w:rFonts w:hint="eastAsia" w:ascii="宋体" w:hAnsi="宋体" w:cs="宋体"/>
          <w:sz w:val="24"/>
          <w:highlight w:val="none"/>
          <w:u w:val="single"/>
        </w:rPr>
        <w:t xml:space="preserve">  现场交货  </w:t>
      </w:r>
      <w:r>
        <w:rPr>
          <w:rFonts w:hint="eastAsia" w:ascii="宋体" w:hAnsi="宋体" w:cs="宋体"/>
          <w:sz w:val="24"/>
          <w:highlight w:val="none"/>
        </w:rPr>
        <w:t>；</w:t>
      </w:r>
    </w:p>
    <w:p w14:paraId="663E62C8">
      <w:pPr>
        <w:spacing w:line="360" w:lineRule="auto"/>
        <w:ind w:firstLine="480" w:firstLineChars="200"/>
        <w:rPr>
          <w:rFonts w:ascii="宋体" w:hAnsi="宋体" w:cs="宋体"/>
          <w:sz w:val="24"/>
          <w:highlight w:val="none"/>
        </w:rPr>
      </w:pPr>
      <w:r>
        <w:rPr>
          <w:rFonts w:hint="eastAsia" w:ascii="宋体" w:hAnsi="宋体" w:cs="宋体"/>
          <w:sz w:val="24"/>
          <w:highlight w:val="none"/>
        </w:rPr>
        <w:t>1.5.4 货物质保期限：</w:t>
      </w:r>
      <w:r>
        <w:rPr>
          <w:rFonts w:hint="eastAsia" w:ascii="宋体" w:hAnsi="宋体" w:cs="宋体"/>
          <w:sz w:val="24"/>
          <w:highlight w:val="none"/>
          <w:u w:val="single"/>
        </w:rPr>
        <w:t xml:space="preserve">   按招标文件商务条款    </w:t>
      </w:r>
      <w:r>
        <w:rPr>
          <w:rFonts w:hint="eastAsia" w:ascii="宋体" w:hAnsi="宋体" w:cs="宋体"/>
          <w:sz w:val="24"/>
          <w:highlight w:val="none"/>
        </w:rPr>
        <w:t>。</w:t>
      </w:r>
    </w:p>
    <w:p w14:paraId="026072CB">
      <w:pPr>
        <w:spacing w:line="360" w:lineRule="auto"/>
        <w:ind w:firstLine="482" w:firstLineChars="200"/>
        <w:rPr>
          <w:rFonts w:ascii="宋体" w:hAnsi="宋体" w:cs="宋体"/>
          <w:b/>
          <w:sz w:val="24"/>
          <w:highlight w:val="none"/>
        </w:rPr>
      </w:pPr>
      <w:bookmarkStart w:id="152" w:name="_Toc27250"/>
      <w:bookmarkStart w:id="153" w:name="_Toc19554"/>
      <w:bookmarkStart w:id="154" w:name="_Toc21423"/>
      <w:r>
        <w:rPr>
          <w:rFonts w:hint="eastAsia" w:ascii="宋体" w:hAnsi="宋体" w:cs="宋体"/>
          <w:b/>
          <w:sz w:val="24"/>
          <w:highlight w:val="none"/>
        </w:rPr>
        <w:t>1.6 违约责任</w:t>
      </w:r>
      <w:bookmarkEnd w:id="152"/>
      <w:bookmarkEnd w:id="153"/>
      <w:bookmarkEnd w:id="154"/>
    </w:p>
    <w:p w14:paraId="49208AF2">
      <w:pPr>
        <w:spacing w:line="360" w:lineRule="auto"/>
        <w:ind w:firstLine="480" w:firstLineChars="200"/>
        <w:rPr>
          <w:rFonts w:ascii="宋体" w:hAnsi="宋体" w:cs="宋体"/>
          <w:sz w:val="24"/>
        </w:rPr>
      </w:pPr>
      <w:r>
        <w:rPr>
          <w:rFonts w:hint="eastAsia" w:ascii="宋体" w:hAnsi="宋体" w:cs="宋体"/>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sz w:val="24"/>
          <w:highlight w:val="none"/>
          <w:u w:val="single"/>
        </w:rPr>
        <w:t xml:space="preserve">       万分之五</w:t>
      </w:r>
      <w:r>
        <w:rPr>
          <w:rFonts w:hint="eastAsia" w:ascii="宋体" w:hAnsi="宋体" w:cs="宋体"/>
          <w:sz w:val="24"/>
          <w:highlight w:val="none"/>
        </w:rPr>
        <w:t>（根据项目实际填写，一般为万分之五）计算，最高限额为本合同总价的</w:t>
      </w:r>
      <w:r>
        <w:rPr>
          <w:rFonts w:hint="eastAsia" w:ascii="宋体" w:hAnsi="宋体" w:cs="宋体"/>
          <w:sz w:val="24"/>
          <w:highlight w:val="none"/>
          <w:u w:val="single"/>
        </w:rPr>
        <w:t xml:space="preserve"> </w:t>
      </w:r>
      <w:r>
        <w:rPr>
          <w:rFonts w:ascii="宋体" w:hAnsi="宋体" w:cs="宋体"/>
          <w:sz w:val="24"/>
          <w:highlight w:val="none"/>
          <w:u w:val="single"/>
        </w:rPr>
        <w:t>20</w:t>
      </w:r>
      <w:r>
        <w:rPr>
          <w:rFonts w:hint="eastAsia" w:ascii="宋体" w:hAnsi="宋体" w:cs="宋体"/>
          <w:sz w:val="24"/>
          <w:highlight w:val="none"/>
          <w:u w:val="single"/>
        </w:rPr>
        <w:t xml:space="preserve"> </w:t>
      </w:r>
      <w:r>
        <w:rPr>
          <w:rFonts w:hint="eastAsia" w:ascii="宋体" w:hAnsi="宋体" w:cs="宋体"/>
          <w:sz w:val="24"/>
          <w:highlight w:val="none"/>
        </w:rPr>
        <w:t>%（根据项目实际填写，一般为20%）；迟延超过【</w:t>
      </w:r>
      <w:r>
        <w:rPr>
          <w:rFonts w:ascii="宋体" w:hAnsi="宋体" w:cs="宋体"/>
          <w:sz w:val="24"/>
          <w:highlight w:val="none"/>
        </w:rPr>
        <w:t>7</w:t>
      </w:r>
      <w:r>
        <w:rPr>
          <w:rFonts w:hint="eastAsia" w:ascii="宋体" w:hAnsi="宋体" w:cs="宋体"/>
          <w:sz w:val="24"/>
          <w:highlight w:val="none"/>
        </w:rPr>
        <w:t>】（根据项目实际填写）日的，甲方有权在要求乙方支付违约金的同时，书面通知乙方解除本合同，乙方应退回全部已收取的合同价款并按合同总金额的</w:t>
      </w:r>
      <w:r>
        <w:rPr>
          <w:rFonts w:hint="eastAsia" w:ascii="宋体" w:hAnsi="宋体" w:cs="宋体"/>
          <w:sz w:val="24"/>
          <w:highlight w:val="none"/>
          <w:u w:val="single"/>
        </w:rPr>
        <w:t xml:space="preserve"> </w:t>
      </w:r>
      <w:r>
        <w:rPr>
          <w:rFonts w:ascii="宋体" w:hAnsi="宋体" w:cs="宋体"/>
          <w:sz w:val="24"/>
          <w:highlight w:val="none"/>
          <w:u w:val="single"/>
        </w:rPr>
        <w:t>20%</w:t>
      </w:r>
      <w:r>
        <w:rPr>
          <w:rFonts w:hint="eastAsia" w:ascii="宋体" w:hAnsi="宋体" w:cs="宋体"/>
          <w:sz w:val="24"/>
          <w:highlight w:val="none"/>
          <w:u w:val="single"/>
        </w:rPr>
        <w:t xml:space="preserve">   </w:t>
      </w:r>
      <w:r>
        <w:rPr>
          <w:rFonts w:hint="eastAsia" w:ascii="宋体" w:hAnsi="宋体" w:cs="宋体"/>
          <w:sz w:val="24"/>
        </w:rPr>
        <w:t>（根据项目实际填写，一般为20%）向甲方支付违约金；</w:t>
      </w:r>
    </w:p>
    <w:p w14:paraId="007F3E69">
      <w:pPr>
        <w:spacing w:line="360" w:lineRule="auto"/>
        <w:ind w:firstLine="480" w:firstLineChars="200"/>
        <w:rPr>
          <w:rFonts w:ascii="宋体" w:hAnsi="宋体" w:cs="宋体"/>
          <w:sz w:val="24"/>
        </w:rPr>
      </w:pPr>
      <w:r>
        <w:rPr>
          <w:rFonts w:hint="eastAsia" w:ascii="宋体" w:hAnsi="宋体" w:cs="宋体"/>
          <w:sz w:val="24"/>
        </w:rPr>
        <w:t>1.6.2 除不可抗力外，如果甲方没有按照本合同约定的付款方式付款，乙方可要求甲方支付违约金，违约金按每迟延付款一日的应付而未付款的</w:t>
      </w:r>
      <w:r>
        <w:rPr>
          <w:rFonts w:hint="eastAsia" w:ascii="宋体" w:hAnsi="宋体" w:cs="宋体"/>
          <w:sz w:val="24"/>
          <w:u w:val="single"/>
        </w:rPr>
        <w:t xml:space="preserve">  万分之五 </w:t>
      </w:r>
      <w:r>
        <w:rPr>
          <w:rFonts w:hint="eastAsia" w:ascii="宋体" w:hAnsi="宋体" w:cs="宋体"/>
          <w:sz w:val="24"/>
        </w:rPr>
        <w:t>（根据项目实际填写，一般为万分之五）计算，最高限额为欠付金额的</w:t>
      </w:r>
      <w:r>
        <w:rPr>
          <w:rFonts w:hint="eastAsia" w:ascii="宋体" w:hAnsi="宋体" w:cs="宋体"/>
          <w:sz w:val="24"/>
          <w:u w:val="single"/>
        </w:rPr>
        <w:t xml:space="preserve"> </w:t>
      </w:r>
      <w:r>
        <w:rPr>
          <w:rFonts w:ascii="宋体" w:hAnsi="宋体" w:cs="宋体"/>
          <w:sz w:val="24"/>
          <w:u w:val="single"/>
        </w:rPr>
        <w:t>20</w:t>
      </w:r>
      <w:r>
        <w:rPr>
          <w:rFonts w:hint="eastAsia" w:ascii="宋体" w:hAnsi="宋体" w:cs="宋体"/>
          <w:sz w:val="24"/>
          <w:u w:val="single"/>
        </w:rPr>
        <w:t xml:space="preserve"> </w:t>
      </w:r>
      <w:r>
        <w:rPr>
          <w:rFonts w:hint="eastAsia" w:ascii="宋体" w:hAnsi="宋体" w:cs="宋体"/>
          <w:sz w:val="24"/>
        </w:rPr>
        <w:t>%（根据项目实际填写，一般为20%）；迟延付款的违约金计算数额达到前述最高限额之日起，乙方有权在要求甲方支付违约金的同时，书面通知甲方解除本合同；</w:t>
      </w:r>
      <w:r>
        <w:rPr>
          <w:rFonts w:ascii="宋体" w:hAnsi="宋体" w:cs="宋体"/>
          <w:sz w:val="24"/>
        </w:rPr>
        <w:t xml:space="preserve"> </w:t>
      </w:r>
    </w:p>
    <w:p w14:paraId="2C89FA1E">
      <w:pPr>
        <w:spacing w:line="360" w:lineRule="auto"/>
        <w:ind w:firstLine="480" w:firstLineChars="200"/>
        <w:rPr>
          <w:rFonts w:ascii="宋体" w:hAnsi="宋体" w:cs="宋体"/>
          <w:sz w:val="24"/>
          <w:highlight w:val="none"/>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w:t>
      </w:r>
      <w:r>
        <w:rPr>
          <w:rFonts w:hint="eastAsia" w:ascii="宋体" w:hAnsi="宋体" w:cs="宋体"/>
          <w:sz w:val="24"/>
          <w:highlight w:val="none"/>
        </w:rPr>
        <w:t>对方当事人在合同签订、履行过程中的行为）的，对方当事人可以书面通知违约方解除本合同；</w:t>
      </w:r>
      <w:r>
        <w:rPr>
          <w:rFonts w:hint="eastAsia" w:ascii="仿宋_GB2312" w:hAnsi="楷体" w:eastAsia="仿宋_GB2312"/>
          <w:sz w:val="24"/>
          <w:highlight w:val="none"/>
        </w:rPr>
        <w:t>并可要求违约方按合同总金额的2</w:t>
      </w:r>
      <w:r>
        <w:rPr>
          <w:rFonts w:ascii="仿宋_GB2312" w:hAnsi="楷体" w:eastAsia="仿宋_GB2312"/>
          <w:sz w:val="24"/>
          <w:highlight w:val="none"/>
        </w:rPr>
        <w:t>0</w:t>
      </w:r>
      <w:r>
        <w:rPr>
          <w:rFonts w:hint="eastAsia" w:ascii="仿宋_GB2312" w:hAnsi="楷体" w:eastAsia="仿宋_GB2312"/>
          <w:sz w:val="24"/>
          <w:highlight w:val="none"/>
        </w:rPr>
        <w:t>%支付违约金。</w:t>
      </w:r>
    </w:p>
    <w:p w14:paraId="444D1EAD">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1.6.4乙方在质保期内未按承诺提供售后等服务的，每发生一次向甲方支付违约金额</w:t>
      </w:r>
      <w:r>
        <w:rPr>
          <w:rFonts w:hint="eastAsia" w:ascii="宋体" w:hAnsi="宋体" w:cs="宋体"/>
          <w:sz w:val="24"/>
          <w:highlight w:val="none"/>
          <w:u w:val="single"/>
        </w:rPr>
        <w:t xml:space="preserve">          </w:t>
      </w:r>
    </w:p>
    <w:p w14:paraId="5D9EA6A7">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ascii="宋体" w:hAnsi="宋体" w:cs="宋体"/>
          <w:sz w:val="24"/>
          <w:highlight w:val="none"/>
          <w:u w:val="single"/>
        </w:rPr>
        <w:t>2000</w:t>
      </w:r>
      <w:r>
        <w:rPr>
          <w:rFonts w:hint="eastAsia" w:ascii="宋体" w:hAnsi="宋体" w:cs="宋体"/>
          <w:sz w:val="24"/>
          <w:highlight w:val="none"/>
          <w:u w:val="single"/>
        </w:rPr>
        <w:t xml:space="preserve"> </w:t>
      </w:r>
      <w:r>
        <w:rPr>
          <w:rFonts w:hint="eastAsia" w:ascii="宋体" w:hAnsi="宋体" w:cs="宋体"/>
          <w:sz w:val="24"/>
          <w:highlight w:val="none"/>
        </w:rPr>
        <w:t>元（根据项目实际填写）。</w:t>
      </w:r>
      <w:r>
        <w:rPr>
          <w:rFonts w:hint="eastAsia" w:ascii="仿宋_GB2312" w:hAnsi="楷体" w:eastAsia="仿宋_GB2312"/>
          <w:sz w:val="24"/>
          <w:highlight w:val="none"/>
        </w:rPr>
        <w:t>乙方收到甲方售后服务要求通知后3日内（甲方按照本合同尾部所留联系人及联系电话完成通知或者按照本合同第1.</w:t>
      </w:r>
      <w:r>
        <w:rPr>
          <w:rFonts w:ascii="仿宋_GB2312" w:hAnsi="楷体" w:eastAsia="仿宋_GB2312"/>
          <w:sz w:val="24"/>
          <w:highlight w:val="none"/>
        </w:rPr>
        <w:t>8</w:t>
      </w:r>
      <w:r>
        <w:rPr>
          <w:rFonts w:hint="eastAsia" w:ascii="仿宋_GB2312" w:hAnsi="楷体" w:eastAsia="仿宋_GB2312"/>
          <w:sz w:val="24"/>
          <w:highlight w:val="none"/>
        </w:rPr>
        <w:t>条完成通知的，均视为乙方已经收到通知），乙方未能提供售后服务的，甲方另行委托他人完成，产生的费用由乙方承担。</w:t>
      </w:r>
    </w:p>
    <w:p w14:paraId="2A6C480F">
      <w:pPr>
        <w:spacing w:line="360" w:lineRule="auto"/>
        <w:ind w:firstLine="480" w:firstLineChars="200"/>
        <w:rPr>
          <w:rFonts w:ascii="宋体" w:hAnsi="宋体" w:cs="宋体"/>
          <w:sz w:val="24"/>
          <w:highlight w:val="none"/>
        </w:rPr>
      </w:pPr>
      <w:r>
        <w:rPr>
          <w:rFonts w:hint="eastAsia" w:ascii="宋体" w:hAnsi="宋体" w:cs="宋体"/>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71536CD">
      <w:pPr>
        <w:spacing w:line="360" w:lineRule="auto"/>
        <w:ind w:firstLine="480" w:firstLineChars="200"/>
        <w:rPr>
          <w:rFonts w:ascii="宋体" w:hAnsi="宋体" w:cs="宋体"/>
          <w:sz w:val="24"/>
          <w:highlight w:val="none"/>
        </w:rPr>
      </w:pPr>
      <w:r>
        <w:rPr>
          <w:rFonts w:hint="eastAsia" w:ascii="宋体" w:hAnsi="宋体" w:cs="宋体"/>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3E417AA">
      <w:pPr>
        <w:spacing w:line="360" w:lineRule="auto"/>
        <w:ind w:firstLine="480" w:firstLineChars="200"/>
        <w:rPr>
          <w:rFonts w:ascii="宋体" w:hAnsi="宋体" w:cs="宋体"/>
          <w:sz w:val="24"/>
          <w:highlight w:val="none"/>
        </w:rPr>
      </w:pPr>
      <w:r>
        <w:rPr>
          <w:rFonts w:hint="eastAsia" w:ascii="宋体" w:hAnsi="宋体" w:cs="宋体"/>
          <w:sz w:val="24"/>
          <w:highlight w:val="none"/>
        </w:rPr>
        <w:t>1.6.7 如果出现政府采购监督管理部门在处理投诉事项期间，书面通知甲方暂停采购活动的情形，或者询问或质疑事项可能影响中标结果的，导致甲方中止履行合同</w:t>
      </w:r>
      <w:r>
        <w:rPr>
          <w:rFonts w:hint="eastAsia" w:ascii="仿宋_GB2312" w:hAnsi="楷体" w:eastAsia="仿宋_GB2312"/>
          <w:sz w:val="24"/>
          <w:highlight w:val="none"/>
        </w:rPr>
        <w:t>或最终导致废标、合同无效的</w:t>
      </w:r>
      <w:r>
        <w:rPr>
          <w:rFonts w:hint="eastAsia" w:ascii="宋体" w:hAnsi="宋体" w:cs="宋体"/>
          <w:sz w:val="24"/>
          <w:highlight w:val="none"/>
        </w:rPr>
        <w:t>的情形，均不视为甲方违约。</w:t>
      </w:r>
      <w:r>
        <w:rPr>
          <w:rFonts w:hint="eastAsia" w:ascii="仿宋_GB2312" w:hAnsi="楷体" w:eastAsia="仿宋_GB2312"/>
          <w:sz w:val="24"/>
          <w:highlight w:val="none"/>
        </w:rPr>
        <w:t>如废标原因是乙方过错导致，甲方可要求乙方因废标对甲方造成的损失承担赔偿责任。</w:t>
      </w:r>
    </w:p>
    <w:p w14:paraId="006C8949">
      <w:pPr>
        <w:spacing w:line="360" w:lineRule="auto"/>
        <w:ind w:firstLine="482" w:firstLineChars="200"/>
        <w:rPr>
          <w:rFonts w:ascii="宋体" w:hAnsi="宋体" w:cs="宋体"/>
          <w:b/>
          <w:sz w:val="24"/>
          <w:highlight w:val="none"/>
        </w:rPr>
      </w:pPr>
      <w:bookmarkStart w:id="155" w:name="_Toc28375"/>
      <w:bookmarkStart w:id="156" w:name="_Toc15583"/>
      <w:bookmarkStart w:id="157" w:name="_Toc16021"/>
      <w:r>
        <w:rPr>
          <w:rFonts w:hint="eastAsia" w:ascii="宋体" w:hAnsi="宋体" w:cs="宋体"/>
          <w:b/>
          <w:sz w:val="24"/>
          <w:highlight w:val="none"/>
        </w:rPr>
        <w:t>1.7 合同争议的解决</w:t>
      </w:r>
      <w:bookmarkEnd w:id="155"/>
      <w:bookmarkEnd w:id="156"/>
      <w:bookmarkEnd w:id="157"/>
    </w:p>
    <w:p w14:paraId="5EDB75A8">
      <w:pPr>
        <w:spacing w:line="360" w:lineRule="auto"/>
        <w:ind w:firstLine="480" w:firstLineChars="200"/>
        <w:rPr>
          <w:rFonts w:ascii="宋体" w:hAnsi="宋体" w:cs="宋体"/>
          <w:sz w:val="24"/>
        </w:rPr>
      </w:pPr>
      <w:r>
        <w:rPr>
          <w:rFonts w:hint="eastAsia" w:ascii="宋体" w:hAnsi="宋体" w:cs="宋体"/>
          <w:sz w:val="24"/>
        </w:rPr>
        <w:t>本合同履行过程中发生的任何争议，双方当事人均应通过友好协商的方式和解或者调解解决；不愿和解、调解或者和解、调解不成的，可以选择下列第</w:t>
      </w:r>
      <w:r>
        <w:rPr>
          <w:rFonts w:hint="eastAsia" w:ascii="宋体" w:hAnsi="宋体" w:cs="宋体"/>
          <w:sz w:val="24"/>
          <w:u w:val="single"/>
        </w:rPr>
        <w:t xml:space="preserve"> </w:t>
      </w:r>
      <w:r>
        <w:rPr>
          <w:rFonts w:ascii="宋体" w:hAnsi="宋体" w:cs="宋体"/>
          <w:sz w:val="24"/>
          <w:u w:val="single"/>
        </w:rPr>
        <w:t>1</w:t>
      </w:r>
      <w:r>
        <w:rPr>
          <w:rFonts w:hint="eastAsia" w:ascii="宋体" w:hAnsi="宋体" w:cs="宋体"/>
          <w:sz w:val="24"/>
          <w:u w:val="single"/>
        </w:rPr>
        <w:t>.</w:t>
      </w:r>
      <w:r>
        <w:rPr>
          <w:rFonts w:ascii="宋体" w:hAnsi="宋体" w:cs="宋体"/>
          <w:sz w:val="24"/>
          <w:u w:val="single"/>
        </w:rPr>
        <w:t>7</w:t>
      </w:r>
      <w:r>
        <w:rPr>
          <w:rFonts w:hint="eastAsia" w:ascii="宋体" w:hAnsi="宋体" w:cs="宋体"/>
          <w:sz w:val="24"/>
          <w:u w:val="single"/>
        </w:rPr>
        <w:t>.</w:t>
      </w:r>
      <w:r>
        <w:rPr>
          <w:rFonts w:ascii="宋体" w:hAnsi="宋体" w:cs="宋体"/>
          <w:sz w:val="24"/>
          <w:u w:val="single"/>
        </w:rPr>
        <w:t>2</w:t>
      </w:r>
      <w:r>
        <w:rPr>
          <w:rFonts w:hint="eastAsia" w:ascii="宋体" w:hAnsi="宋体" w:cs="宋体"/>
          <w:sz w:val="24"/>
          <w:u w:val="single"/>
        </w:rPr>
        <w:t xml:space="preserve"> </w:t>
      </w:r>
      <w:r>
        <w:rPr>
          <w:rFonts w:hint="eastAsia" w:ascii="宋体" w:hAnsi="宋体" w:cs="宋体"/>
          <w:sz w:val="24"/>
        </w:rPr>
        <w:t>种方式解决：</w:t>
      </w:r>
    </w:p>
    <w:p w14:paraId="243D9A75">
      <w:pPr>
        <w:spacing w:line="360" w:lineRule="auto"/>
        <w:ind w:firstLine="480" w:firstLineChars="200"/>
        <w:rPr>
          <w:rFonts w:ascii="宋体" w:hAnsi="宋体" w:cs="宋体"/>
          <w:sz w:val="24"/>
        </w:rPr>
      </w:pPr>
      <w:r>
        <w:rPr>
          <w:rFonts w:hint="eastAsia" w:ascii="宋体" w:hAnsi="宋体" w:cs="宋体"/>
          <w:sz w:val="24"/>
        </w:rPr>
        <w:t>1.7.1 将争议提交</w:t>
      </w:r>
      <w:r>
        <w:rPr>
          <w:rFonts w:hint="eastAsia" w:ascii="宋体" w:hAnsi="宋体" w:cs="宋体"/>
          <w:sz w:val="24"/>
          <w:u w:val="single"/>
        </w:rPr>
        <w:t>隆安县</w:t>
      </w:r>
      <w:r>
        <w:rPr>
          <w:rFonts w:hint="eastAsia" w:ascii="宋体" w:hAnsi="宋体" w:cs="宋体"/>
          <w:sz w:val="24"/>
        </w:rPr>
        <w:t>仲裁委员会依申请仲裁时其现行有效的仲裁规则裁决；</w:t>
      </w:r>
    </w:p>
    <w:p w14:paraId="6A5B3313">
      <w:pPr>
        <w:spacing w:line="360" w:lineRule="auto"/>
        <w:ind w:firstLine="480" w:firstLineChars="200"/>
        <w:rPr>
          <w:rFonts w:ascii="宋体" w:hAnsi="宋体" w:cs="宋体"/>
          <w:sz w:val="24"/>
        </w:rPr>
      </w:pPr>
      <w:r>
        <w:rPr>
          <w:rFonts w:hint="eastAsia" w:ascii="宋体" w:hAnsi="宋体" w:cs="宋体"/>
          <w:sz w:val="24"/>
        </w:rPr>
        <w:t>1.7.2 向</w:t>
      </w:r>
      <w:r>
        <w:rPr>
          <w:rFonts w:hint="eastAsia" w:ascii="宋体" w:hAnsi="宋体" w:cs="宋体"/>
          <w:sz w:val="24"/>
          <w:u w:val="single"/>
        </w:rPr>
        <w:t xml:space="preserve">   甲方所在地    有管辖权的</w:t>
      </w:r>
      <w:r>
        <w:rPr>
          <w:rFonts w:hint="eastAsia" w:ascii="宋体" w:hAnsi="宋体" w:cs="宋体"/>
          <w:sz w:val="24"/>
        </w:rPr>
        <w:t>人民法院起诉。</w:t>
      </w:r>
    </w:p>
    <w:p w14:paraId="47C33F10">
      <w:pPr>
        <w:spacing w:line="360" w:lineRule="auto"/>
        <w:ind w:firstLine="482" w:firstLineChars="200"/>
        <w:rPr>
          <w:rFonts w:ascii="宋体" w:hAnsi="宋体" w:cs="宋体"/>
          <w:b/>
          <w:sz w:val="24"/>
        </w:rPr>
      </w:pPr>
      <w:bookmarkStart w:id="158" w:name="_Toc11173"/>
      <w:bookmarkStart w:id="159" w:name="_Toc15322"/>
      <w:bookmarkStart w:id="160" w:name="_Toc7245"/>
      <w:r>
        <w:rPr>
          <w:rFonts w:hint="eastAsia" w:ascii="宋体" w:hAnsi="宋体" w:cs="宋体"/>
          <w:b/>
          <w:sz w:val="24"/>
        </w:rPr>
        <w:t>1.8 合同生效</w:t>
      </w:r>
      <w:bookmarkEnd w:id="158"/>
      <w:bookmarkEnd w:id="159"/>
      <w:bookmarkEnd w:id="160"/>
    </w:p>
    <w:p w14:paraId="28571684">
      <w:pPr>
        <w:spacing w:line="360" w:lineRule="auto"/>
        <w:ind w:firstLine="480" w:firstLineChars="200"/>
        <w:rPr>
          <w:rFonts w:ascii="宋体" w:hAnsi="宋体" w:cs="宋体"/>
          <w:b/>
          <w:sz w:val="24"/>
        </w:rPr>
      </w:pPr>
      <w:r>
        <w:rPr>
          <w:rFonts w:hint="eastAsia" w:ascii="宋体" w:hAnsi="宋体" w:cs="宋体"/>
          <w:sz w:val="24"/>
        </w:rPr>
        <w:t>本合同自双方当事人加盖有效电子公章时生效。</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14:paraId="3D00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3007874B">
            <w:pPr>
              <w:spacing w:line="360" w:lineRule="auto"/>
              <w:rPr>
                <w:rFonts w:ascii="宋体" w:hAnsi="宋体" w:cs="宋体"/>
                <w:sz w:val="24"/>
                <w:highlight w:val="none"/>
                <w:lang w:val="zh-CN"/>
              </w:rPr>
            </w:pPr>
            <w:r>
              <w:rPr>
                <w:rFonts w:hint="eastAsia" w:ascii="宋体" w:hAnsi="宋体" w:cs="宋体"/>
                <w:sz w:val="24"/>
                <w:highlight w:val="none"/>
                <w:lang w:val="zh-CN"/>
              </w:rPr>
              <w:t>甲方（盖章）：</w:t>
            </w:r>
            <w:r>
              <w:rPr>
                <w:rFonts w:hint="eastAsia" w:ascii="仿宋_GB2312" w:hAnsi="楷体" w:eastAsia="仿宋_GB2312"/>
                <w:sz w:val="24"/>
                <w:highlight w:val="none"/>
                <w:lang w:val="zh-CN"/>
              </w:rPr>
              <w:t>隆安县教育局</w:t>
            </w:r>
          </w:p>
        </w:tc>
        <w:tc>
          <w:tcPr>
            <w:tcW w:w="4981" w:type="dxa"/>
            <w:tcBorders>
              <w:top w:val="single" w:color="auto" w:sz="4" w:space="0"/>
              <w:left w:val="single" w:color="auto" w:sz="4" w:space="0"/>
              <w:bottom w:val="single" w:color="auto" w:sz="4" w:space="0"/>
              <w:right w:val="single" w:color="auto" w:sz="4" w:space="0"/>
            </w:tcBorders>
          </w:tcPr>
          <w:p w14:paraId="2BDE0AB6">
            <w:pPr>
              <w:spacing w:line="360" w:lineRule="auto"/>
              <w:rPr>
                <w:rFonts w:ascii="宋体" w:hAnsi="宋体" w:cs="宋体"/>
                <w:sz w:val="24"/>
                <w:highlight w:val="none"/>
                <w:lang w:val="zh-CN"/>
              </w:rPr>
            </w:pPr>
            <w:r>
              <w:rPr>
                <w:rFonts w:hint="eastAsia" w:ascii="宋体" w:hAnsi="宋体" w:cs="宋体"/>
                <w:sz w:val="24"/>
                <w:highlight w:val="none"/>
                <w:lang w:val="zh-CN"/>
              </w:rPr>
              <w:t>乙方：</w:t>
            </w:r>
            <w:r>
              <w:rPr>
                <w:rFonts w:hint="eastAsia" w:ascii="宋体" w:hAnsi="宋体" w:cs="宋体"/>
                <w:sz w:val="24"/>
                <w:highlight w:val="none"/>
              </w:rPr>
              <w:t xml:space="preserve">         </w:t>
            </w:r>
            <w:r>
              <w:rPr>
                <w:rFonts w:hint="eastAsia" w:ascii="宋体" w:hAnsi="宋体" w:cs="宋体"/>
                <w:sz w:val="24"/>
                <w:highlight w:val="none"/>
                <w:lang w:val="zh-CN"/>
              </w:rPr>
              <w:t>（盖章）</w:t>
            </w:r>
          </w:p>
          <w:p w14:paraId="004DA005">
            <w:pPr>
              <w:spacing w:line="360" w:lineRule="auto"/>
              <w:rPr>
                <w:rFonts w:ascii="宋体" w:hAnsi="宋体" w:cs="宋体"/>
                <w:sz w:val="24"/>
                <w:highlight w:val="none"/>
                <w:lang w:val="zh-CN"/>
              </w:rPr>
            </w:pPr>
          </w:p>
        </w:tc>
      </w:tr>
      <w:tr w14:paraId="2184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574556C4">
            <w:pPr>
              <w:spacing w:line="360" w:lineRule="auto"/>
              <w:ind w:firstLine="200"/>
              <w:rPr>
                <w:rFonts w:hint="eastAsia" w:ascii="仿宋_GB2312" w:hAnsi="楷体" w:eastAsia="仿宋_GB2312"/>
                <w:sz w:val="24"/>
                <w:highlight w:val="none"/>
                <w:lang w:val="zh-CN"/>
              </w:rPr>
            </w:pPr>
            <w:r>
              <w:rPr>
                <w:rFonts w:hint="eastAsia" w:ascii="宋体" w:hAnsi="宋体" w:cs="宋体"/>
                <w:sz w:val="24"/>
                <w:highlight w:val="none"/>
                <w:lang w:val="zh-CN"/>
              </w:rPr>
              <w:t>统一社会信用代码：</w:t>
            </w:r>
            <w:r>
              <w:rPr>
                <w:rFonts w:hint="eastAsia" w:ascii="宋体" w:hAnsi="宋体" w:cs="宋体"/>
                <w:sz w:val="24"/>
                <w:highlight w:val="none"/>
              </w:rPr>
              <w:t xml:space="preserve"> </w:t>
            </w:r>
            <w:r>
              <w:rPr>
                <w:rFonts w:ascii="仿宋_GB2312" w:hAnsi="楷体" w:eastAsia="仿宋_GB2312"/>
                <w:sz w:val="24"/>
                <w:highlight w:val="none"/>
                <w:lang w:val="zh-CN"/>
              </w:rPr>
              <w:t>11450123007743122T</w:t>
            </w:r>
          </w:p>
        </w:tc>
        <w:tc>
          <w:tcPr>
            <w:tcW w:w="4981" w:type="dxa"/>
            <w:tcBorders>
              <w:top w:val="single" w:color="auto" w:sz="4" w:space="0"/>
              <w:left w:val="single" w:color="auto" w:sz="4" w:space="0"/>
              <w:bottom w:val="single" w:color="auto" w:sz="4" w:space="0"/>
              <w:right w:val="single" w:color="auto" w:sz="4" w:space="0"/>
            </w:tcBorders>
          </w:tcPr>
          <w:p w14:paraId="1A1E8FEC">
            <w:pPr>
              <w:spacing w:line="360" w:lineRule="auto"/>
              <w:rPr>
                <w:rFonts w:ascii="宋体" w:hAnsi="宋体" w:cs="宋体"/>
                <w:sz w:val="24"/>
                <w:highlight w:val="none"/>
                <w:lang w:val="zh-CN"/>
              </w:rPr>
            </w:pPr>
            <w:r>
              <w:rPr>
                <w:rFonts w:hint="eastAsia" w:ascii="宋体" w:hAnsi="宋体" w:cs="宋体"/>
                <w:sz w:val="24"/>
                <w:highlight w:val="none"/>
                <w:lang w:val="zh-CN"/>
              </w:rPr>
              <w:t>统一社会信用代码：</w:t>
            </w:r>
            <w:r>
              <w:rPr>
                <w:rFonts w:hint="eastAsia" w:ascii="宋体" w:hAnsi="宋体" w:cs="宋体"/>
                <w:sz w:val="24"/>
                <w:highlight w:val="none"/>
              </w:rPr>
              <w:t xml:space="preserve"> </w:t>
            </w:r>
          </w:p>
        </w:tc>
      </w:tr>
      <w:tr w14:paraId="3C90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61297736">
            <w:pPr>
              <w:spacing w:line="360" w:lineRule="auto"/>
              <w:rPr>
                <w:rFonts w:ascii="宋体" w:hAnsi="宋体" w:cs="宋体"/>
                <w:sz w:val="24"/>
                <w:highlight w:val="none"/>
                <w:lang w:val="zh-CN"/>
              </w:rPr>
            </w:pPr>
            <w:r>
              <w:rPr>
                <w:rFonts w:hint="eastAsia" w:ascii="宋体" w:hAnsi="宋体" w:cs="宋体"/>
                <w:sz w:val="24"/>
                <w:highlight w:val="none"/>
                <w:lang w:val="zh-CN"/>
              </w:rPr>
              <w:t>住所：</w:t>
            </w:r>
            <w:r>
              <w:rPr>
                <w:rFonts w:hint="eastAsia" w:ascii="仿宋_GB2312" w:hAnsi="楷体" w:eastAsia="仿宋_GB2312"/>
                <w:sz w:val="24"/>
                <w:highlight w:val="none"/>
                <w:lang w:val="zh-CN"/>
              </w:rPr>
              <w:t>广西南宁市隆安县城厢镇江滨路2</w:t>
            </w:r>
            <w:r>
              <w:rPr>
                <w:rFonts w:ascii="仿宋_GB2312" w:hAnsi="楷体" w:eastAsia="仿宋_GB2312"/>
                <w:sz w:val="24"/>
                <w:highlight w:val="none"/>
                <w:lang w:val="zh-CN"/>
              </w:rPr>
              <w:t>2</w:t>
            </w:r>
            <w:r>
              <w:rPr>
                <w:rFonts w:hint="eastAsia" w:ascii="仿宋_GB2312" w:hAnsi="楷体" w:eastAsia="仿宋_GB2312"/>
                <w:sz w:val="24"/>
                <w:highlight w:val="none"/>
                <w:lang w:val="zh-CN"/>
              </w:rPr>
              <w:t>号</w:t>
            </w:r>
          </w:p>
        </w:tc>
        <w:tc>
          <w:tcPr>
            <w:tcW w:w="4981" w:type="dxa"/>
            <w:tcBorders>
              <w:top w:val="single" w:color="auto" w:sz="4" w:space="0"/>
              <w:left w:val="single" w:color="auto" w:sz="4" w:space="0"/>
              <w:bottom w:val="single" w:color="auto" w:sz="4" w:space="0"/>
              <w:right w:val="single" w:color="auto" w:sz="4" w:space="0"/>
            </w:tcBorders>
          </w:tcPr>
          <w:p w14:paraId="0ECF2A23">
            <w:pPr>
              <w:spacing w:line="360" w:lineRule="auto"/>
              <w:rPr>
                <w:rFonts w:ascii="宋体" w:hAnsi="宋体" w:cs="宋体"/>
                <w:sz w:val="24"/>
                <w:highlight w:val="none"/>
                <w:lang w:val="zh-CN"/>
              </w:rPr>
            </w:pPr>
            <w:r>
              <w:rPr>
                <w:rFonts w:hint="eastAsia" w:ascii="宋体" w:hAnsi="宋体" w:cs="宋体"/>
                <w:sz w:val="24"/>
                <w:highlight w:val="none"/>
                <w:lang w:val="zh-CN"/>
              </w:rPr>
              <w:t>住所：</w:t>
            </w:r>
            <w:r>
              <w:rPr>
                <w:rFonts w:hint="eastAsia" w:ascii="宋体" w:hAnsi="宋体" w:cs="宋体"/>
                <w:sz w:val="24"/>
                <w:highlight w:val="none"/>
              </w:rPr>
              <w:t xml:space="preserve"> </w:t>
            </w:r>
          </w:p>
        </w:tc>
      </w:tr>
      <w:tr w14:paraId="0600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4981" w:type="dxa"/>
            <w:tcBorders>
              <w:top w:val="single" w:color="auto" w:sz="4" w:space="0"/>
              <w:left w:val="single" w:color="auto" w:sz="4" w:space="0"/>
              <w:bottom w:val="single" w:color="auto" w:sz="4" w:space="0"/>
              <w:right w:val="single" w:color="auto" w:sz="4" w:space="0"/>
            </w:tcBorders>
          </w:tcPr>
          <w:p w14:paraId="04150321">
            <w:pPr>
              <w:spacing w:line="360" w:lineRule="auto"/>
              <w:rPr>
                <w:rFonts w:ascii="宋体" w:hAnsi="宋体" w:cs="宋体"/>
                <w:sz w:val="24"/>
                <w:highlight w:val="none"/>
                <w:lang w:val="zh-CN"/>
              </w:rPr>
            </w:pPr>
            <w:r>
              <w:rPr>
                <w:rFonts w:hint="eastAsia" w:ascii="宋体" w:hAnsi="宋体" w:cs="宋体"/>
                <w:sz w:val="24"/>
                <w:highlight w:val="none"/>
                <w:lang w:val="zh-CN"/>
              </w:rPr>
              <w:t>法定代表人或授权代表（签字）：</w:t>
            </w:r>
          </w:p>
        </w:tc>
        <w:tc>
          <w:tcPr>
            <w:tcW w:w="4981" w:type="dxa"/>
            <w:tcBorders>
              <w:top w:val="single" w:color="auto" w:sz="4" w:space="0"/>
              <w:left w:val="single" w:color="auto" w:sz="4" w:space="0"/>
              <w:bottom w:val="single" w:color="auto" w:sz="4" w:space="0"/>
              <w:right w:val="single" w:color="auto" w:sz="4" w:space="0"/>
            </w:tcBorders>
          </w:tcPr>
          <w:p w14:paraId="3525CB9A">
            <w:pPr>
              <w:spacing w:line="360" w:lineRule="auto"/>
              <w:rPr>
                <w:rFonts w:ascii="宋体" w:hAnsi="宋体" w:cs="宋体"/>
                <w:sz w:val="24"/>
                <w:highlight w:val="none"/>
                <w:lang w:val="zh-CN"/>
              </w:rPr>
            </w:pPr>
            <w:r>
              <w:rPr>
                <w:rFonts w:hint="eastAsia" w:ascii="宋体" w:hAnsi="宋体" w:cs="宋体"/>
                <w:sz w:val="24"/>
                <w:highlight w:val="none"/>
                <w:lang w:val="zh-CN"/>
              </w:rPr>
              <w:t>法定代表人或授权代表（签字）：</w:t>
            </w:r>
          </w:p>
        </w:tc>
      </w:tr>
      <w:tr w14:paraId="6040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5FF1EF38">
            <w:pPr>
              <w:spacing w:line="360" w:lineRule="auto"/>
              <w:rPr>
                <w:rFonts w:ascii="宋体" w:hAnsi="宋体" w:cs="宋体"/>
                <w:sz w:val="24"/>
                <w:highlight w:val="none"/>
                <w:lang w:val="zh-CN"/>
              </w:rPr>
            </w:pPr>
            <w:r>
              <w:rPr>
                <w:rFonts w:hint="eastAsia" w:ascii="宋体" w:hAnsi="宋体" w:cs="宋体"/>
                <w:sz w:val="24"/>
                <w:highlight w:val="none"/>
                <w:lang w:val="zh-CN"/>
              </w:rPr>
              <w:t>联系人：</w:t>
            </w:r>
            <w:r>
              <w:rPr>
                <w:rFonts w:hint="eastAsia" w:ascii="仿宋_GB2312" w:hAnsi="楷体" w:eastAsia="仿宋_GB2312"/>
                <w:sz w:val="24"/>
                <w:highlight w:val="none"/>
                <w:lang w:val="zh-CN"/>
              </w:rPr>
              <w:t>李老师</w:t>
            </w:r>
          </w:p>
        </w:tc>
        <w:tc>
          <w:tcPr>
            <w:tcW w:w="4981" w:type="dxa"/>
            <w:tcBorders>
              <w:top w:val="single" w:color="auto" w:sz="4" w:space="0"/>
              <w:left w:val="single" w:color="auto" w:sz="4" w:space="0"/>
              <w:bottom w:val="single" w:color="auto" w:sz="4" w:space="0"/>
              <w:right w:val="single" w:color="auto" w:sz="4" w:space="0"/>
            </w:tcBorders>
          </w:tcPr>
          <w:p w14:paraId="5F732AE2">
            <w:pPr>
              <w:spacing w:line="360" w:lineRule="auto"/>
              <w:rPr>
                <w:rFonts w:ascii="宋体" w:hAnsi="宋体" w:cs="宋体"/>
                <w:sz w:val="24"/>
                <w:highlight w:val="none"/>
                <w:lang w:val="zh-CN"/>
              </w:rPr>
            </w:pPr>
            <w:r>
              <w:rPr>
                <w:rFonts w:hint="eastAsia" w:ascii="宋体" w:hAnsi="宋体" w:cs="宋体"/>
                <w:sz w:val="24"/>
                <w:highlight w:val="none"/>
                <w:lang w:val="zh-CN"/>
              </w:rPr>
              <w:t>联系人：</w:t>
            </w:r>
          </w:p>
        </w:tc>
      </w:tr>
      <w:tr w14:paraId="600F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38459E46">
            <w:pPr>
              <w:spacing w:line="360" w:lineRule="auto"/>
              <w:rPr>
                <w:rFonts w:ascii="宋体" w:hAnsi="宋体" w:cs="宋体"/>
                <w:sz w:val="24"/>
                <w:highlight w:val="none"/>
                <w:lang w:val="zh-CN"/>
              </w:rPr>
            </w:pPr>
            <w:r>
              <w:rPr>
                <w:rFonts w:hint="eastAsia" w:ascii="宋体" w:hAnsi="宋体" w:cs="宋体"/>
                <w:sz w:val="24"/>
                <w:highlight w:val="none"/>
                <w:lang w:val="zh-CN"/>
              </w:rPr>
              <w:t>约定送达地址：</w:t>
            </w:r>
            <w:r>
              <w:rPr>
                <w:rFonts w:hint="eastAsia" w:ascii="仿宋_GB2312" w:hAnsi="楷体" w:eastAsia="仿宋_GB2312"/>
                <w:sz w:val="24"/>
                <w:highlight w:val="none"/>
                <w:lang w:val="zh-CN"/>
              </w:rPr>
              <w:t>广西南宁市隆安县城厢镇江滨路22号</w:t>
            </w:r>
          </w:p>
        </w:tc>
        <w:tc>
          <w:tcPr>
            <w:tcW w:w="4981" w:type="dxa"/>
            <w:tcBorders>
              <w:top w:val="single" w:color="auto" w:sz="4" w:space="0"/>
              <w:left w:val="single" w:color="auto" w:sz="4" w:space="0"/>
              <w:bottom w:val="single" w:color="auto" w:sz="4" w:space="0"/>
              <w:right w:val="single" w:color="auto" w:sz="4" w:space="0"/>
            </w:tcBorders>
          </w:tcPr>
          <w:p w14:paraId="61D5BF11">
            <w:pPr>
              <w:spacing w:line="360" w:lineRule="auto"/>
              <w:rPr>
                <w:rFonts w:ascii="宋体" w:hAnsi="宋体" w:cs="宋体"/>
                <w:sz w:val="24"/>
                <w:highlight w:val="none"/>
                <w:lang w:val="zh-CN"/>
              </w:rPr>
            </w:pPr>
            <w:r>
              <w:rPr>
                <w:rFonts w:hint="eastAsia" w:ascii="宋体" w:hAnsi="宋体" w:cs="宋体"/>
                <w:sz w:val="24"/>
                <w:highlight w:val="none"/>
                <w:lang w:val="zh-CN"/>
              </w:rPr>
              <w:t>约定送达地址：</w:t>
            </w:r>
            <w:r>
              <w:rPr>
                <w:rFonts w:hint="eastAsia" w:ascii="宋体" w:hAnsi="宋体" w:cs="宋体"/>
                <w:sz w:val="24"/>
                <w:highlight w:val="none"/>
              </w:rPr>
              <w:t xml:space="preserve"> </w:t>
            </w:r>
          </w:p>
        </w:tc>
      </w:tr>
      <w:tr w14:paraId="612E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5977066D">
            <w:pPr>
              <w:spacing w:line="360" w:lineRule="auto"/>
              <w:rPr>
                <w:rFonts w:ascii="宋体" w:hAnsi="宋体" w:cs="宋体"/>
                <w:sz w:val="24"/>
                <w:highlight w:val="none"/>
                <w:lang w:val="zh-CN"/>
              </w:rPr>
            </w:pPr>
            <w:r>
              <w:rPr>
                <w:rFonts w:hint="eastAsia" w:ascii="宋体" w:hAnsi="宋体" w:cs="宋体"/>
                <w:sz w:val="24"/>
                <w:highlight w:val="none"/>
                <w:lang w:val="zh-CN"/>
              </w:rPr>
              <w:t>邮政编码：</w:t>
            </w:r>
            <w:r>
              <w:rPr>
                <w:rFonts w:hint="eastAsia" w:ascii="宋体" w:hAnsi="宋体" w:cs="宋体"/>
                <w:sz w:val="24"/>
                <w:highlight w:val="none"/>
              </w:rPr>
              <w:t xml:space="preserve"> </w:t>
            </w:r>
            <w:r>
              <w:rPr>
                <w:rFonts w:ascii="仿宋_GB2312" w:hAnsi="楷体" w:eastAsia="仿宋_GB2312"/>
                <w:sz w:val="24"/>
                <w:highlight w:val="none"/>
                <w:lang w:val="zh-CN"/>
              </w:rPr>
              <w:t>532799</w:t>
            </w:r>
          </w:p>
        </w:tc>
        <w:tc>
          <w:tcPr>
            <w:tcW w:w="4981" w:type="dxa"/>
            <w:tcBorders>
              <w:top w:val="single" w:color="auto" w:sz="4" w:space="0"/>
              <w:left w:val="single" w:color="auto" w:sz="4" w:space="0"/>
              <w:bottom w:val="single" w:color="auto" w:sz="4" w:space="0"/>
              <w:right w:val="single" w:color="auto" w:sz="4" w:space="0"/>
            </w:tcBorders>
          </w:tcPr>
          <w:p w14:paraId="463E5AD0">
            <w:pPr>
              <w:spacing w:line="360" w:lineRule="auto"/>
              <w:rPr>
                <w:rFonts w:ascii="宋体" w:hAnsi="宋体" w:cs="宋体"/>
                <w:sz w:val="24"/>
                <w:highlight w:val="none"/>
                <w:lang w:val="zh-CN"/>
              </w:rPr>
            </w:pPr>
            <w:r>
              <w:rPr>
                <w:rFonts w:hint="eastAsia" w:ascii="宋体" w:hAnsi="宋体" w:cs="宋体"/>
                <w:sz w:val="24"/>
                <w:highlight w:val="none"/>
                <w:lang w:val="zh-CN"/>
              </w:rPr>
              <w:t>邮政编码：</w:t>
            </w:r>
            <w:r>
              <w:rPr>
                <w:rFonts w:hint="eastAsia" w:ascii="宋体" w:hAnsi="宋体" w:cs="宋体"/>
                <w:sz w:val="24"/>
                <w:highlight w:val="none"/>
              </w:rPr>
              <w:t xml:space="preserve"> </w:t>
            </w:r>
          </w:p>
        </w:tc>
      </w:tr>
      <w:tr w14:paraId="0ED9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5AB71FA3">
            <w:pPr>
              <w:spacing w:line="360" w:lineRule="auto"/>
              <w:rPr>
                <w:rFonts w:ascii="宋体" w:hAnsi="宋体" w:cs="宋体"/>
                <w:sz w:val="24"/>
                <w:highlight w:val="none"/>
                <w:lang w:val="zh-CN"/>
              </w:rPr>
            </w:pPr>
            <w:r>
              <w:rPr>
                <w:rFonts w:hint="eastAsia" w:ascii="宋体" w:hAnsi="宋体" w:cs="宋体"/>
                <w:sz w:val="24"/>
                <w:highlight w:val="none"/>
                <w:lang w:val="zh-CN"/>
              </w:rPr>
              <w:t>电话：</w:t>
            </w:r>
            <w:r>
              <w:rPr>
                <w:rFonts w:hint="eastAsia" w:ascii="宋体" w:hAnsi="宋体" w:cs="宋体"/>
                <w:sz w:val="24"/>
                <w:highlight w:val="none"/>
              </w:rPr>
              <w:t xml:space="preserve"> </w:t>
            </w:r>
            <w:r>
              <w:rPr>
                <w:rFonts w:ascii="仿宋_GB2312" w:hAnsi="楷体" w:eastAsia="仿宋_GB2312"/>
                <w:sz w:val="24"/>
                <w:highlight w:val="none"/>
                <w:lang w:val="zh-CN"/>
              </w:rPr>
              <w:t>0771</w:t>
            </w:r>
            <w:r>
              <w:rPr>
                <w:rFonts w:hint="eastAsia" w:ascii="仿宋_GB2312" w:hAnsi="楷体" w:eastAsia="仿宋_GB2312"/>
                <w:sz w:val="24"/>
                <w:highlight w:val="none"/>
                <w:lang w:val="zh-CN"/>
              </w:rPr>
              <w:t>-</w:t>
            </w:r>
            <w:r>
              <w:rPr>
                <w:rFonts w:ascii="仿宋_GB2312" w:hAnsi="楷体" w:eastAsia="仿宋_GB2312"/>
                <w:sz w:val="24"/>
                <w:highlight w:val="none"/>
                <w:lang w:val="zh-CN"/>
              </w:rPr>
              <w:t>6528701</w:t>
            </w:r>
          </w:p>
        </w:tc>
        <w:tc>
          <w:tcPr>
            <w:tcW w:w="4981" w:type="dxa"/>
            <w:tcBorders>
              <w:top w:val="single" w:color="auto" w:sz="4" w:space="0"/>
              <w:left w:val="single" w:color="auto" w:sz="4" w:space="0"/>
              <w:bottom w:val="single" w:color="auto" w:sz="4" w:space="0"/>
              <w:right w:val="single" w:color="auto" w:sz="4" w:space="0"/>
            </w:tcBorders>
          </w:tcPr>
          <w:p w14:paraId="3E4597B1">
            <w:pPr>
              <w:spacing w:line="360" w:lineRule="auto"/>
              <w:rPr>
                <w:rFonts w:ascii="宋体" w:hAnsi="宋体" w:cs="宋体"/>
                <w:sz w:val="24"/>
                <w:highlight w:val="none"/>
                <w:lang w:val="zh-CN"/>
              </w:rPr>
            </w:pPr>
            <w:r>
              <w:rPr>
                <w:rFonts w:hint="eastAsia" w:ascii="宋体" w:hAnsi="宋体" w:cs="宋体"/>
                <w:sz w:val="24"/>
                <w:highlight w:val="none"/>
                <w:lang w:val="zh-CN"/>
              </w:rPr>
              <w:t>电话：</w:t>
            </w:r>
            <w:r>
              <w:rPr>
                <w:rFonts w:hint="eastAsia" w:ascii="宋体" w:hAnsi="宋体" w:cs="宋体"/>
                <w:sz w:val="24"/>
                <w:highlight w:val="none"/>
              </w:rPr>
              <w:t xml:space="preserve"> </w:t>
            </w:r>
          </w:p>
        </w:tc>
      </w:tr>
      <w:tr w14:paraId="40BE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3DDB8FF8">
            <w:pPr>
              <w:spacing w:line="360" w:lineRule="auto"/>
              <w:rPr>
                <w:rFonts w:ascii="宋体" w:hAnsi="宋体" w:cs="宋体"/>
                <w:sz w:val="24"/>
                <w:highlight w:val="none"/>
              </w:rPr>
            </w:pPr>
            <w:r>
              <w:rPr>
                <w:rFonts w:hint="eastAsia" w:ascii="宋体" w:hAnsi="宋体" w:cs="宋体"/>
                <w:sz w:val="24"/>
                <w:highlight w:val="none"/>
                <w:lang w:val="zh-CN"/>
              </w:rPr>
              <w:t>传真：</w:t>
            </w:r>
            <w:r>
              <w:rPr>
                <w:rFonts w:hint="eastAsia" w:ascii="宋体" w:hAnsi="宋体" w:cs="宋体"/>
                <w:sz w:val="24"/>
                <w:highlight w:val="none"/>
              </w:rPr>
              <w:t xml:space="preserve">  </w:t>
            </w:r>
            <w:r>
              <w:rPr>
                <w:rFonts w:hint="eastAsia" w:ascii="仿宋_GB2312" w:hAnsi="楷体" w:eastAsia="仿宋_GB2312"/>
                <w:sz w:val="24"/>
                <w:highlight w:val="none"/>
                <w:lang w:val="zh-CN"/>
              </w:rPr>
              <w:t>/</w:t>
            </w:r>
          </w:p>
        </w:tc>
        <w:tc>
          <w:tcPr>
            <w:tcW w:w="4981" w:type="dxa"/>
            <w:tcBorders>
              <w:top w:val="single" w:color="auto" w:sz="4" w:space="0"/>
              <w:left w:val="single" w:color="auto" w:sz="4" w:space="0"/>
              <w:bottom w:val="single" w:color="auto" w:sz="4" w:space="0"/>
              <w:right w:val="single" w:color="auto" w:sz="4" w:space="0"/>
            </w:tcBorders>
          </w:tcPr>
          <w:p w14:paraId="2B2EE2C7">
            <w:pPr>
              <w:spacing w:line="360" w:lineRule="auto"/>
              <w:rPr>
                <w:rFonts w:ascii="宋体" w:hAnsi="宋体" w:cs="宋体"/>
                <w:sz w:val="24"/>
                <w:highlight w:val="none"/>
                <w:lang w:val="zh-CN"/>
              </w:rPr>
            </w:pPr>
            <w:r>
              <w:rPr>
                <w:rFonts w:hint="eastAsia" w:ascii="宋体" w:hAnsi="宋体" w:cs="宋体"/>
                <w:sz w:val="24"/>
                <w:highlight w:val="none"/>
                <w:lang w:val="zh-CN"/>
              </w:rPr>
              <w:t>传真：</w:t>
            </w:r>
            <w:r>
              <w:rPr>
                <w:rFonts w:hint="eastAsia" w:ascii="宋体" w:hAnsi="宋体" w:cs="宋体"/>
                <w:sz w:val="24"/>
                <w:highlight w:val="none"/>
              </w:rPr>
              <w:t xml:space="preserve">  </w:t>
            </w:r>
          </w:p>
        </w:tc>
      </w:tr>
      <w:tr w14:paraId="0D63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71569CEF">
            <w:pPr>
              <w:spacing w:line="360" w:lineRule="auto"/>
              <w:rPr>
                <w:rFonts w:ascii="宋体" w:hAnsi="宋体" w:cs="宋体"/>
                <w:sz w:val="24"/>
                <w:highlight w:val="none"/>
              </w:rPr>
            </w:pPr>
            <w:r>
              <w:rPr>
                <w:rFonts w:hint="eastAsia" w:ascii="宋体" w:hAnsi="宋体" w:cs="宋体"/>
                <w:sz w:val="24"/>
                <w:highlight w:val="none"/>
                <w:lang w:val="zh-CN"/>
              </w:rPr>
              <w:t>电子邮箱：</w:t>
            </w:r>
            <w:r>
              <w:rPr>
                <w:rFonts w:hint="eastAsia" w:ascii="宋体" w:hAnsi="宋体" w:cs="宋体"/>
                <w:sz w:val="24"/>
                <w:highlight w:val="none"/>
              </w:rPr>
              <w:t xml:space="preserve"> </w:t>
            </w:r>
            <w:r>
              <w:rPr>
                <w:rFonts w:hint="eastAsia" w:ascii="仿宋_GB2312" w:hAnsi="楷体" w:eastAsia="仿宋_GB2312"/>
                <w:sz w:val="24"/>
                <w:highlight w:val="none"/>
                <w:lang w:val="zh-CN"/>
              </w:rPr>
              <w:t>/</w:t>
            </w:r>
          </w:p>
        </w:tc>
        <w:tc>
          <w:tcPr>
            <w:tcW w:w="4981" w:type="dxa"/>
            <w:tcBorders>
              <w:top w:val="single" w:color="auto" w:sz="4" w:space="0"/>
              <w:left w:val="single" w:color="auto" w:sz="4" w:space="0"/>
              <w:bottom w:val="single" w:color="auto" w:sz="4" w:space="0"/>
              <w:right w:val="single" w:color="auto" w:sz="4" w:space="0"/>
            </w:tcBorders>
          </w:tcPr>
          <w:p w14:paraId="22CF7FBA">
            <w:pPr>
              <w:spacing w:line="360" w:lineRule="auto"/>
              <w:rPr>
                <w:rFonts w:ascii="宋体" w:hAnsi="宋体" w:cs="宋体"/>
                <w:sz w:val="24"/>
                <w:highlight w:val="none"/>
              </w:rPr>
            </w:pPr>
            <w:r>
              <w:rPr>
                <w:rFonts w:hint="eastAsia" w:ascii="宋体" w:hAnsi="宋体" w:cs="宋体"/>
                <w:sz w:val="24"/>
                <w:highlight w:val="none"/>
                <w:lang w:val="zh-CN"/>
              </w:rPr>
              <w:t>电子邮箱：</w:t>
            </w:r>
            <w:r>
              <w:rPr>
                <w:rFonts w:hint="eastAsia" w:ascii="宋体" w:hAnsi="宋体" w:cs="宋体"/>
                <w:sz w:val="24"/>
                <w:highlight w:val="none"/>
              </w:rPr>
              <w:t xml:space="preserve"> </w:t>
            </w:r>
          </w:p>
        </w:tc>
      </w:tr>
      <w:tr w14:paraId="4551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472EA64E">
            <w:pPr>
              <w:spacing w:line="360" w:lineRule="auto"/>
              <w:ind w:firstLine="200"/>
              <w:rPr>
                <w:rFonts w:hint="eastAsia" w:ascii="仿宋_GB2312" w:hAnsi="楷体" w:eastAsia="仿宋_GB2312"/>
                <w:sz w:val="24"/>
                <w:highlight w:val="none"/>
              </w:rPr>
            </w:pPr>
            <w:r>
              <w:rPr>
                <w:rFonts w:hint="eastAsia" w:ascii="宋体" w:hAnsi="宋体" w:cs="宋体"/>
                <w:sz w:val="24"/>
                <w:highlight w:val="none"/>
              </w:rPr>
              <w:t>开户银行：</w:t>
            </w:r>
            <w:r>
              <w:rPr>
                <w:rFonts w:hint="eastAsia" w:ascii="仿宋_GB2312" w:hAnsi="楷体" w:eastAsia="仿宋_GB2312"/>
                <w:sz w:val="24"/>
                <w:highlight w:val="none"/>
              </w:rPr>
              <w:t>中国农业银行股份有限公司隆安县支行</w:t>
            </w:r>
          </w:p>
        </w:tc>
        <w:tc>
          <w:tcPr>
            <w:tcW w:w="4981" w:type="dxa"/>
            <w:tcBorders>
              <w:top w:val="single" w:color="auto" w:sz="4" w:space="0"/>
              <w:left w:val="single" w:color="auto" w:sz="4" w:space="0"/>
              <w:bottom w:val="single" w:color="auto" w:sz="4" w:space="0"/>
              <w:right w:val="single" w:color="auto" w:sz="4" w:space="0"/>
            </w:tcBorders>
          </w:tcPr>
          <w:p w14:paraId="63AED5ED">
            <w:pPr>
              <w:spacing w:line="360" w:lineRule="auto"/>
              <w:rPr>
                <w:rFonts w:ascii="宋体" w:hAnsi="宋体" w:cs="宋体"/>
                <w:sz w:val="24"/>
                <w:highlight w:val="none"/>
                <w:lang w:val="zh-CN"/>
              </w:rPr>
            </w:pPr>
            <w:r>
              <w:rPr>
                <w:rFonts w:hint="eastAsia" w:ascii="宋体" w:hAnsi="宋体" w:cs="宋体"/>
                <w:sz w:val="24"/>
                <w:highlight w:val="none"/>
              </w:rPr>
              <w:t xml:space="preserve">开户银行： </w:t>
            </w:r>
          </w:p>
        </w:tc>
      </w:tr>
      <w:tr w14:paraId="6853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6E08187C">
            <w:pPr>
              <w:spacing w:line="360" w:lineRule="auto"/>
              <w:rPr>
                <w:rFonts w:ascii="宋体" w:hAnsi="宋体" w:cs="宋体"/>
                <w:sz w:val="24"/>
                <w:highlight w:val="none"/>
                <w:lang w:val="zh-CN"/>
              </w:rPr>
            </w:pPr>
            <w:r>
              <w:rPr>
                <w:rFonts w:hint="eastAsia" w:ascii="宋体" w:hAnsi="宋体" w:cs="宋体"/>
                <w:sz w:val="24"/>
                <w:highlight w:val="none"/>
              </w:rPr>
              <w:t>开户名称：</w:t>
            </w:r>
            <w:r>
              <w:rPr>
                <w:rFonts w:hint="eastAsia" w:ascii="仿宋_GB2312" w:hAnsi="楷体" w:eastAsia="仿宋_GB2312"/>
                <w:sz w:val="24"/>
                <w:highlight w:val="none"/>
              </w:rPr>
              <w:t>隆安县教育局</w:t>
            </w:r>
          </w:p>
        </w:tc>
        <w:tc>
          <w:tcPr>
            <w:tcW w:w="4981" w:type="dxa"/>
            <w:tcBorders>
              <w:top w:val="single" w:color="auto" w:sz="4" w:space="0"/>
              <w:left w:val="single" w:color="auto" w:sz="4" w:space="0"/>
              <w:bottom w:val="single" w:color="auto" w:sz="4" w:space="0"/>
              <w:right w:val="single" w:color="auto" w:sz="4" w:space="0"/>
            </w:tcBorders>
          </w:tcPr>
          <w:p w14:paraId="47A03665">
            <w:pPr>
              <w:spacing w:line="360" w:lineRule="auto"/>
              <w:rPr>
                <w:rFonts w:ascii="宋体" w:hAnsi="宋体" w:cs="宋体"/>
                <w:sz w:val="24"/>
                <w:highlight w:val="none"/>
                <w:lang w:val="zh-CN"/>
              </w:rPr>
            </w:pPr>
            <w:r>
              <w:rPr>
                <w:rFonts w:hint="eastAsia" w:ascii="宋体" w:hAnsi="宋体" w:cs="宋体"/>
                <w:sz w:val="24"/>
                <w:highlight w:val="none"/>
              </w:rPr>
              <w:t xml:space="preserve">开户名称： </w:t>
            </w:r>
          </w:p>
        </w:tc>
      </w:tr>
      <w:tr w14:paraId="02402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6C9B0B36">
            <w:pPr>
              <w:spacing w:line="360" w:lineRule="auto"/>
              <w:rPr>
                <w:rFonts w:ascii="宋体" w:hAnsi="宋体" w:cs="宋体"/>
                <w:sz w:val="24"/>
                <w:highlight w:val="none"/>
              </w:rPr>
            </w:pPr>
            <w:r>
              <w:rPr>
                <w:rFonts w:hint="eastAsia" w:ascii="宋体" w:hAnsi="宋体" w:cs="宋体"/>
                <w:sz w:val="24"/>
                <w:highlight w:val="none"/>
              </w:rPr>
              <w:t xml:space="preserve">开户账号： </w:t>
            </w:r>
            <w:r>
              <w:rPr>
                <w:rFonts w:ascii="仿宋_GB2312" w:hAnsi="楷体" w:eastAsia="仿宋_GB2312"/>
                <w:sz w:val="24"/>
                <w:highlight w:val="none"/>
                <w:lang w:val="zh-CN"/>
              </w:rPr>
              <w:t>20038101040008585</w:t>
            </w:r>
          </w:p>
        </w:tc>
        <w:tc>
          <w:tcPr>
            <w:tcW w:w="4981" w:type="dxa"/>
            <w:tcBorders>
              <w:top w:val="single" w:color="auto" w:sz="4" w:space="0"/>
              <w:left w:val="single" w:color="auto" w:sz="4" w:space="0"/>
              <w:bottom w:val="single" w:color="auto" w:sz="4" w:space="0"/>
              <w:right w:val="single" w:color="auto" w:sz="4" w:space="0"/>
            </w:tcBorders>
          </w:tcPr>
          <w:p w14:paraId="130A03CA">
            <w:pPr>
              <w:spacing w:line="360" w:lineRule="auto"/>
              <w:rPr>
                <w:rFonts w:ascii="宋体" w:hAnsi="宋体" w:cs="宋体"/>
                <w:sz w:val="24"/>
                <w:highlight w:val="none"/>
                <w:lang w:val="zh-CN"/>
              </w:rPr>
            </w:pPr>
            <w:r>
              <w:rPr>
                <w:rFonts w:hint="eastAsia" w:ascii="宋体" w:hAnsi="宋体" w:cs="宋体"/>
                <w:sz w:val="24"/>
                <w:highlight w:val="none"/>
              </w:rPr>
              <w:t xml:space="preserve">开户账号： </w:t>
            </w:r>
          </w:p>
        </w:tc>
      </w:tr>
    </w:tbl>
    <w:p w14:paraId="726D5165">
      <w:pPr>
        <w:spacing w:line="360" w:lineRule="auto"/>
        <w:ind w:firstLine="200"/>
        <w:rPr>
          <w:rFonts w:ascii="宋体" w:hAnsi="宋体" w:cs="宋体"/>
          <w:sz w:val="24"/>
          <w:highlight w:val="none"/>
          <w:lang w:val="zh-CN"/>
        </w:rPr>
      </w:pPr>
    </w:p>
    <w:p w14:paraId="66D89417">
      <w:pPr>
        <w:spacing w:line="360" w:lineRule="auto"/>
        <w:ind w:firstLine="200"/>
        <w:jc w:val="center"/>
        <w:rPr>
          <w:rFonts w:ascii="宋体" w:hAnsi="宋体" w:cs="宋体"/>
          <w:b/>
          <w:sz w:val="28"/>
          <w:szCs w:val="28"/>
        </w:rPr>
        <w:sectPr>
          <w:pgSz w:w="11906" w:h="16838"/>
          <w:pgMar w:top="1440" w:right="1080" w:bottom="1440" w:left="1080" w:header="720" w:footer="720" w:gutter="0"/>
          <w:cols w:space="720" w:num="1"/>
          <w:docGrid w:type="lines" w:linePitch="331" w:charSpace="0"/>
        </w:sectPr>
      </w:pPr>
      <w:bookmarkStart w:id="161" w:name="_Toc331685783"/>
    </w:p>
    <w:p w14:paraId="1DB625A0">
      <w:pPr>
        <w:spacing w:line="360" w:lineRule="auto"/>
        <w:ind w:firstLine="200"/>
        <w:jc w:val="center"/>
        <w:rPr>
          <w:rFonts w:ascii="宋体" w:hAnsi="宋体" w:cs="宋体"/>
          <w:b/>
          <w:sz w:val="28"/>
          <w:szCs w:val="28"/>
        </w:rPr>
      </w:pPr>
      <w:r>
        <w:rPr>
          <w:rFonts w:hint="eastAsia" w:ascii="宋体" w:hAnsi="宋体" w:cs="宋体"/>
          <w:b/>
          <w:sz w:val="28"/>
          <w:szCs w:val="28"/>
        </w:rPr>
        <w:t>第二部分 合同一般条款</w:t>
      </w:r>
      <w:bookmarkEnd w:id="161"/>
    </w:p>
    <w:p w14:paraId="6FCE3AD9">
      <w:pPr>
        <w:spacing w:line="360" w:lineRule="auto"/>
        <w:ind w:firstLine="482" w:firstLineChars="200"/>
        <w:rPr>
          <w:rFonts w:ascii="宋体" w:hAnsi="宋体" w:cs="宋体"/>
          <w:b/>
          <w:sz w:val="24"/>
        </w:rPr>
      </w:pPr>
      <w:bookmarkStart w:id="162" w:name="_Toc16917"/>
      <w:bookmarkStart w:id="163" w:name="_Ref467378463"/>
      <w:bookmarkStart w:id="164" w:name="_Ref467379205"/>
      <w:bookmarkStart w:id="165" w:name="_Ref467378404"/>
      <w:bookmarkStart w:id="166" w:name="_Ref467379109"/>
      <w:bookmarkStart w:id="167" w:name="_Toc487900349"/>
      <w:bookmarkStart w:id="168" w:name="_Ref467379101"/>
      <w:bookmarkStart w:id="169" w:name="_Ref467379094"/>
      <w:bookmarkStart w:id="170" w:name="_Ref467378499"/>
      <w:bookmarkStart w:id="171" w:name="_Ref467379214"/>
      <w:bookmarkStart w:id="172" w:name="_Ref467379195"/>
      <w:bookmarkStart w:id="173" w:name="_Toc19614"/>
      <w:bookmarkStart w:id="174" w:name="_Ref467379225"/>
      <w:bookmarkStart w:id="175" w:name="_Toc279701240"/>
      <w:bookmarkStart w:id="176" w:name="_Toc28763"/>
      <w:bookmarkStart w:id="177" w:name="_Toc259093669"/>
      <w:r>
        <w:rPr>
          <w:rFonts w:hint="eastAsia" w:ascii="宋体" w:hAnsi="宋体" w:cs="宋体"/>
          <w:b/>
          <w:sz w:val="24"/>
        </w:rPr>
        <w:t>2.1 定义</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55B47ADC">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07DA36A6">
      <w:pPr>
        <w:spacing w:line="360" w:lineRule="auto"/>
        <w:ind w:firstLine="480" w:firstLineChars="200"/>
        <w:rPr>
          <w:rFonts w:ascii="宋体" w:hAnsi="宋体" w:cs="宋体"/>
          <w:sz w:val="24"/>
        </w:rPr>
      </w:pPr>
      <w:r>
        <w:rPr>
          <w:rFonts w:hint="eastAsia" w:ascii="宋体" w:hAnsi="宋体" w:cs="宋体"/>
          <w:sz w:val="24"/>
        </w:rPr>
        <w:t>2.1.1 “合同”系指采购人和中标人签订的载明双方当事人所达成的协议，并包括所有的附件、附录和构成合同的其他文件。</w:t>
      </w:r>
    </w:p>
    <w:p w14:paraId="596F20EC">
      <w:pPr>
        <w:spacing w:line="360" w:lineRule="auto"/>
        <w:ind w:firstLine="480" w:firstLineChars="200"/>
        <w:rPr>
          <w:rFonts w:ascii="宋体" w:hAnsi="宋体" w:cs="宋体"/>
          <w:sz w:val="24"/>
        </w:rPr>
      </w:pPr>
      <w:r>
        <w:rPr>
          <w:rFonts w:hint="eastAsia" w:ascii="宋体" w:hAnsi="宋体" w:cs="宋体"/>
          <w:sz w:val="24"/>
        </w:rPr>
        <w:t>2.1.2 “合同价”系指根据合同约定，中标人在完全履行合同义务后，采购人应支付给中标人的价格。</w:t>
      </w:r>
    </w:p>
    <w:p w14:paraId="174ED46E">
      <w:pPr>
        <w:spacing w:line="360" w:lineRule="auto"/>
        <w:ind w:firstLine="480" w:firstLineChars="200"/>
        <w:rPr>
          <w:rFonts w:ascii="宋体" w:hAnsi="宋体" w:cs="宋体"/>
          <w:sz w:val="24"/>
        </w:rPr>
      </w:pPr>
      <w:r>
        <w:rPr>
          <w:rFonts w:hint="eastAsia" w:ascii="宋体" w:hAnsi="宋体" w:cs="宋体"/>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46383981">
      <w:pPr>
        <w:spacing w:line="360" w:lineRule="auto"/>
        <w:ind w:firstLine="480" w:firstLineChars="200"/>
        <w:rPr>
          <w:rFonts w:ascii="宋体" w:hAnsi="宋体" w:cs="宋体"/>
          <w:sz w:val="24"/>
        </w:rPr>
      </w:pPr>
      <w:bookmarkStart w:id="178" w:name="_Ref467378840"/>
      <w:r>
        <w:rPr>
          <w:rFonts w:hint="eastAsia" w:ascii="宋体" w:hAnsi="宋体" w:cs="宋体"/>
          <w:sz w:val="24"/>
        </w:rPr>
        <w:t>2.1.4 “甲方”系指与中标人签署合同的采购人</w:t>
      </w:r>
      <w:bookmarkEnd w:id="178"/>
      <w:r>
        <w:rPr>
          <w:rFonts w:hint="eastAsia" w:ascii="宋体" w:hAnsi="宋体" w:cs="宋体"/>
          <w:sz w:val="24"/>
        </w:rPr>
        <w:t>；采购人委托采购机构代表其与乙方签订合同的，采购人的授权委托书作为合同附件。</w:t>
      </w:r>
    </w:p>
    <w:p w14:paraId="7602F6E2">
      <w:pPr>
        <w:spacing w:line="360" w:lineRule="auto"/>
        <w:ind w:firstLine="480" w:firstLineChars="200"/>
        <w:rPr>
          <w:rFonts w:ascii="宋体" w:hAnsi="宋体" w:cs="宋体"/>
          <w:sz w:val="24"/>
        </w:rPr>
      </w:pPr>
      <w:bookmarkStart w:id="179" w:name="_Ref467379400"/>
      <w:r>
        <w:rPr>
          <w:rFonts w:hint="eastAsia" w:ascii="宋体" w:hAnsi="宋体" w:cs="宋体"/>
          <w:sz w:val="24"/>
        </w:rPr>
        <w:t>2.1.5 “乙方”系指根据合同约定交付标的物的</w:t>
      </w:r>
      <w:bookmarkEnd w:id="179"/>
      <w:r>
        <w:rPr>
          <w:rFonts w:hint="eastAsia" w:ascii="宋体" w:hAnsi="宋体" w:cs="宋体"/>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6AC620F4">
      <w:pPr>
        <w:spacing w:line="360" w:lineRule="auto"/>
        <w:ind w:firstLine="480" w:firstLineChars="200"/>
        <w:rPr>
          <w:rFonts w:ascii="宋体" w:hAnsi="宋体" w:cs="宋体"/>
          <w:sz w:val="24"/>
        </w:rPr>
      </w:pPr>
      <w:bookmarkStart w:id="180" w:name="_Ref467379436"/>
      <w:r>
        <w:rPr>
          <w:rFonts w:hint="eastAsia" w:ascii="宋体" w:hAnsi="宋体" w:cs="宋体"/>
          <w:sz w:val="24"/>
        </w:rPr>
        <w:t>2.1.6 “现场”系指合同约定标的物将要运至或者实施或者安装的地点。</w:t>
      </w:r>
      <w:bookmarkEnd w:id="180"/>
    </w:p>
    <w:p w14:paraId="4DEB1D5C">
      <w:pPr>
        <w:spacing w:line="360" w:lineRule="auto"/>
        <w:ind w:firstLine="482" w:firstLineChars="200"/>
        <w:rPr>
          <w:rFonts w:ascii="宋体" w:hAnsi="宋体" w:cs="宋体"/>
          <w:b/>
          <w:sz w:val="24"/>
        </w:rPr>
      </w:pPr>
      <w:bookmarkStart w:id="181" w:name="_Toc32504"/>
      <w:bookmarkStart w:id="182" w:name="_Toc13336"/>
      <w:bookmarkStart w:id="183" w:name="_Toc487900350"/>
      <w:bookmarkStart w:id="184" w:name="_Toc259093670"/>
      <w:bookmarkStart w:id="185" w:name="_Toc279701241"/>
      <w:bookmarkStart w:id="186" w:name="_Toc27635"/>
      <w:r>
        <w:rPr>
          <w:rFonts w:hint="eastAsia" w:ascii="宋体" w:hAnsi="宋体" w:cs="宋体"/>
          <w:b/>
          <w:sz w:val="24"/>
        </w:rPr>
        <w:t>2.2 技术规范</w:t>
      </w:r>
      <w:bookmarkEnd w:id="181"/>
      <w:bookmarkEnd w:id="182"/>
      <w:bookmarkEnd w:id="183"/>
      <w:bookmarkEnd w:id="184"/>
      <w:bookmarkEnd w:id="185"/>
      <w:bookmarkEnd w:id="186"/>
    </w:p>
    <w:p w14:paraId="4FD241D7">
      <w:pPr>
        <w:spacing w:line="360" w:lineRule="auto"/>
        <w:ind w:firstLine="480" w:firstLineChars="200"/>
        <w:rPr>
          <w:rFonts w:ascii="宋体" w:hAnsi="宋体" w:cs="宋体"/>
          <w:sz w:val="24"/>
        </w:rPr>
      </w:pPr>
      <w:r>
        <w:rPr>
          <w:rFonts w:hint="eastAsia" w:ascii="宋体" w:hAnsi="宋体" w:cs="宋体"/>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5034B2C4">
      <w:pPr>
        <w:spacing w:line="360" w:lineRule="auto"/>
        <w:ind w:firstLine="482" w:firstLineChars="200"/>
        <w:rPr>
          <w:rFonts w:ascii="宋体" w:hAnsi="宋体" w:cs="宋体"/>
          <w:b/>
          <w:sz w:val="24"/>
        </w:rPr>
      </w:pPr>
      <w:bookmarkStart w:id="187" w:name="_Toc9829"/>
      <w:bookmarkStart w:id="188" w:name="_Toc27853"/>
      <w:bookmarkStart w:id="189" w:name="_Toc259093671"/>
      <w:bookmarkStart w:id="190" w:name="_Toc487900351"/>
      <w:bookmarkStart w:id="191" w:name="_Toc31634"/>
      <w:bookmarkStart w:id="192" w:name="_Toc279701242"/>
      <w:r>
        <w:rPr>
          <w:rFonts w:hint="eastAsia" w:ascii="宋体" w:hAnsi="宋体" w:cs="宋体"/>
          <w:b/>
          <w:sz w:val="24"/>
        </w:rPr>
        <w:t>2.3 知识产权</w:t>
      </w:r>
      <w:bookmarkEnd w:id="187"/>
      <w:bookmarkEnd w:id="188"/>
      <w:bookmarkEnd w:id="189"/>
      <w:bookmarkEnd w:id="190"/>
      <w:bookmarkEnd w:id="191"/>
      <w:bookmarkEnd w:id="192"/>
    </w:p>
    <w:p w14:paraId="10BAE4FE">
      <w:pPr>
        <w:spacing w:line="360" w:lineRule="auto"/>
        <w:ind w:firstLine="480" w:firstLineChars="200"/>
        <w:rPr>
          <w:rFonts w:ascii="宋体" w:hAnsi="宋体" w:cs="宋体"/>
          <w:sz w:val="24"/>
        </w:rPr>
      </w:pPr>
      <w:r>
        <w:rPr>
          <w:rFonts w:hint="eastAsia" w:ascii="宋体" w:hAnsi="宋体" w:cs="宋体"/>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6CEFAB4E">
      <w:pPr>
        <w:spacing w:line="360" w:lineRule="auto"/>
        <w:ind w:firstLine="480" w:firstLineChars="200"/>
        <w:rPr>
          <w:rFonts w:ascii="宋体" w:hAnsi="宋体" w:cs="宋体"/>
          <w:sz w:val="24"/>
        </w:rPr>
      </w:pPr>
      <w:r>
        <w:rPr>
          <w:rFonts w:hint="eastAsia" w:ascii="宋体" w:hAnsi="宋体" w:cs="宋体"/>
          <w:sz w:val="24"/>
        </w:rPr>
        <w:t>2.3.2具有知识产权的计算机软件等标的物的知识产权归属，详见</w:t>
      </w:r>
      <w:r>
        <w:rPr>
          <w:rFonts w:hint="eastAsia" w:ascii="宋体" w:hAnsi="宋体" w:cs="宋体"/>
          <w:b/>
          <w:i/>
          <w:sz w:val="24"/>
          <w:u w:val="single"/>
        </w:rPr>
        <w:t>合同专用条款</w:t>
      </w:r>
      <w:r>
        <w:rPr>
          <w:rFonts w:hint="eastAsia" w:ascii="宋体" w:hAnsi="宋体" w:cs="宋体"/>
          <w:sz w:val="24"/>
        </w:rPr>
        <w:t>。</w:t>
      </w:r>
    </w:p>
    <w:p w14:paraId="418BB0AB">
      <w:pPr>
        <w:spacing w:line="360" w:lineRule="auto"/>
        <w:ind w:firstLine="482" w:firstLineChars="200"/>
        <w:rPr>
          <w:rFonts w:ascii="宋体" w:hAnsi="宋体" w:cs="宋体"/>
          <w:b/>
          <w:sz w:val="24"/>
        </w:rPr>
      </w:pPr>
      <w:bookmarkStart w:id="193" w:name="_Toc11932"/>
      <w:bookmarkStart w:id="194" w:name="_Toc29149"/>
      <w:bookmarkStart w:id="195" w:name="_Toc4194"/>
      <w:r>
        <w:rPr>
          <w:rFonts w:hint="eastAsia" w:ascii="宋体" w:hAnsi="宋体" w:cs="宋体"/>
          <w:b/>
          <w:sz w:val="24"/>
        </w:rPr>
        <w:t>2.4 包装和装运</w:t>
      </w:r>
      <w:bookmarkEnd w:id="193"/>
      <w:bookmarkEnd w:id="194"/>
      <w:bookmarkEnd w:id="195"/>
    </w:p>
    <w:p w14:paraId="2705682A">
      <w:pPr>
        <w:spacing w:line="360" w:lineRule="auto"/>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1579D725">
      <w:pPr>
        <w:spacing w:line="360" w:lineRule="auto"/>
        <w:ind w:firstLine="480" w:firstLineChars="200"/>
        <w:rPr>
          <w:rFonts w:ascii="宋体" w:hAnsi="宋体" w:cs="宋体"/>
          <w:sz w:val="24"/>
        </w:rPr>
      </w:pPr>
      <w:r>
        <w:rPr>
          <w:rFonts w:hint="eastAsia" w:ascii="宋体" w:hAnsi="宋体" w:cs="宋体"/>
          <w:sz w:val="24"/>
        </w:rPr>
        <w:t>2.4.2 装运标的物的要求和通知，详见</w:t>
      </w:r>
      <w:r>
        <w:rPr>
          <w:rFonts w:hint="eastAsia" w:ascii="宋体" w:hAnsi="宋体" w:cs="宋体"/>
          <w:b/>
          <w:i/>
          <w:sz w:val="24"/>
          <w:u w:val="single"/>
        </w:rPr>
        <w:t>合同专用条款</w:t>
      </w:r>
      <w:r>
        <w:rPr>
          <w:rFonts w:hint="eastAsia" w:ascii="宋体" w:hAnsi="宋体" w:cs="宋体"/>
          <w:sz w:val="24"/>
        </w:rPr>
        <w:t>。</w:t>
      </w:r>
    </w:p>
    <w:p w14:paraId="7E3F6FA5">
      <w:pPr>
        <w:spacing w:line="360" w:lineRule="auto"/>
        <w:ind w:firstLine="482" w:firstLineChars="200"/>
        <w:rPr>
          <w:rFonts w:ascii="宋体" w:hAnsi="宋体" w:cs="宋体"/>
          <w:b/>
          <w:sz w:val="24"/>
        </w:rPr>
      </w:pPr>
      <w:bookmarkStart w:id="196" w:name="_Ref467379536"/>
      <w:bookmarkStart w:id="197" w:name="_Ref467378591"/>
      <w:bookmarkStart w:id="198" w:name="_Ref467378541"/>
      <w:bookmarkStart w:id="199" w:name="_Toc487900354"/>
      <w:bookmarkStart w:id="200" w:name="_Ref467379542"/>
      <w:bookmarkStart w:id="201" w:name="_Ref467379527"/>
      <w:bookmarkStart w:id="202" w:name="_Toc259093674"/>
      <w:bookmarkStart w:id="203" w:name="_Toc279701245"/>
      <w:bookmarkStart w:id="204" w:name="_Toc19074"/>
      <w:bookmarkStart w:id="205" w:name="_Toc26182"/>
      <w:bookmarkStart w:id="206" w:name="_Toc30272"/>
      <w:r>
        <w:rPr>
          <w:rFonts w:hint="eastAsia" w:ascii="宋体" w:hAnsi="宋体" w:cs="宋体"/>
          <w:b/>
          <w:sz w:val="24"/>
        </w:rPr>
        <w:t>2.</w:t>
      </w:r>
      <w:bookmarkEnd w:id="196"/>
      <w:bookmarkEnd w:id="197"/>
      <w:bookmarkEnd w:id="198"/>
      <w:bookmarkEnd w:id="199"/>
      <w:bookmarkEnd w:id="200"/>
      <w:bookmarkEnd w:id="201"/>
      <w:bookmarkEnd w:id="202"/>
      <w:bookmarkEnd w:id="203"/>
      <w:r>
        <w:rPr>
          <w:rFonts w:hint="eastAsia" w:ascii="宋体" w:hAnsi="宋体" w:cs="宋体"/>
          <w:b/>
          <w:sz w:val="24"/>
        </w:rPr>
        <w:t>5 履约检查和问题反馈</w:t>
      </w:r>
      <w:bookmarkEnd w:id="204"/>
      <w:bookmarkEnd w:id="205"/>
      <w:bookmarkEnd w:id="206"/>
    </w:p>
    <w:p w14:paraId="62AAF889">
      <w:pPr>
        <w:spacing w:line="360" w:lineRule="auto"/>
        <w:ind w:firstLine="480" w:firstLineChars="200"/>
        <w:rPr>
          <w:rFonts w:ascii="宋体" w:hAnsi="宋体" w:cs="宋体"/>
          <w:sz w:val="24"/>
        </w:rPr>
      </w:pPr>
      <w:bookmarkStart w:id="207" w:name="_Ref467379657"/>
      <w:r>
        <w:rPr>
          <w:rFonts w:hint="eastAsia" w:ascii="宋体" w:hAnsi="宋体" w:cs="宋体"/>
          <w:sz w:val="24"/>
        </w:rPr>
        <w:t>2.5.1</w:t>
      </w:r>
      <w:bookmarkEnd w:id="207"/>
      <w:bookmarkStart w:id="208" w:name="_Toc186431854"/>
      <w:bookmarkStart w:id="209" w:name="_Ref467379807"/>
      <w:bookmarkStart w:id="210" w:name="_Ref467379793"/>
      <w:bookmarkStart w:id="211" w:name="_Toc279701247"/>
      <w:bookmarkStart w:id="212" w:name="_Toc259093676"/>
      <w:bookmarkStart w:id="213" w:name="_Toc487900357"/>
      <w:r>
        <w:rPr>
          <w:rFonts w:hint="eastAsia" w:ascii="宋体" w:hAnsi="宋体" w:cs="宋体"/>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540D99AD">
      <w:pPr>
        <w:spacing w:line="360" w:lineRule="auto"/>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208"/>
      <w:bookmarkStart w:id="214" w:name="_Toc186431855"/>
      <w:r>
        <w:rPr>
          <w:rFonts w:hint="eastAsia" w:ascii="宋体" w:hAnsi="宋体" w:cs="宋体"/>
          <w:sz w:val="24"/>
        </w:rPr>
        <w:t>。</w:t>
      </w:r>
    </w:p>
    <w:bookmarkEnd w:id="214"/>
    <w:p w14:paraId="28CD6FFE">
      <w:pPr>
        <w:spacing w:line="360" w:lineRule="auto"/>
        <w:ind w:firstLine="482" w:firstLineChars="200"/>
        <w:rPr>
          <w:rFonts w:ascii="宋体" w:hAnsi="宋体" w:cs="宋体"/>
          <w:b/>
          <w:sz w:val="24"/>
        </w:rPr>
      </w:pPr>
      <w:bookmarkStart w:id="215" w:name="_Toc28451"/>
      <w:bookmarkStart w:id="216" w:name="_Toc19219"/>
      <w:bookmarkStart w:id="217" w:name="_Toc7836"/>
      <w:r>
        <w:rPr>
          <w:rFonts w:hint="eastAsia" w:ascii="宋体" w:hAnsi="宋体" w:cs="宋体"/>
          <w:b/>
          <w:sz w:val="24"/>
        </w:rPr>
        <w:t>2.6 结算方式和付款条件</w:t>
      </w:r>
      <w:bookmarkEnd w:id="209"/>
      <w:bookmarkEnd w:id="210"/>
      <w:bookmarkEnd w:id="211"/>
      <w:bookmarkEnd w:id="212"/>
      <w:bookmarkEnd w:id="213"/>
      <w:bookmarkEnd w:id="215"/>
      <w:bookmarkEnd w:id="216"/>
      <w:bookmarkEnd w:id="217"/>
    </w:p>
    <w:p w14:paraId="6C4E3D8F">
      <w:pPr>
        <w:spacing w:line="360" w:lineRule="auto"/>
        <w:ind w:firstLine="480" w:firstLineChars="200"/>
        <w:rPr>
          <w:rFonts w:ascii="宋体" w:hAnsi="宋体" w:cs="宋体"/>
          <w:sz w:val="24"/>
        </w:rPr>
      </w:pPr>
      <w:r>
        <w:rPr>
          <w:rFonts w:hint="eastAsia" w:ascii="宋体" w:hAnsi="宋体" w:cs="宋体"/>
          <w:sz w:val="24"/>
        </w:rPr>
        <w:t>详见</w:t>
      </w:r>
      <w:r>
        <w:rPr>
          <w:rFonts w:hint="eastAsia" w:ascii="宋体" w:hAnsi="宋体" w:cs="宋体"/>
          <w:b/>
          <w:i/>
          <w:sz w:val="24"/>
          <w:u w:val="single"/>
        </w:rPr>
        <w:t>合同专用条款</w:t>
      </w:r>
      <w:r>
        <w:rPr>
          <w:rFonts w:hint="eastAsia" w:ascii="宋体" w:hAnsi="宋体" w:cs="宋体"/>
          <w:sz w:val="24"/>
        </w:rPr>
        <w:t>。</w:t>
      </w:r>
    </w:p>
    <w:p w14:paraId="109C926F">
      <w:pPr>
        <w:spacing w:line="360" w:lineRule="auto"/>
        <w:ind w:firstLine="482" w:firstLineChars="200"/>
        <w:rPr>
          <w:rFonts w:ascii="宋体" w:hAnsi="宋体" w:cs="宋体"/>
          <w:b/>
          <w:sz w:val="24"/>
        </w:rPr>
      </w:pPr>
      <w:bookmarkStart w:id="218" w:name="_Toc259093677"/>
      <w:bookmarkStart w:id="219" w:name="_Ref467379923"/>
      <w:bookmarkStart w:id="220" w:name="_Toc279701248"/>
      <w:bookmarkStart w:id="221" w:name="_Ref467379852"/>
      <w:bookmarkStart w:id="222" w:name="_Toc487900358"/>
      <w:bookmarkStart w:id="223" w:name="_Ref467379863"/>
      <w:bookmarkStart w:id="224" w:name="_Toc16110"/>
      <w:bookmarkStart w:id="225" w:name="_Toc3225"/>
      <w:bookmarkStart w:id="226" w:name="_Toc774"/>
      <w:r>
        <w:rPr>
          <w:rFonts w:hint="eastAsia" w:ascii="宋体" w:hAnsi="宋体" w:cs="宋体"/>
          <w:b/>
          <w:sz w:val="24"/>
        </w:rPr>
        <w:t>2.7 技术资料</w:t>
      </w:r>
      <w:bookmarkEnd w:id="218"/>
      <w:bookmarkEnd w:id="219"/>
      <w:bookmarkEnd w:id="220"/>
      <w:bookmarkEnd w:id="221"/>
      <w:bookmarkEnd w:id="222"/>
      <w:bookmarkEnd w:id="223"/>
      <w:r>
        <w:rPr>
          <w:rFonts w:hint="eastAsia" w:ascii="宋体" w:hAnsi="宋体" w:cs="宋体"/>
          <w:b/>
          <w:sz w:val="24"/>
        </w:rPr>
        <w:t>和保密义务</w:t>
      </w:r>
      <w:bookmarkEnd w:id="224"/>
      <w:bookmarkEnd w:id="225"/>
      <w:bookmarkEnd w:id="226"/>
    </w:p>
    <w:p w14:paraId="61AA6CFC">
      <w:pPr>
        <w:spacing w:line="360" w:lineRule="auto"/>
        <w:ind w:firstLine="480" w:firstLineChars="200"/>
        <w:rPr>
          <w:rFonts w:ascii="宋体" w:hAnsi="宋体" w:cs="宋体"/>
          <w:sz w:val="24"/>
        </w:rPr>
      </w:pPr>
      <w:r>
        <w:rPr>
          <w:rFonts w:hint="eastAsia" w:ascii="宋体" w:hAnsi="宋体" w:cs="宋体"/>
          <w:sz w:val="24"/>
        </w:rPr>
        <w:t>2.7.1 乙方有权依据合同约定和项目需要，向甲方了解有关情况，调阅有关资料等，甲方应予积极配合；</w:t>
      </w:r>
    </w:p>
    <w:p w14:paraId="6223F662">
      <w:pPr>
        <w:spacing w:line="360" w:lineRule="auto"/>
        <w:ind w:firstLine="480" w:firstLineChars="200"/>
        <w:rPr>
          <w:rFonts w:ascii="宋体" w:hAnsi="宋体" w:cs="宋体"/>
          <w:sz w:val="24"/>
        </w:rPr>
      </w:pPr>
      <w:r>
        <w:rPr>
          <w:rFonts w:hint="eastAsia" w:ascii="宋体" w:hAnsi="宋体" w:cs="宋体"/>
          <w:sz w:val="24"/>
        </w:rPr>
        <w:t>2.7.2 乙方有义务妥善保管和保护由甲方提供的前款信息和资料等；</w:t>
      </w:r>
    </w:p>
    <w:p w14:paraId="18AFEA97">
      <w:pPr>
        <w:spacing w:line="360" w:lineRule="auto"/>
        <w:ind w:firstLine="480" w:firstLineChars="200"/>
        <w:rPr>
          <w:rFonts w:ascii="宋体" w:hAnsi="宋体" w:cs="宋体"/>
          <w:sz w:val="24"/>
        </w:rPr>
      </w:pPr>
      <w:r>
        <w:rPr>
          <w:rFonts w:hint="eastAsia" w:ascii="宋体" w:hAnsi="宋体" w:cs="宋体"/>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2FC7664B">
      <w:pPr>
        <w:spacing w:line="360" w:lineRule="auto"/>
        <w:ind w:firstLine="482" w:firstLineChars="200"/>
        <w:rPr>
          <w:rFonts w:ascii="宋体" w:hAnsi="宋体" w:cs="宋体"/>
          <w:b/>
          <w:sz w:val="24"/>
        </w:rPr>
      </w:pPr>
      <w:bookmarkStart w:id="227" w:name="_Toc7860"/>
      <w:r>
        <w:rPr>
          <w:rFonts w:hint="eastAsia" w:ascii="宋体" w:hAnsi="宋体" w:cs="宋体"/>
          <w:b/>
          <w:sz w:val="24"/>
        </w:rPr>
        <w:t>2.8 质量保证</w:t>
      </w:r>
      <w:bookmarkEnd w:id="227"/>
    </w:p>
    <w:p w14:paraId="0FAC1102">
      <w:pPr>
        <w:spacing w:line="360" w:lineRule="auto"/>
        <w:ind w:firstLine="480" w:firstLineChars="200"/>
        <w:rPr>
          <w:rFonts w:ascii="宋体" w:hAnsi="宋体" w:cs="宋体"/>
          <w:sz w:val="24"/>
        </w:rPr>
      </w:pPr>
      <w:r>
        <w:rPr>
          <w:rFonts w:hint="eastAsia" w:ascii="宋体" w:hAnsi="宋体" w:cs="宋体"/>
          <w:sz w:val="24"/>
        </w:rPr>
        <w:t>2.8.1 乙方应建立和完善履行合同的内部质量保证体系，并提供相关内部规章制度给甲方，以便甲方进行监督检查；</w:t>
      </w:r>
    </w:p>
    <w:p w14:paraId="57153153">
      <w:pPr>
        <w:spacing w:line="360" w:lineRule="auto"/>
        <w:ind w:firstLine="480" w:firstLineChars="200"/>
        <w:rPr>
          <w:rFonts w:ascii="宋体" w:hAnsi="宋体" w:cs="宋体"/>
          <w:sz w:val="24"/>
        </w:rPr>
      </w:pPr>
      <w:r>
        <w:rPr>
          <w:rFonts w:hint="eastAsia" w:ascii="宋体" w:hAnsi="宋体" w:cs="宋体"/>
          <w:sz w:val="24"/>
        </w:rPr>
        <w:t>2.8.2 乙方应保证履行合同的人员数量和素质、软件和硬件设备的配置、场地、环境和设施等满足全面履行合同的要求，并应接受甲方的监督检查。</w:t>
      </w:r>
    </w:p>
    <w:p w14:paraId="63120E73">
      <w:pPr>
        <w:spacing w:line="360" w:lineRule="auto"/>
        <w:ind w:firstLine="480" w:firstLineChars="200"/>
        <w:rPr>
          <w:rFonts w:ascii="宋体" w:hAnsi="宋体" w:cs="宋体"/>
          <w:kern w:val="0"/>
          <w:sz w:val="24"/>
        </w:rPr>
      </w:pPr>
      <w:r>
        <w:rPr>
          <w:rFonts w:hint="eastAsia" w:ascii="宋体" w:hAnsi="宋体" w:cs="宋体"/>
          <w:sz w:val="24"/>
        </w:rPr>
        <w:t>2.8.3乙方应确保项目技术人员的数量和水平与投标文件一致。未经甲方书面同意，乙方不得擅自更换投标文件中注明的项目经理和技术负责人。否则</w:t>
      </w:r>
      <w:r>
        <w:rPr>
          <w:rFonts w:hint="eastAsia" w:ascii="宋体" w:hAnsi="宋体" w:cs="宋体"/>
          <w:kern w:val="0"/>
          <w:sz w:val="24"/>
        </w:rPr>
        <w:t>甲方有权放弃或终止合同，并没收履约保证金。</w:t>
      </w:r>
    </w:p>
    <w:p w14:paraId="46C12EB0">
      <w:pPr>
        <w:spacing w:line="360" w:lineRule="auto"/>
        <w:ind w:firstLine="480" w:firstLineChars="200"/>
        <w:rPr>
          <w:rFonts w:ascii="宋体" w:hAnsi="宋体" w:cs="宋体"/>
          <w:sz w:val="24"/>
        </w:rPr>
      </w:pPr>
      <w:r>
        <w:rPr>
          <w:rFonts w:hint="eastAsia" w:ascii="宋体" w:hAnsi="宋体" w:cs="宋体"/>
          <w:sz w:val="24"/>
        </w:rPr>
        <w:t>2.8.4因乙方原因造成甲方其他系统不能正常运行，酿成重大事故（工作日系统中断一天以上）的，乙方应承担全部法律责任，并赔偿经济损失，赔偿金额为项目总价的</w:t>
      </w:r>
      <w:r>
        <w:rPr>
          <w:rFonts w:hint="eastAsia" w:ascii="宋体" w:hAnsi="宋体" w:cs="宋体"/>
          <w:sz w:val="24"/>
          <w:u w:val="single"/>
        </w:rPr>
        <w:t xml:space="preserve"> </w:t>
      </w:r>
      <w:r>
        <w:rPr>
          <w:rFonts w:ascii="宋体" w:hAnsi="宋体" w:cs="宋体"/>
          <w:sz w:val="24"/>
          <w:u w:val="single"/>
        </w:rPr>
        <w:t>30%</w:t>
      </w:r>
      <w:r>
        <w:rPr>
          <w:rFonts w:hint="eastAsia" w:ascii="宋体" w:hAnsi="宋体" w:cs="宋体"/>
          <w:sz w:val="24"/>
          <w:u w:val="single"/>
        </w:rPr>
        <w:t xml:space="preserve"> </w:t>
      </w:r>
      <w:r>
        <w:rPr>
          <w:rFonts w:hint="eastAsia" w:ascii="宋体" w:hAnsi="宋体" w:cs="宋体"/>
          <w:sz w:val="24"/>
        </w:rPr>
        <w:t>（根据项目实际情况填写，一般为30%）。</w:t>
      </w:r>
    </w:p>
    <w:p w14:paraId="7C28F8C4">
      <w:pPr>
        <w:spacing w:line="360" w:lineRule="auto"/>
        <w:ind w:firstLine="482" w:firstLineChars="200"/>
        <w:rPr>
          <w:rFonts w:ascii="宋体" w:hAnsi="宋体" w:cs="宋体"/>
          <w:b/>
          <w:sz w:val="24"/>
        </w:rPr>
      </w:pPr>
      <w:bookmarkStart w:id="228" w:name="_Toc17244"/>
      <w:bookmarkStart w:id="229" w:name="_Toc259093681"/>
      <w:bookmarkStart w:id="230" w:name="_Toc487900362"/>
      <w:bookmarkStart w:id="231" w:name="_Toc279701252"/>
      <w:r>
        <w:rPr>
          <w:rFonts w:hint="eastAsia" w:ascii="宋体" w:hAnsi="宋体" w:cs="宋体"/>
          <w:b/>
          <w:sz w:val="24"/>
        </w:rPr>
        <w:t>2.9 标的物的风险负担</w:t>
      </w:r>
      <w:bookmarkEnd w:id="228"/>
    </w:p>
    <w:p w14:paraId="4ADC6772">
      <w:pPr>
        <w:spacing w:line="360" w:lineRule="auto"/>
        <w:ind w:firstLine="480" w:firstLineChars="200"/>
        <w:rPr>
          <w:rFonts w:ascii="宋体" w:hAnsi="宋体" w:cs="宋体"/>
          <w:b/>
          <w:sz w:val="24"/>
        </w:rPr>
      </w:pPr>
      <w:r>
        <w:rPr>
          <w:rFonts w:hint="eastAsia" w:ascii="宋体" w:hAnsi="宋体" w:cs="宋体"/>
          <w:sz w:val="24"/>
        </w:rPr>
        <w:t>标的物或者在途标的物或者交付给第一承运人后的标的物毁损、灭失的风险负担详见</w:t>
      </w:r>
      <w:r>
        <w:rPr>
          <w:rFonts w:hint="eastAsia" w:ascii="宋体" w:hAnsi="宋体" w:cs="宋体"/>
          <w:b/>
          <w:i/>
          <w:sz w:val="24"/>
          <w:u w:val="single"/>
        </w:rPr>
        <w:t>合同专用条款</w:t>
      </w:r>
      <w:r>
        <w:rPr>
          <w:rFonts w:hint="eastAsia" w:ascii="宋体" w:hAnsi="宋体" w:cs="宋体"/>
          <w:sz w:val="24"/>
        </w:rPr>
        <w:t>。</w:t>
      </w:r>
    </w:p>
    <w:p w14:paraId="04795E27">
      <w:pPr>
        <w:spacing w:line="360" w:lineRule="auto"/>
        <w:ind w:firstLine="482" w:firstLineChars="200"/>
        <w:rPr>
          <w:rFonts w:ascii="宋体" w:hAnsi="宋体" w:cs="宋体"/>
          <w:b/>
          <w:sz w:val="24"/>
        </w:rPr>
      </w:pPr>
      <w:bookmarkStart w:id="232" w:name="_Toc14055"/>
      <w:r>
        <w:rPr>
          <w:rFonts w:hint="eastAsia" w:ascii="宋体" w:hAnsi="宋体" w:cs="宋体"/>
          <w:b/>
          <w:sz w:val="24"/>
        </w:rPr>
        <w:t>2.10 延迟交货</w:t>
      </w:r>
      <w:bookmarkEnd w:id="229"/>
      <w:bookmarkEnd w:id="230"/>
      <w:bookmarkEnd w:id="231"/>
      <w:bookmarkEnd w:id="232"/>
      <w:r>
        <w:rPr>
          <w:rFonts w:hint="eastAsia" w:ascii="宋体" w:hAnsi="宋体" w:cs="宋体"/>
          <w:b/>
          <w:sz w:val="24"/>
        </w:rPr>
        <w:t>/交付</w:t>
      </w:r>
    </w:p>
    <w:p w14:paraId="3F1DBA90">
      <w:pPr>
        <w:spacing w:line="360" w:lineRule="auto"/>
        <w:ind w:firstLine="480" w:firstLineChars="200"/>
        <w:rPr>
          <w:rFonts w:ascii="宋体" w:hAnsi="宋体" w:cs="宋体"/>
          <w:sz w:val="24"/>
        </w:rPr>
      </w:pPr>
      <w:r>
        <w:rPr>
          <w:rFonts w:hint="eastAsia" w:ascii="宋体" w:hAnsi="宋体" w:cs="宋体"/>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728AE939">
      <w:pPr>
        <w:spacing w:line="360" w:lineRule="auto"/>
        <w:ind w:firstLine="482" w:firstLineChars="200"/>
        <w:rPr>
          <w:rFonts w:ascii="宋体" w:hAnsi="宋体" w:cs="宋体"/>
          <w:b/>
          <w:sz w:val="24"/>
        </w:rPr>
      </w:pPr>
      <w:bookmarkStart w:id="233" w:name="_Toc7502"/>
      <w:bookmarkStart w:id="234" w:name="_Ref467378121"/>
      <w:bookmarkStart w:id="235" w:name="_Toc279701254"/>
      <w:bookmarkStart w:id="236" w:name="_Toc487900364"/>
      <w:bookmarkStart w:id="237" w:name="_Toc259093683"/>
      <w:r>
        <w:rPr>
          <w:rFonts w:hint="eastAsia" w:ascii="宋体" w:hAnsi="宋体" w:cs="宋体"/>
          <w:b/>
          <w:sz w:val="24"/>
        </w:rPr>
        <w:t>2.11 合同变更</w:t>
      </w:r>
      <w:bookmarkEnd w:id="233"/>
    </w:p>
    <w:p w14:paraId="5622116A">
      <w:pPr>
        <w:spacing w:line="360" w:lineRule="auto"/>
        <w:ind w:firstLine="480" w:firstLineChars="200"/>
        <w:rPr>
          <w:rFonts w:ascii="宋体" w:hAnsi="宋体" w:cs="宋体"/>
          <w:sz w:val="24"/>
        </w:rPr>
      </w:pPr>
      <w:r>
        <w:rPr>
          <w:rFonts w:hint="eastAsia" w:ascii="宋体" w:hAnsi="宋体" w:cs="宋体"/>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7402E3F3">
      <w:pPr>
        <w:spacing w:line="360" w:lineRule="auto"/>
        <w:ind w:firstLine="480" w:firstLineChars="200"/>
        <w:rPr>
          <w:rFonts w:ascii="宋体" w:hAnsi="宋体" w:cs="宋体"/>
          <w:sz w:val="24"/>
        </w:rPr>
      </w:pPr>
      <w:r>
        <w:rPr>
          <w:rFonts w:hint="eastAsia" w:ascii="宋体" w:hAnsi="宋体" w:cs="宋体"/>
          <w:sz w:val="24"/>
        </w:rPr>
        <w:t>2.11.2 合同继续履行将损害国家利益和社会公共利益的，双方当事人应当以书面形式变更合同。有过错的一方应当承担赔偿责任，双方当事人都有过错的，各自承担相应的责任。</w:t>
      </w:r>
      <w:bookmarkStart w:id="238" w:name="_Toc279701259"/>
      <w:bookmarkStart w:id="239" w:name="_Toc259093688"/>
      <w:bookmarkStart w:id="240" w:name="_Toc487900369"/>
    </w:p>
    <w:p w14:paraId="2DEFD651">
      <w:pPr>
        <w:spacing w:line="360" w:lineRule="auto"/>
        <w:ind w:firstLine="482" w:firstLineChars="200"/>
        <w:rPr>
          <w:rFonts w:ascii="宋体" w:hAnsi="宋体" w:cs="宋体"/>
          <w:b/>
          <w:sz w:val="24"/>
        </w:rPr>
      </w:pPr>
      <w:bookmarkStart w:id="241" w:name="_Toc22955"/>
      <w:bookmarkStart w:id="242" w:name="_Toc15237"/>
      <w:bookmarkStart w:id="243" w:name="_Toc10366"/>
      <w:r>
        <w:rPr>
          <w:rFonts w:hint="eastAsia" w:ascii="宋体" w:hAnsi="宋体" w:cs="宋体"/>
          <w:b/>
          <w:sz w:val="24"/>
        </w:rPr>
        <w:t>2.12 合同转让</w:t>
      </w:r>
      <w:bookmarkEnd w:id="238"/>
      <w:bookmarkEnd w:id="239"/>
      <w:bookmarkEnd w:id="240"/>
      <w:r>
        <w:rPr>
          <w:rFonts w:hint="eastAsia" w:ascii="宋体" w:hAnsi="宋体" w:cs="宋体"/>
          <w:b/>
          <w:sz w:val="24"/>
        </w:rPr>
        <w:t>和分包</w:t>
      </w:r>
      <w:bookmarkEnd w:id="241"/>
      <w:bookmarkEnd w:id="242"/>
      <w:bookmarkEnd w:id="243"/>
    </w:p>
    <w:p w14:paraId="64FDB0C6">
      <w:pPr>
        <w:spacing w:line="360" w:lineRule="auto"/>
        <w:ind w:firstLine="480" w:firstLineChars="200"/>
        <w:rPr>
          <w:rFonts w:ascii="宋体" w:hAnsi="宋体" w:cs="宋体"/>
          <w:sz w:val="24"/>
        </w:rPr>
      </w:pPr>
      <w:r>
        <w:rPr>
          <w:rFonts w:hint="eastAsia" w:ascii="宋体" w:hAnsi="宋体" w:cs="宋体"/>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7373837A">
      <w:pPr>
        <w:spacing w:line="360" w:lineRule="auto"/>
        <w:ind w:firstLine="482" w:firstLineChars="200"/>
        <w:rPr>
          <w:rFonts w:ascii="宋体" w:hAnsi="宋体" w:cs="宋体"/>
          <w:b/>
          <w:sz w:val="24"/>
        </w:rPr>
      </w:pPr>
      <w:bookmarkStart w:id="244" w:name="_Toc16508"/>
      <w:bookmarkStart w:id="245" w:name="_Toc13566"/>
      <w:bookmarkStart w:id="246" w:name="_Toc14066"/>
      <w:r>
        <w:rPr>
          <w:rFonts w:hint="eastAsia" w:ascii="宋体" w:hAnsi="宋体" w:cs="宋体"/>
          <w:b/>
          <w:sz w:val="24"/>
        </w:rPr>
        <w:t>2.13 不可抗力</w:t>
      </w:r>
      <w:bookmarkEnd w:id="244"/>
      <w:bookmarkEnd w:id="245"/>
      <w:bookmarkEnd w:id="246"/>
    </w:p>
    <w:p w14:paraId="3187E093">
      <w:pPr>
        <w:spacing w:line="360" w:lineRule="auto"/>
        <w:ind w:firstLine="480" w:firstLineChars="200"/>
        <w:rPr>
          <w:rFonts w:ascii="宋体" w:hAnsi="宋体" w:cs="宋体"/>
          <w:sz w:val="24"/>
        </w:rPr>
      </w:pPr>
      <w:r>
        <w:rPr>
          <w:rFonts w:hint="eastAsia" w:ascii="宋体" w:hAnsi="宋体" w:cs="宋体"/>
          <w:sz w:val="24"/>
        </w:rPr>
        <w:t>2.13.1如果任何一方遭遇法律规定的不可抗力，致使合同履行受阻时，履行合同的期限应予延长，延长的期限应相当于不可抗力所影响的时间；</w:t>
      </w:r>
    </w:p>
    <w:p w14:paraId="44BF279E">
      <w:pPr>
        <w:spacing w:line="360" w:lineRule="auto"/>
        <w:ind w:firstLine="480" w:firstLineChars="200"/>
        <w:rPr>
          <w:rFonts w:ascii="宋体" w:hAnsi="宋体" w:cs="宋体"/>
          <w:sz w:val="24"/>
        </w:rPr>
      </w:pPr>
      <w:r>
        <w:rPr>
          <w:rFonts w:hint="eastAsia" w:ascii="宋体" w:hAnsi="宋体" w:cs="宋体"/>
          <w:sz w:val="24"/>
        </w:rPr>
        <w:t>2.13.2受不可抗力影响的一方在不可抗力发生后，应在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745FA56C">
      <w:pPr>
        <w:spacing w:line="360" w:lineRule="auto"/>
        <w:ind w:firstLine="480" w:firstLineChars="200"/>
        <w:rPr>
          <w:rFonts w:ascii="宋体" w:hAnsi="宋体" w:cs="宋体"/>
          <w:sz w:val="24"/>
        </w:rPr>
      </w:pPr>
      <w:r>
        <w:rPr>
          <w:rFonts w:hint="eastAsia" w:ascii="宋体" w:hAnsi="宋体" w:cs="宋体"/>
          <w:sz w:val="24"/>
        </w:rPr>
        <w:t>2.13.3 因不可抗力致使不能实现合同目的的，当事人可以解除合同；</w:t>
      </w:r>
    </w:p>
    <w:p w14:paraId="145A15F3">
      <w:pPr>
        <w:spacing w:line="360" w:lineRule="auto"/>
        <w:ind w:firstLine="480" w:firstLineChars="200"/>
        <w:rPr>
          <w:rFonts w:ascii="宋体" w:hAnsi="宋体" w:cs="宋体"/>
          <w:sz w:val="24"/>
        </w:rPr>
      </w:pPr>
      <w:r>
        <w:rPr>
          <w:rFonts w:hint="eastAsia" w:ascii="宋体" w:hAnsi="宋体" w:cs="宋体"/>
          <w:sz w:val="24"/>
        </w:rPr>
        <w:t>2.13.4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5F08CC8A">
      <w:pPr>
        <w:spacing w:line="360" w:lineRule="auto"/>
        <w:ind w:firstLine="482" w:firstLineChars="200"/>
        <w:rPr>
          <w:rFonts w:ascii="宋体" w:hAnsi="宋体" w:cs="宋体"/>
          <w:b/>
          <w:sz w:val="24"/>
        </w:rPr>
      </w:pPr>
      <w:bookmarkStart w:id="247" w:name="_Toc259093684"/>
      <w:bookmarkStart w:id="248" w:name="_Toc487900365"/>
      <w:bookmarkStart w:id="249" w:name="_Toc279701255"/>
      <w:bookmarkStart w:id="250" w:name="_Toc30676"/>
      <w:bookmarkStart w:id="251" w:name="_Toc689"/>
      <w:bookmarkStart w:id="252" w:name="_Toc6969"/>
      <w:r>
        <w:rPr>
          <w:rFonts w:hint="eastAsia" w:ascii="宋体" w:hAnsi="宋体" w:cs="宋体"/>
          <w:b/>
          <w:sz w:val="24"/>
        </w:rPr>
        <w:t>2.14 税费</w:t>
      </w:r>
      <w:bookmarkEnd w:id="247"/>
      <w:bookmarkEnd w:id="248"/>
      <w:bookmarkEnd w:id="249"/>
      <w:bookmarkEnd w:id="250"/>
      <w:bookmarkEnd w:id="251"/>
      <w:bookmarkEnd w:id="252"/>
    </w:p>
    <w:p w14:paraId="6F9BABFD">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与合同有关的一切税费，均按照中华人民共和国法律的相关规定执行。</w:t>
      </w:r>
    </w:p>
    <w:p w14:paraId="4221EB4B">
      <w:pPr>
        <w:spacing w:line="360" w:lineRule="auto"/>
        <w:ind w:firstLine="482" w:firstLineChars="200"/>
        <w:rPr>
          <w:rFonts w:ascii="宋体" w:hAnsi="宋体" w:cs="宋体"/>
          <w:b/>
          <w:sz w:val="24"/>
        </w:rPr>
      </w:pPr>
      <w:bookmarkStart w:id="253" w:name="_Toc259093687"/>
      <w:bookmarkStart w:id="254" w:name="_Toc16959"/>
      <w:bookmarkStart w:id="255" w:name="_Toc279701258"/>
      <w:bookmarkStart w:id="256" w:name="_Toc487900368"/>
      <w:bookmarkStart w:id="257" w:name="_Toc7102"/>
      <w:bookmarkStart w:id="258" w:name="_Toc8298"/>
      <w:r>
        <w:rPr>
          <w:rFonts w:hint="eastAsia" w:ascii="宋体" w:hAnsi="宋体" w:cs="宋体"/>
          <w:b/>
          <w:sz w:val="24"/>
        </w:rPr>
        <w:t>2.15 乙方破产</w:t>
      </w:r>
      <w:bookmarkEnd w:id="253"/>
      <w:bookmarkEnd w:id="254"/>
      <w:bookmarkEnd w:id="255"/>
      <w:bookmarkEnd w:id="256"/>
      <w:bookmarkEnd w:id="257"/>
      <w:bookmarkEnd w:id="258"/>
    </w:p>
    <w:p w14:paraId="2A4C62C1">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F755D08">
      <w:pPr>
        <w:spacing w:line="360" w:lineRule="auto"/>
        <w:ind w:firstLine="482" w:firstLineChars="200"/>
        <w:rPr>
          <w:rFonts w:ascii="宋体" w:hAnsi="宋体" w:cs="宋体"/>
          <w:b/>
          <w:sz w:val="24"/>
        </w:rPr>
      </w:pPr>
      <w:bookmarkStart w:id="259" w:name="_Toc6134"/>
      <w:bookmarkStart w:id="260" w:name="_Toc29333"/>
      <w:bookmarkStart w:id="261" w:name="_Toc15387"/>
      <w:r>
        <w:rPr>
          <w:rFonts w:hint="eastAsia" w:ascii="宋体" w:hAnsi="宋体" w:cs="宋体"/>
          <w:b/>
          <w:sz w:val="24"/>
        </w:rPr>
        <w:t>2.16 合同中止、终止</w:t>
      </w:r>
      <w:bookmarkEnd w:id="259"/>
      <w:bookmarkEnd w:id="260"/>
      <w:bookmarkEnd w:id="261"/>
    </w:p>
    <w:p w14:paraId="647ECA5B">
      <w:pPr>
        <w:spacing w:line="360" w:lineRule="auto"/>
        <w:ind w:firstLine="480" w:firstLineChars="200"/>
        <w:rPr>
          <w:rFonts w:ascii="宋体" w:hAnsi="宋体" w:cs="宋体"/>
          <w:sz w:val="24"/>
        </w:rPr>
      </w:pPr>
      <w:r>
        <w:rPr>
          <w:rFonts w:hint="eastAsia" w:ascii="宋体" w:hAnsi="宋体" w:cs="宋体"/>
          <w:sz w:val="24"/>
        </w:rPr>
        <w:t>2.16.1 双方当事人不得擅自中止或者终止合同；</w:t>
      </w:r>
    </w:p>
    <w:p w14:paraId="6F25E5B7">
      <w:pPr>
        <w:spacing w:line="360" w:lineRule="auto"/>
        <w:ind w:firstLine="480" w:firstLineChars="200"/>
        <w:rPr>
          <w:rFonts w:ascii="宋体" w:hAnsi="宋体" w:cs="宋体"/>
          <w:sz w:val="24"/>
        </w:rPr>
      </w:pPr>
      <w:r>
        <w:rPr>
          <w:rFonts w:hint="eastAsia" w:ascii="宋体" w:hAnsi="宋体" w:cs="宋体"/>
          <w:sz w:val="24"/>
        </w:rPr>
        <w:t>2.16.2合同继续履行将损害国家利益和社会公共利益的，双方当事人应当中止或者终止合同。有过错的一方应当承担赔偿责任，双方当事人都有过错的，各自承担相应的责任。</w:t>
      </w:r>
    </w:p>
    <w:p w14:paraId="1BEA8376">
      <w:pPr>
        <w:spacing w:line="360" w:lineRule="auto"/>
        <w:ind w:firstLine="482" w:firstLineChars="200"/>
        <w:rPr>
          <w:rFonts w:ascii="宋体" w:hAnsi="宋体" w:cs="宋体"/>
          <w:b/>
          <w:sz w:val="24"/>
        </w:rPr>
      </w:pPr>
      <w:bookmarkStart w:id="262" w:name="_Toc6596"/>
      <w:bookmarkStart w:id="263" w:name="_Toc14563"/>
      <w:bookmarkStart w:id="264" w:name="_Toc1125"/>
      <w:r>
        <w:rPr>
          <w:rFonts w:hint="eastAsia" w:ascii="宋体" w:hAnsi="宋体" w:cs="宋体"/>
          <w:b/>
          <w:sz w:val="24"/>
        </w:rPr>
        <w:t>2.17 检验和验收</w:t>
      </w:r>
      <w:bookmarkEnd w:id="262"/>
      <w:bookmarkEnd w:id="263"/>
      <w:bookmarkEnd w:id="264"/>
    </w:p>
    <w:p w14:paraId="0EC20197">
      <w:pPr>
        <w:spacing w:line="360" w:lineRule="auto"/>
        <w:ind w:firstLine="480" w:firstLineChars="200"/>
        <w:rPr>
          <w:rFonts w:ascii="宋体" w:hAnsi="宋体" w:cs="宋体"/>
          <w:sz w:val="24"/>
        </w:rPr>
      </w:pPr>
      <w:r>
        <w:rPr>
          <w:rFonts w:hint="eastAsia" w:ascii="宋体" w:hAnsi="宋体" w:cs="宋体"/>
          <w:sz w:val="24"/>
        </w:rPr>
        <w:t>2.17.1标的物交付前，乙方应对标的物的质量、数量等方面进行详细、全面的检验，并向甲方出具证明标的物符合合同约定的文件；标的物交付时，乙方在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43C3A86A">
      <w:pPr>
        <w:spacing w:line="360" w:lineRule="auto"/>
        <w:ind w:firstLine="480" w:firstLineChars="200"/>
        <w:rPr>
          <w:rFonts w:ascii="宋体" w:hAnsi="宋体" w:cs="宋体"/>
          <w:sz w:val="24"/>
        </w:rPr>
      </w:pPr>
      <w:r>
        <w:rPr>
          <w:rFonts w:hint="eastAsia" w:ascii="宋体" w:hAnsi="宋体" w:cs="宋体"/>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4420CAF1">
      <w:pPr>
        <w:spacing w:line="360" w:lineRule="auto"/>
        <w:ind w:firstLine="480" w:firstLineChars="200"/>
        <w:rPr>
          <w:rFonts w:ascii="宋体" w:hAnsi="宋体" w:cs="宋体"/>
          <w:sz w:val="24"/>
        </w:rPr>
      </w:pPr>
      <w:r>
        <w:rPr>
          <w:rFonts w:hint="eastAsia" w:ascii="宋体" w:hAnsi="宋体" w:cs="宋体"/>
          <w:sz w:val="24"/>
        </w:rPr>
        <w:t>2.17.3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234"/>
    <w:bookmarkEnd w:id="235"/>
    <w:bookmarkEnd w:id="236"/>
    <w:bookmarkEnd w:id="237"/>
    <w:p w14:paraId="391650A0">
      <w:pPr>
        <w:spacing w:line="360" w:lineRule="auto"/>
        <w:ind w:firstLine="482" w:firstLineChars="200"/>
        <w:rPr>
          <w:rFonts w:ascii="宋体" w:hAnsi="宋体" w:cs="宋体"/>
          <w:b/>
          <w:sz w:val="24"/>
        </w:rPr>
      </w:pPr>
      <w:bookmarkStart w:id="265" w:name="_Toc487900371"/>
      <w:bookmarkStart w:id="266" w:name="_Toc279701261"/>
      <w:bookmarkStart w:id="267" w:name="_Toc259093690"/>
      <w:bookmarkStart w:id="268" w:name="_Toc19604"/>
      <w:bookmarkStart w:id="269" w:name="_Toc25182"/>
      <w:bookmarkStart w:id="270" w:name="_Toc11284"/>
      <w:r>
        <w:rPr>
          <w:rFonts w:hint="eastAsia" w:ascii="宋体" w:hAnsi="宋体" w:cs="宋体"/>
          <w:b/>
          <w:sz w:val="24"/>
        </w:rPr>
        <w:t>2.18 通知</w:t>
      </w:r>
      <w:bookmarkEnd w:id="265"/>
      <w:bookmarkEnd w:id="266"/>
      <w:bookmarkEnd w:id="267"/>
      <w:r>
        <w:rPr>
          <w:rFonts w:hint="eastAsia" w:ascii="宋体" w:hAnsi="宋体" w:cs="宋体"/>
          <w:b/>
          <w:sz w:val="24"/>
        </w:rPr>
        <w:t>和送达</w:t>
      </w:r>
      <w:bookmarkEnd w:id="268"/>
      <w:bookmarkEnd w:id="269"/>
      <w:bookmarkEnd w:id="270"/>
    </w:p>
    <w:p w14:paraId="281FD222">
      <w:pPr>
        <w:spacing w:line="360" w:lineRule="auto"/>
        <w:ind w:firstLine="480" w:firstLineChars="200"/>
        <w:rPr>
          <w:rFonts w:ascii="宋体" w:hAnsi="宋体" w:cs="宋体"/>
          <w:sz w:val="24"/>
        </w:rPr>
      </w:pPr>
      <w:bookmarkStart w:id="271" w:name="_Toc3135"/>
      <w:bookmarkStart w:id="272" w:name="_Toc6698"/>
      <w:bookmarkStart w:id="273" w:name="_Toc279701262"/>
      <w:bookmarkStart w:id="274" w:name="_Toc487900372"/>
      <w:bookmarkStart w:id="275" w:name="_Toc259093691"/>
      <w:r>
        <w:rPr>
          <w:rFonts w:hint="eastAsia" w:ascii="宋体" w:hAnsi="宋体" w:cs="宋体"/>
          <w:sz w:val="24"/>
        </w:rPr>
        <w:t>2.18.1 任何一方因履行合同而以合同第一部分尾部所列明的</w:t>
      </w:r>
      <w:r>
        <w:rPr>
          <w:rFonts w:hint="eastAsia" w:ascii="宋体" w:hAnsi="宋体" w:cs="宋体"/>
          <w:sz w:val="24"/>
          <w:u w:val="single"/>
        </w:rPr>
        <w:t>“约定送达地址”</w:t>
      </w:r>
      <w:r>
        <w:rPr>
          <w:rFonts w:hint="eastAsia" w:ascii="宋体" w:hAnsi="宋体" w:cs="宋体"/>
          <w:sz w:val="24"/>
        </w:rPr>
        <w:t>为收件地址的所有通知、文件、材料，均视为已向对方当事人送达；任何一方变更上述送达方式或者地址的，应于</w:t>
      </w:r>
      <w:r>
        <w:rPr>
          <w:rFonts w:hint="eastAsia" w:ascii="仿宋_GB2312" w:hAnsi="楷体" w:eastAsia="仿宋_GB2312"/>
          <w:sz w:val="24"/>
          <w:highlight w:val="none"/>
        </w:rPr>
        <w:t>应于</w:t>
      </w:r>
      <w:r>
        <w:rPr>
          <w:rFonts w:hint="eastAsia" w:ascii="仿宋_GB2312" w:hAnsi="楷体" w:eastAsia="仿宋_GB2312"/>
          <w:sz w:val="24"/>
          <w:highlight w:val="none"/>
          <w:u w:val="single"/>
        </w:rPr>
        <w:t xml:space="preserve"> </w:t>
      </w:r>
      <w:r>
        <w:rPr>
          <w:rFonts w:ascii="仿宋_GB2312" w:hAnsi="楷体" w:eastAsia="仿宋_GB2312"/>
          <w:sz w:val="24"/>
          <w:highlight w:val="none"/>
          <w:u w:val="single"/>
        </w:rPr>
        <w:t>5</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个工作日</w:t>
      </w:r>
      <w:r>
        <w:rPr>
          <w:rFonts w:hint="eastAsia" w:ascii="宋体" w:hAnsi="宋体" w:cs="宋体"/>
          <w:sz w:val="24"/>
          <w:highlight w:val="none"/>
        </w:rPr>
        <w:t>个工</w:t>
      </w:r>
      <w:r>
        <w:rPr>
          <w:rFonts w:hint="eastAsia" w:ascii="宋体" w:hAnsi="宋体" w:cs="宋体"/>
          <w:sz w:val="24"/>
        </w:rPr>
        <w:t>作日（根据项目实际情况填写）内书面通知对方当事人，在对方当事人收到有关变更通知之前，变更前的约定送达方式或者地址仍视为有效。</w:t>
      </w:r>
      <w:bookmarkEnd w:id="271"/>
      <w:bookmarkEnd w:id="272"/>
    </w:p>
    <w:p w14:paraId="67CD2B2E">
      <w:pPr>
        <w:spacing w:line="360" w:lineRule="auto"/>
        <w:ind w:firstLine="480" w:firstLineChars="200"/>
        <w:rPr>
          <w:rFonts w:ascii="宋体" w:hAnsi="宋体" w:cs="宋体"/>
          <w:sz w:val="24"/>
        </w:rPr>
      </w:pPr>
      <w:bookmarkStart w:id="276" w:name="_Toc23128"/>
      <w:bookmarkStart w:id="277" w:name="_Toc23294"/>
      <w:r>
        <w:rPr>
          <w:rFonts w:hint="eastAsia" w:ascii="宋体" w:hAnsi="宋体" w:cs="宋体"/>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6"/>
      <w:bookmarkEnd w:id="277"/>
    </w:p>
    <w:p w14:paraId="44FE72D4">
      <w:pPr>
        <w:spacing w:line="360" w:lineRule="auto"/>
        <w:ind w:firstLine="482" w:firstLineChars="200"/>
        <w:rPr>
          <w:rFonts w:ascii="宋体" w:hAnsi="宋体" w:cs="宋体"/>
          <w:b/>
          <w:sz w:val="24"/>
        </w:rPr>
      </w:pPr>
      <w:bookmarkStart w:id="278" w:name="_Toc4355"/>
      <w:bookmarkStart w:id="279" w:name="_Toc18540"/>
      <w:bookmarkStart w:id="280" w:name="_Toc30599"/>
      <w:r>
        <w:rPr>
          <w:rFonts w:hint="eastAsia" w:ascii="宋体" w:hAnsi="宋体" w:cs="宋体"/>
          <w:b/>
          <w:sz w:val="24"/>
        </w:rPr>
        <w:t>2.19 计量单位</w:t>
      </w:r>
      <w:bookmarkEnd w:id="273"/>
      <w:bookmarkEnd w:id="274"/>
      <w:bookmarkEnd w:id="275"/>
      <w:bookmarkEnd w:id="278"/>
      <w:bookmarkEnd w:id="279"/>
      <w:bookmarkEnd w:id="280"/>
    </w:p>
    <w:p w14:paraId="7088172A">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FED9288">
      <w:pPr>
        <w:spacing w:line="360" w:lineRule="auto"/>
        <w:ind w:firstLine="482" w:firstLineChars="200"/>
        <w:rPr>
          <w:rFonts w:ascii="宋体" w:hAnsi="宋体" w:cs="宋体"/>
          <w:b/>
          <w:sz w:val="24"/>
        </w:rPr>
      </w:pPr>
      <w:bookmarkStart w:id="281" w:name="_Toc10330"/>
      <w:bookmarkStart w:id="282" w:name="_Toc12773"/>
      <w:bookmarkStart w:id="283" w:name="_Toc487900373"/>
      <w:bookmarkStart w:id="284" w:name="_Toc279701263"/>
      <w:bookmarkStart w:id="285" w:name="_Toc259093692"/>
      <w:bookmarkStart w:id="286" w:name="_Toc18567"/>
      <w:r>
        <w:rPr>
          <w:rFonts w:hint="eastAsia" w:ascii="宋体" w:hAnsi="宋体" w:cs="宋体"/>
          <w:b/>
          <w:sz w:val="24"/>
        </w:rPr>
        <w:t>2.20 合同使用的文字和适用的法律</w:t>
      </w:r>
      <w:bookmarkEnd w:id="281"/>
      <w:bookmarkEnd w:id="282"/>
      <w:bookmarkEnd w:id="283"/>
      <w:bookmarkEnd w:id="284"/>
      <w:bookmarkEnd w:id="285"/>
      <w:bookmarkEnd w:id="286"/>
    </w:p>
    <w:p w14:paraId="481B3104">
      <w:pPr>
        <w:spacing w:line="360" w:lineRule="auto"/>
        <w:ind w:firstLine="480" w:firstLineChars="200"/>
        <w:rPr>
          <w:rFonts w:ascii="宋体" w:hAnsi="宋体" w:cs="宋体"/>
          <w:sz w:val="24"/>
        </w:rPr>
      </w:pPr>
      <w:r>
        <w:rPr>
          <w:rFonts w:hint="eastAsia" w:ascii="宋体" w:hAnsi="宋体" w:cs="宋体"/>
          <w:sz w:val="24"/>
        </w:rPr>
        <w:t>2.20.1 合同使用汉语书就、变更和解释；</w:t>
      </w:r>
    </w:p>
    <w:p w14:paraId="5634367A">
      <w:pPr>
        <w:spacing w:line="360" w:lineRule="auto"/>
        <w:ind w:firstLine="480" w:firstLineChars="200"/>
        <w:rPr>
          <w:rFonts w:ascii="宋体" w:hAnsi="宋体" w:cs="宋体"/>
          <w:sz w:val="24"/>
        </w:rPr>
      </w:pPr>
      <w:r>
        <w:rPr>
          <w:rFonts w:hint="eastAsia" w:ascii="宋体" w:hAnsi="宋体" w:cs="宋体"/>
          <w:sz w:val="24"/>
        </w:rPr>
        <w:t>2.20.2 合同适用中华人民共和国法律。</w:t>
      </w:r>
    </w:p>
    <w:p w14:paraId="2C1ABFDC">
      <w:pPr>
        <w:spacing w:line="360" w:lineRule="auto"/>
        <w:ind w:firstLine="482" w:firstLineChars="200"/>
        <w:rPr>
          <w:rFonts w:ascii="宋体" w:hAnsi="宋体" w:cs="宋体"/>
          <w:b/>
          <w:sz w:val="24"/>
        </w:rPr>
      </w:pPr>
      <w:bookmarkStart w:id="287" w:name="_Toc259093693"/>
      <w:bookmarkStart w:id="288" w:name="_Toc279701264"/>
      <w:bookmarkStart w:id="289" w:name="_Toc16673"/>
      <w:bookmarkStart w:id="290" w:name="_Toc12004"/>
      <w:bookmarkStart w:id="291" w:name="_Toc3148"/>
      <w:bookmarkStart w:id="292" w:name="_Toc487900374"/>
      <w:r>
        <w:rPr>
          <w:rFonts w:hint="eastAsia" w:ascii="宋体" w:hAnsi="宋体" w:cs="宋体"/>
          <w:b/>
          <w:sz w:val="24"/>
        </w:rPr>
        <w:t>2.21 履约保证金</w:t>
      </w:r>
      <w:bookmarkEnd w:id="287"/>
      <w:bookmarkEnd w:id="288"/>
      <w:bookmarkEnd w:id="289"/>
      <w:bookmarkEnd w:id="290"/>
      <w:bookmarkEnd w:id="291"/>
    </w:p>
    <w:p w14:paraId="193F3716">
      <w:pPr>
        <w:spacing w:line="360" w:lineRule="auto"/>
        <w:ind w:firstLine="480" w:firstLineChars="200"/>
        <w:rPr>
          <w:rFonts w:ascii="宋体" w:hAnsi="宋体" w:cs="宋体"/>
          <w:snapToGrid w:val="0"/>
          <w:kern w:val="0"/>
          <w:sz w:val="24"/>
        </w:rPr>
      </w:pPr>
      <w:r>
        <w:rPr>
          <w:rFonts w:hint="eastAsia" w:ascii="宋体" w:hAnsi="宋体" w:cs="宋体"/>
          <w:sz w:val="24"/>
        </w:rPr>
        <w:t>本项目不收取履约保证金</w:t>
      </w:r>
    </w:p>
    <w:p w14:paraId="29310A81">
      <w:pPr>
        <w:spacing w:line="360" w:lineRule="auto"/>
        <w:ind w:firstLine="482" w:firstLineChars="200"/>
        <w:rPr>
          <w:rFonts w:ascii="宋体" w:hAnsi="宋体" w:cs="宋体"/>
          <w:kern w:val="0"/>
          <w:sz w:val="24"/>
          <w:lang w:val="zh-CN"/>
        </w:rPr>
      </w:pPr>
      <w:r>
        <w:rPr>
          <w:rFonts w:hint="eastAsia" w:ascii="宋体" w:hAnsi="宋体" w:cs="宋体"/>
          <w:b/>
          <w:sz w:val="24"/>
        </w:rPr>
        <w:t>2.22 中小企业政策</w:t>
      </w:r>
    </w:p>
    <w:p w14:paraId="596CC39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2.22.1本合同（□是  □否）为中小企业“政采贷”可融资合同，关于中小企业信用融资事项见采购文件“投标人须知正文”。</w:t>
      </w:r>
    </w:p>
    <w:p w14:paraId="3C9851B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 xml:space="preserve">2.22.2本合同（□是  </w:t>
      </w:r>
      <w:r>
        <w:rPr>
          <w:rFonts w:hint="eastAsia" w:ascii="宋体" w:hAnsi="宋体" w:cs="宋体"/>
          <w:kern w:val="0"/>
          <w:sz w:val="24"/>
          <w:lang w:val="zh-CN"/>
        </w:rPr>
        <w:sym w:font="Wingdings" w:char="F0FE"/>
      </w:r>
      <w:r>
        <w:rPr>
          <w:rFonts w:hint="eastAsia" w:ascii="宋体" w:hAnsi="宋体" w:cs="宋体"/>
          <w:kern w:val="0"/>
          <w:sz w:val="24"/>
          <w:lang w:val="zh-CN"/>
        </w:rPr>
        <w:t>否）为中小企业预留合同。</w:t>
      </w:r>
    </w:p>
    <w:bookmarkEnd w:id="292"/>
    <w:p w14:paraId="3A82EB56">
      <w:pPr>
        <w:spacing w:line="360" w:lineRule="auto"/>
        <w:ind w:firstLine="482" w:firstLineChars="200"/>
        <w:rPr>
          <w:rFonts w:ascii="宋体" w:hAnsi="宋体" w:cs="宋体"/>
          <w:b/>
          <w:sz w:val="24"/>
        </w:rPr>
      </w:pPr>
      <w:bookmarkStart w:id="293" w:name="_Toc19890"/>
      <w:bookmarkStart w:id="294" w:name="_Toc6885"/>
      <w:bookmarkStart w:id="295" w:name="_Toc14001"/>
      <w:r>
        <w:rPr>
          <w:rFonts w:hint="eastAsia" w:ascii="宋体" w:hAnsi="宋体" w:cs="宋体"/>
          <w:b/>
          <w:sz w:val="24"/>
        </w:rPr>
        <w:t>2.23 合同份数</w:t>
      </w:r>
      <w:bookmarkEnd w:id="293"/>
      <w:bookmarkEnd w:id="294"/>
      <w:bookmarkEnd w:id="295"/>
    </w:p>
    <w:p w14:paraId="4B8B1BA2">
      <w:pPr>
        <w:spacing w:line="360" w:lineRule="auto"/>
        <w:ind w:firstLine="480" w:firstLineChars="200"/>
        <w:rPr>
          <w:rFonts w:ascii="宋体" w:hAnsi="宋体" w:cs="宋体"/>
          <w:sz w:val="24"/>
        </w:rPr>
      </w:pPr>
      <w:r>
        <w:rPr>
          <w:rFonts w:hint="eastAsia" w:ascii="仿宋_GB2312" w:hAnsi="宋体" w:eastAsia="仿宋_GB2312"/>
          <w:sz w:val="24"/>
        </w:rPr>
        <w:t>本合同壹</w:t>
      </w:r>
      <w:r>
        <w:rPr>
          <w:rFonts w:hint="eastAsia" w:ascii="仿宋_GB2312" w:hAnsi="宋体" w:eastAsia="仿宋_GB2312"/>
          <w:sz w:val="24"/>
          <w:highlight w:val="none"/>
        </w:rPr>
        <w:t>式</w:t>
      </w:r>
      <w:r>
        <w:rPr>
          <w:rFonts w:hint="eastAsia" w:ascii="仿宋_GB2312" w:hAnsi="宋体" w:eastAsia="仿宋_GB2312"/>
          <w:sz w:val="24"/>
          <w:highlight w:val="none"/>
          <w:u w:val="single"/>
        </w:rPr>
        <w:t xml:space="preserve"> 陆</w:t>
      </w:r>
      <w:r>
        <w:rPr>
          <w:rFonts w:hint="eastAsia" w:ascii="仿宋_GB2312" w:hAnsi="仿宋" w:eastAsia="仿宋_GB2312"/>
          <w:sz w:val="24"/>
          <w:highlight w:val="none"/>
          <w:u w:val="single"/>
        </w:rPr>
        <w:t xml:space="preserve"> </w:t>
      </w:r>
      <w:r>
        <w:rPr>
          <w:rFonts w:hint="eastAsia" w:ascii="仿宋_GB2312" w:hAnsi="宋体" w:eastAsia="仿宋_GB2312"/>
          <w:sz w:val="24"/>
          <w:highlight w:val="none"/>
        </w:rPr>
        <w:t>份，甲方执</w:t>
      </w:r>
      <w:r>
        <w:rPr>
          <w:rFonts w:hint="eastAsia" w:ascii="仿宋_GB2312" w:hAnsi="宋体" w:eastAsia="仿宋_GB2312"/>
          <w:sz w:val="24"/>
          <w:highlight w:val="none"/>
          <w:u w:val="single"/>
        </w:rPr>
        <w:t xml:space="preserve"> 伍</w:t>
      </w:r>
      <w:r>
        <w:rPr>
          <w:rFonts w:hint="eastAsia" w:ascii="仿宋_GB2312" w:hAnsi="仿宋" w:eastAsia="仿宋_GB2312"/>
          <w:sz w:val="24"/>
          <w:highlight w:val="none"/>
          <w:u w:val="single"/>
        </w:rPr>
        <w:t xml:space="preserve"> </w:t>
      </w:r>
      <w:r>
        <w:rPr>
          <w:rFonts w:hint="eastAsia" w:ascii="仿宋_GB2312" w:hAnsi="宋体" w:eastAsia="仿宋_GB2312"/>
          <w:sz w:val="24"/>
          <w:highlight w:val="none"/>
        </w:rPr>
        <w:t>份（其中一份移交代理公司），乙方执</w:t>
      </w:r>
      <w:r>
        <w:rPr>
          <w:rFonts w:hint="eastAsia" w:ascii="仿宋_GB2312" w:hAnsi="仿宋" w:eastAsia="仿宋_GB2312"/>
          <w:sz w:val="24"/>
          <w:highlight w:val="none"/>
          <w:u w:val="single"/>
        </w:rPr>
        <w:t xml:space="preserve"> 壹</w:t>
      </w:r>
      <w:r>
        <w:rPr>
          <w:rFonts w:hint="eastAsia" w:ascii="仿宋_GB2312" w:hAnsi="宋体" w:eastAsia="仿宋_GB2312"/>
          <w:sz w:val="24"/>
          <w:highlight w:val="none"/>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14:paraId="32AFE414">
      <w:pPr>
        <w:spacing w:line="360" w:lineRule="auto"/>
        <w:jc w:val="center"/>
        <w:rPr>
          <w:rFonts w:ascii="宋体" w:hAnsi="宋体" w:cs="宋体"/>
          <w:b/>
          <w:sz w:val="28"/>
          <w:szCs w:val="28"/>
        </w:rPr>
      </w:pPr>
      <w:r>
        <w:rPr>
          <w:rFonts w:hint="eastAsia" w:ascii="宋体" w:hAnsi="宋体" w:cs="宋体"/>
        </w:rPr>
        <w:br w:type="page"/>
      </w:r>
      <w:bookmarkStart w:id="296" w:name="_Toc331685784"/>
      <w:r>
        <w:rPr>
          <w:rFonts w:hint="eastAsia" w:ascii="宋体" w:hAnsi="宋体" w:cs="宋体"/>
          <w:b/>
          <w:sz w:val="28"/>
          <w:szCs w:val="28"/>
        </w:rPr>
        <w:t>第三部分  合同专用条款</w:t>
      </w:r>
      <w:bookmarkEnd w:id="296"/>
    </w:p>
    <w:p w14:paraId="20CD9F05">
      <w:pPr>
        <w:spacing w:line="360" w:lineRule="auto"/>
        <w:ind w:firstLine="480" w:firstLineChars="200"/>
        <w:rPr>
          <w:rFonts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0B5A4ECC">
      <w:pPr>
        <w:spacing w:line="360" w:lineRule="auto"/>
        <w:ind w:firstLine="480" w:firstLineChars="200"/>
        <w:rPr>
          <w:rFonts w:ascii="宋体" w:hAnsi="宋体" w:cs="宋体"/>
          <w:sz w:val="24"/>
        </w:rPr>
      </w:pPr>
      <w:r>
        <w:rPr>
          <w:rFonts w:hint="eastAsia" w:ascii="宋体" w:hAnsi="宋体" w:cs="宋体"/>
          <w:sz w:val="24"/>
        </w:rPr>
        <w:t>2.3.2具有知识产权的标的物知识产权归属：</w:t>
      </w:r>
    </w:p>
    <w:p w14:paraId="228DA2A1">
      <w:pPr>
        <w:spacing w:line="360" w:lineRule="auto"/>
        <w:ind w:firstLine="480" w:firstLineChars="200"/>
        <w:rPr>
          <w:rFonts w:ascii="仿宋_GB2312" w:hAnsi="楷体" w:eastAsia="仿宋_GB2312"/>
          <w:sz w:val="24"/>
          <w:highlight w:val="none"/>
          <w:u w:val="single"/>
        </w:rPr>
      </w:pPr>
      <w:r>
        <w:rPr>
          <w:rFonts w:hint="eastAsia" w:ascii="仿宋_GB2312" w:hAnsi="楷体" w:eastAsia="仿宋_GB2312"/>
          <w:sz w:val="24"/>
          <w:highlight w:val="none"/>
          <w:u w:val="single"/>
        </w:rPr>
        <w:t>甲方。</w:t>
      </w:r>
    </w:p>
    <w:p w14:paraId="2EA4CF02">
      <w:pPr>
        <w:spacing w:line="360" w:lineRule="auto"/>
        <w:ind w:firstLine="480" w:firstLineChars="200"/>
        <w:rPr>
          <w:rFonts w:ascii="宋体" w:hAnsi="宋体" w:cs="宋体"/>
          <w:sz w:val="24"/>
          <w:highlight w:val="none"/>
        </w:rPr>
      </w:pPr>
      <w:r>
        <w:rPr>
          <w:rFonts w:hint="eastAsia" w:ascii="宋体" w:hAnsi="宋体" w:cs="宋体"/>
          <w:sz w:val="24"/>
          <w:highlight w:val="none"/>
        </w:rPr>
        <w:t>2.4.1包装和装运专用条款（如果有）：</w:t>
      </w:r>
    </w:p>
    <w:p w14:paraId="03A65560">
      <w:pPr>
        <w:spacing w:line="360" w:lineRule="auto"/>
        <w:ind w:firstLine="480" w:firstLineChars="200"/>
        <w:rPr>
          <w:rFonts w:hint="eastAsia" w:ascii="仿宋_GB2312" w:hAnsi="楷体" w:eastAsia="仿宋_GB2312"/>
          <w:sz w:val="24"/>
          <w:highlight w:val="none"/>
          <w:u w:val="single"/>
        </w:rPr>
      </w:pPr>
      <w:r>
        <w:rPr>
          <w:rFonts w:hint="eastAsia" w:ascii="仿宋_GB2312" w:hAnsi="楷体" w:eastAsia="仿宋_GB2312"/>
          <w:sz w:val="24"/>
          <w:highlight w:val="none"/>
          <w:u w:val="single"/>
        </w:rPr>
        <w:t>无另行约定，按合同一般条款。</w:t>
      </w:r>
    </w:p>
    <w:p w14:paraId="1F25E898">
      <w:pPr>
        <w:spacing w:line="360" w:lineRule="auto"/>
        <w:ind w:firstLine="480" w:firstLineChars="200"/>
        <w:rPr>
          <w:rFonts w:ascii="宋体" w:hAnsi="宋体" w:cs="宋体"/>
          <w:sz w:val="24"/>
          <w:highlight w:val="none"/>
        </w:rPr>
      </w:pPr>
      <w:r>
        <w:rPr>
          <w:rFonts w:hint="eastAsia" w:ascii="宋体" w:hAnsi="宋体" w:cs="宋体"/>
          <w:sz w:val="24"/>
          <w:highlight w:val="none"/>
        </w:rPr>
        <w:t>2.4.2装运标的物的要求和通知：</w:t>
      </w:r>
    </w:p>
    <w:p w14:paraId="0C58C2D9">
      <w:pPr>
        <w:spacing w:line="360" w:lineRule="auto"/>
        <w:ind w:firstLine="480" w:firstLineChars="200"/>
        <w:rPr>
          <w:rFonts w:hint="eastAsia" w:ascii="仿宋_GB2312" w:hAnsi="楷体" w:eastAsia="仿宋_GB2312"/>
          <w:sz w:val="24"/>
          <w:highlight w:val="none"/>
          <w:u w:val="single"/>
        </w:rPr>
      </w:pPr>
      <w:r>
        <w:rPr>
          <w:rFonts w:hint="eastAsia" w:ascii="仿宋_GB2312" w:hAnsi="楷体" w:eastAsia="仿宋_GB2312"/>
          <w:sz w:val="24"/>
          <w:highlight w:val="none"/>
          <w:u w:val="single"/>
        </w:rPr>
        <w:t>无另行约定，按合同一般条款。</w:t>
      </w:r>
    </w:p>
    <w:p w14:paraId="4437B814">
      <w:pPr>
        <w:spacing w:line="360" w:lineRule="auto"/>
        <w:ind w:firstLine="480" w:firstLineChars="200"/>
        <w:rPr>
          <w:rFonts w:ascii="宋体" w:hAnsi="宋体" w:cs="宋体"/>
          <w:b/>
          <w:sz w:val="24"/>
          <w:highlight w:val="none"/>
        </w:rPr>
      </w:pPr>
      <w:r>
        <w:rPr>
          <w:rFonts w:hint="eastAsia" w:ascii="宋体" w:hAnsi="宋体" w:cs="宋体"/>
          <w:sz w:val="24"/>
          <w:highlight w:val="none"/>
        </w:rPr>
        <w:t>2.6</w:t>
      </w:r>
      <w:r>
        <w:rPr>
          <w:rFonts w:hint="eastAsia" w:ascii="宋体" w:hAnsi="宋体" w:cs="宋体"/>
          <w:b/>
          <w:sz w:val="24"/>
          <w:highlight w:val="none"/>
        </w:rPr>
        <w:t>结算方式和付款条件</w:t>
      </w:r>
    </w:p>
    <w:p w14:paraId="289DA86A">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本次项目合同总价为大写人民币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    元）。本项目采用以下勾选结算方式进行支付：</w:t>
      </w:r>
    </w:p>
    <w:p w14:paraId="4352B97B">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□采用一次性支付方式，付款条件为：</w:t>
      </w:r>
      <w:r>
        <w:rPr>
          <w:rFonts w:hint="eastAsia" w:ascii="宋体" w:hAnsi="宋体" w:cs="宋体"/>
          <w:kern w:val="0"/>
          <w:sz w:val="24"/>
          <w:highlight w:val="none"/>
          <w:u w:val="single"/>
        </w:rPr>
        <w:t>本项目无预付款。中标供应商交货安装完毕后，经采购人书面验收合格，并按采购人要求提交项目请款有关资料，在财政部门审批同意用款计划后30日内，支付合同款。如因客观原因造成设备无法正常安装，乙方可在已部分供货的前提下向甲方申请支付项目进度款，甲方根据乙方供货进度并结合当时审批部门有关要求酌情办理进度款支付。</w:t>
      </w:r>
    </w:p>
    <w:p w14:paraId="57A28EC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□采用分期付款方式，付款条件为</w:t>
      </w:r>
      <w:r>
        <w:rPr>
          <w:rFonts w:hint="eastAsia" w:ascii="宋体" w:hAnsi="宋体" w:cs="宋体"/>
          <w:kern w:val="0"/>
          <w:sz w:val="24"/>
          <w:highlight w:val="none"/>
        </w:rPr>
        <w:t>：</w:t>
      </w:r>
    </w:p>
    <w:p w14:paraId="124B719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第一期付款</w:t>
      </w:r>
      <w:r>
        <w:rPr>
          <w:rFonts w:hint="eastAsia" w:ascii="宋体" w:hAnsi="宋体" w:cs="宋体"/>
          <w:kern w:val="0"/>
          <w:sz w:val="24"/>
          <w:highlight w:val="none"/>
        </w:rPr>
        <w:t>：</w:t>
      </w:r>
      <w:r>
        <w:rPr>
          <w:rFonts w:hint="eastAsia" w:ascii="宋体" w:hAnsi="宋体" w:cs="宋体"/>
          <w:kern w:val="0"/>
          <w:sz w:val="24"/>
          <w:highlight w:val="none"/>
          <w:u w:val="single"/>
        </w:rPr>
        <w:t xml:space="preserve">                                        </w:t>
      </w:r>
    </w:p>
    <w:p w14:paraId="73522BEF">
      <w:pPr>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lang w:val="zh-CN"/>
        </w:rPr>
        <w:t>第</w:t>
      </w:r>
      <w:r>
        <w:rPr>
          <w:rFonts w:hint="eastAsia" w:ascii="宋体" w:hAnsi="宋体" w:cs="宋体"/>
          <w:kern w:val="0"/>
          <w:sz w:val="24"/>
          <w:highlight w:val="none"/>
        </w:rPr>
        <w:t>二</w:t>
      </w:r>
      <w:r>
        <w:rPr>
          <w:rFonts w:hint="eastAsia" w:ascii="宋体" w:hAnsi="宋体" w:cs="宋体"/>
          <w:kern w:val="0"/>
          <w:sz w:val="24"/>
          <w:highlight w:val="none"/>
          <w:lang w:val="zh-CN"/>
        </w:rPr>
        <w:t>期付款</w:t>
      </w:r>
      <w:r>
        <w:rPr>
          <w:rFonts w:hint="eastAsia" w:ascii="宋体" w:hAnsi="宋体" w:cs="宋体"/>
          <w:kern w:val="0"/>
          <w:sz w:val="24"/>
          <w:highlight w:val="none"/>
        </w:rPr>
        <w:t>：</w:t>
      </w:r>
      <w:r>
        <w:rPr>
          <w:rFonts w:hint="eastAsia" w:ascii="宋体" w:hAnsi="宋体" w:cs="宋体"/>
          <w:kern w:val="0"/>
          <w:sz w:val="24"/>
          <w:highlight w:val="none"/>
          <w:u w:val="single"/>
        </w:rPr>
        <w:t xml:space="preserve">                                        </w:t>
      </w:r>
    </w:p>
    <w:p w14:paraId="326C6DD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w:t>
      </w:r>
    </w:p>
    <w:p w14:paraId="04BF321E">
      <w:pPr>
        <w:spacing w:line="360" w:lineRule="auto"/>
        <w:ind w:firstLine="480" w:firstLineChars="200"/>
        <w:rPr>
          <w:rFonts w:ascii="宋体" w:hAnsi="宋体" w:cs="宋体"/>
          <w:kern w:val="0"/>
          <w:sz w:val="24"/>
          <w:lang w:val="zh-CN"/>
        </w:rPr>
      </w:pPr>
      <w:r>
        <w:rPr>
          <w:rFonts w:hint="eastAsia" w:ascii="宋体" w:hAnsi="宋体" w:cs="宋体"/>
          <w:sz w:val="24"/>
          <w:highlight w:val="none"/>
        </w:rPr>
        <w:t>甲方无故逾期支付货款的，按照每逾期一日支付欠付货款额度的（根据项目实际填写，一般为万分之五）</w:t>
      </w:r>
      <w:r>
        <w:rPr>
          <w:rFonts w:hint="eastAsia" w:ascii="仿宋_GB2312" w:hAnsi="仿宋" w:eastAsia="仿宋_GB2312"/>
          <w:sz w:val="24"/>
          <w:highlight w:val="none"/>
          <w:u w:val="single"/>
        </w:rPr>
        <w:t>万分之五</w:t>
      </w:r>
      <w:r>
        <w:rPr>
          <w:rFonts w:hint="eastAsia" w:ascii="宋体" w:hAnsi="宋体" w:cs="宋体"/>
          <w:sz w:val="24"/>
          <w:highlight w:val="none"/>
        </w:rPr>
        <w:t>承</w:t>
      </w:r>
      <w:r>
        <w:rPr>
          <w:rFonts w:hint="eastAsia" w:ascii="宋体" w:hAnsi="宋体" w:cs="宋体"/>
          <w:sz w:val="24"/>
        </w:rPr>
        <w:t>担违约责任，违约金上限按照《合同书》约定执行。</w:t>
      </w:r>
    </w:p>
    <w:p w14:paraId="35F26E48">
      <w:pPr>
        <w:spacing w:line="360" w:lineRule="auto"/>
        <w:ind w:firstLine="480" w:firstLineChars="200"/>
        <w:rPr>
          <w:rFonts w:ascii="宋体" w:hAnsi="宋体" w:cs="宋体"/>
          <w:b/>
          <w:sz w:val="24"/>
        </w:rPr>
      </w:pPr>
      <w:r>
        <w:rPr>
          <w:rFonts w:hint="eastAsia" w:ascii="宋体" w:hAnsi="宋体" w:cs="宋体"/>
          <w:sz w:val="24"/>
        </w:rPr>
        <w:t>2.9</w:t>
      </w:r>
      <w:r>
        <w:rPr>
          <w:rFonts w:hint="eastAsia" w:ascii="宋体" w:hAnsi="宋体" w:cs="宋体"/>
          <w:b/>
          <w:sz w:val="24"/>
        </w:rPr>
        <w:t>标的物的风险负担</w:t>
      </w:r>
    </w:p>
    <w:p w14:paraId="307DA1A4">
      <w:pPr>
        <w:spacing w:line="360" w:lineRule="auto"/>
        <w:ind w:firstLine="480" w:firstLineChars="200"/>
        <w:rPr>
          <w:rFonts w:ascii="宋体" w:hAnsi="宋体" w:cs="宋体"/>
          <w:sz w:val="24"/>
        </w:rPr>
      </w:pPr>
      <w:r>
        <w:rPr>
          <w:rFonts w:hint="eastAsia" w:ascii="宋体" w:hAnsi="宋体" w:cs="宋体"/>
          <w:sz w:val="24"/>
        </w:rPr>
        <w:t>标的物或者在途标的物或者交付给第一承运人后的标的物毁损、灭失的风险负担：</w:t>
      </w:r>
    </w:p>
    <w:p w14:paraId="5EAED01E">
      <w:pPr>
        <w:spacing w:line="360" w:lineRule="auto"/>
        <w:ind w:firstLine="480" w:firstLineChars="200"/>
        <w:rPr>
          <w:rFonts w:ascii="宋体" w:hAnsi="宋体" w:cs="宋体"/>
          <w:sz w:val="24"/>
          <w:u w:val="single"/>
        </w:rPr>
      </w:pPr>
      <w:r>
        <w:rPr>
          <w:rFonts w:hint="eastAsia" w:ascii="宋体" w:hAnsi="宋体" w:cs="宋体"/>
          <w:sz w:val="24"/>
          <w:u w:val="single"/>
        </w:rPr>
        <w:t xml:space="preserve">乙方                                                                       </w:t>
      </w:r>
    </w:p>
    <w:p w14:paraId="7372E9EF">
      <w:pPr>
        <w:spacing w:line="360" w:lineRule="auto"/>
        <w:ind w:firstLine="480" w:firstLineChars="200"/>
        <w:rPr>
          <w:rFonts w:ascii="宋体" w:hAnsi="宋体" w:cs="宋体"/>
          <w:sz w:val="24"/>
          <w:highlight w:val="none"/>
        </w:rPr>
      </w:pPr>
      <w:r>
        <w:rPr>
          <w:rFonts w:hint="eastAsia" w:ascii="宋体" w:hAnsi="宋体" w:cs="宋体"/>
          <w:sz w:val="24"/>
        </w:rPr>
        <w:t>2.13.2受不可抗力影响</w:t>
      </w:r>
      <w:r>
        <w:rPr>
          <w:rFonts w:hint="eastAsia" w:ascii="宋体" w:hAnsi="宋体" w:cs="宋体"/>
          <w:sz w:val="24"/>
          <w:highlight w:val="none"/>
        </w:rPr>
        <w:t>的一方在不可抗力发生后，应在</w:t>
      </w:r>
      <w:r>
        <w:rPr>
          <w:rFonts w:hint="eastAsia" w:ascii="仿宋_GB2312" w:hAnsi="楷体" w:eastAsia="仿宋_GB2312"/>
          <w:sz w:val="24"/>
          <w:highlight w:val="none"/>
          <w:u w:val="single"/>
        </w:rPr>
        <w:t>3日</w:t>
      </w:r>
      <w:r>
        <w:rPr>
          <w:rFonts w:hint="eastAsia" w:ascii="宋体" w:hAnsi="宋体" w:cs="宋体"/>
          <w:sz w:val="24"/>
          <w:highlight w:val="none"/>
        </w:rPr>
        <w:t>日内（根据项目实际填写）以书面形式通知对方当事人，并</w:t>
      </w:r>
      <w:r>
        <w:rPr>
          <w:rFonts w:hint="eastAsia" w:ascii="仿宋_GB2312" w:hAnsi="楷体" w:eastAsia="仿宋_GB2312"/>
          <w:sz w:val="24"/>
          <w:highlight w:val="none"/>
          <w:u w:val="single"/>
        </w:rPr>
        <w:t>在7日内</w:t>
      </w:r>
      <w:r>
        <w:rPr>
          <w:rFonts w:hint="eastAsia" w:ascii="宋体" w:hAnsi="宋体" w:cs="宋体"/>
          <w:sz w:val="24"/>
          <w:highlight w:val="none"/>
        </w:rPr>
        <w:t>（根据项目实际填写），将有关部门出具的证明文件送达对方当事人。</w:t>
      </w:r>
    </w:p>
    <w:p w14:paraId="1A856A44">
      <w:pPr>
        <w:spacing w:line="360" w:lineRule="auto"/>
        <w:ind w:firstLine="480" w:firstLineChars="200"/>
        <w:rPr>
          <w:rFonts w:ascii="宋体" w:hAnsi="宋体" w:cs="宋体"/>
          <w:sz w:val="24"/>
          <w:highlight w:val="none"/>
        </w:rPr>
      </w:pPr>
      <w:r>
        <w:rPr>
          <w:rFonts w:hint="eastAsia" w:ascii="宋体" w:hAnsi="宋体" w:cs="宋体"/>
          <w:sz w:val="24"/>
          <w:highlight w:val="none"/>
        </w:rPr>
        <w:t>2.13.4因不可抗力致使合同有变更必要的，双方当事人应在</w:t>
      </w:r>
      <w:r>
        <w:rPr>
          <w:rFonts w:hint="eastAsia" w:ascii="仿宋_GB2312" w:hAnsi="楷体" w:eastAsia="仿宋_GB2312"/>
          <w:sz w:val="24"/>
          <w:highlight w:val="none"/>
          <w:u w:val="single"/>
        </w:rPr>
        <w:t>5日内</w:t>
      </w:r>
      <w:r>
        <w:rPr>
          <w:rFonts w:hint="eastAsia" w:ascii="宋体" w:hAnsi="宋体" w:cs="宋体"/>
          <w:sz w:val="24"/>
          <w:highlight w:val="none"/>
        </w:rPr>
        <w:t>（根据项目实际填写）以书面形式变更合同；</w:t>
      </w:r>
    </w:p>
    <w:p w14:paraId="0B4A70AC">
      <w:pPr>
        <w:spacing w:line="360" w:lineRule="auto"/>
        <w:ind w:firstLine="480" w:firstLineChars="200"/>
        <w:rPr>
          <w:rFonts w:ascii="宋体" w:hAnsi="宋体" w:cs="宋体"/>
          <w:sz w:val="24"/>
        </w:rPr>
      </w:pPr>
      <w:r>
        <w:rPr>
          <w:rFonts w:hint="eastAsia" w:ascii="宋体" w:hAnsi="宋体" w:cs="宋体"/>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sz w:val="24"/>
          <w:highlight w:val="none"/>
          <w:u w:val="single"/>
        </w:rPr>
        <w:t xml:space="preserve"> </w:t>
      </w:r>
      <w:r>
        <w:rPr>
          <w:rFonts w:hint="eastAsia" w:ascii="仿宋_GB2312" w:hAnsi="楷体" w:eastAsia="仿宋_GB2312"/>
          <w:sz w:val="24"/>
          <w:highlight w:val="none"/>
          <w:u w:val="single"/>
        </w:rPr>
        <w:t>5日内</w:t>
      </w:r>
      <w:r>
        <w:rPr>
          <w:rFonts w:hint="eastAsia" w:ascii="宋体" w:hAnsi="宋体" w:cs="宋体"/>
          <w:sz w:val="24"/>
          <w:highlight w:val="none"/>
        </w:rPr>
        <w:t>日</w:t>
      </w:r>
      <w:r>
        <w:rPr>
          <w:rFonts w:hint="eastAsia" w:ascii="宋体" w:hAnsi="宋体" w:cs="宋体"/>
          <w:sz w:val="24"/>
        </w:rPr>
        <w:t>内（根据项目实际填写）发起验收，并可依法邀请相关方参加，验收应出具验收书。</w:t>
      </w:r>
    </w:p>
    <w:p w14:paraId="41D13247">
      <w:pPr>
        <w:spacing w:line="360" w:lineRule="auto"/>
        <w:ind w:firstLine="480" w:firstLineChars="200"/>
        <w:rPr>
          <w:rFonts w:ascii="宋体" w:hAnsi="宋体" w:cs="宋体"/>
          <w:sz w:val="24"/>
        </w:rPr>
      </w:pPr>
      <w:r>
        <w:rPr>
          <w:rFonts w:hint="eastAsia" w:ascii="宋体" w:hAnsi="宋体" w:cs="宋体"/>
          <w:sz w:val="24"/>
        </w:rPr>
        <w:t>2.17.3 检验和验收标准、程序等具体内容以及前述验收书的效力：</w:t>
      </w:r>
    </w:p>
    <w:p w14:paraId="1182A5B0">
      <w:pPr>
        <w:spacing w:line="360" w:lineRule="auto"/>
        <w:rPr>
          <w:rFonts w:hint="eastAsia" w:ascii="仿宋_GB2312" w:hAnsi="楷体" w:eastAsia="仿宋_GB2312"/>
          <w:color w:val="auto"/>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Cs w:val="21"/>
          <w:highlight w:val="none"/>
        </w:rPr>
        <w:t>本项目由采购人自行验收，分两个阶段进行：第一阶段由使用单位组织初步验收，初步检验结果不代表项目最终验收结果；第二阶段由采购人成立验收组进行最终验收。初步验收和最终验收均按照采购需求、招标文件、采购项目合同及国家、行业规定的技术标准及规范开展，项目验收结果以最终验收时验收小组出具的《广西壮族自治区政府采购项目合同验收书》验收小组意见为准。</w:t>
      </w:r>
    </w:p>
    <w:p w14:paraId="5C1B06E2">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13E403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其他：</w:t>
      </w:r>
      <w:r>
        <w:rPr>
          <w:rFonts w:hint="eastAsia" w:ascii="仿宋_GB2312" w:hAnsi="楷体" w:eastAsia="仿宋_GB2312"/>
          <w:color w:val="auto"/>
          <w:sz w:val="24"/>
          <w:highlight w:val="none"/>
        </w:rPr>
        <w:t>无。</w:t>
      </w:r>
    </w:p>
    <w:p w14:paraId="2D76EC7E">
      <w:pPr>
        <w:spacing w:line="360" w:lineRule="auto"/>
        <w:ind w:firstLine="482" w:firstLineChars="200"/>
        <w:rPr>
          <w:rFonts w:ascii="宋体" w:hAnsi="宋体" w:cs="宋体"/>
          <w:b/>
          <w:sz w:val="24"/>
        </w:rPr>
      </w:pPr>
      <w:r>
        <w:rPr>
          <w:rFonts w:hint="eastAsia" w:ascii="宋体" w:hAnsi="宋体" w:cs="宋体"/>
          <w:b/>
          <w:sz w:val="24"/>
        </w:rPr>
        <w:t>项目验收：</w:t>
      </w:r>
    </w:p>
    <w:p w14:paraId="465B785D">
      <w:pPr>
        <w:spacing w:line="360" w:lineRule="auto"/>
        <w:ind w:firstLine="480" w:firstLineChars="200"/>
        <w:rPr>
          <w:rFonts w:ascii="宋体" w:hAnsi="宋体" w:cs="宋体"/>
          <w:kern w:val="0"/>
          <w:sz w:val="24"/>
        </w:rPr>
      </w:pPr>
      <w:r>
        <w:rPr>
          <w:rFonts w:hint="eastAsia" w:ascii="宋体" w:hAnsi="宋体" w:cs="宋体"/>
          <w:kern w:val="0"/>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3E25526A">
      <w:pPr>
        <w:spacing w:line="360" w:lineRule="auto"/>
        <w:ind w:firstLine="480" w:firstLineChars="200"/>
        <w:rPr>
          <w:rFonts w:ascii="宋体" w:hAnsi="宋体" w:cs="宋体"/>
          <w:kern w:val="0"/>
          <w:sz w:val="24"/>
        </w:rPr>
      </w:pPr>
      <w:r>
        <w:rPr>
          <w:rFonts w:hint="eastAsia" w:ascii="宋体" w:hAnsi="宋体" w:cs="宋体"/>
          <w:kern w:val="0"/>
          <w:sz w:val="24"/>
        </w:rPr>
        <w:t>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38D7830D">
      <w:pPr>
        <w:spacing w:line="360" w:lineRule="auto"/>
        <w:ind w:firstLine="480" w:firstLineChars="200"/>
        <w:rPr>
          <w:rFonts w:ascii="宋体" w:hAnsi="宋体" w:cs="宋体"/>
          <w:kern w:val="0"/>
          <w:sz w:val="24"/>
        </w:rPr>
      </w:pPr>
      <w:r>
        <w:rPr>
          <w:rFonts w:hint="eastAsia" w:ascii="宋体" w:hAnsi="宋体" w:cs="宋体"/>
          <w:kern w:val="0"/>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3ECB5BB2">
      <w:pPr>
        <w:spacing w:line="360" w:lineRule="auto"/>
        <w:ind w:firstLine="480" w:firstLineChars="200"/>
        <w:rPr>
          <w:rFonts w:ascii="宋体" w:hAnsi="宋体" w:cs="宋体"/>
          <w:kern w:val="0"/>
          <w:sz w:val="24"/>
        </w:rPr>
      </w:pPr>
      <w:r>
        <w:rPr>
          <w:rFonts w:hint="eastAsia" w:ascii="宋体" w:hAnsi="宋体" w:cs="宋体"/>
          <w:kern w:val="0"/>
          <w:sz w:val="24"/>
        </w:rPr>
        <w:t>4、验收产生的费用首次验收费用由甲方承担，如首次验收不合格，后续验收费用由乙方支付。</w:t>
      </w:r>
    </w:p>
    <w:p w14:paraId="1A898A91">
      <w:pPr>
        <w:spacing w:line="360" w:lineRule="auto"/>
        <w:ind w:firstLine="480" w:firstLineChars="200"/>
        <w:rPr>
          <w:rFonts w:ascii="宋体" w:hAnsi="宋体" w:cs="宋体"/>
          <w:sz w:val="24"/>
        </w:rPr>
      </w:pPr>
      <w:r>
        <w:rPr>
          <w:rFonts w:hint="eastAsia" w:ascii="宋体" w:hAnsi="宋体" w:cs="宋体"/>
          <w:sz w:val="24"/>
        </w:rPr>
        <w:t>5、验收内容及资料要求：</w:t>
      </w:r>
    </w:p>
    <w:p w14:paraId="29959A6B">
      <w:pPr>
        <w:spacing w:line="360" w:lineRule="auto"/>
        <w:ind w:firstLine="480" w:firstLineChars="200"/>
        <w:rPr>
          <w:rFonts w:ascii="宋体" w:hAnsi="宋体" w:cs="宋体"/>
          <w:sz w:val="24"/>
        </w:rPr>
      </w:pPr>
      <w:r>
        <w:rPr>
          <w:rFonts w:hint="eastAsia" w:ascii="宋体" w:hAnsi="宋体" w:cs="宋体"/>
          <w:sz w:val="24"/>
        </w:rPr>
        <w:t>根据采购文件确定的技术指标或者货物要求确定验收指标和标准。未进行相应约定的，应当符合国家强制性规定、政策要求、安全标准、行业或企业有关标准等。</w:t>
      </w:r>
    </w:p>
    <w:p w14:paraId="6B51C81F">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5.1验收内容</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2F77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3B773184">
            <w:pPr>
              <w:widowControl/>
              <w:spacing w:line="360" w:lineRule="auto"/>
              <w:ind w:firstLine="200"/>
              <w:jc w:val="center"/>
              <w:rPr>
                <w:rFonts w:ascii="宋体" w:hAnsi="宋体" w:cs="宋体"/>
                <w:bCs/>
                <w:kern w:val="0"/>
                <w:sz w:val="24"/>
              </w:rPr>
            </w:pPr>
            <w:r>
              <w:rPr>
                <w:rFonts w:hint="eastAsia" w:ascii="宋体" w:hAnsi="宋体" w:cs="宋体"/>
                <w:bCs/>
                <w:kern w:val="0"/>
                <w:sz w:val="24"/>
              </w:rPr>
              <w:t>序号</w:t>
            </w:r>
          </w:p>
        </w:tc>
        <w:tc>
          <w:tcPr>
            <w:tcW w:w="1914" w:type="dxa"/>
            <w:vAlign w:val="center"/>
          </w:tcPr>
          <w:p w14:paraId="66B3704A">
            <w:pPr>
              <w:widowControl/>
              <w:spacing w:line="360" w:lineRule="auto"/>
              <w:ind w:firstLine="200"/>
              <w:jc w:val="center"/>
              <w:rPr>
                <w:rFonts w:ascii="宋体" w:hAnsi="宋体" w:cs="宋体"/>
                <w:bCs/>
                <w:kern w:val="0"/>
                <w:sz w:val="24"/>
              </w:rPr>
            </w:pPr>
            <w:r>
              <w:rPr>
                <w:rFonts w:hint="eastAsia" w:ascii="宋体" w:hAnsi="宋体" w:cs="宋体"/>
                <w:bCs/>
                <w:kern w:val="0"/>
                <w:sz w:val="24"/>
              </w:rPr>
              <w:t>验收内容</w:t>
            </w:r>
          </w:p>
        </w:tc>
        <w:tc>
          <w:tcPr>
            <w:tcW w:w="5930" w:type="dxa"/>
            <w:vAlign w:val="center"/>
          </w:tcPr>
          <w:p w14:paraId="0CE7B0D6">
            <w:pPr>
              <w:widowControl/>
              <w:spacing w:line="360" w:lineRule="auto"/>
              <w:ind w:firstLine="200"/>
              <w:jc w:val="center"/>
              <w:rPr>
                <w:rFonts w:ascii="宋体" w:hAnsi="宋体" w:cs="宋体"/>
                <w:bCs/>
                <w:kern w:val="0"/>
                <w:sz w:val="24"/>
              </w:rPr>
            </w:pPr>
            <w:r>
              <w:rPr>
                <w:rFonts w:hint="eastAsia" w:ascii="宋体" w:hAnsi="宋体" w:cs="宋体"/>
                <w:bCs/>
                <w:kern w:val="0"/>
                <w:sz w:val="24"/>
              </w:rPr>
              <w:t xml:space="preserve"> 验收标准</w:t>
            </w:r>
          </w:p>
        </w:tc>
      </w:tr>
      <w:tr w14:paraId="6E73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vAlign w:val="center"/>
          </w:tcPr>
          <w:p w14:paraId="1D84419F">
            <w:pPr>
              <w:widowControl/>
              <w:spacing w:line="360" w:lineRule="auto"/>
              <w:ind w:firstLine="200"/>
              <w:jc w:val="center"/>
              <w:rPr>
                <w:rFonts w:ascii="宋体" w:hAnsi="宋体" w:cs="宋体"/>
                <w:bCs/>
                <w:kern w:val="0"/>
                <w:sz w:val="24"/>
              </w:rPr>
            </w:pPr>
            <w:r>
              <w:rPr>
                <w:rFonts w:hint="eastAsia" w:ascii="宋体" w:hAnsi="宋体" w:cs="宋体"/>
                <w:bCs/>
                <w:kern w:val="0"/>
                <w:sz w:val="24"/>
              </w:rPr>
              <w:t>1</w:t>
            </w:r>
          </w:p>
        </w:tc>
        <w:tc>
          <w:tcPr>
            <w:tcW w:w="1914" w:type="dxa"/>
            <w:vAlign w:val="center"/>
          </w:tcPr>
          <w:p w14:paraId="75D642CE">
            <w:pPr>
              <w:widowControl/>
              <w:spacing w:line="360" w:lineRule="auto"/>
              <w:rPr>
                <w:rFonts w:ascii="宋体" w:hAnsi="宋体" w:cs="宋体"/>
                <w:bCs/>
                <w:kern w:val="0"/>
                <w:sz w:val="24"/>
              </w:rPr>
            </w:pPr>
            <w:r>
              <w:rPr>
                <w:rFonts w:hint="eastAsia" w:ascii="宋体" w:hAnsi="宋体" w:cs="宋体"/>
                <w:bCs/>
                <w:kern w:val="0"/>
                <w:sz w:val="24"/>
              </w:rPr>
              <w:t>交付标的物数量</w:t>
            </w:r>
          </w:p>
        </w:tc>
        <w:tc>
          <w:tcPr>
            <w:tcW w:w="5930" w:type="dxa"/>
            <w:vAlign w:val="center"/>
          </w:tcPr>
          <w:p w14:paraId="37CDD511">
            <w:pPr>
              <w:widowControl/>
              <w:spacing w:line="360" w:lineRule="auto"/>
              <w:ind w:firstLine="200"/>
              <w:jc w:val="center"/>
              <w:rPr>
                <w:rFonts w:ascii="宋体" w:hAnsi="宋体" w:cs="宋体"/>
                <w:kern w:val="0"/>
                <w:sz w:val="24"/>
                <w:highlight w:val="none"/>
              </w:rPr>
            </w:pPr>
            <w:r>
              <w:rPr>
                <w:rFonts w:hint="eastAsia" w:ascii="仿宋" w:hAnsi="仿宋" w:eastAsia="仿宋" w:cs="仿宋"/>
                <w:kern w:val="0"/>
                <w:sz w:val="24"/>
                <w:highlight w:val="none"/>
              </w:rPr>
              <w:t>按招标文件要求和投标文件承诺</w:t>
            </w:r>
          </w:p>
        </w:tc>
      </w:tr>
      <w:tr w14:paraId="2DC2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vAlign w:val="center"/>
          </w:tcPr>
          <w:p w14:paraId="6B982B42">
            <w:pPr>
              <w:widowControl/>
              <w:spacing w:line="360" w:lineRule="auto"/>
              <w:ind w:firstLine="200"/>
              <w:jc w:val="center"/>
              <w:rPr>
                <w:rFonts w:ascii="宋体" w:hAnsi="宋体" w:cs="宋体"/>
                <w:bCs/>
                <w:kern w:val="0"/>
                <w:sz w:val="24"/>
              </w:rPr>
            </w:pPr>
            <w:r>
              <w:rPr>
                <w:rFonts w:hint="eastAsia" w:ascii="宋体" w:hAnsi="宋体" w:cs="宋体"/>
                <w:bCs/>
                <w:kern w:val="0"/>
                <w:sz w:val="24"/>
              </w:rPr>
              <w:t>2</w:t>
            </w:r>
          </w:p>
        </w:tc>
        <w:tc>
          <w:tcPr>
            <w:tcW w:w="1914" w:type="dxa"/>
            <w:vAlign w:val="center"/>
          </w:tcPr>
          <w:p w14:paraId="47C081FB">
            <w:pPr>
              <w:widowControl/>
              <w:spacing w:line="360" w:lineRule="auto"/>
              <w:rPr>
                <w:rFonts w:ascii="宋体" w:hAnsi="宋体" w:cs="宋体"/>
                <w:bCs/>
                <w:kern w:val="0"/>
                <w:sz w:val="24"/>
              </w:rPr>
            </w:pPr>
            <w:r>
              <w:rPr>
                <w:rFonts w:hint="eastAsia" w:ascii="宋体" w:hAnsi="宋体" w:cs="宋体"/>
                <w:bCs/>
                <w:kern w:val="0"/>
                <w:sz w:val="24"/>
              </w:rPr>
              <w:t>交付标的物质量文件</w:t>
            </w:r>
          </w:p>
        </w:tc>
        <w:tc>
          <w:tcPr>
            <w:tcW w:w="5930" w:type="dxa"/>
            <w:vAlign w:val="center"/>
          </w:tcPr>
          <w:p w14:paraId="3F474F87">
            <w:pPr>
              <w:widowControl/>
              <w:spacing w:line="360" w:lineRule="auto"/>
              <w:ind w:firstLine="200"/>
              <w:jc w:val="center"/>
              <w:rPr>
                <w:rFonts w:ascii="宋体" w:hAnsi="宋体" w:cs="宋体"/>
                <w:kern w:val="0"/>
                <w:sz w:val="24"/>
                <w:highlight w:val="none"/>
              </w:rPr>
            </w:pPr>
            <w:r>
              <w:rPr>
                <w:rFonts w:hint="eastAsia" w:ascii="仿宋" w:hAnsi="仿宋" w:eastAsia="仿宋" w:cs="仿宋"/>
                <w:kern w:val="0"/>
                <w:sz w:val="24"/>
                <w:highlight w:val="none"/>
              </w:rPr>
              <w:t>按招标文件要求和投标文件承诺</w:t>
            </w:r>
          </w:p>
        </w:tc>
      </w:tr>
      <w:tr w14:paraId="7E35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vAlign w:val="center"/>
          </w:tcPr>
          <w:p w14:paraId="23D72226">
            <w:pPr>
              <w:widowControl/>
              <w:spacing w:line="360" w:lineRule="auto"/>
              <w:ind w:firstLine="200"/>
              <w:jc w:val="center"/>
              <w:rPr>
                <w:rFonts w:ascii="宋体" w:hAnsi="宋体" w:cs="宋体"/>
                <w:bCs/>
                <w:kern w:val="0"/>
                <w:sz w:val="24"/>
              </w:rPr>
            </w:pPr>
            <w:r>
              <w:rPr>
                <w:rFonts w:hint="eastAsia" w:ascii="宋体" w:hAnsi="宋体" w:cs="宋体"/>
                <w:bCs/>
                <w:kern w:val="0"/>
                <w:sz w:val="24"/>
              </w:rPr>
              <w:t>4</w:t>
            </w:r>
          </w:p>
        </w:tc>
        <w:tc>
          <w:tcPr>
            <w:tcW w:w="1914" w:type="dxa"/>
            <w:vAlign w:val="center"/>
          </w:tcPr>
          <w:p w14:paraId="0F45C38E">
            <w:pPr>
              <w:spacing w:line="360" w:lineRule="auto"/>
              <w:rPr>
                <w:rFonts w:ascii="宋体" w:hAnsi="宋体" w:cs="宋体"/>
                <w:bCs/>
                <w:kern w:val="0"/>
                <w:sz w:val="24"/>
              </w:rPr>
            </w:pPr>
            <w:r>
              <w:rPr>
                <w:rFonts w:hint="eastAsia" w:ascii="宋体" w:hAnsi="宋体" w:cs="宋体"/>
                <w:bCs/>
                <w:kern w:val="0"/>
                <w:sz w:val="24"/>
              </w:rPr>
              <w:t xml:space="preserve">交付标的物技术、性能指标 </w:t>
            </w:r>
          </w:p>
        </w:tc>
        <w:tc>
          <w:tcPr>
            <w:tcW w:w="5930" w:type="dxa"/>
            <w:vAlign w:val="center"/>
          </w:tcPr>
          <w:p w14:paraId="026BD776">
            <w:pPr>
              <w:pStyle w:val="9"/>
              <w:spacing w:after="0" w:line="360" w:lineRule="auto"/>
              <w:ind w:firstLine="480"/>
              <w:jc w:val="left"/>
              <w:rPr>
                <w:rFonts w:ascii="宋体" w:hAnsi="宋体" w:cs="宋体"/>
                <w:highlight w:val="none"/>
              </w:rPr>
            </w:pPr>
            <w:r>
              <w:rPr>
                <w:rFonts w:hint="eastAsia" w:ascii="仿宋" w:hAnsi="仿宋" w:eastAsia="仿宋" w:cs="仿宋"/>
                <w:kern w:val="0"/>
                <w:sz w:val="24"/>
                <w:highlight w:val="none"/>
              </w:rPr>
              <w:t>按招标文件要求和投标文件承诺</w:t>
            </w:r>
          </w:p>
        </w:tc>
      </w:tr>
      <w:tr w14:paraId="3B84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vAlign w:val="center"/>
          </w:tcPr>
          <w:p w14:paraId="64501391">
            <w:pPr>
              <w:widowControl/>
              <w:spacing w:line="360" w:lineRule="auto"/>
              <w:ind w:firstLine="200"/>
              <w:jc w:val="center"/>
              <w:rPr>
                <w:rFonts w:ascii="宋体" w:hAnsi="宋体" w:cs="宋体"/>
                <w:kern w:val="0"/>
                <w:sz w:val="24"/>
              </w:rPr>
            </w:pPr>
            <w:r>
              <w:rPr>
                <w:rFonts w:hint="eastAsia" w:ascii="宋体" w:hAnsi="宋体" w:cs="宋体"/>
                <w:kern w:val="0"/>
                <w:sz w:val="24"/>
              </w:rPr>
              <w:t>5</w:t>
            </w:r>
          </w:p>
        </w:tc>
        <w:tc>
          <w:tcPr>
            <w:tcW w:w="1914" w:type="dxa"/>
            <w:vAlign w:val="center"/>
          </w:tcPr>
          <w:p w14:paraId="6F0B7B83">
            <w:pPr>
              <w:spacing w:line="360" w:lineRule="auto"/>
              <w:rPr>
                <w:rFonts w:ascii="宋体" w:hAnsi="宋体" w:cs="宋体"/>
                <w:sz w:val="24"/>
              </w:rPr>
            </w:pPr>
            <w:r>
              <w:rPr>
                <w:rFonts w:hint="eastAsia" w:ascii="宋体" w:hAnsi="宋体" w:cs="宋体"/>
                <w:sz w:val="24"/>
              </w:rPr>
              <w:t>售后服务承诺</w:t>
            </w:r>
          </w:p>
        </w:tc>
        <w:tc>
          <w:tcPr>
            <w:tcW w:w="5930" w:type="dxa"/>
            <w:vAlign w:val="center"/>
          </w:tcPr>
          <w:p w14:paraId="268E48A0">
            <w:pPr>
              <w:widowControl/>
              <w:spacing w:line="360" w:lineRule="auto"/>
              <w:ind w:firstLine="200"/>
              <w:jc w:val="center"/>
              <w:rPr>
                <w:rFonts w:ascii="宋体" w:hAnsi="宋体" w:cs="宋体"/>
                <w:kern w:val="0"/>
                <w:sz w:val="24"/>
                <w:highlight w:val="none"/>
              </w:rPr>
            </w:pPr>
            <w:r>
              <w:rPr>
                <w:rFonts w:hint="eastAsia" w:ascii="仿宋" w:hAnsi="仿宋" w:eastAsia="仿宋" w:cs="仿宋"/>
                <w:kern w:val="0"/>
                <w:sz w:val="24"/>
                <w:highlight w:val="none"/>
              </w:rPr>
              <w:t>按招标文件要求和投标文件承诺</w:t>
            </w:r>
          </w:p>
        </w:tc>
      </w:tr>
      <w:tr w14:paraId="4125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vAlign w:val="center"/>
          </w:tcPr>
          <w:p w14:paraId="77B784EB">
            <w:pPr>
              <w:widowControl/>
              <w:spacing w:line="360" w:lineRule="auto"/>
              <w:ind w:firstLine="200"/>
              <w:jc w:val="center"/>
              <w:rPr>
                <w:rFonts w:ascii="宋体" w:hAnsi="宋体" w:cs="宋体"/>
                <w:bCs/>
                <w:kern w:val="0"/>
                <w:sz w:val="24"/>
              </w:rPr>
            </w:pPr>
            <w:r>
              <w:rPr>
                <w:rFonts w:hint="eastAsia" w:ascii="宋体" w:hAnsi="宋体" w:cs="宋体"/>
                <w:bCs/>
                <w:kern w:val="0"/>
                <w:sz w:val="24"/>
              </w:rPr>
              <w:t>6</w:t>
            </w:r>
          </w:p>
        </w:tc>
        <w:tc>
          <w:tcPr>
            <w:tcW w:w="1914" w:type="dxa"/>
            <w:vAlign w:val="center"/>
          </w:tcPr>
          <w:p w14:paraId="5673153E">
            <w:pPr>
              <w:widowControl/>
              <w:spacing w:line="360" w:lineRule="auto"/>
              <w:rPr>
                <w:rFonts w:ascii="宋体" w:hAnsi="宋体" w:cs="宋体"/>
                <w:bCs/>
                <w:kern w:val="0"/>
                <w:sz w:val="24"/>
              </w:rPr>
            </w:pPr>
            <w:r>
              <w:rPr>
                <w:rFonts w:hint="eastAsia" w:ascii="宋体" w:hAnsi="宋体" w:cs="宋体"/>
                <w:bCs/>
                <w:kern w:val="0"/>
                <w:sz w:val="24"/>
              </w:rPr>
              <w:t>其他工作</w:t>
            </w:r>
          </w:p>
        </w:tc>
        <w:tc>
          <w:tcPr>
            <w:tcW w:w="5930" w:type="dxa"/>
            <w:vAlign w:val="center"/>
          </w:tcPr>
          <w:p w14:paraId="1802DEB1">
            <w:pPr>
              <w:widowControl/>
              <w:spacing w:line="360" w:lineRule="auto"/>
              <w:ind w:firstLine="200"/>
              <w:jc w:val="left"/>
              <w:rPr>
                <w:rFonts w:ascii="宋体" w:hAnsi="宋体" w:cs="宋体"/>
                <w:kern w:val="0"/>
                <w:sz w:val="24"/>
                <w:highlight w:val="none"/>
              </w:rPr>
            </w:pPr>
            <w:r>
              <w:rPr>
                <w:rFonts w:hint="eastAsia" w:ascii="仿宋" w:hAnsi="仿宋" w:eastAsia="仿宋" w:cs="仿宋"/>
                <w:kern w:val="0"/>
                <w:sz w:val="24"/>
                <w:highlight w:val="none"/>
              </w:rPr>
              <w:t>按招标文件要求和投标文件承诺</w:t>
            </w:r>
          </w:p>
        </w:tc>
      </w:tr>
    </w:tbl>
    <w:p w14:paraId="6611FAEF">
      <w:pPr>
        <w:tabs>
          <w:tab w:val="left" w:pos="904"/>
        </w:tabs>
        <w:snapToGrid w:val="0"/>
        <w:spacing w:line="360" w:lineRule="auto"/>
        <w:ind w:firstLine="480" w:firstLineChars="200"/>
        <w:jc w:val="left"/>
        <w:rPr>
          <w:rFonts w:ascii="宋体" w:hAnsi="宋体" w:cs="宋体"/>
          <w:sz w:val="24"/>
        </w:rPr>
      </w:pPr>
    </w:p>
    <w:p w14:paraId="5AD4A2F3">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5.2验收资料要求</w:t>
      </w:r>
    </w:p>
    <w:p w14:paraId="2A7C3559">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验收资料要求包括（不限于）以下内容：</w:t>
      </w:r>
    </w:p>
    <w:p w14:paraId="7A174E7A">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（1）采购文件；</w:t>
      </w:r>
    </w:p>
    <w:p w14:paraId="6B2A9288">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（2）投标文件；</w:t>
      </w:r>
    </w:p>
    <w:p w14:paraId="5B44611E">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（3）采购合同；</w:t>
      </w:r>
    </w:p>
    <w:p w14:paraId="694EA386">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（4）其他需提供的相关材料。</w:t>
      </w:r>
    </w:p>
    <w:p w14:paraId="08E42D8A">
      <w:pPr>
        <w:widowControl/>
        <w:spacing w:line="360" w:lineRule="auto"/>
        <w:ind w:firstLine="630" w:firstLineChars="300"/>
        <w:jc w:val="left"/>
        <w:rPr>
          <w:rFonts w:ascii="宋体" w:hAnsi="宋体" w:cs="宋体"/>
          <w:bCs/>
          <w:color w:val="auto"/>
          <w:sz w:val="24"/>
        </w:rPr>
      </w:pPr>
      <w:r>
        <w:rPr>
          <w:rFonts w:hint="eastAsia" w:ascii="宋体" w:hAnsi="宋体" w:cs="宋体"/>
          <w:color w:val="auto"/>
          <w:szCs w:val="21"/>
          <w:highlight w:val="none"/>
        </w:rPr>
        <w:t>中标单位供货时提供材料清单、培训签到表等培训资料、使用单位验收单、交付使用清单、产品说明书、产品合格证、质量保证书原件、三包凭证等，其中</w:t>
      </w:r>
      <w:r>
        <w:rPr>
          <w:rFonts w:hint="eastAsia" w:ascii="宋体" w:hAnsi="宋体" w:cs="宋体"/>
          <w:color w:val="auto"/>
          <w:szCs w:val="21"/>
        </w:rPr>
        <w:t>中标单位供货时提供材料清单、培训签到表等培训资料、使用单位验收单、交付使用清单作为组织最终验收的前提条件，产品说明书、产品合格证、质量保证书原件、三包凭证由使用单位存档。</w:t>
      </w:r>
    </w:p>
    <w:p w14:paraId="34B3C327">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p>
    <w:p w14:paraId="6F527599">
      <w:pPr>
        <w:spacing w:line="360" w:lineRule="auto"/>
        <w:rPr>
          <w:rFonts w:ascii="宋体" w:hAnsi="宋体" w:cs="宋体"/>
        </w:rPr>
      </w:pPr>
    </w:p>
    <w:p w14:paraId="497664E5">
      <w:pPr>
        <w:spacing w:line="360" w:lineRule="auto"/>
        <w:rPr>
          <w:rFonts w:ascii="宋体" w:hAnsi="宋体" w:cs="宋体"/>
        </w:rPr>
      </w:pPr>
    </w:p>
    <w:p w14:paraId="5E0977D6">
      <w:pPr>
        <w:spacing w:line="360" w:lineRule="auto"/>
        <w:rPr>
          <w:rFonts w:ascii="宋体" w:hAnsi="宋体" w:cs="宋体"/>
        </w:rPr>
      </w:pPr>
    </w:p>
    <w:p w14:paraId="2C4733FF">
      <w:pPr>
        <w:spacing w:line="360" w:lineRule="auto"/>
        <w:rPr>
          <w:rFonts w:ascii="宋体" w:hAnsi="宋体" w:cs="宋体"/>
        </w:rPr>
      </w:pPr>
    </w:p>
    <w:p w14:paraId="42A27CA7">
      <w:pPr>
        <w:spacing w:line="360" w:lineRule="auto"/>
        <w:rPr>
          <w:rFonts w:ascii="宋体" w:hAnsi="宋体" w:cs="宋体"/>
        </w:rPr>
      </w:pPr>
    </w:p>
    <w:p w14:paraId="6E94E34A">
      <w:pPr>
        <w:pStyle w:val="12"/>
        <w:spacing w:line="360" w:lineRule="auto"/>
        <w:ind w:left="178" w:leftChars="85"/>
        <w:rPr>
          <w:rFonts w:hAnsi="宋体" w:cs="宋体"/>
        </w:rPr>
      </w:pPr>
    </w:p>
    <w:p w14:paraId="60E078CE">
      <w:pPr>
        <w:pStyle w:val="12"/>
        <w:tabs>
          <w:tab w:val="left" w:pos="2472"/>
        </w:tabs>
        <w:spacing w:line="360" w:lineRule="auto"/>
        <w:jc w:val="center"/>
        <w:rPr>
          <w:rFonts w:hAnsi="宋体" w:cs="宋体"/>
          <w:b/>
          <w:sz w:val="36"/>
        </w:rPr>
      </w:pPr>
    </w:p>
    <w:p w14:paraId="1E875878">
      <w:pPr>
        <w:pStyle w:val="12"/>
        <w:tabs>
          <w:tab w:val="left" w:pos="2472"/>
        </w:tabs>
        <w:spacing w:line="360" w:lineRule="auto"/>
        <w:jc w:val="center"/>
        <w:rPr>
          <w:rFonts w:hAnsi="宋体" w:cs="宋体"/>
          <w:b/>
          <w:sz w:val="36"/>
        </w:rPr>
      </w:pPr>
    </w:p>
    <w:p w14:paraId="4959C112">
      <w:pPr>
        <w:pStyle w:val="12"/>
        <w:tabs>
          <w:tab w:val="left" w:pos="2472"/>
        </w:tabs>
        <w:spacing w:line="360" w:lineRule="auto"/>
        <w:jc w:val="center"/>
        <w:rPr>
          <w:rFonts w:hAnsi="宋体" w:cs="宋体"/>
          <w:b/>
          <w:sz w:val="36"/>
        </w:rPr>
      </w:pPr>
    </w:p>
    <w:p w14:paraId="1350A256">
      <w:pPr>
        <w:pStyle w:val="12"/>
        <w:tabs>
          <w:tab w:val="left" w:pos="2472"/>
        </w:tabs>
        <w:spacing w:line="360" w:lineRule="auto"/>
        <w:jc w:val="center"/>
        <w:rPr>
          <w:rFonts w:hAnsi="宋体" w:cs="宋体"/>
          <w:b/>
          <w:sz w:val="36"/>
        </w:rPr>
      </w:pPr>
    </w:p>
    <w:p w14:paraId="17708C12">
      <w:pPr>
        <w:pStyle w:val="12"/>
        <w:tabs>
          <w:tab w:val="left" w:pos="2472"/>
        </w:tabs>
        <w:spacing w:line="360" w:lineRule="auto"/>
        <w:jc w:val="center"/>
        <w:rPr>
          <w:rFonts w:hAnsi="宋体" w:cs="宋体"/>
          <w:b/>
          <w:sz w:val="36"/>
        </w:rPr>
      </w:pPr>
    </w:p>
    <w:p w14:paraId="53BA4550">
      <w:pPr>
        <w:pStyle w:val="12"/>
        <w:tabs>
          <w:tab w:val="left" w:pos="2472"/>
        </w:tabs>
        <w:spacing w:line="360" w:lineRule="auto"/>
        <w:jc w:val="center"/>
        <w:rPr>
          <w:rFonts w:hAnsi="宋体" w:cs="宋体"/>
          <w:b/>
          <w:sz w:val="36"/>
        </w:rPr>
      </w:pPr>
    </w:p>
    <w:p w14:paraId="2C01DF70">
      <w:pPr>
        <w:pStyle w:val="12"/>
        <w:tabs>
          <w:tab w:val="left" w:pos="2472"/>
        </w:tabs>
        <w:spacing w:line="360" w:lineRule="auto"/>
        <w:jc w:val="center"/>
        <w:rPr>
          <w:rFonts w:hAnsi="宋体" w:cs="宋体"/>
          <w:b/>
          <w:sz w:val="36"/>
        </w:rPr>
      </w:pPr>
    </w:p>
    <w:p w14:paraId="5EE58934">
      <w:pPr>
        <w:pStyle w:val="12"/>
        <w:tabs>
          <w:tab w:val="left" w:pos="2472"/>
        </w:tabs>
        <w:spacing w:line="360" w:lineRule="auto"/>
        <w:jc w:val="center"/>
        <w:rPr>
          <w:rFonts w:hAnsi="宋体" w:cs="宋体"/>
          <w:b/>
          <w:sz w:val="36"/>
        </w:rPr>
      </w:pPr>
    </w:p>
    <w:p w14:paraId="26CD6E9A">
      <w:pPr>
        <w:pStyle w:val="12"/>
        <w:tabs>
          <w:tab w:val="left" w:pos="2472"/>
        </w:tabs>
        <w:spacing w:line="360" w:lineRule="auto"/>
        <w:jc w:val="center"/>
        <w:rPr>
          <w:rFonts w:hAnsi="宋体" w:cs="宋体"/>
          <w:b/>
          <w:sz w:val="36"/>
        </w:rPr>
      </w:pPr>
    </w:p>
    <w:p w14:paraId="3218D433">
      <w:pPr>
        <w:pStyle w:val="12"/>
        <w:tabs>
          <w:tab w:val="left" w:pos="2472"/>
        </w:tabs>
        <w:spacing w:line="360" w:lineRule="auto"/>
        <w:jc w:val="center"/>
        <w:outlineLvl w:val="0"/>
        <w:rPr>
          <w:rFonts w:hAnsi="宋体" w:cs="宋体"/>
          <w:b/>
          <w:sz w:val="36"/>
        </w:rPr>
      </w:pPr>
      <w:bookmarkStart w:id="297" w:name="_Toc15458"/>
      <w:r>
        <w:rPr>
          <w:rFonts w:hint="eastAsia" w:hAnsi="宋体" w:cs="宋体"/>
          <w:b/>
          <w:sz w:val="36"/>
        </w:rPr>
        <w:t>第六章 投标文件格式</w:t>
      </w:r>
      <w:bookmarkEnd w:id="297"/>
    </w:p>
    <w:p w14:paraId="7D918296">
      <w:pPr>
        <w:pStyle w:val="12"/>
        <w:spacing w:line="360" w:lineRule="auto"/>
        <w:rPr>
          <w:rFonts w:hAnsi="宋体" w:cs="宋体"/>
        </w:rPr>
        <w:sectPr>
          <w:pgSz w:w="11906" w:h="16838"/>
          <w:pgMar w:top="1440" w:right="1080" w:bottom="1440" w:left="1080" w:header="720" w:footer="720" w:gutter="0"/>
          <w:cols w:space="720" w:num="1"/>
          <w:docGrid w:type="lines" w:linePitch="331" w:charSpace="0"/>
        </w:sectPr>
      </w:pPr>
    </w:p>
    <w:p w14:paraId="524BC16E">
      <w:pPr>
        <w:pStyle w:val="12"/>
        <w:spacing w:line="360" w:lineRule="auto"/>
        <w:ind w:firstLine="551" w:firstLineChars="196"/>
        <w:jc w:val="center"/>
        <w:outlineLvl w:val="1"/>
        <w:rPr>
          <w:rFonts w:hAnsi="宋体" w:cs="宋体"/>
          <w:b/>
          <w:bCs/>
          <w:sz w:val="28"/>
          <w:szCs w:val="28"/>
        </w:rPr>
      </w:pPr>
      <w:bookmarkStart w:id="298" w:name="_Toc9276"/>
      <w:r>
        <w:rPr>
          <w:rFonts w:hint="eastAsia" w:hAnsi="宋体" w:cs="宋体"/>
          <w:b/>
          <w:bCs/>
          <w:sz w:val="28"/>
          <w:szCs w:val="28"/>
        </w:rPr>
        <w:t>第一节 投标文件外层包装封面</w:t>
      </w:r>
      <w:bookmarkEnd w:id="298"/>
    </w:p>
    <w:p w14:paraId="3F488C6D">
      <w:pPr>
        <w:spacing w:before="120" w:beforeLines="50" w:after="120" w:afterLines="50" w:line="360" w:lineRule="auto"/>
        <w:jc w:val="center"/>
        <w:rPr>
          <w:rFonts w:ascii="宋体" w:hAnsi="宋体" w:cs="宋体"/>
          <w:spacing w:val="20"/>
          <w:sz w:val="44"/>
          <w:szCs w:val="44"/>
        </w:rPr>
      </w:pPr>
    </w:p>
    <w:p w14:paraId="5D4007EA">
      <w:pPr>
        <w:spacing w:before="120" w:beforeLines="50" w:after="120" w:afterLines="50" w:line="360" w:lineRule="auto"/>
        <w:jc w:val="center"/>
        <w:rPr>
          <w:rFonts w:ascii="宋体" w:hAnsi="宋体" w:cs="宋体"/>
          <w:spacing w:val="20"/>
          <w:sz w:val="44"/>
          <w:szCs w:val="44"/>
        </w:rPr>
      </w:pPr>
    </w:p>
    <w:p w14:paraId="7C7C7F6F">
      <w:pPr>
        <w:spacing w:before="120" w:beforeLines="50" w:after="120" w:afterLines="50" w:line="360" w:lineRule="auto"/>
        <w:jc w:val="center"/>
        <w:rPr>
          <w:rFonts w:ascii="宋体" w:hAnsi="宋体" w:cs="宋体"/>
          <w:spacing w:val="20"/>
          <w:sz w:val="44"/>
          <w:szCs w:val="44"/>
        </w:rPr>
      </w:pPr>
    </w:p>
    <w:p w14:paraId="4F31C6F3">
      <w:pPr>
        <w:spacing w:before="120" w:beforeLines="50" w:after="120" w:afterLines="50" w:line="360" w:lineRule="auto"/>
        <w:jc w:val="center"/>
        <w:rPr>
          <w:rFonts w:ascii="宋体" w:hAnsi="宋体" w:cs="宋体"/>
          <w:spacing w:val="20"/>
          <w:sz w:val="44"/>
          <w:szCs w:val="44"/>
        </w:rPr>
      </w:pPr>
    </w:p>
    <w:p w14:paraId="43AA3B68">
      <w:pPr>
        <w:spacing w:before="120" w:beforeLines="50" w:after="120" w:afterLines="50" w:line="360" w:lineRule="auto"/>
        <w:jc w:val="center"/>
        <w:rPr>
          <w:rFonts w:ascii="宋体" w:hAnsi="宋体" w:cs="宋体"/>
          <w:spacing w:val="20"/>
          <w:sz w:val="32"/>
          <w:szCs w:val="32"/>
          <w:u w:val="single"/>
        </w:rPr>
      </w:pPr>
      <w:r>
        <w:rPr>
          <w:rFonts w:hint="eastAsia" w:ascii="宋体" w:hAnsi="宋体" w:cs="宋体"/>
          <w:spacing w:val="20"/>
          <w:sz w:val="32"/>
          <w:szCs w:val="32"/>
          <w:u w:val="single"/>
        </w:rPr>
        <w:t>（项目名称）</w:t>
      </w:r>
    </w:p>
    <w:p w14:paraId="74B5EA88">
      <w:pPr>
        <w:spacing w:before="120" w:beforeLines="50" w:after="120" w:afterLines="50" w:line="360" w:lineRule="auto"/>
        <w:jc w:val="center"/>
        <w:rPr>
          <w:rFonts w:ascii="宋体" w:hAnsi="宋体" w:cs="宋体"/>
          <w:spacing w:val="40"/>
          <w:w w:val="110"/>
          <w:sz w:val="44"/>
          <w:szCs w:val="44"/>
        </w:rPr>
      </w:pPr>
    </w:p>
    <w:p w14:paraId="01F356E0">
      <w:pPr>
        <w:spacing w:before="120" w:beforeLines="50" w:after="120" w:afterLines="50" w:line="360" w:lineRule="auto"/>
        <w:jc w:val="center"/>
        <w:rPr>
          <w:rFonts w:ascii="宋体" w:hAnsi="宋体" w:cs="宋体"/>
          <w:spacing w:val="40"/>
          <w:w w:val="110"/>
          <w:sz w:val="44"/>
          <w:szCs w:val="44"/>
        </w:rPr>
      </w:pPr>
      <w:r>
        <w:rPr>
          <w:rFonts w:hint="eastAsia" w:ascii="宋体" w:hAnsi="宋体" w:cs="宋体"/>
          <w:spacing w:val="40"/>
          <w:w w:val="110"/>
          <w:sz w:val="44"/>
          <w:szCs w:val="44"/>
        </w:rPr>
        <w:t>投标文件</w:t>
      </w:r>
    </w:p>
    <w:p w14:paraId="6F587F67">
      <w:pPr>
        <w:spacing w:line="360" w:lineRule="auto"/>
        <w:jc w:val="center"/>
        <w:rPr>
          <w:rFonts w:ascii="宋体" w:hAnsi="宋体" w:cs="宋体"/>
          <w:sz w:val="24"/>
        </w:rPr>
      </w:pPr>
      <w:r>
        <w:rPr>
          <w:rFonts w:hint="eastAsia" w:ascii="宋体" w:hAnsi="宋体" w:cs="宋体"/>
          <w:sz w:val="24"/>
        </w:rPr>
        <w:t>（电子投标文件）</w:t>
      </w:r>
    </w:p>
    <w:p w14:paraId="311C7CD2">
      <w:pPr>
        <w:pStyle w:val="19"/>
        <w:spacing w:line="360" w:lineRule="auto"/>
        <w:ind w:left="560" w:hanging="560"/>
        <w:rPr>
          <w:rFonts w:ascii="宋体" w:hAnsi="宋体" w:cs="宋体"/>
        </w:rPr>
      </w:pPr>
    </w:p>
    <w:tbl>
      <w:tblPr>
        <w:tblStyle w:val="24"/>
        <w:tblW w:w="0" w:type="auto"/>
        <w:jc w:val="center"/>
        <w:tblLayout w:type="fixed"/>
        <w:tblCellMar>
          <w:top w:w="0" w:type="dxa"/>
          <w:left w:w="108" w:type="dxa"/>
          <w:bottom w:w="0" w:type="dxa"/>
          <w:right w:w="108" w:type="dxa"/>
        </w:tblCellMar>
      </w:tblPr>
      <w:tblGrid>
        <w:gridCol w:w="1601"/>
        <w:gridCol w:w="6172"/>
      </w:tblGrid>
      <w:tr w14:paraId="584D8C06">
        <w:tblPrEx>
          <w:tblCellMar>
            <w:top w:w="0" w:type="dxa"/>
            <w:left w:w="108" w:type="dxa"/>
            <w:bottom w:w="0" w:type="dxa"/>
            <w:right w:w="108" w:type="dxa"/>
          </w:tblCellMar>
        </w:tblPrEx>
        <w:trPr>
          <w:jc w:val="center"/>
        </w:trPr>
        <w:tc>
          <w:tcPr>
            <w:tcW w:w="1601" w:type="dxa"/>
            <w:vAlign w:val="bottom"/>
          </w:tcPr>
          <w:p w14:paraId="2CED4C26">
            <w:pPr>
              <w:spacing w:line="360" w:lineRule="auto"/>
              <w:jc w:val="distribute"/>
              <w:rPr>
                <w:rFonts w:ascii="宋体" w:hAnsi="宋体" w:cs="宋体"/>
                <w:sz w:val="24"/>
              </w:rPr>
            </w:pPr>
            <w:r>
              <w:rPr>
                <w:rFonts w:hint="eastAsia" w:ascii="宋体" w:hAnsi="宋体" w:cs="宋体"/>
                <w:sz w:val="24"/>
              </w:rPr>
              <w:t>项目名称：</w:t>
            </w:r>
          </w:p>
        </w:tc>
        <w:tc>
          <w:tcPr>
            <w:tcW w:w="6172" w:type="dxa"/>
            <w:tcBorders>
              <w:bottom w:val="single" w:color="000000" w:sz="4" w:space="0"/>
            </w:tcBorders>
            <w:vAlign w:val="bottom"/>
          </w:tcPr>
          <w:p w14:paraId="268F08B3">
            <w:pPr>
              <w:spacing w:line="360" w:lineRule="auto"/>
              <w:rPr>
                <w:rFonts w:ascii="宋体" w:hAnsi="宋体" w:cs="宋体"/>
                <w:sz w:val="24"/>
              </w:rPr>
            </w:pPr>
          </w:p>
        </w:tc>
      </w:tr>
      <w:tr w14:paraId="41CB9C03">
        <w:tblPrEx>
          <w:tblCellMar>
            <w:top w:w="0" w:type="dxa"/>
            <w:left w:w="108" w:type="dxa"/>
            <w:bottom w:w="0" w:type="dxa"/>
            <w:right w:w="108" w:type="dxa"/>
          </w:tblCellMar>
        </w:tblPrEx>
        <w:trPr>
          <w:jc w:val="center"/>
        </w:trPr>
        <w:tc>
          <w:tcPr>
            <w:tcW w:w="1601" w:type="dxa"/>
            <w:vAlign w:val="bottom"/>
          </w:tcPr>
          <w:p w14:paraId="3201A995">
            <w:pPr>
              <w:spacing w:line="360" w:lineRule="auto"/>
              <w:jc w:val="distribute"/>
              <w:rPr>
                <w:rFonts w:ascii="宋体" w:hAnsi="宋体" w:cs="宋体"/>
                <w:sz w:val="24"/>
              </w:rPr>
            </w:pPr>
            <w:r>
              <w:rPr>
                <w:rFonts w:hint="eastAsia" w:ascii="宋体" w:hAnsi="宋体" w:cs="宋体"/>
                <w:sz w:val="24"/>
              </w:rPr>
              <w:t>采购方式：</w:t>
            </w:r>
          </w:p>
        </w:tc>
        <w:tc>
          <w:tcPr>
            <w:tcW w:w="6172" w:type="dxa"/>
            <w:tcBorders>
              <w:top w:val="single" w:color="000000" w:sz="4" w:space="0"/>
              <w:bottom w:val="single" w:color="000000" w:sz="4" w:space="0"/>
            </w:tcBorders>
            <w:vAlign w:val="bottom"/>
          </w:tcPr>
          <w:p w14:paraId="04D38616">
            <w:pPr>
              <w:spacing w:line="360" w:lineRule="auto"/>
              <w:rPr>
                <w:rFonts w:ascii="宋体" w:hAnsi="宋体" w:cs="宋体"/>
                <w:sz w:val="24"/>
              </w:rPr>
            </w:pPr>
            <w:bookmarkStart w:id="299" w:name="PO_3000001866_PM003"/>
            <w:r>
              <w:rPr>
                <w:rFonts w:hint="eastAsia" w:ascii="宋体" w:hAnsi="宋体" w:cs="宋体"/>
                <w:sz w:val="24"/>
              </w:rPr>
              <w:t>在线投标响应</w:t>
            </w:r>
            <w:bookmarkEnd w:id="299"/>
          </w:p>
        </w:tc>
      </w:tr>
      <w:tr w14:paraId="58205FB3">
        <w:tblPrEx>
          <w:tblCellMar>
            <w:top w:w="0" w:type="dxa"/>
            <w:left w:w="108" w:type="dxa"/>
            <w:bottom w:w="0" w:type="dxa"/>
            <w:right w:w="108" w:type="dxa"/>
          </w:tblCellMar>
        </w:tblPrEx>
        <w:trPr>
          <w:jc w:val="center"/>
        </w:trPr>
        <w:tc>
          <w:tcPr>
            <w:tcW w:w="1601" w:type="dxa"/>
            <w:vAlign w:val="bottom"/>
          </w:tcPr>
          <w:p w14:paraId="3B2CE466">
            <w:pPr>
              <w:spacing w:line="360" w:lineRule="auto"/>
              <w:jc w:val="distribute"/>
              <w:rPr>
                <w:rFonts w:ascii="宋体" w:hAnsi="宋体" w:cs="宋体"/>
                <w:sz w:val="24"/>
              </w:rPr>
            </w:pPr>
            <w:r>
              <w:rPr>
                <w:rFonts w:hint="eastAsia" w:ascii="宋体" w:hAnsi="宋体" w:cs="宋体"/>
                <w:sz w:val="24"/>
              </w:rPr>
              <w:t>项目编号：</w:t>
            </w:r>
          </w:p>
        </w:tc>
        <w:tc>
          <w:tcPr>
            <w:tcW w:w="6172" w:type="dxa"/>
            <w:tcBorders>
              <w:top w:val="single" w:color="000000" w:sz="4" w:space="0"/>
              <w:bottom w:val="single" w:color="000000" w:sz="4" w:space="0"/>
            </w:tcBorders>
            <w:vAlign w:val="bottom"/>
          </w:tcPr>
          <w:p w14:paraId="4442F791">
            <w:pPr>
              <w:spacing w:line="360" w:lineRule="auto"/>
              <w:rPr>
                <w:rFonts w:ascii="宋体" w:hAnsi="宋体" w:cs="宋体"/>
                <w:sz w:val="24"/>
              </w:rPr>
            </w:pPr>
          </w:p>
        </w:tc>
      </w:tr>
      <w:tr w14:paraId="4F1D950D">
        <w:tblPrEx>
          <w:tblCellMar>
            <w:top w:w="0" w:type="dxa"/>
            <w:left w:w="108" w:type="dxa"/>
            <w:bottom w:w="0" w:type="dxa"/>
            <w:right w:w="108" w:type="dxa"/>
          </w:tblCellMar>
        </w:tblPrEx>
        <w:trPr>
          <w:jc w:val="center"/>
        </w:trPr>
        <w:tc>
          <w:tcPr>
            <w:tcW w:w="1601" w:type="dxa"/>
            <w:vAlign w:val="bottom"/>
          </w:tcPr>
          <w:p w14:paraId="6D0430B0">
            <w:pPr>
              <w:spacing w:line="360" w:lineRule="auto"/>
              <w:jc w:val="distribute"/>
              <w:rPr>
                <w:rFonts w:ascii="宋体" w:hAnsi="宋体" w:cs="宋体"/>
                <w:sz w:val="24"/>
              </w:rPr>
            </w:pPr>
            <w:r>
              <w:rPr>
                <w:rFonts w:hint="eastAsia" w:ascii="宋体" w:hAnsi="宋体" w:cs="宋体"/>
                <w:sz w:val="24"/>
              </w:rPr>
              <w:t>所投分标：</w:t>
            </w:r>
          </w:p>
        </w:tc>
        <w:tc>
          <w:tcPr>
            <w:tcW w:w="6172" w:type="dxa"/>
            <w:tcBorders>
              <w:top w:val="single" w:color="000000" w:sz="4" w:space="0"/>
              <w:bottom w:val="single" w:color="000000" w:sz="4" w:space="0"/>
            </w:tcBorders>
            <w:vAlign w:val="bottom"/>
          </w:tcPr>
          <w:p w14:paraId="54CCC7E6">
            <w:pPr>
              <w:spacing w:line="360" w:lineRule="auto"/>
              <w:rPr>
                <w:rFonts w:ascii="宋体" w:hAnsi="宋体" w:cs="宋体"/>
                <w:sz w:val="24"/>
              </w:rPr>
            </w:pPr>
            <w:r>
              <w:rPr>
                <w:rFonts w:hint="eastAsia" w:ascii="宋体" w:hAnsi="宋体" w:cs="宋体"/>
                <w:sz w:val="24"/>
              </w:rPr>
              <w:t>（此处有分标时填写具体分标号，无分标时填写“无”）</w:t>
            </w:r>
          </w:p>
        </w:tc>
      </w:tr>
      <w:tr w14:paraId="63F87DB3">
        <w:tblPrEx>
          <w:tblCellMar>
            <w:top w:w="0" w:type="dxa"/>
            <w:left w:w="108" w:type="dxa"/>
            <w:bottom w:w="0" w:type="dxa"/>
            <w:right w:w="108" w:type="dxa"/>
          </w:tblCellMar>
        </w:tblPrEx>
        <w:trPr>
          <w:jc w:val="center"/>
        </w:trPr>
        <w:tc>
          <w:tcPr>
            <w:tcW w:w="1601" w:type="dxa"/>
            <w:vAlign w:val="bottom"/>
          </w:tcPr>
          <w:p w14:paraId="3CEBED0A">
            <w:pPr>
              <w:spacing w:line="360" w:lineRule="auto"/>
              <w:jc w:val="distribute"/>
              <w:rPr>
                <w:rFonts w:ascii="宋体" w:hAnsi="宋体" w:cs="宋体"/>
                <w:sz w:val="24"/>
              </w:rPr>
            </w:pPr>
            <w:r>
              <w:rPr>
                <w:rFonts w:hint="eastAsia" w:ascii="宋体" w:hAnsi="宋体" w:cs="宋体"/>
                <w:sz w:val="24"/>
              </w:rPr>
              <w:t>投标人名称：</w:t>
            </w:r>
          </w:p>
        </w:tc>
        <w:tc>
          <w:tcPr>
            <w:tcW w:w="6172" w:type="dxa"/>
            <w:tcBorders>
              <w:top w:val="single" w:color="000000" w:sz="4" w:space="0"/>
              <w:bottom w:val="single" w:color="000000" w:sz="4" w:space="0"/>
            </w:tcBorders>
            <w:vAlign w:val="bottom"/>
          </w:tcPr>
          <w:p w14:paraId="41F15FE4">
            <w:pPr>
              <w:spacing w:line="360" w:lineRule="auto"/>
              <w:rPr>
                <w:rFonts w:ascii="宋体" w:hAnsi="宋体" w:cs="宋体"/>
                <w:sz w:val="24"/>
              </w:rPr>
            </w:pPr>
          </w:p>
        </w:tc>
      </w:tr>
      <w:tr w14:paraId="1350CEFA">
        <w:tblPrEx>
          <w:tblCellMar>
            <w:top w:w="0" w:type="dxa"/>
            <w:left w:w="108" w:type="dxa"/>
            <w:bottom w:w="0" w:type="dxa"/>
            <w:right w:w="108" w:type="dxa"/>
          </w:tblCellMar>
        </w:tblPrEx>
        <w:trPr>
          <w:jc w:val="center"/>
        </w:trPr>
        <w:tc>
          <w:tcPr>
            <w:tcW w:w="1601" w:type="dxa"/>
            <w:vAlign w:val="bottom"/>
          </w:tcPr>
          <w:p w14:paraId="4EFB2DFE">
            <w:pPr>
              <w:spacing w:line="360" w:lineRule="auto"/>
              <w:jc w:val="distribute"/>
              <w:rPr>
                <w:rFonts w:ascii="宋体" w:hAnsi="宋体" w:cs="宋体"/>
                <w:sz w:val="24"/>
              </w:rPr>
            </w:pPr>
            <w:r>
              <w:rPr>
                <w:rFonts w:hint="eastAsia" w:ascii="宋体" w:hAnsi="宋体" w:cs="宋体"/>
                <w:sz w:val="24"/>
              </w:rPr>
              <w:t>投标人地址：</w:t>
            </w:r>
          </w:p>
        </w:tc>
        <w:tc>
          <w:tcPr>
            <w:tcW w:w="6172" w:type="dxa"/>
            <w:tcBorders>
              <w:top w:val="single" w:color="000000" w:sz="4" w:space="0"/>
              <w:bottom w:val="single" w:color="000000" w:sz="4" w:space="0"/>
            </w:tcBorders>
            <w:vAlign w:val="bottom"/>
          </w:tcPr>
          <w:p w14:paraId="15204DAE">
            <w:pPr>
              <w:spacing w:line="360" w:lineRule="auto"/>
              <w:rPr>
                <w:rFonts w:ascii="宋体" w:hAnsi="宋体" w:cs="宋体"/>
                <w:sz w:val="24"/>
              </w:rPr>
            </w:pPr>
          </w:p>
        </w:tc>
      </w:tr>
    </w:tbl>
    <w:p w14:paraId="1E20FA3B">
      <w:pPr>
        <w:spacing w:line="360" w:lineRule="auto"/>
        <w:ind w:firstLine="4200" w:firstLineChars="1750"/>
        <w:rPr>
          <w:rFonts w:ascii="宋体" w:hAnsi="宋体" w:cs="宋体"/>
          <w:sz w:val="24"/>
        </w:rPr>
      </w:pPr>
    </w:p>
    <w:p w14:paraId="722C5FC1">
      <w:pPr>
        <w:spacing w:line="360" w:lineRule="auto"/>
        <w:ind w:firstLine="4200" w:firstLineChars="1750"/>
        <w:rPr>
          <w:rFonts w:ascii="宋体" w:hAnsi="宋体" w:cs="宋体"/>
          <w:sz w:val="24"/>
        </w:rPr>
      </w:pPr>
    </w:p>
    <w:p w14:paraId="2B626367">
      <w:pPr>
        <w:spacing w:line="360" w:lineRule="auto"/>
        <w:ind w:firstLine="4200" w:firstLineChars="1750"/>
        <w:rPr>
          <w:rFonts w:ascii="宋体" w:hAnsi="宋体" w:cs="宋体"/>
          <w:sz w:val="24"/>
        </w:rPr>
      </w:pPr>
    </w:p>
    <w:p w14:paraId="788C3CA8">
      <w:pPr>
        <w:spacing w:line="360" w:lineRule="auto"/>
        <w:ind w:firstLine="5880" w:firstLineChars="2450"/>
        <w:rPr>
          <w:rFonts w:ascii="宋体" w:hAnsi="宋体" w:cs="宋体"/>
          <w:sz w:val="24"/>
        </w:rPr>
      </w:pPr>
      <w:r>
        <w:rPr>
          <w:rFonts w:hint="eastAsia" w:ascii="宋体" w:hAnsi="宋体" w:cs="宋体"/>
          <w:sz w:val="24"/>
        </w:rPr>
        <w:t>投标截止时间前不得解密</w:t>
      </w:r>
    </w:p>
    <w:p w14:paraId="36FFFBDB">
      <w:pPr>
        <w:spacing w:line="360" w:lineRule="auto"/>
        <w:ind w:firstLine="6480" w:firstLineChars="2700"/>
        <w:rPr>
          <w:rFonts w:ascii="宋体" w:hAnsi="宋体" w:cs="宋体"/>
          <w:sz w:val="24"/>
        </w:rPr>
        <w:sectPr>
          <w:footerReference r:id="rId7" w:type="default"/>
          <w:pgSz w:w="11907" w:h="16840"/>
          <w:pgMar w:top="1440" w:right="1080" w:bottom="1440" w:left="1080" w:header="720" w:footer="720" w:gutter="0"/>
          <w:cols w:space="720" w:num="1"/>
          <w:docGrid w:linePitch="285" w:charSpace="0"/>
        </w:sectPr>
      </w:pPr>
      <w:r>
        <w:rPr>
          <w:rFonts w:hint="eastAsia" w:ascii="宋体" w:hAnsi="宋体" w:cs="宋体"/>
          <w:sz w:val="24"/>
        </w:rPr>
        <w:t>年   月   日</w:t>
      </w:r>
    </w:p>
    <w:p w14:paraId="156DE018">
      <w:pPr>
        <w:pStyle w:val="12"/>
        <w:spacing w:line="360" w:lineRule="auto"/>
        <w:jc w:val="center"/>
        <w:outlineLvl w:val="1"/>
        <w:rPr>
          <w:rFonts w:hAnsi="宋体" w:cs="宋体"/>
          <w:b/>
          <w:bCs/>
          <w:sz w:val="28"/>
          <w:szCs w:val="28"/>
        </w:rPr>
      </w:pPr>
      <w:bookmarkStart w:id="300" w:name="_Toc27773"/>
      <w:r>
        <w:rPr>
          <w:rFonts w:hint="eastAsia" w:hAnsi="宋体" w:cs="宋体"/>
          <w:b/>
          <w:bCs/>
          <w:sz w:val="28"/>
          <w:szCs w:val="28"/>
        </w:rPr>
        <w:t>第二节 资格证明文件格式</w:t>
      </w:r>
      <w:bookmarkEnd w:id="300"/>
    </w:p>
    <w:p w14:paraId="333AC2E6">
      <w:pPr>
        <w:pStyle w:val="12"/>
        <w:spacing w:line="360" w:lineRule="auto"/>
        <w:ind w:firstLine="420"/>
        <w:rPr>
          <w:rFonts w:hAnsi="宋体" w:cs="宋体"/>
          <w:sz w:val="30"/>
        </w:rPr>
      </w:pPr>
    </w:p>
    <w:p w14:paraId="7053C4A6">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电子投标文件</w:t>
      </w:r>
    </w:p>
    <w:p w14:paraId="58ABFF00">
      <w:pPr>
        <w:snapToGrid w:val="0"/>
        <w:spacing w:before="165" w:beforeLines="50" w:after="50" w:line="360" w:lineRule="auto"/>
        <w:rPr>
          <w:rFonts w:ascii="宋体" w:hAnsi="宋体" w:cs="宋体"/>
          <w:sz w:val="24"/>
          <w:szCs w:val="20"/>
        </w:rPr>
      </w:pPr>
    </w:p>
    <w:p w14:paraId="59629604">
      <w:pPr>
        <w:snapToGrid w:val="0"/>
        <w:spacing w:before="165" w:beforeLines="50" w:after="50" w:line="360" w:lineRule="auto"/>
        <w:jc w:val="center"/>
        <w:rPr>
          <w:rFonts w:ascii="宋体" w:hAnsi="宋体" w:cs="宋体"/>
          <w:b/>
          <w:sz w:val="24"/>
          <w:szCs w:val="20"/>
        </w:rPr>
      </w:pPr>
      <w:r>
        <w:rPr>
          <w:rFonts w:hint="eastAsia" w:ascii="宋体" w:hAnsi="宋体" w:cs="宋体"/>
          <w:b/>
          <w:sz w:val="32"/>
          <w:szCs w:val="32"/>
        </w:rPr>
        <w:t>资格证明文件（封面）</w:t>
      </w:r>
    </w:p>
    <w:p w14:paraId="3621EA53">
      <w:pPr>
        <w:snapToGrid w:val="0"/>
        <w:spacing w:before="165" w:beforeLines="50" w:after="50" w:line="360" w:lineRule="auto"/>
        <w:rPr>
          <w:rFonts w:ascii="宋体" w:hAnsi="宋体" w:cs="宋体"/>
          <w:bCs/>
          <w:sz w:val="24"/>
          <w:szCs w:val="20"/>
        </w:rPr>
      </w:pPr>
    </w:p>
    <w:p w14:paraId="4E2747F2">
      <w:pPr>
        <w:snapToGrid w:val="0"/>
        <w:spacing w:before="165" w:beforeLines="50" w:after="50" w:line="360" w:lineRule="auto"/>
        <w:rPr>
          <w:rFonts w:ascii="宋体" w:hAnsi="宋体" w:cs="宋体"/>
          <w:bCs/>
          <w:sz w:val="24"/>
          <w:szCs w:val="20"/>
        </w:rPr>
      </w:pPr>
    </w:p>
    <w:p w14:paraId="53FFE7EE">
      <w:pPr>
        <w:snapToGrid w:val="0"/>
        <w:spacing w:before="165" w:beforeLines="50" w:after="50" w:line="360" w:lineRule="auto"/>
        <w:rPr>
          <w:rFonts w:ascii="宋体" w:hAnsi="宋体" w:cs="宋体"/>
          <w:bCs/>
          <w:sz w:val="24"/>
          <w:szCs w:val="20"/>
        </w:rPr>
      </w:pPr>
    </w:p>
    <w:p w14:paraId="1B716736">
      <w:pPr>
        <w:snapToGrid w:val="0"/>
        <w:spacing w:before="165" w:beforeLines="50" w:after="50" w:line="360" w:lineRule="auto"/>
        <w:rPr>
          <w:rFonts w:ascii="宋体" w:hAnsi="宋体" w:cs="宋体"/>
          <w:bCs/>
          <w:sz w:val="24"/>
          <w:szCs w:val="20"/>
        </w:rPr>
      </w:pPr>
    </w:p>
    <w:p w14:paraId="68913C9C">
      <w:pPr>
        <w:snapToGrid w:val="0"/>
        <w:spacing w:before="165" w:beforeLines="50" w:after="50" w:line="360" w:lineRule="auto"/>
        <w:rPr>
          <w:rFonts w:ascii="宋体" w:hAnsi="宋体" w:cs="宋体"/>
          <w:bCs/>
          <w:sz w:val="24"/>
          <w:szCs w:val="20"/>
        </w:rPr>
      </w:pPr>
    </w:p>
    <w:p w14:paraId="26CF1D24">
      <w:pPr>
        <w:snapToGrid w:val="0"/>
        <w:spacing w:before="165" w:beforeLines="50" w:after="50" w:line="360" w:lineRule="auto"/>
        <w:rPr>
          <w:rFonts w:ascii="宋体" w:hAnsi="宋体" w:cs="宋体"/>
          <w:bCs/>
          <w:sz w:val="24"/>
          <w:szCs w:val="20"/>
        </w:rPr>
      </w:pPr>
    </w:p>
    <w:p w14:paraId="729DBA34">
      <w:pPr>
        <w:snapToGrid w:val="0"/>
        <w:spacing w:before="165" w:beforeLines="50" w:after="50" w:line="360" w:lineRule="auto"/>
        <w:rPr>
          <w:rFonts w:ascii="宋体" w:hAnsi="宋体" w:cs="宋体"/>
          <w:bCs/>
          <w:sz w:val="24"/>
          <w:szCs w:val="20"/>
        </w:rPr>
      </w:pPr>
    </w:p>
    <w:p w14:paraId="27FD4BB6">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项目名称：</w:t>
      </w:r>
    </w:p>
    <w:p w14:paraId="3B4E5178">
      <w:pPr>
        <w:snapToGrid w:val="0"/>
        <w:spacing w:before="165" w:beforeLines="50" w:after="50" w:line="360" w:lineRule="auto"/>
        <w:ind w:firstLine="540" w:firstLineChars="225"/>
        <w:rPr>
          <w:rFonts w:ascii="宋体" w:hAnsi="宋体" w:cs="宋体"/>
          <w:bCs/>
          <w:sz w:val="24"/>
        </w:rPr>
      </w:pPr>
    </w:p>
    <w:p w14:paraId="469845F4">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项目编号：</w:t>
      </w:r>
    </w:p>
    <w:p w14:paraId="5AC087EB">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 xml:space="preserve"> </w:t>
      </w:r>
    </w:p>
    <w:p w14:paraId="272B19E4">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所投分标：（此处有分标时填写具体分标号，无分标时填写“无”）</w:t>
      </w:r>
    </w:p>
    <w:p w14:paraId="3B8CF94C">
      <w:pPr>
        <w:snapToGrid w:val="0"/>
        <w:spacing w:before="165" w:beforeLines="50" w:after="50" w:line="360" w:lineRule="auto"/>
        <w:ind w:firstLine="540" w:firstLineChars="225"/>
        <w:rPr>
          <w:rFonts w:ascii="宋体" w:hAnsi="宋体" w:cs="宋体"/>
          <w:bCs/>
          <w:sz w:val="24"/>
        </w:rPr>
      </w:pPr>
    </w:p>
    <w:p w14:paraId="2A44BEAA">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投标人名称：</w:t>
      </w:r>
    </w:p>
    <w:p w14:paraId="2A53425F">
      <w:pPr>
        <w:pStyle w:val="7"/>
        <w:snapToGrid w:val="0"/>
        <w:spacing w:before="50" w:after="50" w:line="360" w:lineRule="auto"/>
        <w:ind w:firstLine="540" w:firstLineChars="225"/>
        <w:rPr>
          <w:rFonts w:ascii="宋体" w:hAnsi="宋体" w:cs="宋体"/>
          <w:bCs/>
          <w:sz w:val="24"/>
          <w:szCs w:val="24"/>
        </w:rPr>
      </w:pPr>
    </w:p>
    <w:p w14:paraId="5725FC58">
      <w:pPr>
        <w:pStyle w:val="7"/>
        <w:snapToGrid w:val="0"/>
        <w:spacing w:before="50" w:after="50" w:line="360" w:lineRule="auto"/>
        <w:ind w:firstLine="960" w:firstLineChars="400"/>
        <w:rPr>
          <w:rFonts w:ascii="宋体" w:hAnsi="宋体" w:cs="宋体"/>
          <w:bCs/>
          <w:sz w:val="24"/>
          <w:szCs w:val="24"/>
        </w:rPr>
      </w:pPr>
    </w:p>
    <w:p w14:paraId="674EA0E5">
      <w:pPr>
        <w:snapToGrid w:val="0"/>
        <w:spacing w:before="165" w:beforeLines="50" w:after="50" w:line="360" w:lineRule="auto"/>
        <w:ind w:firstLine="645"/>
        <w:jc w:val="center"/>
        <w:rPr>
          <w:rFonts w:ascii="宋体" w:hAnsi="宋体" w:cs="宋体"/>
          <w:sz w:val="24"/>
        </w:rPr>
      </w:pPr>
      <w:r>
        <w:rPr>
          <w:rFonts w:hint="eastAsia" w:ascii="宋体" w:hAnsi="宋体" w:cs="宋体"/>
          <w:sz w:val="24"/>
        </w:rPr>
        <w:t>年  月  日</w:t>
      </w:r>
    </w:p>
    <w:p w14:paraId="4E7F64BB">
      <w:pPr>
        <w:pStyle w:val="12"/>
        <w:spacing w:line="360" w:lineRule="auto"/>
        <w:ind w:firstLine="420"/>
        <w:rPr>
          <w:rFonts w:hAnsi="宋体" w:cs="宋体"/>
          <w:sz w:val="30"/>
        </w:rPr>
        <w:sectPr>
          <w:pgSz w:w="11906" w:h="16838"/>
          <w:pgMar w:top="1440" w:right="1080" w:bottom="1440" w:left="1080" w:header="720" w:footer="720" w:gutter="0"/>
          <w:cols w:space="720" w:num="1"/>
          <w:docGrid w:type="lines" w:linePitch="331" w:charSpace="0"/>
        </w:sectPr>
      </w:pPr>
    </w:p>
    <w:p w14:paraId="08483739">
      <w:pPr>
        <w:spacing w:line="360" w:lineRule="auto"/>
        <w:jc w:val="center"/>
        <w:rPr>
          <w:rFonts w:ascii="宋体" w:hAnsi="宋体" w:cs="宋体"/>
          <w:b/>
          <w:kern w:val="0"/>
          <w:sz w:val="36"/>
          <w:szCs w:val="36"/>
        </w:rPr>
      </w:pPr>
      <w:r>
        <w:rPr>
          <w:rFonts w:hint="eastAsia" w:ascii="宋体" w:hAnsi="宋体" w:cs="宋体"/>
          <w:b/>
          <w:kern w:val="0"/>
          <w:sz w:val="36"/>
          <w:szCs w:val="36"/>
        </w:rPr>
        <w:t>资格证明文件目录</w:t>
      </w:r>
    </w:p>
    <w:p w14:paraId="557B3EA7">
      <w:pPr>
        <w:snapToGrid w:val="0"/>
        <w:spacing w:line="360" w:lineRule="auto"/>
        <w:rPr>
          <w:rFonts w:ascii="宋体" w:hAnsi="宋体" w:cs="宋体"/>
          <w:kern w:val="0"/>
          <w:sz w:val="24"/>
        </w:rPr>
      </w:pPr>
    </w:p>
    <w:p w14:paraId="741F684D">
      <w:pPr>
        <w:snapToGrid w:val="0"/>
        <w:spacing w:line="360" w:lineRule="auto"/>
        <w:rPr>
          <w:rFonts w:ascii="宋体" w:hAnsi="宋体" w:cs="宋体"/>
          <w:kern w:val="0"/>
          <w:sz w:val="24"/>
        </w:rPr>
      </w:pPr>
      <w:r>
        <w:rPr>
          <w:rFonts w:hint="eastAsia" w:ascii="宋体" w:hAnsi="宋体" w:cs="宋体"/>
          <w:kern w:val="0"/>
          <w:sz w:val="24"/>
        </w:rPr>
        <w:t>一、</w:t>
      </w:r>
      <w:r>
        <w:rPr>
          <w:rFonts w:hint="eastAsia" w:ascii="宋体" w:hAnsi="宋体" w:cs="宋体"/>
          <w:sz w:val="24"/>
        </w:rPr>
        <w:t>营业执照（或事业法人登记证或其他工商等登记证明材料）复印件（投标人为自然人的，须提供</w:t>
      </w:r>
      <w:r>
        <w:rPr>
          <w:rFonts w:hint="eastAsia" w:ascii="宋体" w:hAnsi="宋体" w:cs="宋体"/>
          <w:kern w:val="0"/>
          <w:sz w:val="24"/>
        </w:rPr>
        <w:t>自然人的身份证明</w:t>
      </w:r>
      <w:r>
        <w:rPr>
          <w:rFonts w:hint="eastAsia" w:ascii="宋体" w:hAnsi="宋体" w:cs="宋体"/>
          <w:sz w:val="24"/>
        </w:rPr>
        <w:t>）</w:t>
      </w:r>
      <w:r>
        <w:rPr>
          <w:rFonts w:hint="eastAsia" w:ascii="宋体" w:hAnsi="宋体" w:cs="宋体"/>
          <w:kern w:val="0"/>
          <w:sz w:val="24"/>
        </w:rPr>
        <w:t>……………………………………………………………（页码）</w:t>
      </w:r>
    </w:p>
    <w:p w14:paraId="73F157CB">
      <w:pPr>
        <w:snapToGrid w:val="0"/>
        <w:spacing w:line="360" w:lineRule="auto"/>
        <w:rPr>
          <w:rFonts w:ascii="宋体" w:hAnsi="宋体" w:cs="宋体"/>
          <w:kern w:val="0"/>
          <w:sz w:val="24"/>
        </w:rPr>
      </w:pPr>
      <w:r>
        <w:rPr>
          <w:rFonts w:hint="eastAsia" w:ascii="宋体" w:hAnsi="宋体" w:cs="宋体"/>
          <w:kern w:val="0"/>
          <w:sz w:val="24"/>
        </w:rPr>
        <w:t>二、符合参与政府采购活动的资格条件依法缴纳税收、社会保障资金等方面的材料…………………………………………………………………………………………（页码）</w:t>
      </w:r>
    </w:p>
    <w:p w14:paraId="0CC1F079">
      <w:pPr>
        <w:snapToGrid w:val="0"/>
        <w:spacing w:line="360" w:lineRule="auto"/>
        <w:rPr>
          <w:rFonts w:ascii="宋体" w:hAnsi="宋体" w:cs="宋体"/>
          <w:kern w:val="0"/>
          <w:sz w:val="24"/>
        </w:rPr>
      </w:pPr>
      <w:r>
        <w:rPr>
          <w:rFonts w:hint="eastAsia" w:ascii="宋体" w:hAnsi="宋体" w:cs="宋体"/>
          <w:kern w:val="0"/>
          <w:sz w:val="24"/>
        </w:rPr>
        <w:t>三、财务状况报告方面的材料…………………………………………………………（页码）</w:t>
      </w:r>
    </w:p>
    <w:p w14:paraId="073310D3">
      <w:pPr>
        <w:snapToGrid w:val="0"/>
        <w:spacing w:line="360" w:lineRule="auto"/>
        <w:rPr>
          <w:rFonts w:ascii="宋体" w:hAnsi="宋体" w:cs="宋体"/>
          <w:kern w:val="0"/>
          <w:sz w:val="24"/>
        </w:rPr>
      </w:pPr>
      <w:r>
        <w:rPr>
          <w:rFonts w:hint="eastAsia" w:ascii="宋体" w:hAnsi="宋体" w:cs="宋体"/>
          <w:sz w:val="24"/>
        </w:rPr>
        <w:t>四、投标人直接控股股东信息</w:t>
      </w:r>
      <w:r>
        <w:rPr>
          <w:rFonts w:hint="eastAsia" w:ascii="宋体" w:hAnsi="宋体" w:cs="宋体"/>
          <w:kern w:val="0"/>
          <w:sz w:val="24"/>
        </w:rPr>
        <w:t>…………………………………………………………（页码）</w:t>
      </w:r>
    </w:p>
    <w:p w14:paraId="4D193157">
      <w:pPr>
        <w:snapToGrid w:val="0"/>
        <w:spacing w:line="360" w:lineRule="auto"/>
        <w:rPr>
          <w:rFonts w:ascii="宋体" w:hAnsi="宋体" w:cs="宋体"/>
          <w:kern w:val="0"/>
          <w:sz w:val="24"/>
        </w:rPr>
      </w:pPr>
      <w:r>
        <w:rPr>
          <w:rFonts w:hint="eastAsia" w:ascii="宋体" w:hAnsi="宋体" w:cs="宋体"/>
          <w:sz w:val="24"/>
        </w:rPr>
        <w:t>五、投标人直接关联关系信息表</w:t>
      </w:r>
      <w:r>
        <w:rPr>
          <w:rFonts w:hint="eastAsia" w:ascii="宋体" w:hAnsi="宋体" w:cs="宋体"/>
          <w:kern w:val="0"/>
          <w:sz w:val="24"/>
        </w:rPr>
        <w:t>………………………………………………………（页码）</w:t>
      </w:r>
    </w:p>
    <w:p w14:paraId="5A86A368">
      <w:pPr>
        <w:snapToGrid w:val="0"/>
        <w:spacing w:line="360" w:lineRule="auto"/>
        <w:rPr>
          <w:rFonts w:ascii="宋体" w:hAnsi="宋体" w:cs="宋体"/>
          <w:kern w:val="0"/>
          <w:sz w:val="24"/>
        </w:rPr>
      </w:pPr>
      <w:r>
        <w:rPr>
          <w:rFonts w:hint="eastAsia" w:ascii="宋体" w:hAnsi="宋体" w:cs="宋体"/>
          <w:kern w:val="0"/>
          <w:sz w:val="24"/>
        </w:rPr>
        <w:t>六、投标资格声明………………………………………………………………………（页码）</w:t>
      </w:r>
    </w:p>
    <w:p w14:paraId="7A37AD96">
      <w:pPr>
        <w:snapToGrid w:val="0"/>
        <w:spacing w:line="360" w:lineRule="auto"/>
        <w:rPr>
          <w:rFonts w:ascii="宋体" w:hAnsi="宋体" w:cs="宋体"/>
          <w:kern w:val="0"/>
          <w:sz w:val="24"/>
        </w:rPr>
      </w:pPr>
      <w:r>
        <w:rPr>
          <w:rFonts w:hint="eastAsia" w:ascii="宋体" w:hAnsi="宋体" w:cs="宋体"/>
          <w:kern w:val="0"/>
          <w:sz w:val="24"/>
        </w:rPr>
        <w:t>七、联合体协议书（</w:t>
      </w:r>
      <w:r>
        <w:rPr>
          <w:rFonts w:hint="eastAsia" w:ascii="宋体" w:hAnsi="宋体" w:cs="宋体"/>
          <w:sz w:val="24"/>
        </w:rPr>
        <w:t>以联合体形式投标的，提供联合体协议；本项目不接受联合体投标或者投标人不以联合体形式投标的，则不需要提供</w:t>
      </w:r>
      <w:r>
        <w:rPr>
          <w:rFonts w:hint="eastAsia" w:ascii="宋体" w:hAnsi="宋体" w:cs="宋体"/>
          <w:kern w:val="0"/>
          <w:sz w:val="24"/>
        </w:rPr>
        <w:t>）……………………………………（页码）</w:t>
      </w:r>
    </w:p>
    <w:p w14:paraId="450B4768">
      <w:pPr>
        <w:snapToGrid w:val="0"/>
        <w:spacing w:line="360" w:lineRule="auto"/>
        <w:rPr>
          <w:rFonts w:ascii="宋体" w:hAnsi="宋体" w:cs="宋体"/>
          <w:kern w:val="0"/>
          <w:sz w:val="24"/>
        </w:rPr>
      </w:pPr>
      <w:r>
        <w:rPr>
          <w:rFonts w:hint="eastAsia" w:ascii="宋体" w:hAnsi="宋体" w:cs="宋体"/>
          <w:sz w:val="24"/>
        </w:rPr>
        <w:t>八、符合特定资格或条件（如有）的有关证明材料（复印件）</w:t>
      </w:r>
      <w:r>
        <w:rPr>
          <w:rFonts w:hint="eastAsia" w:ascii="宋体" w:hAnsi="宋体" w:cs="宋体"/>
          <w:kern w:val="0"/>
          <w:sz w:val="24"/>
        </w:rPr>
        <w:t>………………………（页码）</w:t>
      </w:r>
    </w:p>
    <w:p w14:paraId="5CBF3A9E">
      <w:pPr>
        <w:spacing w:line="360" w:lineRule="auto"/>
        <w:rPr>
          <w:rFonts w:ascii="宋体" w:hAnsi="宋体" w:cs="宋体"/>
          <w:b/>
          <w:bCs/>
          <w:sz w:val="24"/>
        </w:rPr>
      </w:pPr>
      <w:r>
        <w:rPr>
          <w:rFonts w:hint="eastAsia" w:ascii="宋体" w:hAnsi="宋体" w:cs="宋体"/>
          <w:b/>
          <w:bCs/>
          <w:sz w:val="24"/>
        </w:rPr>
        <w:t>注：以上目录是基本格式要求，各投标人可根据自身情况进一步向下增加内容或细化。</w:t>
      </w:r>
    </w:p>
    <w:p w14:paraId="2F38B76F">
      <w:pPr>
        <w:pStyle w:val="12"/>
        <w:spacing w:line="360" w:lineRule="auto"/>
        <w:ind w:firstLine="420"/>
        <w:rPr>
          <w:rFonts w:hAnsi="宋体" w:cs="宋体"/>
          <w:sz w:val="30"/>
        </w:rPr>
        <w:sectPr>
          <w:pgSz w:w="11906" w:h="16838"/>
          <w:pgMar w:top="1440" w:right="1080" w:bottom="1440" w:left="1080" w:header="720" w:footer="720" w:gutter="0"/>
          <w:cols w:space="720" w:num="1"/>
          <w:docGrid w:type="lines" w:linePitch="331" w:charSpace="0"/>
        </w:sectPr>
      </w:pPr>
    </w:p>
    <w:p w14:paraId="2DE1F6B7">
      <w:pPr>
        <w:snapToGrid w:val="0"/>
        <w:spacing w:line="360" w:lineRule="auto"/>
        <w:rPr>
          <w:rFonts w:ascii="宋体" w:hAnsi="宋体" w:cs="宋体"/>
          <w:b/>
          <w:kern w:val="0"/>
          <w:sz w:val="32"/>
          <w:szCs w:val="32"/>
          <w:lang w:val="zh-CN"/>
        </w:rPr>
      </w:pPr>
    </w:p>
    <w:p w14:paraId="50C298B4">
      <w:pPr>
        <w:spacing w:line="360" w:lineRule="auto"/>
        <w:jc w:val="center"/>
        <w:rPr>
          <w:rFonts w:ascii="宋体" w:hAnsi="宋体" w:cs="宋体"/>
          <w:b/>
          <w:sz w:val="30"/>
          <w:szCs w:val="30"/>
        </w:rPr>
      </w:pPr>
      <w:r>
        <w:rPr>
          <w:rFonts w:hint="eastAsia" w:ascii="宋体" w:hAnsi="宋体" w:cs="宋体"/>
          <w:b/>
          <w:kern w:val="0"/>
          <w:sz w:val="32"/>
          <w:szCs w:val="32"/>
          <w:lang w:val="zh-CN"/>
        </w:rPr>
        <w:t>一、</w:t>
      </w:r>
      <w:r>
        <w:rPr>
          <w:rFonts w:hint="eastAsia" w:ascii="宋体" w:hAnsi="宋体" w:cs="宋体"/>
          <w:b/>
          <w:sz w:val="30"/>
          <w:szCs w:val="30"/>
        </w:rPr>
        <w:t>营业执照（或事业法人登记证或其他工商等登记证明材料）复印件（投标人为自然人的，提供自然人的身份证明）</w:t>
      </w:r>
    </w:p>
    <w:p w14:paraId="54692381">
      <w:pPr>
        <w:spacing w:line="360" w:lineRule="auto"/>
        <w:rPr>
          <w:rFonts w:ascii="宋体" w:hAnsi="宋体" w:cs="宋体"/>
          <w:b/>
          <w:sz w:val="30"/>
          <w:szCs w:val="30"/>
        </w:rPr>
      </w:pPr>
    </w:p>
    <w:p w14:paraId="6083FE3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投标人名称（电子签章）：                              </w:t>
      </w:r>
    </w:p>
    <w:p w14:paraId="42BBF1C6">
      <w:pPr>
        <w:spacing w:line="360" w:lineRule="auto"/>
        <w:jc w:val="center"/>
        <w:rPr>
          <w:rFonts w:ascii="宋体" w:hAnsi="宋体" w:cs="宋体"/>
          <w:b/>
          <w:sz w:val="30"/>
          <w:szCs w:val="30"/>
        </w:rPr>
      </w:pPr>
      <w:r>
        <w:rPr>
          <w:rFonts w:hint="eastAsia" w:ascii="宋体" w:hAnsi="宋体" w:cs="宋体"/>
          <w:kern w:val="0"/>
          <w:sz w:val="24"/>
          <w:lang w:val="zh-CN"/>
        </w:rPr>
        <w:t xml:space="preserve">                   日期：  年  月</w:t>
      </w:r>
    </w:p>
    <w:p w14:paraId="3F370D73">
      <w:pPr>
        <w:spacing w:line="360" w:lineRule="auto"/>
        <w:jc w:val="center"/>
        <w:rPr>
          <w:rFonts w:ascii="宋体" w:hAnsi="宋体" w:cs="宋体"/>
          <w:b/>
          <w:sz w:val="30"/>
          <w:szCs w:val="30"/>
        </w:rPr>
      </w:pPr>
    </w:p>
    <w:p w14:paraId="3E0BCA6C">
      <w:pPr>
        <w:snapToGrid w:val="0"/>
        <w:spacing w:line="360" w:lineRule="auto"/>
        <w:ind w:right="480"/>
        <w:jc w:val="center"/>
        <w:rPr>
          <w:rFonts w:ascii="宋体" w:hAnsi="宋体" w:cs="宋体"/>
          <w:b/>
          <w:sz w:val="30"/>
          <w:szCs w:val="30"/>
        </w:rPr>
      </w:pPr>
    </w:p>
    <w:p w14:paraId="65615C50">
      <w:pPr>
        <w:snapToGrid w:val="0"/>
        <w:spacing w:line="360" w:lineRule="auto"/>
        <w:ind w:right="480"/>
        <w:jc w:val="center"/>
        <w:rPr>
          <w:rFonts w:ascii="宋体" w:hAnsi="宋体" w:cs="宋体"/>
          <w:b/>
          <w:kern w:val="0"/>
          <w:sz w:val="32"/>
          <w:szCs w:val="32"/>
        </w:rPr>
      </w:pPr>
      <w:r>
        <w:rPr>
          <w:rFonts w:hint="eastAsia" w:ascii="宋体" w:hAnsi="宋体" w:cs="宋体"/>
          <w:b/>
          <w:sz w:val="30"/>
          <w:szCs w:val="30"/>
        </w:rPr>
        <w:t>二、</w:t>
      </w:r>
      <w:r>
        <w:rPr>
          <w:rFonts w:hint="eastAsia" w:ascii="宋体" w:hAnsi="宋体" w:cs="宋体"/>
          <w:b/>
          <w:kern w:val="0"/>
          <w:sz w:val="32"/>
          <w:szCs w:val="32"/>
        </w:rPr>
        <w:t>符合参与政府采购活动的资格条件依法缴纳税收、社会保障资金等方面的材料</w:t>
      </w:r>
    </w:p>
    <w:p w14:paraId="631F430D">
      <w:pPr>
        <w:snapToGrid w:val="0"/>
        <w:spacing w:line="360" w:lineRule="auto"/>
        <w:ind w:firstLine="480" w:firstLineChars="200"/>
        <w:rPr>
          <w:rFonts w:ascii="宋体" w:hAnsi="宋体" w:cs="宋体"/>
          <w:sz w:val="24"/>
        </w:rPr>
      </w:pPr>
    </w:p>
    <w:p w14:paraId="415C295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07AA7308">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 xml:space="preserve"> 投标人名称（电子签章）：</w:t>
      </w:r>
    </w:p>
    <w:p w14:paraId="310BA285">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6668D07">
      <w:pPr>
        <w:snapToGrid w:val="0"/>
        <w:spacing w:line="360" w:lineRule="auto"/>
        <w:ind w:right="480"/>
        <w:jc w:val="center"/>
        <w:rPr>
          <w:rFonts w:ascii="宋体" w:hAnsi="宋体" w:cs="宋体"/>
          <w:b/>
          <w:sz w:val="30"/>
          <w:szCs w:val="30"/>
        </w:rPr>
      </w:pPr>
    </w:p>
    <w:p w14:paraId="473D0EAC">
      <w:pPr>
        <w:snapToGrid w:val="0"/>
        <w:spacing w:line="360" w:lineRule="auto"/>
        <w:ind w:right="480"/>
        <w:jc w:val="center"/>
        <w:rPr>
          <w:rFonts w:ascii="宋体" w:hAnsi="宋体" w:cs="宋体"/>
          <w:b/>
          <w:sz w:val="30"/>
          <w:szCs w:val="30"/>
        </w:rPr>
      </w:pPr>
    </w:p>
    <w:p w14:paraId="0C68C11E">
      <w:pPr>
        <w:snapToGrid w:val="0"/>
        <w:spacing w:line="360" w:lineRule="auto"/>
        <w:ind w:right="480"/>
        <w:jc w:val="center"/>
        <w:rPr>
          <w:rFonts w:ascii="宋体" w:hAnsi="宋体" w:cs="宋体"/>
          <w:b/>
          <w:kern w:val="0"/>
          <w:sz w:val="32"/>
          <w:szCs w:val="32"/>
        </w:rPr>
      </w:pPr>
      <w:r>
        <w:rPr>
          <w:rFonts w:hint="eastAsia" w:ascii="宋体" w:hAnsi="宋体" w:cs="宋体"/>
          <w:b/>
          <w:sz w:val="30"/>
          <w:szCs w:val="30"/>
        </w:rPr>
        <w:t>三、</w:t>
      </w:r>
      <w:r>
        <w:rPr>
          <w:rFonts w:hint="eastAsia" w:ascii="宋体" w:hAnsi="宋体" w:cs="宋体"/>
          <w:b/>
          <w:kern w:val="0"/>
          <w:sz w:val="32"/>
          <w:szCs w:val="32"/>
        </w:rPr>
        <w:t>财务状况报告方面的材料</w:t>
      </w:r>
    </w:p>
    <w:p w14:paraId="29C54D34">
      <w:pPr>
        <w:snapToGrid w:val="0"/>
        <w:spacing w:line="360" w:lineRule="auto"/>
        <w:ind w:firstLine="480" w:firstLineChars="200"/>
        <w:rPr>
          <w:rFonts w:ascii="宋体" w:hAnsi="宋体" w:cs="宋体"/>
          <w:sz w:val="24"/>
        </w:rPr>
      </w:pPr>
    </w:p>
    <w:p w14:paraId="112F8B4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67FFC06B">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 xml:space="preserve"> 投标人名称（电子签章）：</w:t>
      </w:r>
    </w:p>
    <w:p w14:paraId="5985B298">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921565E">
      <w:pPr>
        <w:snapToGrid w:val="0"/>
        <w:spacing w:line="360" w:lineRule="auto"/>
        <w:ind w:firstLine="5160" w:firstLineChars="2150"/>
        <w:rPr>
          <w:rFonts w:ascii="宋体" w:hAnsi="宋体" w:cs="宋体"/>
          <w:kern w:val="0"/>
          <w:sz w:val="24"/>
          <w:lang w:val="zh-CN"/>
        </w:rPr>
      </w:pPr>
    </w:p>
    <w:p w14:paraId="0EFB5C99">
      <w:pPr>
        <w:snapToGrid w:val="0"/>
        <w:spacing w:line="360" w:lineRule="auto"/>
        <w:ind w:right="480"/>
        <w:jc w:val="center"/>
        <w:rPr>
          <w:rFonts w:ascii="宋体" w:hAnsi="宋体" w:cs="宋体"/>
          <w:b/>
          <w:kern w:val="0"/>
          <w:sz w:val="32"/>
          <w:szCs w:val="32"/>
          <w:lang w:val="zh-CN"/>
        </w:rPr>
      </w:pPr>
    </w:p>
    <w:p w14:paraId="5C1C0437">
      <w:pPr>
        <w:snapToGrid w:val="0"/>
        <w:spacing w:line="360" w:lineRule="auto"/>
        <w:ind w:right="480"/>
        <w:jc w:val="center"/>
        <w:rPr>
          <w:rFonts w:ascii="宋体" w:hAnsi="宋体" w:cs="宋体"/>
          <w:b/>
          <w:sz w:val="28"/>
          <w:szCs w:val="28"/>
        </w:rPr>
      </w:pPr>
      <w:r>
        <w:rPr>
          <w:rFonts w:hint="eastAsia" w:ascii="宋体" w:hAnsi="宋体" w:cs="宋体"/>
          <w:b/>
          <w:kern w:val="0"/>
          <w:sz w:val="32"/>
          <w:szCs w:val="32"/>
        </w:rPr>
        <w:br w:type="page"/>
      </w:r>
    </w:p>
    <w:p w14:paraId="39DA9962">
      <w:pPr>
        <w:snapToGrid w:val="0"/>
        <w:spacing w:before="50" w:after="165" w:afterLines="50" w:line="360" w:lineRule="auto"/>
        <w:jc w:val="center"/>
        <w:rPr>
          <w:rFonts w:ascii="宋体" w:hAnsi="宋体" w:cs="宋体"/>
          <w:b/>
          <w:kern w:val="0"/>
          <w:sz w:val="32"/>
          <w:szCs w:val="32"/>
        </w:rPr>
      </w:pPr>
      <w:r>
        <w:rPr>
          <w:rFonts w:hint="eastAsia" w:ascii="宋体" w:hAnsi="宋体" w:cs="宋体"/>
          <w:b/>
          <w:kern w:val="0"/>
          <w:sz w:val="32"/>
          <w:szCs w:val="32"/>
        </w:rPr>
        <w:t>四、投标人直接控股股东信息表</w:t>
      </w:r>
    </w:p>
    <w:tbl>
      <w:tblPr>
        <w:tblStyle w:val="24"/>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3D1959A">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23B118E">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F1D3CF7">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FB8BB68">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CFA3902">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669CC5A">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0190DF0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6506FE">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CA1425">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73890F">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5DF870">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10CCE2">
            <w:pPr>
              <w:spacing w:line="360" w:lineRule="auto"/>
              <w:jc w:val="center"/>
              <w:rPr>
                <w:rFonts w:ascii="宋体" w:hAnsi="宋体" w:cs="宋体"/>
                <w:kern w:val="0"/>
                <w:sz w:val="24"/>
              </w:rPr>
            </w:pPr>
          </w:p>
        </w:tc>
      </w:tr>
      <w:tr w14:paraId="09A328B4">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C90315">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8819EB">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5710D1">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2D0C37">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3A5386">
            <w:pPr>
              <w:spacing w:line="360" w:lineRule="auto"/>
              <w:jc w:val="center"/>
              <w:rPr>
                <w:rFonts w:ascii="宋体" w:hAnsi="宋体" w:cs="宋体"/>
                <w:kern w:val="0"/>
                <w:sz w:val="24"/>
              </w:rPr>
            </w:pPr>
          </w:p>
        </w:tc>
      </w:tr>
      <w:tr w14:paraId="5D1559C6">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5D3FE1">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68874F">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1BC31B">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18C1BF">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CD752E">
            <w:pPr>
              <w:spacing w:line="360" w:lineRule="auto"/>
              <w:jc w:val="center"/>
              <w:rPr>
                <w:rFonts w:ascii="宋体" w:hAnsi="宋体" w:cs="宋体"/>
                <w:kern w:val="0"/>
                <w:sz w:val="24"/>
              </w:rPr>
            </w:pPr>
          </w:p>
        </w:tc>
      </w:tr>
      <w:tr w14:paraId="2D288314">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21E8A2">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E65151">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CA4853">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455EF6">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58CFCC">
            <w:pPr>
              <w:spacing w:line="360" w:lineRule="auto"/>
              <w:jc w:val="center"/>
              <w:rPr>
                <w:rFonts w:ascii="宋体" w:hAnsi="宋体" w:cs="宋体"/>
                <w:kern w:val="0"/>
                <w:sz w:val="24"/>
              </w:rPr>
            </w:pPr>
          </w:p>
        </w:tc>
      </w:tr>
    </w:tbl>
    <w:p w14:paraId="06395210">
      <w:pPr>
        <w:snapToGrid w:val="0"/>
        <w:spacing w:line="360" w:lineRule="auto"/>
        <w:jc w:val="left"/>
        <w:rPr>
          <w:rFonts w:ascii="宋体" w:hAnsi="宋体" w:cs="宋体"/>
          <w:sz w:val="24"/>
        </w:rPr>
      </w:pPr>
      <w:r>
        <w:rPr>
          <w:rFonts w:hint="eastAsia" w:ascii="宋体" w:hAnsi="宋体" w:cs="宋体"/>
          <w:sz w:val="24"/>
        </w:rPr>
        <w:t>注：</w:t>
      </w:r>
    </w:p>
    <w:p w14:paraId="600DE157">
      <w:pPr>
        <w:snapToGrid w:val="0"/>
        <w:spacing w:line="360" w:lineRule="auto"/>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F8AA2EC">
      <w:pPr>
        <w:snapToGrid w:val="0"/>
        <w:spacing w:line="360" w:lineRule="auto"/>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5498E2D1">
      <w:pPr>
        <w:snapToGrid w:val="0"/>
        <w:spacing w:line="360" w:lineRule="auto"/>
        <w:jc w:val="left"/>
        <w:rPr>
          <w:rFonts w:ascii="宋体" w:hAnsi="宋体" w:cs="宋体"/>
          <w:sz w:val="24"/>
        </w:rPr>
      </w:pPr>
      <w:r>
        <w:rPr>
          <w:rFonts w:hint="eastAsia" w:ascii="宋体" w:hAnsi="宋体" w:cs="宋体"/>
          <w:sz w:val="24"/>
        </w:rPr>
        <w:t>3.供应商不存在直接控股股东的，则填“无”。</w:t>
      </w:r>
    </w:p>
    <w:p w14:paraId="084256C7">
      <w:pPr>
        <w:snapToGrid w:val="0"/>
        <w:spacing w:line="360" w:lineRule="auto"/>
        <w:jc w:val="left"/>
        <w:rPr>
          <w:rFonts w:ascii="宋体" w:hAnsi="宋体" w:cs="宋体"/>
          <w:sz w:val="24"/>
        </w:rPr>
      </w:pPr>
    </w:p>
    <w:p w14:paraId="7407C484">
      <w:pPr>
        <w:snapToGrid w:val="0"/>
        <w:spacing w:line="360" w:lineRule="auto"/>
        <w:jc w:val="left"/>
        <w:rPr>
          <w:rFonts w:ascii="宋体" w:hAnsi="宋体" w:cs="宋体"/>
          <w:sz w:val="24"/>
        </w:rPr>
      </w:pPr>
    </w:p>
    <w:p w14:paraId="690AECF1">
      <w:pPr>
        <w:snapToGrid w:val="0"/>
        <w:spacing w:line="360" w:lineRule="auto"/>
        <w:jc w:val="left"/>
        <w:rPr>
          <w:rFonts w:ascii="宋体" w:hAnsi="宋体" w:cs="宋体"/>
          <w:sz w:val="24"/>
        </w:rPr>
      </w:pPr>
    </w:p>
    <w:p w14:paraId="6330D674">
      <w:pPr>
        <w:snapToGrid w:val="0"/>
        <w:spacing w:line="360" w:lineRule="auto"/>
        <w:jc w:val="left"/>
        <w:rPr>
          <w:rFonts w:ascii="宋体" w:hAnsi="宋体" w:cs="宋体"/>
          <w:sz w:val="24"/>
        </w:rPr>
      </w:pPr>
    </w:p>
    <w:p w14:paraId="63A01879">
      <w:pPr>
        <w:snapToGrid w:val="0"/>
        <w:spacing w:line="360" w:lineRule="auto"/>
        <w:jc w:val="left"/>
        <w:rPr>
          <w:rFonts w:ascii="宋体" w:hAnsi="宋体" w:cs="宋体"/>
          <w:sz w:val="24"/>
        </w:rPr>
      </w:pPr>
    </w:p>
    <w:p w14:paraId="0FD7CF39">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65357B72">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FCDB807">
      <w:pPr>
        <w:snapToGrid w:val="0"/>
        <w:spacing w:line="360" w:lineRule="auto"/>
        <w:jc w:val="center"/>
        <w:rPr>
          <w:rFonts w:ascii="宋体" w:hAnsi="宋体" w:cs="宋体"/>
          <w:b/>
          <w:sz w:val="28"/>
          <w:szCs w:val="28"/>
        </w:rPr>
      </w:pPr>
      <w:r>
        <w:rPr>
          <w:rFonts w:hint="eastAsia" w:ascii="宋体" w:hAnsi="宋体" w:cs="宋体"/>
          <w:b/>
          <w:sz w:val="28"/>
          <w:szCs w:val="28"/>
        </w:rPr>
        <w:br w:type="page"/>
      </w:r>
    </w:p>
    <w:p w14:paraId="2219C8CD">
      <w:pPr>
        <w:snapToGrid w:val="0"/>
        <w:spacing w:line="360" w:lineRule="auto"/>
        <w:jc w:val="center"/>
        <w:rPr>
          <w:rFonts w:ascii="宋体" w:hAnsi="宋体" w:cs="宋体"/>
          <w:sz w:val="32"/>
          <w:szCs w:val="32"/>
        </w:rPr>
      </w:pPr>
      <w:r>
        <w:rPr>
          <w:rFonts w:hint="eastAsia" w:ascii="宋体" w:hAnsi="宋体" w:cs="宋体"/>
          <w:b/>
          <w:sz w:val="32"/>
          <w:szCs w:val="32"/>
        </w:rPr>
        <w:t>五、投标人直接管理关系信息表</w:t>
      </w:r>
    </w:p>
    <w:tbl>
      <w:tblPr>
        <w:tblStyle w:val="24"/>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F266198">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239154C">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2F2E09E">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AA00FB2">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9871B13">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285BCB3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7AFF2D">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9C3E09">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04AD31">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752D69">
            <w:pPr>
              <w:spacing w:line="360" w:lineRule="auto"/>
              <w:jc w:val="center"/>
              <w:rPr>
                <w:rFonts w:ascii="宋体" w:hAnsi="宋体" w:cs="宋体"/>
                <w:kern w:val="0"/>
                <w:sz w:val="24"/>
              </w:rPr>
            </w:pPr>
          </w:p>
        </w:tc>
      </w:tr>
      <w:tr w14:paraId="42B699EE">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90E8E8">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43EEE4">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3055CE">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58836C">
            <w:pPr>
              <w:spacing w:line="360" w:lineRule="auto"/>
              <w:jc w:val="center"/>
              <w:rPr>
                <w:rFonts w:ascii="宋体" w:hAnsi="宋体" w:cs="宋体"/>
                <w:kern w:val="0"/>
                <w:sz w:val="24"/>
              </w:rPr>
            </w:pPr>
          </w:p>
        </w:tc>
      </w:tr>
      <w:tr w14:paraId="1B6B162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3C152D">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0557C3">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04836C">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3286D3">
            <w:pPr>
              <w:spacing w:line="360" w:lineRule="auto"/>
              <w:jc w:val="center"/>
              <w:rPr>
                <w:rFonts w:ascii="宋体" w:hAnsi="宋体" w:cs="宋体"/>
                <w:kern w:val="0"/>
                <w:sz w:val="24"/>
              </w:rPr>
            </w:pPr>
          </w:p>
        </w:tc>
      </w:tr>
      <w:tr w14:paraId="5EA88FF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3DDDA3">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6C9FA4">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351FEE">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16E6FE">
            <w:pPr>
              <w:spacing w:line="360" w:lineRule="auto"/>
              <w:jc w:val="center"/>
              <w:rPr>
                <w:rFonts w:ascii="宋体" w:hAnsi="宋体" w:cs="宋体"/>
                <w:kern w:val="0"/>
                <w:sz w:val="24"/>
              </w:rPr>
            </w:pPr>
          </w:p>
        </w:tc>
      </w:tr>
    </w:tbl>
    <w:p w14:paraId="03A6D916">
      <w:pPr>
        <w:snapToGrid w:val="0"/>
        <w:spacing w:line="360" w:lineRule="auto"/>
        <w:jc w:val="left"/>
        <w:rPr>
          <w:rFonts w:ascii="宋体" w:hAnsi="宋体" w:cs="宋体"/>
          <w:sz w:val="24"/>
        </w:rPr>
      </w:pPr>
      <w:r>
        <w:rPr>
          <w:rFonts w:hint="eastAsia" w:ascii="宋体" w:hAnsi="宋体" w:cs="宋体"/>
          <w:sz w:val="24"/>
        </w:rPr>
        <w:t>注：</w:t>
      </w:r>
    </w:p>
    <w:p w14:paraId="32E2CDE0">
      <w:pPr>
        <w:snapToGrid w:val="0"/>
        <w:spacing w:line="360" w:lineRule="auto"/>
        <w:ind w:firstLine="480" w:firstLineChars="200"/>
        <w:jc w:val="left"/>
        <w:rPr>
          <w:rFonts w:ascii="宋体" w:hAnsi="宋体" w:cs="宋体"/>
          <w:sz w:val="24"/>
        </w:rPr>
      </w:pPr>
      <w:r>
        <w:rPr>
          <w:rFonts w:hint="eastAsia" w:ascii="宋体" w:hAnsi="宋体" w:cs="宋体"/>
          <w:sz w:val="24"/>
        </w:rPr>
        <w:t>1.管理关系：是指不具有出资持股关系的其他单位之间存在的管理与被管理关系，如一些上下级关系的事业单位和团体组织。</w:t>
      </w:r>
    </w:p>
    <w:p w14:paraId="4200DCA5">
      <w:pPr>
        <w:snapToGrid w:val="0"/>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pacing w:val="-6"/>
          <w:sz w:val="24"/>
        </w:rPr>
        <w:t>本表所指的管理关系仅限于直接管理关系，不包括间接的管理关系。</w:t>
      </w:r>
    </w:p>
    <w:p w14:paraId="361D90B7">
      <w:pPr>
        <w:snapToGrid w:val="0"/>
        <w:spacing w:line="360" w:lineRule="auto"/>
        <w:ind w:firstLine="480" w:firstLineChars="200"/>
        <w:jc w:val="left"/>
        <w:rPr>
          <w:rFonts w:ascii="宋体" w:hAnsi="宋体" w:cs="宋体"/>
          <w:sz w:val="24"/>
        </w:rPr>
      </w:pPr>
      <w:r>
        <w:rPr>
          <w:rFonts w:hint="eastAsia" w:ascii="宋体" w:hAnsi="宋体" w:cs="宋体"/>
          <w:sz w:val="24"/>
        </w:rPr>
        <w:t>3.供应商不存在直接管理关系的，则填“无”。</w:t>
      </w:r>
    </w:p>
    <w:p w14:paraId="2745901A">
      <w:pPr>
        <w:snapToGrid w:val="0"/>
        <w:spacing w:line="360" w:lineRule="auto"/>
        <w:jc w:val="left"/>
        <w:rPr>
          <w:rFonts w:ascii="宋体" w:hAnsi="宋体" w:cs="宋体"/>
          <w:sz w:val="24"/>
        </w:rPr>
      </w:pPr>
    </w:p>
    <w:p w14:paraId="32B60432">
      <w:pPr>
        <w:snapToGrid w:val="0"/>
        <w:spacing w:line="360" w:lineRule="auto"/>
        <w:jc w:val="left"/>
        <w:rPr>
          <w:rFonts w:ascii="宋体" w:hAnsi="宋体" w:cs="宋体"/>
          <w:sz w:val="24"/>
        </w:rPr>
      </w:pPr>
    </w:p>
    <w:p w14:paraId="0BCBC856">
      <w:pPr>
        <w:snapToGrid w:val="0"/>
        <w:spacing w:line="360" w:lineRule="auto"/>
        <w:jc w:val="left"/>
        <w:rPr>
          <w:rFonts w:ascii="宋体" w:hAnsi="宋体" w:cs="宋体"/>
          <w:sz w:val="24"/>
        </w:rPr>
      </w:pPr>
    </w:p>
    <w:p w14:paraId="23D13A60">
      <w:pPr>
        <w:snapToGrid w:val="0"/>
        <w:spacing w:line="360" w:lineRule="auto"/>
        <w:jc w:val="left"/>
        <w:rPr>
          <w:rFonts w:ascii="宋体" w:hAnsi="宋体" w:cs="宋体"/>
          <w:sz w:val="24"/>
        </w:rPr>
      </w:pPr>
    </w:p>
    <w:p w14:paraId="2CB93205">
      <w:pPr>
        <w:snapToGrid w:val="0"/>
        <w:spacing w:line="360" w:lineRule="auto"/>
        <w:jc w:val="left"/>
        <w:rPr>
          <w:rFonts w:ascii="宋体" w:hAnsi="宋体" w:cs="宋体"/>
          <w:sz w:val="24"/>
        </w:rPr>
      </w:pPr>
    </w:p>
    <w:p w14:paraId="57C0A5AF">
      <w:pPr>
        <w:snapToGrid w:val="0"/>
        <w:spacing w:line="360" w:lineRule="auto"/>
        <w:jc w:val="left"/>
        <w:rPr>
          <w:rFonts w:ascii="宋体" w:hAnsi="宋体" w:cs="宋体"/>
          <w:sz w:val="24"/>
        </w:rPr>
      </w:pPr>
    </w:p>
    <w:p w14:paraId="14A10970">
      <w:pPr>
        <w:snapToGrid w:val="0"/>
        <w:spacing w:line="360" w:lineRule="auto"/>
        <w:jc w:val="left"/>
        <w:rPr>
          <w:rFonts w:ascii="宋体" w:hAnsi="宋体" w:cs="宋体"/>
          <w:sz w:val="24"/>
        </w:rPr>
      </w:pPr>
    </w:p>
    <w:p w14:paraId="00F3BF85">
      <w:pPr>
        <w:snapToGrid w:val="0"/>
        <w:spacing w:line="360" w:lineRule="auto"/>
        <w:jc w:val="left"/>
        <w:rPr>
          <w:rFonts w:ascii="宋体" w:hAnsi="宋体" w:cs="宋体"/>
          <w:sz w:val="24"/>
        </w:rPr>
      </w:pPr>
    </w:p>
    <w:p w14:paraId="2206FCC7">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011C1F43">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EE7F876">
      <w:pPr>
        <w:snapToGrid w:val="0"/>
        <w:spacing w:before="165" w:beforeLines="50" w:after="50" w:line="360" w:lineRule="auto"/>
        <w:jc w:val="left"/>
        <w:rPr>
          <w:rFonts w:ascii="宋体" w:hAnsi="宋体" w:cs="宋体"/>
          <w:b/>
          <w:sz w:val="24"/>
        </w:rPr>
      </w:pPr>
    </w:p>
    <w:p w14:paraId="1433A206">
      <w:pPr>
        <w:snapToGrid w:val="0"/>
        <w:spacing w:before="165" w:beforeLines="50" w:after="50" w:line="360" w:lineRule="auto"/>
        <w:jc w:val="left"/>
        <w:rPr>
          <w:rFonts w:ascii="宋体" w:hAnsi="宋体" w:cs="宋体"/>
          <w:b/>
          <w:sz w:val="24"/>
          <w:szCs w:val="20"/>
        </w:rPr>
      </w:pPr>
      <w:r>
        <w:rPr>
          <w:rFonts w:hint="eastAsia" w:ascii="宋体" w:hAnsi="宋体" w:cs="宋体"/>
          <w:b/>
          <w:sz w:val="24"/>
          <w:szCs w:val="20"/>
        </w:rPr>
        <w:t xml:space="preserve"> </w:t>
      </w:r>
    </w:p>
    <w:p w14:paraId="1BDB6AAB">
      <w:pPr>
        <w:snapToGrid w:val="0"/>
        <w:spacing w:before="50" w:after="165" w:afterLines="50" w:line="360" w:lineRule="auto"/>
        <w:jc w:val="center"/>
        <w:rPr>
          <w:rFonts w:ascii="宋体" w:hAnsi="宋体" w:cs="宋体"/>
          <w:b/>
          <w:sz w:val="32"/>
          <w:szCs w:val="32"/>
        </w:rPr>
        <w:sectPr>
          <w:pgSz w:w="11906" w:h="16838"/>
          <w:pgMar w:top="1440" w:right="1080" w:bottom="1440" w:left="1080" w:header="720" w:footer="720" w:gutter="0"/>
          <w:cols w:space="720" w:num="1"/>
          <w:docGrid w:type="lines" w:linePitch="331" w:charSpace="0"/>
        </w:sectPr>
      </w:pPr>
    </w:p>
    <w:p w14:paraId="4B97D539">
      <w:pPr>
        <w:snapToGrid w:val="0"/>
        <w:spacing w:before="50" w:after="165" w:afterLines="50" w:line="360" w:lineRule="auto"/>
        <w:jc w:val="center"/>
        <w:rPr>
          <w:rFonts w:ascii="宋体" w:hAnsi="宋体" w:cs="宋体"/>
          <w:b/>
          <w:sz w:val="32"/>
          <w:szCs w:val="32"/>
        </w:rPr>
      </w:pPr>
      <w:r>
        <w:rPr>
          <w:rFonts w:hint="eastAsia" w:ascii="宋体" w:hAnsi="宋体" w:cs="宋体"/>
          <w:b/>
          <w:sz w:val="32"/>
          <w:szCs w:val="32"/>
        </w:rPr>
        <w:t>六、投标资格声明</w:t>
      </w:r>
    </w:p>
    <w:p w14:paraId="1ADBC0E7">
      <w:pPr>
        <w:tabs>
          <w:tab w:val="left" w:pos="7200"/>
        </w:tabs>
        <w:spacing w:line="360" w:lineRule="auto"/>
        <w:rPr>
          <w:rFonts w:ascii="宋体" w:hAnsi="宋体" w:cs="宋体"/>
          <w:szCs w:val="21"/>
          <w:u w:val="single"/>
        </w:rPr>
      </w:pPr>
      <w:r>
        <w:rPr>
          <w:rFonts w:hint="eastAsia" w:ascii="宋体" w:hAnsi="宋体" w:cs="宋体"/>
          <w:szCs w:val="21"/>
        </w:rPr>
        <w:t>致：</w:t>
      </w:r>
      <w:r>
        <w:rPr>
          <w:rFonts w:hint="eastAsia" w:ascii="宋体" w:hAnsi="宋体" w:cs="宋体"/>
          <w:szCs w:val="21"/>
          <w:u w:val="single"/>
        </w:rPr>
        <w:t xml:space="preserve"> </w:t>
      </w:r>
    </w:p>
    <w:p w14:paraId="7B84258C">
      <w:pPr>
        <w:snapToGrid w:val="0"/>
        <w:spacing w:line="360" w:lineRule="auto"/>
        <w:ind w:firstLine="420" w:firstLineChars="200"/>
        <w:jc w:val="left"/>
        <w:rPr>
          <w:rFonts w:ascii="宋体" w:hAnsi="宋体" w:cs="宋体"/>
          <w:szCs w:val="21"/>
        </w:rPr>
      </w:pPr>
      <w:r>
        <w:rPr>
          <w:rFonts w:hint="eastAsia" w:ascii="宋体" w:hAnsi="宋体" w:cs="宋体"/>
          <w:szCs w:val="21"/>
        </w:rPr>
        <w:t>我方愿意参加贵方组织的_</w:t>
      </w:r>
      <w:r>
        <w:rPr>
          <w:rFonts w:hint="eastAsia" w:ascii="宋体" w:hAnsi="宋体" w:cs="宋体"/>
          <w:szCs w:val="21"/>
          <w:u w:val="single"/>
        </w:rPr>
        <w:t xml:space="preserve">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）项目的投标，为便于贵方公正、择优的确定中标人，我方就本次投标有关事项郑重声明如下：</w:t>
      </w:r>
    </w:p>
    <w:p w14:paraId="17A15E94">
      <w:pPr>
        <w:snapToGrid w:val="0"/>
        <w:spacing w:line="360" w:lineRule="auto"/>
        <w:ind w:firstLine="420" w:firstLineChars="200"/>
        <w:jc w:val="left"/>
        <w:rPr>
          <w:rFonts w:ascii="宋体" w:hAnsi="宋体" w:cs="宋体"/>
          <w:szCs w:val="21"/>
        </w:rPr>
      </w:pPr>
      <w:r>
        <w:rPr>
          <w:rFonts w:hint="eastAsia" w:ascii="宋体" w:hAnsi="宋体" w:cs="宋体"/>
          <w:szCs w:val="21"/>
        </w:rPr>
        <w:t>1.我方承诺已经具备《中华人民共和国政府采购法》第二十二条中规定的参加政府采购活动的供应商应当具备的条件并按本项目投标文件“第三章”“第一节 投标人须知前附表”中“资格证明文件组成”完整提供证明材料。</w:t>
      </w:r>
    </w:p>
    <w:p w14:paraId="24B60AD7">
      <w:pPr>
        <w:snapToGrid w:val="0"/>
        <w:spacing w:line="360" w:lineRule="auto"/>
        <w:ind w:firstLine="420" w:firstLineChars="200"/>
        <w:jc w:val="left"/>
        <w:rPr>
          <w:rFonts w:ascii="宋体" w:hAnsi="宋体" w:cs="宋体"/>
          <w:szCs w:val="21"/>
        </w:rPr>
      </w:pPr>
      <w:r>
        <w:rPr>
          <w:rFonts w:hint="eastAsia" w:ascii="宋体" w:hAnsi="宋体" w:cs="宋体"/>
          <w:szCs w:val="21"/>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6CAA0FC">
      <w:pPr>
        <w:snapToGrid w:val="0"/>
        <w:spacing w:line="360" w:lineRule="auto"/>
        <w:ind w:firstLine="420" w:firstLineChars="200"/>
        <w:jc w:val="left"/>
        <w:rPr>
          <w:rFonts w:ascii="宋体" w:hAnsi="宋体" w:cs="宋体"/>
          <w:szCs w:val="21"/>
        </w:rPr>
      </w:pPr>
      <w:r>
        <w:rPr>
          <w:rFonts w:hint="eastAsia" w:ascii="宋体" w:hAnsi="宋体" w:cs="宋体"/>
          <w:szCs w:val="21"/>
        </w:rPr>
        <w:t>3.经查询，在“信用中国”和“中国政府采购网”网站我方未被列入失信被执行人、重大税收违法失信主体、政府采购严重违法失信行为记录名单。</w:t>
      </w:r>
    </w:p>
    <w:p w14:paraId="568EDD4E">
      <w:pPr>
        <w:snapToGrid w:val="0"/>
        <w:spacing w:line="360" w:lineRule="auto"/>
        <w:ind w:firstLine="420" w:firstLineChars="200"/>
        <w:jc w:val="left"/>
        <w:rPr>
          <w:rFonts w:ascii="宋体" w:hAnsi="宋体" w:cs="宋体"/>
          <w:szCs w:val="21"/>
        </w:rPr>
      </w:pPr>
      <w:r>
        <w:rPr>
          <w:rFonts w:hint="eastAsia" w:ascii="宋体" w:hAnsi="宋体" w:cs="宋体"/>
          <w:szCs w:val="21"/>
        </w:rPr>
        <w:t xml:space="preserve">4.以上事项如有虚假或隐瞒，我方愿意承担一切后果，并不再寻求任何旨在减轻或免除法律责任的辩解。 </w:t>
      </w:r>
    </w:p>
    <w:p w14:paraId="41CCD99E">
      <w:pPr>
        <w:tabs>
          <w:tab w:val="left" w:pos="7200"/>
        </w:tabs>
        <w:spacing w:line="360" w:lineRule="auto"/>
        <w:ind w:firstLine="270" w:firstLineChars="150"/>
        <w:rPr>
          <w:rFonts w:ascii="宋体" w:hAnsi="宋体" w:cs="宋体"/>
          <w:sz w:val="18"/>
          <w:szCs w:val="18"/>
        </w:rPr>
      </w:pPr>
      <w:r>
        <w:rPr>
          <w:rFonts w:hint="eastAsia" w:ascii="宋体" w:hAnsi="宋体" w:cs="宋体"/>
          <w:sz w:val="18"/>
          <w:szCs w:val="18"/>
        </w:rPr>
        <w:t>说明：</w:t>
      </w:r>
    </w:p>
    <w:p w14:paraId="6AC56BE5">
      <w:pPr>
        <w:spacing w:line="360" w:lineRule="auto"/>
        <w:ind w:firstLine="360" w:firstLineChars="200"/>
        <w:jc w:val="left"/>
        <w:rPr>
          <w:rFonts w:ascii="宋体" w:hAnsi="宋体" w:cs="宋体"/>
          <w:sz w:val="18"/>
          <w:szCs w:val="18"/>
        </w:rPr>
      </w:pPr>
      <w:r>
        <w:rPr>
          <w:rFonts w:hint="eastAsia" w:ascii="宋体" w:hAnsi="宋体" w:cs="宋体"/>
          <w:sz w:val="18"/>
          <w:szCs w:val="18"/>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32C926CE">
      <w:pPr>
        <w:spacing w:line="360" w:lineRule="auto"/>
        <w:ind w:firstLine="360" w:firstLineChars="200"/>
        <w:jc w:val="left"/>
        <w:rPr>
          <w:rFonts w:ascii="宋体" w:hAnsi="宋体" w:cs="宋体"/>
          <w:sz w:val="18"/>
          <w:szCs w:val="18"/>
        </w:rPr>
      </w:pPr>
      <w:r>
        <w:rPr>
          <w:rFonts w:hint="eastAsia" w:ascii="宋体" w:hAnsi="宋体" w:cs="宋体"/>
          <w:sz w:val="18"/>
          <w:szCs w:val="18"/>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9E274FD">
      <w:pPr>
        <w:snapToGrid w:val="0"/>
        <w:spacing w:before="50" w:after="165" w:afterLines="50" w:line="360" w:lineRule="auto"/>
        <w:jc w:val="left"/>
        <w:rPr>
          <w:rFonts w:ascii="宋体" w:hAnsi="宋体" w:cs="宋体"/>
          <w:sz w:val="18"/>
          <w:szCs w:val="18"/>
        </w:rPr>
      </w:pPr>
      <w:r>
        <w:rPr>
          <w:rFonts w:hint="eastAsia" w:ascii="宋体" w:hAnsi="宋体" w:cs="宋体"/>
          <w:sz w:val="18"/>
          <w:szCs w:val="18"/>
        </w:rPr>
        <w:t xml:space="preserve"> </w:t>
      </w:r>
      <w:r>
        <w:rPr>
          <w:rFonts w:hint="eastAsia" w:ascii="宋体" w:hAnsi="宋体" w:cs="宋体"/>
          <w:b/>
          <w:sz w:val="18"/>
          <w:szCs w:val="18"/>
        </w:rPr>
        <w:t xml:space="preserve">  3.如为联合体投标，盖章处须加盖联合体各方公章并由联合体各方法定代表人分别签署，否则投标无效。</w:t>
      </w:r>
    </w:p>
    <w:p w14:paraId="2FAF0B0B">
      <w:pPr>
        <w:snapToGrid w:val="0"/>
        <w:spacing w:before="50" w:after="331" w:afterLines="100" w:line="360" w:lineRule="auto"/>
        <w:jc w:val="left"/>
        <w:rPr>
          <w:rFonts w:ascii="宋体" w:hAnsi="宋体" w:cs="宋体"/>
          <w:sz w:val="24"/>
        </w:rPr>
      </w:pPr>
      <w:r>
        <w:rPr>
          <w:rFonts w:hint="eastAsia" w:ascii="宋体" w:hAnsi="宋体" w:cs="宋体"/>
          <w:sz w:val="24"/>
        </w:rPr>
        <w:t xml:space="preserve">                                     </w:t>
      </w:r>
    </w:p>
    <w:p w14:paraId="69476582">
      <w:pPr>
        <w:snapToGrid w:val="0"/>
        <w:spacing w:before="50" w:after="331" w:afterLines="100" w:line="360" w:lineRule="auto"/>
        <w:ind w:left="7428" w:leftChars="2223" w:hanging="2760" w:hangingChars="1150"/>
        <w:jc w:val="left"/>
        <w:rPr>
          <w:rFonts w:ascii="宋体" w:hAnsi="宋体" w:cs="宋体"/>
          <w:kern w:val="0"/>
          <w:sz w:val="24"/>
          <w:lang w:val="zh-CN"/>
        </w:rPr>
      </w:pPr>
      <w:r>
        <w:rPr>
          <w:rFonts w:hint="eastAsia" w:ascii="宋体" w:hAnsi="宋体" w:cs="宋体"/>
          <w:sz w:val="24"/>
        </w:rPr>
        <w:t xml:space="preserve">  </w:t>
      </w:r>
      <w:r>
        <w:rPr>
          <w:rFonts w:hint="eastAsia" w:ascii="宋体" w:hAnsi="宋体" w:cs="宋体"/>
          <w:kern w:val="0"/>
          <w:sz w:val="24"/>
          <w:lang w:val="zh-CN"/>
        </w:rPr>
        <w:t>投标人名称（电子签章）：</w:t>
      </w:r>
      <w:r>
        <w:rPr>
          <w:rFonts w:hint="eastAsia" w:ascii="宋体" w:hAnsi="宋体" w:cs="宋体"/>
          <w:szCs w:val="21"/>
        </w:rPr>
        <w:t xml:space="preserve">                                     年    月    日</w:t>
      </w:r>
    </w:p>
    <w:p w14:paraId="730E1520">
      <w:pPr>
        <w:pStyle w:val="12"/>
        <w:spacing w:line="360" w:lineRule="auto"/>
        <w:jc w:val="center"/>
        <w:rPr>
          <w:rFonts w:hAnsi="宋体" w:cs="宋体"/>
          <w:b/>
          <w:bCs/>
          <w:sz w:val="30"/>
          <w:szCs w:val="30"/>
        </w:rPr>
      </w:pPr>
    </w:p>
    <w:p w14:paraId="7E4D51DA">
      <w:pPr>
        <w:pStyle w:val="12"/>
        <w:spacing w:line="360" w:lineRule="auto"/>
        <w:jc w:val="center"/>
        <w:rPr>
          <w:rFonts w:hAnsi="宋体" w:cs="宋体"/>
          <w:b/>
          <w:bCs/>
          <w:sz w:val="30"/>
          <w:szCs w:val="30"/>
        </w:rPr>
        <w:sectPr>
          <w:pgSz w:w="11906" w:h="16838"/>
          <w:pgMar w:top="1440" w:right="1080" w:bottom="1440" w:left="1080" w:header="720" w:footer="720" w:gutter="0"/>
          <w:cols w:space="720" w:num="1"/>
          <w:docGrid w:type="lines" w:linePitch="331" w:charSpace="0"/>
        </w:sectPr>
      </w:pPr>
    </w:p>
    <w:p w14:paraId="774A0151">
      <w:pPr>
        <w:pStyle w:val="12"/>
        <w:spacing w:line="360" w:lineRule="auto"/>
        <w:jc w:val="center"/>
        <w:rPr>
          <w:rFonts w:hAnsi="宋体" w:cs="宋体"/>
        </w:rPr>
      </w:pPr>
      <w:r>
        <w:rPr>
          <w:rFonts w:hint="eastAsia" w:hAnsi="宋体" w:cs="宋体"/>
          <w:b/>
          <w:bCs/>
          <w:sz w:val="30"/>
          <w:szCs w:val="30"/>
        </w:rPr>
        <w:t>七、联合体协议书</w:t>
      </w:r>
    </w:p>
    <w:p w14:paraId="6D217AA2">
      <w:pPr>
        <w:autoSpaceDE w:val="0"/>
        <w:autoSpaceDN w:val="0"/>
        <w:adjustRightInd w:val="0"/>
        <w:spacing w:line="360" w:lineRule="auto"/>
        <w:jc w:val="left"/>
        <w:rPr>
          <w:rFonts w:ascii="宋体" w:hAnsi="宋体" w:cs="宋体"/>
          <w:kern w:val="0"/>
          <w:szCs w:val="21"/>
          <w:u w:val="single"/>
        </w:rPr>
      </w:pPr>
    </w:p>
    <w:p w14:paraId="386A7C95">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（所有成员单位名称）自愿组成联合体，共同参加</w:t>
      </w:r>
      <w:r>
        <w:rPr>
          <w:rFonts w:hint="eastAsia" w:ascii="宋体" w:hAnsi="宋体" w:cs="宋体"/>
          <w:kern w:val="0"/>
          <w:szCs w:val="21"/>
          <w:u w:val="single"/>
        </w:rPr>
        <w:t xml:space="preserve">           </w:t>
      </w:r>
      <w:r>
        <w:rPr>
          <w:rFonts w:hint="eastAsia" w:ascii="宋体" w:hAnsi="宋体" w:cs="宋体"/>
          <w:kern w:val="0"/>
          <w:szCs w:val="21"/>
        </w:rPr>
        <w:t>组织的</w:t>
      </w:r>
      <w:r>
        <w:rPr>
          <w:rFonts w:hint="eastAsia" w:ascii="宋体" w:hAnsi="宋体" w:cs="宋体"/>
          <w:kern w:val="0"/>
          <w:szCs w:val="21"/>
          <w:u w:val="single"/>
        </w:rPr>
        <w:t xml:space="preserve">              </w:t>
      </w:r>
      <w:r>
        <w:rPr>
          <w:rFonts w:hint="eastAsia" w:ascii="宋体" w:hAnsi="宋体" w:cs="宋体"/>
          <w:kern w:val="0"/>
          <w:szCs w:val="21"/>
        </w:rPr>
        <w:t>（项目编号：</w:t>
      </w:r>
      <w:r>
        <w:rPr>
          <w:rFonts w:hint="eastAsia" w:ascii="宋体" w:hAnsi="宋体" w:cs="宋体"/>
          <w:kern w:val="0"/>
          <w:szCs w:val="21"/>
          <w:u w:val="single"/>
        </w:rPr>
        <w:t xml:space="preserve">           </w:t>
      </w:r>
      <w:r>
        <w:rPr>
          <w:rFonts w:hint="eastAsia" w:ascii="宋体" w:hAnsi="宋体" w:cs="宋体"/>
          <w:kern w:val="0"/>
          <w:szCs w:val="21"/>
        </w:rPr>
        <w:t>）投标。现就联合体投标事宜订立如下协议：</w:t>
      </w:r>
    </w:p>
    <w:p w14:paraId="683A30F9">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1、</w:t>
      </w:r>
      <w:r>
        <w:rPr>
          <w:rFonts w:hint="eastAsia" w:ascii="宋体" w:hAnsi="宋体" w:cs="宋体"/>
        </w:rPr>
        <w:t>________________________</w:t>
      </w:r>
      <w:r>
        <w:rPr>
          <w:rFonts w:hint="eastAsia" w:ascii="宋体" w:hAnsi="宋体" w:cs="宋体"/>
          <w:kern w:val="0"/>
          <w:szCs w:val="21"/>
        </w:rPr>
        <w:t>（某成员单位名称）为联合体名称牵头人。</w:t>
      </w:r>
    </w:p>
    <w:p w14:paraId="1B75C04A">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0F5E85B7">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3、联合体牵头人在本项目中签署和盖章的一切文件和处理的一切事宜，联合体各成员均予以承认。 联合体各成员将严格按照招标文件、投标文件和合同的要求全面履行义务，并向招标人承担连带责任。</w:t>
      </w:r>
    </w:p>
    <w:p w14:paraId="383C851D">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4、联合体各成员单位内部的职责分工如下</w:t>
      </w:r>
      <w:r>
        <w:rPr>
          <w:rFonts w:hint="eastAsia" w:ascii="宋体" w:hAnsi="宋体" w:cs="宋体"/>
          <w:kern w:val="0"/>
          <w:szCs w:val="21"/>
          <w:u w:val="single"/>
        </w:rPr>
        <w:t xml:space="preserve">：                                     </w:t>
      </w:r>
      <w:r>
        <w:rPr>
          <w:rFonts w:hint="eastAsia" w:ascii="宋体" w:hAnsi="宋体" w:cs="宋体"/>
          <w:kern w:val="0"/>
          <w:szCs w:val="21"/>
        </w:rPr>
        <w:t>。</w:t>
      </w:r>
    </w:p>
    <w:p w14:paraId="04CB75E4">
      <w:pPr>
        <w:pStyle w:val="12"/>
        <w:spacing w:line="360" w:lineRule="auto"/>
        <w:ind w:firstLine="420" w:firstLineChars="200"/>
        <w:rPr>
          <w:rFonts w:hAnsi="宋体" w:cs="宋体"/>
          <w:szCs w:val="21"/>
        </w:rPr>
      </w:pPr>
      <w:r>
        <w:rPr>
          <w:rFonts w:hint="eastAsia" w:hAnsi="宋体" w:cs="宋体"/>
          <w:kern w:val="0"/>
        </w:rPr>
        <w:t>5、本联合体中</w:t>
      </w:r>
      <w:r>
        <w:rPr>
          <w:rFonts w:hint="eastAsia" w:hAnsi="宋体" w:cs="宋体"/>
          <w:kern w:val="0"/>
          <w:u w:val="single"/>
        </w:rPr>
        <w:t>，</w:t>
      </w:r>
      <w:r>
        <w:rPr>
          <w:rFonts w:hint="eastAsia" w:hAnsi="宋体" w:cs="宋体"/>
          <w:kern w:val="0"/>
          <w:szCs w:val="21"/>
          <w:u w:val="single"/>
        </w:rPr>
        <w:t xml:space="preserve">               </w:t>
      </w:r>
      <w:r>
        <w:rPr>
          <w:rFonts w:hint="eastAsia" w:hAnsi="宋体" w:cs="宋体"/>
          <w:kern w:val="0"/>
          <w:u w:val="single"/>
        </w:rPr>
        <w:t>（某成员单位名称）为</w:t>
      </w:r>
      <w:r>
        <w:rPr>
          <w:rFonts w:hint="eastAsia" w:hAnsi="宋体" w:cs="宋体"/>
          <w:kern w:val="0"/>
          <w:szCs w:val="21"/>
          <w:u w:val="single"/>
        </w:rPr>
        <w:t xml:space="preserve">         </w:t>
      </w:r>
      <w:r>
        <w:rPr>
          <w:rFonts w:hint="eastAsia" w:hAnsi="宋体" w:cs="宋体"/>
        </w:rPr>
        <w:t>（请填写：中型、小型、微型）企业，其协议合同金额占联合体协议合同总金额的</w:t>
      </w:r>
      <w:r>
        <w:rPr>
          <w:rFonts w:hint="eastAsia" w:hAnsi="宋体" w:cs="宋体"/>
          <w:kern w:val="0"/>
          <w:szCs w:val="21"/>
          <w:u w:val="single"/>
        </w:rPr>
        <w:t xml:space="preserve">       </w:t>
      </w:r>
      <w:r>
        <w:rPr>
          <w:rFonts w:hint="eastAsia" w:hAnsi="宋体" w:cs="宋体"/>
        </w:rPr>
        <w:t>%。【如联合体成员中有小型、微型企业的，请填写此条，否则无需填写；如联合体成员中有多个小型、微型企业的，请逐一列出。】</w:t>
      </w:r>
    </w:p>
    <w:p w14:paraId="0C7662D4">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6、本协议书自签署之日起生效，合同履行完毕后自动失效。</w:t>
      </w:r>
    </w:p>
    <w:p w14:paraId="34BA1EEE">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7、本协议书一式</w:t>
      </w:r>
      <w:r>
        <w:rPr>
          <w:rFonts w:hint="eastAsia" w:ascii="宋体" w:hAnsi="宋体" w:cs="宋体"/>
          <w:kern w:val="0"/>
          <w:szCs w:val="21"/>
          <w:u w:val="single"/>
        </w:rPr>
        <w:t xml:space="preserve">    </w:t>
      </w:r>
      <w:r>
        <w:rPr>
          <w:rFonts w:hint="eastAsia" w:ascii="宋体" w:hAnsi="宋体" w:cs="宋体"/>
          <w:kern w:val="0"/>
          <w:szCs w:val="21"/>
        </w:rPr>
        <w:t>份，联合体成员和采购代理机构各执一份。</w:t>
      </w:r>
    </w:p>
    <w:p w14:paraId="634167FA">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注：本协议书由法定代表人签字的，应附法定代表人身份证明；本协议书由委托代理人签字的，应附法定代表人授权委托书。</w:t>
      </w:r>
    </w:p>
    <w:p w14:paraId="5F3EC1A7">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牵头人名称：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059809B9">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14:paraId="34B9C0D2">
      <w:pPr>
        <w:autoSpaceDE w:val="0"/>
        <w:autoSpaceDN w:val="0"/>
        <w:adjustRightInd w:val="0"/>
        <w:spacing w:line="360" w:lineRule="auto"/>
        <w:jc w:val="left"/>
        <w:rPr>
          <w:rFonts w:ascii="宋体" w:hAnsi="宋体" w:cs="宋体"/>
          <w:kern w:val="0"/>
          <w:szCs w:val="21"/>
        </w:rPr>
      </w:pPr>
    </w:p>
    <w:p w14:paraId="5526FE1F">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成员一名称：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53EFD030">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14:paraId="3212B4FA">
      <w:pPr>
        <w:autoSpaceDE w:val="0"/>
        <w:autoSpaceDN w:val="0"/>
        <w:adjustRightInd w:val="0"/>
        <w:spacing w:line="360" w:lineRule="auto"/>
        <w:jc w:val="left"/>
        <w:rPr>
          <w:rFonts w:ascii="宋体" w:hAnsi="宋体" w:cs="宋体"/>
          <w:kern w:val="0"/>
          <w:szCs w:val="21"/>
        </w:rPr>
      </w:pPr>
    </w:p>
    <w:p w14:paraId="12B5B81C">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成员二名称：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6064C31E">
      <w:pPr>
        <w:pStyle w:val="12"/>
        <w:spacing w:line="360" w:lineRule="auto"/>
        <w:rPr>
          <w:rFonts w:hAnsi="宋体" w:cs="宋体"/>
          <w:kern w:val="0"/>
          <w:szCs w:val="21"/>
        </w:rPr>
        <w:sectPr>
          <w:pgSz w:w="11906" w:h="16838"/>
          <w:pgMar w:top="1440" w:right="1080" w:bottom="1440" w:left="1080" w:header="720" w:footer="720" w:gutter="0"/>
          <w:cols w:space="720" w:num="1"/>
          <w:docGrid w:type="lines" w:linePitch="331" w:charSpace="0"/>
        </w:sectPr>
      </w:pPr>
      <w:r>
        <w:rPr>
          <w:rFonts w:hint="eastAsia" w:hAnsi="宋体" w:cs="宋体"/>
          <w:kern w:val="0"/>
          <w:szCs w:val="21"/>
        </w:rPr>
        <w:t>法定代表人或其委托代理人：</w:t>
      </w:r>
      <w:r>
        <w:rPr>
          <w:rFonts w:hint="eastAsia" w:hAnsi="宋体" w:cs="宋体"/>
          <w:kern w:val="0"/>
          <w:szCs w:val="21"/>
          <w:u w:val="single"/>
        </w:rPr>
        <w:t xml:space="preserve">                         </w:t>
      </w:r>
      <w:r>
        <w:rPr>
          <w:rFonts w:hint="eastAsia" w:hAnsi="宋体" w:cs="宋体"/>
          <w:kern w:val="0"/>
          <w:szCs w:val="21"/>
        </w:rPr>
        <w:t>（手写签名/电子签名）</w:t>
      </w:r>
    </w:p>
    <w:p w14:paraId="149E318A">
      <w:pPr>
        <w:pStyle w:val="12"/>
        <w:spacing w:line="360" w:lineRule="auto"/>
        <w:jc w:val="center"/>
        <w:rPr>
          <w:rFonts w:hAnsi="宋体" w:cs="宋体"/>
          <w:b/>
          <w:bCs/>
          <w:sz w:val="30"/>
          <w:szCs w:val="30"/>
        </w:rPr>
      </w:pPr>
      <w:r>
        <w:rPr>
          <w:rFonts w:hint="eastAsia" w:hAnsi="宋体" w:cs="宋体"/>
          <w:b/>
          <w:bCs/>
          <w:sz w:val="30"/>
          <w:szCs w:val="30"/>
        </w:rPr>
        <w:t>八、符合特定资格或条件（如有）的有关证明材料</w:t>
      </w:r>
    </w:p>
    <w:p w14:paraId="13DF343B">
      <w:pPr>
        <w:pStyle w:val="12"/>
        <w:spacing w:line="360" w:lineRule="auto"/>
        <w:jc w:val="center"/>
        <w:rPr>
          <w:rFonts w:hAnsi="宋体" w:cs="宋体"/>
          <w:b/>
          <w:bCs/>
          <w:sz w:val="30"/>
          <w:szCs w:val="30"/>
        </w:rPr>
      </w:pPr>
    </w:p>
    <w:p w14:paraId="74E37EA4">
      <w:pPr>
        <w:pStyle w:val="12"/>
        <w:spacing w:line="360" w:lineRule="auto"/>
        <w:jc w:val="center"/>
        <w:rPr>
          <w:rFonts w:hAnsi="宋体" w:cs="宋体"/>
          <w:b/>
          <w:bCs/>
          <w:sz w:val="30"/>
          <w:szCs w:val="30"/>
        </w:rPr>
      </w:pPr>
    </w:p>
    <w:p w14:paraId="567E5728">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47E283DB">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7E938BB">
      <w:pPr>
        <w:pStyle w:val="12"/>
        <w:spacing w:line="360" w:lineRule="auto"/>
        <w:jc w:val="center"/>
        <w:rPr>
          <w:rFonts w:hAnsi="宋体" w:cs="宋体"/>
        </w:rPr>
      </w:pPr>
    </w:p>
    <w:p w14:paraId="29324569">
      <w:pPr>
        <w:autoSpaceDE w:val="0"/>
        <w:autoSpaceDN w:val="0"/>
        <w:adjustRightInd w:val="0"/>
        <w:spacing w:line="360" w:lineRule="auto"/>
        <w:jc w:val="left"/>
        <w:rPr>
          <w:rFonts w:ascii="宋体" w:hAnsi="宋体" w:cs="宋体"/>
          <w:szCs w:val="21"/>
        </w:rPr>
        <w:sectPr>
          <w:pgSz w:w="11906" w:h="16838"/>
          <w:pgMar w:top="1440" w:right="1080" w:bottom="1440" w:left="1080" w:header="720" w:footer="720" w:gutter="0"/>
          <w:cols w:space="720" w:num="1"/>
          <w:docGrid w:type="lines" w:linePitch="331" w:charSpace="0"/>
        </w:sectPr>
      </w:pPr>
    </w:p>
    <w:p w14:paraId="089DA111">
      <w:pPr>
        <w:spacing w:line="360" w:lineRule="auto"/>
        <w:rPr>
          <w:rFonts w:ascii="宋体" w:hAnsi="宋体" w:cs="宋体"/>
        </w:rPr>
      </w:pPr>
    </w:p>
    <w:p w14:paraId="2238CD70">
      <w:pPr>
        <w:pStyle w:val="12"/>
        <w:spacing w:line="360" w:lineRule="auto"/>
        <w:jc w:val="center"/>
        <w:outlineLvl w:val="1"/>
        <w:rPr>
          <w:rFonts w:hAnsi="宋体" w:cs="宋体"/>
          <w:b/>
          <w:bCs/>
          <w:sz w:val="28"/>
          <w:szCs w:val="28"/>
        </w:rPr>
      </w:pPr>
      <w:bookmarkStart w:id="301" w:name="_Toc9533"/>
      <w:bookmarkStart w:id="302" w:name="_Toc19686838"/>
      <w:r>
        <w:rPr>
          <w:rFonts w:hint="eastAsia" w:hAnsi="宋体" w:cs="宋体"/>
          <w:b/>
          <w:bCs/>
          <w:sz w:val="28"/>
          <w:szCs w:val="28"/>
        </w:rPr>
        <w:t>第三节 商务文件格式</w:t>
      </w:r>
      <w:bookmarkEnd w:id="301"/>
      <w:bookmarkEnd w:id="302"/>
    </w:p>
    <w:p w14:paraId="782E075E">
      <w:pPr>
        <w:snapToGrid w:val="0"/>
        <w:spacing w:before="165" w:beforeLines="50" w:after="50" w:line="360" w:lineRule="auto"/>
        <w:rPr>
          <w:rFonts w:ascii="宋体" w:hAnsi="宋体" w:cs="宋体"/>
          <w:sz w:val="30"/>
          <w:szCs w:val="20"/>
        </w:rPr>
      </w:pPr>
    </w:p>
    <w:p w14:paraId="18DD9E82">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 xml:space="preserve">             电子投标文件</w:t>
      </w:r>
    </w:p>
    <w:p w14:paraId="0916905C">
      <w:pPr>
        <w:snapToGrid w:val="0"/>
        <w:spacing w:before="165" w:beforeLines="50" w:after="50" w:line="360" w:lineRule="auto"/>
        <w:rPr>
          <w:rFonts w:ascii="宋体" w:hAnsi="宋体" w:cs="宋体"/>
          <w:sz w:val="24"/>
          <w:szCs w:val="20"/>
        </w:rPr>
      </w:pPr>
    </w:p>
    <w:p w14:paraId="41ACD690">
      <w:pPr>
        <w:snapToGrid w:val="0"/>
        <w:spacing w:before="165" w:beforeLines="50" w:after="50" w:line="360" w:lineRule="auto"/>
        <w:jc w:val="center"/>
        <w:rPr>
          <w:rFonts w:ascii="宋体" w:hAnsi="宋体" w:cs="宋体"/>
          <w:b/>
          <w:sz w:val="24"/>
          <w:szCs w:val="20"/>
        </w:rPr>
      </w:pPr>
      <w:r>
        <w:rPr>
          <w:rFonts w:hint="eastAsia" w:ascii="宋体" w:hAnsi="宋体" w:cs="宋体"/>
          <w:b/>
          <w:sz w:val="32"/>
          <w:szCs w:val="32"/>
        </w:rPr>
        <w:t>商务文件（封面）</w:t>
      </w:r>
    </w:p>
    <w:p w14:paraId="1EB0348C">
      <w:pPr>
        <w:snapToGrid w:val="0"/>
        <w:spacing w:before="165" w:beforeLines="50" w:after="50" w:line="360" w:lineRule="auto"/>
        <w:rPr>
          <w:rFonts w:ascii="宋体" w:hAnsi="宋体" w:cs="宋体"/>
          <w:bCs/>
          <w:sz w:val="24"/>
          <w:szCs w:val="20"/>
        </w:rPr>
      </w:pPr>
    </w:p>
    <w:p w14:paraId="68DC975A">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项目名称：</w:t>
      </w:r>
    </w:p>
    <w:p w14:paraId="71A7563F">
      <w:pPr>
        <w:snapToGrid w:val="0"/>
        <w:spacing w:before="165" w:beforeLines="50" w:after="50" w:line="360" w:lineRule="auto"/>
        <w:ind w:firstLine="540" w:firstLineChars="225"/>
        <w:rPr>
          <w:rFonts w:ascii="宋体" w:hAnsi="宋体" w:cs="宋体"/>
          <w:bCs/>
          <w:sz w:val="24"/>
          <w:szCs w:val="20"/>
        </w:rPr>
      </w:pPr>
    </w:p>
    <w:p w14:paraId="3BA4A713">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项目编号：</w:t>
      </w:r>
    </w:p>
    <w:p w14:paraId="36AA44DE">
      <w:pPr>
        <w:snapToGrid w:val="0"/>
        <w:spacing w:before="165" w:beforeLines="50" w:after="50" w:line="360" w:lineRule="auto"/>
        <w:ind w:firstLine="540" w:firstLineChars="225"/>
        <w:rPr>
          <w:rFonts w:ascii="宋体" w:hAnsi="宋体" w:cs="宋体"/>
          <w:bCs/>
          <w:sz w:val="24"/>
          <w:szCs w:val="20"/>
        </w:rPr>
      </w:pPr>
      <w:r>
        <w:rPr>
          <w:rFonts w:hint="eastAsia" w:ascii="宋体" w:hAnsi="宋体" w:cs="宋体"/>
          <w:bCs/>
          <w:sz w:val="24"/>
        </w:rPr>
        <w:t xml:space="preserve"> </w:t>
      </w:r>
    </w:p>
    <w:p w14:paraId="3D20BEA2">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所投分标：（此处有分标时填写具体分标号，无分标时填写“无”）</w:t>
      </w:r>
    </w:p>
    <w:p w14:paraId="2C3E195B">
      <w:pPr>
        <w:snapToGrid w:val="0"/>
        <w:spacing w:before="165" w:beforeLines="50" w:after="50" w:line="360" w:lineRule="auto"/>
        <w:ind w:firstLine="540" w:firstLineChars="225"/>
        <w:rPr>
          <w:rFonts w:ascii="宋体" w:hAnsi="宋体" w:cs="宋体"/>
          <w:bCs/>
          <w:sz w:val="24"/>
          <w:szCs w:val="20"/>
        </w:rPr>
      </w:pPr>
    </w:p>
    <w:p w14:paraId="655F7CFE">
      <w:pPr>
        <w:pStyle w:val="7"/>
        <w:snapToGrid w:val="0"/>
        <w:spacing w:before="50" w:after="50" w:line="360" w:lineRule="auto"/>
        <w:ind w:firstLine="540" w:firstLineChars="225"/>
        <w:rPr>
          <w:rFonts w:ascii="宋体" w:hAnsi="宋体" w:cs="宋体"/>
          <w:bCs/>
          <w:sz w:val="24"/>
          <w:szCs w:val="24"/>
        </w:rPr>
      </w:pPr>
      <w:r>
        <w:rPr>
          <w:rFonts w:hint="eastAsia" w:ascii="宋体" w:hAnsi="宋体" w:cs="宋体"/>
          <w:bCs/>
          <w:sz w:val="24"/>
          <w:szCs w:val="24"/>
        </w:rPr>
        <w:t>投标人名称：</w:t>
      </w:r>
    </w:p>
    <w:p w14:paraId="1B4AFA50">
      <w:pPr>
        <w:pStyle w:val="7"/>
        <w:snapToGrid w:val="0"/>
        <w:spacing w:before="50" w:after="50" w:line="360" w:lineRule="auto"/>
        <w:ind w:firstLine="540" w:firstLineChars="225"/>
        <w:rPr>
          <w:rFonts w:ascii="宋体" w:hAnsi="宋体" w:cs="宋体"/>
          <w:bCs/>
          <w:sz w:val="24"/>
          <w:szCs w:val="24"/>
        </w:rPr>
      </w:pPr>
    </w:p>
    <w:p w14:paraId="267180F7">
      <w:pPr>
        <w:pStyle w:val="7"/>
        <w:snapToGrid w:val="0"/>
        <w:spacing w:before="50" w:after="50" w:line="360" w:lineRule="auto"/>
        <w:ind w:firstLine="540" w:firstLineChars="225"/>
        <w:rPr>
          <w:rFonts w:ascii="宋体" w:hAnsi="宋体" w:cs="宋体"/>
          <w:bCs/>
          <w:sz w:val="24"/>
          <w:szCs w:val="24"/>
        </w:rPr>
      </w:pPr>
      <w:r>
        <w:rPr>
          <w:rFonts w:hint="eastAsia" w:ascii="宋体" w:hAnsi="宋体" w:cs="宋体"/>
          <w:bCs/>
          <w:sz w:val="24"/>
          <w:szCs w:val="24"/>
        </w:rPr>
        <w:t>投标人地址：</w:t>
      </w:r>
    </w:p>
    <w:p w14:paraId="6B6D5C85">
      <w:pPr>
        <w:pStyle w:val="7"/>
        <w:snapToGrid w:val="0"/>
        <w:spacing w:before="50" w:after="50" w:line="360" w:lineRule="auto"/>
        <w:ind w:firstLine="960" w:firstLineChars="400"/>
        <w:rPr>
          <w:rFonts w:ascii="宋体" w:hAnsi="宋体" w:cs="宋体"/>
          <w:bCs/>
          <w:sz w:val="24"/>
          <w:szCs w:val="24"/>
        </w:rPr>
      </w:pPr>
    </w:p>
    <w:p w14:paraId="5D833D85">
      <w:pPr>
        <w:snapToGrid w:val="0"/>
        <w:spacing w:before="165" w:beforeLines="50" w:after="50" w:line="360" w:lineRule="auto"/>
        <w:ind w:firstLine="645"/>
        <w:rPr>
          <w:rFonts w:ascii="宋体" w:hAnsi="宋体" w:cs="宋体"/>
          <w:sz w:val="24"/>
        </w:rPr>
      </w:pPr>
      <w:r>
        <w:rPr>
          <w:rFonts w:hint="eastAsia" w:ascii="宋体" w:hAnsi="宋体" w:cs="宋体"/>
          <w:sz w:val="24"/>
        </w:rPr>
        <w:t xml:space="preserve">                        年  月  日</w:t>
      </w:r>
    </w:p>
    <w:p w14:paraId="0EDC040A">
      <w:pPr>
        <w:snapToGrid w:val="0"/>
        <w:spacing w:before="165" w:beforeLines="50" w:after="50" w:line="360" w:lineRule="auto"/>
        <w:rPr>
          <w:rFonts w:ascii="宋体" w:hAnsi="宋体" w:cs="宋体"/>
          <w:sz w:val="24"/>
          <w:szCs w:val="20"/>
        </w:rPr>
      </w:pPr>
      <w:r>
        <w:rPr>
          <w:rFonts w:hint="eastAsia" w:ascii="宋体" w:hAnsi="宋体" w:cs="宋体"/>
          <w:sz w:val="24"/>
          <w:szCs w:val="20"/>
        </w:rPr>
        <w:t xml:space="preserve"> </w:t>
      </w:r>
    </w:p>
    <w:p w14:paraId="2993BC9D">
      <w:pPr>
        <w:spacing w:line="360" w:lineRule="auto"/>
        <w:ind w:right="420"/>
        <w:rPr>
          <w:rFonts w:ascii="宋体" w:hAnsi="宋体" w:cs="宋体"/>
          <w:sz w:val="24"/>
          <w:szCs w:val="20"/>
        </w:rPr>
      </w:pPr>
    </w:p>
    <w:p w14:paraId="23B7A9BB">
      <w:pPr>
        <w:spacing w:line="360" w:lineRule="auto"/>
        <w:ind w:right="420"/>
        <w:rPr>
          <w:rFonts w:ascii="宋体" w:hAnsi="宋体" w:cs="宋体"/>
          <w:sz w:val="24"/>
          <w:szCs w:val="20"/>
        </w:rPr>
      </w:pPr>
    </w:p>
    <w:p w14:paraId="57F7247A">
      <w:pPr>
        <w:spacing w:line="360" w:lineRule="auto"/>
        <w:rPr>
          <w:rFonts w:ascii="宋体" w:hAnsi="宋体" w:cs="宋体"/>
          <w:b/>
          <w:kern w:val="0"/>
          <w:sz w:val="24"/>
        </w:rPr>
      </w:pPr>
    </w:p>
    <w:p w14:paraId="3F3F4957">
      <w:pPr>
        <w:spacing w:line="360" w:lineRule="auto"/>
        <w:jc w:val="center"/>
        <w:rPr>
          <w:rFonts w:ascii="宋体" w:hAnsi="宋体" w:cs="宋体"/>
          <w:b/>
          <w:kern w:val="0"/>
          <w:sz w:val="28"/>
          <w:szCs w:val="28"/>
        </w:rPr>
        <w:sectPr>
          <w:pgSz w:w="11906" w:h="16838"/>
          <w:pgMar w:top="1440" w:right="1080" w:bottom="1440" w:left="1080" w:header="720" w:footer="720" w:gutter="0"/>
          <w:cols w:space="720" w:num="1"/>
          <w:docGrid w:type="lines" w:linePitch="331" w:charSpace="0"/>
        </w:sectPr>
      </w:pPr>
    </w:p>
    <w:p w14:paraId="79ED7375">
      <w:pPr>
        <w:spacing w:line="360" w:lineRule="auto"/>
        <w:jc w:val="center"/>
        <w:rPr>
          <w:rFonts w:ascii="宋体" w:hAnsi="宋体" w:cs="宋体"/>
          <w:b/>
          <w:kern w:val="0"/>
          <w:sz w:val="28"/>
          <w:szCs w:val="28"/>
        </w:rPr>
      </w:pPr>
      <w:r>
        <w:rPr>
          <w:rFonts w:hint="eastAsia" w:ascii="宋体" w:hAnsi="宋体" w:cs="宋体"/>
          <w:b/>
          <w:kern w:val="0"/>
          <w:sz w:val="28"/>
          <w:szCs w:val="28"/>
        </w:rPr>
        <w:t>商务文件目录</w:t>
      </w:r>
    </w:p>
    <w:p w14:paraId="25733C14">
      <w:pPr>
        <w:pStyle w:val="34"/>
        <w:spacing w:line="360" w:lineRule="auto"/>
        <w:rPr>
          <w:rFonts w:ascii="宋体" w:hAnsi="宋体" w:eastAsia="宋体" w:cs="宋体"/>
        </w:rPr>
      </w:pPr>
      <w:r>
        <w:rPr>
          <w:rFonts w:hint="eastAsia" w:ascii="宋体" w:hAnsi="宋体" w:eastAsia="宋体" w:cs="宋体"/>
        </w:rPr>
        <w:t>一、无串通投标行为承诺函………………………………………………………（页码）</w:t>
      </w:r>
    </w:p>
    <w:p w14:paraId="50D48662">
      <w:pPr>
        <w:pStyle w:val="34"/>
        <w:spacing w:line="360" w:lineRule="auto"/>
        <w:rPr>
          <w:rFonts w:ascii="宋体" w:hAnsi="宋体" w:eastAsia="宋体" w:cs="宋体"/>
        </w:rPr>
      </w:pPr>
      <w:r>
        <w:rPr>
          <w:rFonts w:hint="eastAsia" w:ascii="宋体" w:hAnsi="宋体" w:eastAsia="宋体" w:cs="宋体"/>
        </w:rPr>
        <w:t>二、法定代表人身份证明及法定代表人有效身份证正反面复印件………（页码）</w:t>
      </w:r>
    </w:p>
    <w:p w14:paraId="04344382">
      <w:pPr>
        <w:pStyle w:val="34"/>
        <w:spacing w:line="360" w:lineRule="auto"/>
        <w:rPr>
          <w:rFonts w:ascii="宋体" w:hAnsi="宋体" w:eastAsia="宋体" w:cs="宋体"/>
        </w:rPr>
      </w:pPr>
      <w:r>
        <w:rPr>
          <w:rFonts w:hint="eastAsia" w:ascii="宋体" w:hAnsi="宋体" w:eastAsia="宋体" w:cs="宋体"/>
        </w:rPr>
        <w:t>三、法定代表人授权委托书（如有委托时）……………………………………（页码）</w:t>
      </w:r>
    </w:p>
    <w:p w14:paraId="640E86E6">
      <w:pPr>
        <w:pStyle w:val="34"/>
        <w:spacing w:line="360" w:lineRule="auto"/>
        <w:rPr>
          <w:rFonts w:ascii="宋体" w:hAnsi="宋体" w:eastAsia="宋体" w:cs="宋体"/>
        </w:rPr>
      </w:pPr>
      <w:r>
        <w:rPr>
          <w:rFonts w:hint="eastAsia" w:ascii="宋体" w:hAnsi="宋体" w:eastAsia="宋体" w:cs="宋体"/>
        </w:rPr>
        <w:t>四、</w:t>
      </w:r>
      <w:r>
        <w:rPr>
          <w:rFonts w:hint="eastAsia" w:ascii="宋体" w:hAnsi="宋体" w:eastAsia="宋体" w:cs="宋体"/>
          <w:lang w:val="zh-CN"/>
        </w:rPr>
        <w:t>商务条款偏离表………………………………</w:t>
      </w:r>
      <w:r>
        <w:rPr>
          <w:rFonts w:hint="eastAsia" w:ascii="宋体" w:hAnsi="宋体" w:eastAsia="宋体" w:cs="宋体"/>
        </w:rPr>
        <w:t>………………………………（页码）</w:t>
      </w:r>
    </w:p>
    <w:p w14:paraId="1C5A19FF">
      <w:pPr>
        <w:pStyle w:val="34"/>
        <w:spacing w:line="360" w:lineRule="auto"/>
        <w:rPr>
          <w:rFonts w:ascii="宋体" w:hAnsi="宋体" w:eastAsia="宋体" w:cs="宋体"/>
        </w:rPr>
      </w:pPr>
      <w:bookmarkStart w:id="303" w:name="OLE_LINK6"/>
      <w:bookmarkStart w:id="304" w:name="OLE_LINK7"/>
      <w:bookmarkStart w:id="305" w:name="OLE_LINK5"/>
      <w:r>
        <w:rPr>
          <w:rFonts w:hint="eastAsia" w:ascii="宋体" w:hAnsi="宋体" w:eastAsia="宋体" w:cs="宋体"/>
        </w:rPr>
        <w:t>五、投标人情况介绍</w:t>
      </w:r>
      <w:r>
        <w:rPr>
          <w:rFonts w:hint="eastAsia" w:ascii="宋体" w:hAnsi="宋体" w:eastAsia="宋体" w:cs="宋体"/>
          <w:lang w:val="zh-CN"/>
        </w:rPr>
        <w:t>………………………………</w:t>
      </w:r>
      <w:r>
        <w:rPr>
          <w:rFonts w:hint="eastAsia" w:ascii="宋体" w:hAnsi="宋体" w:eastAsia="宋体" w:cs="宋体"/>
        </w:rPr>
        <w:t>………………………………（页码）</w:t>
      </w:r>
    </w:p>
    <w:p w14:paraId="47A40974">
      <w:pPr>
        <w:pStyle w:val="34"/>
        <w:spacing w:line="360" w:lineRule="auto"/>
        <w:rPr>
          <w:rFonts w:ascii="宋体" w:hAnsi="宋体" w:eastAsia="宋体" w:cs="宋体"/>
        </w:rPr>
      </w:pPr>
      <w:r>
        <w:rPr>
          <w:rFonts w:hint="eastAsia" w:ascii="宋体" w:hAnsi="宋体" w:eastAsia="宋体" w:cs="宋体"/>
        </w:rPr>
        <w:t>六、投标人类似业绩的证明文件（如有要求）</w:t>
      </w:r>
      <w:r>
        <w:rPr>
          <w:rFonts w:hint="eastAsia" w:ascii="宋体" w:hAnsi="宋体" w:eastAsia="宋体" w:cs="宋体"/>
          <w:lang w:val="zh-CN"/>
        </w:rPr>
        <w:t>…………………………………</w:t>
      </w:r>
      <w:r>
        <w:rPr>
          <w:rFonts w:hint="eastAsia" w:ascii="宋体" w:hAnsi="宋体" w:eastAsia="宋体" w:cs="宋体"/>
        </w:rPr>
        <w:t>…（页码）</w:t>
      </w:r>
      <w:bookmarkEnd w:id="303"/>
      <w:bookmarkEnd w:id="304"/>
    </w:p>
    <w:p w14:paraId="7B0B7B5B">
      <w:pPr>
        <w:pStyle w:val="34"/>
        <w:spacing w:line="360" w:lineRule="auto"/>
        <w:rPr>
          <w:rFonts w:ascii="宋体" w:hAnsi="宋体" w:eastAsia="宋体" w:cs="宋体"/>
        </w:rPr>
      </w:pPr>
      <w:r>
        <w:rPr>
          <w:rFonts w:hint="eastAsia" w:ascii="宋体" w:hAnsi="宋体" w:eastAsia="宋体" w:cs="宋体"/>
        </w:rPr>
        <w:t>七、其他商务文件或说明</w:t>
      </w:r>
      <w:r>
        <w:rPr>
          <w:rFonts w:hint="eastAsia" w:ascii="宋体" w:hAnsi="宋体" w:eastAsia="宋体" w:cs="宋体"/>
          <w:lang w:val="zh-CN"/>
        </w:rPr>
        <w:t>…………………………………………………………</w:t>
      </w:r>
      <w:r>
        <w:rPr>
          <w:rFonts w:hint="eastAsia" w:ascii="宋体" w:hAnsi="宋体" w:eastAsia="宋体" w:cs="宋体"/>
        </w:rPr>
        <w:t>…（页码）</w:t>
      </w:r>
    </w:p>
    <w:bookmarkEnd w:id="305"/>
    <w:p w14:paraId="0288588F">
      <w:pPr>
        <w:spacing w:line="360" w:lineRule="auto"/>
        <w:rPr>
          <w:rFonts w:ascii="宋体" w:hAnsi="宋体" w:cs="宋体"/>
          <w:b/>
          <w:bCs/>
          <w:sz w:val="24"/>
        </w:rPr>
      </w:pPr>
      <w:r>
        <w:rPr>
          <w:rFonts w:hint="eastAsia" w:ascii="宋体" w:hAnsi="宋体" w:cs="宋体"/>
          <w:b/>
          <w:bCs/>
          <w:sz w:val="24"/>
        </w:rPr>
        <w:t>注：以上目录是基本格式要求，各投标人可根据自身情况进一步向下增加内容或细化。</w:t>
      </w:r>
    </w:p>
    <w:p w14:paraId="43BA1B39">
      <w:pPr>
        <w:snapToGrid w:val="0"/>
        <w:spacing w:line="360" w:lineRule="auto"/>
        <w:ind w:firstLine="420" w:firstLineChars="200"/>
        <w:jc w:val="left"/>
        <w:rPr>
          <w:rFonts w:ascii="宋体" w:hAnsi="宋体" w:cs="宋体"/>
        </w:rPr>
        <w:sectPr>
          <w:pgSz w:w="11906" w:h="16838"/>
          <w:pgMar w:top="1440" w:right="1080" w:bottom="1440" w:left="1080" w:header="720" w:footer="720" w:gutter="0"/>
          <w:cols w:space="720" w:num="1"/>
          <w:docGrid w:type="lines" w:linePitch="331" w:charSpace="0"/>
        </w:sectPr>
      </w:pPr>
    </w:p>
    <w:p w14:paraId="55B3392B">
      <w:pPr>
        <w:snapToGrid w:val="0"/>
        <w:spacing w:before="120" w:beforeLines="50" w:after="50" w:line="360" w:lineRule="auto"/>
        <w:ind w:left="420"/>
        <w:jc w:val="center"/>
        <w:rPr>
          <w:rFonts w:ascii="宋体" w:hAnsi="宋体" w:cs="宋体"/>
          <w:b/>
          <w:bCs/>
          <w:sz w:val="30"/>
          <w:szCs w:val="30"/>
        </w:rPr>
      </w:pPr>
      <w:r>
        <w:rPr>
          <w:rFonts w:hint="eastAsia" w:ascii="宋体" w:hAnsi="宋体" w:cs="宋体"/>
          <w:b/>
          <w:bCs/>
          <w:sz w:val="30"/>
          <w:szCs w:val="30"/>
        </w:rPr>
        <w:t>一、无串通投标行为承诺函</w:t>
      </w:r>
    </w:p>
    <w:p w14:paraId="57A500D5">
      <w:pPr>
        <w:snapToGrid w:val="0"/>
        <w:spacing w:before="120" w:beforeLines="50" w:after="50" w:line="360" w:lineRule="auto"/>
        <w:ind w:left="420"/>
        <w:jc w:val="center"/>
        <w:rPr>
          <w:rFonts w:ascii="宋体" w:hAnsi="宋体" w:cs="宋体"/>
          <w:b/>
          <w:sz w:val="32"/>
          <w:szCs w:val="32"/>
        </w:rPr>
      </w:pPr>
      <w:r>
        <w:rPr>
          <w:rFonts w:hint="eastAsia" w:ascii="宋体" w:hAnsi="宋体" w:cs="宋体"/>
          <w:b/>
          <w:sz w:val="32"/>
          <w:szCs w:val="32"/>
        </w:rPr>
        <w:t>投标人参加本项目无围标串通投标行为的承诺函</w:t>
      </w:r>
    </w:p>
    <w:p w14:paraId="701DDFE4">
      <w:pPr>
        <w:snapToGrid w:val="0"/>
        <w:spacing w:before="120" w:beforeLines="50" w:after="50" w:line="360" w:lineRule="auto"/>
        <w:rPr>
          <w:rFonts w:ascii="宋体" w:hAnsi="宋体" w:cs="宋体"/>
          <w:b/>
          <w:szCs w:val="21"/>
        </w:rPr>
      </w:pPr>
    </w:p>
    <w:p w14:paraId="452318FA">
      <w:pPr>
        <w:snapToGrid w:val="0"/>
        <w:spacing w:before="120" w:beforeLines="50" w:after="50" w:line="360" w:lineRule="auto"/>
        <w:jc w:val="left"/>
        <w:rPr>
          <w:rFonts w:ascii="宋体" w:hAnsi="宋体" w:cs="宋体"/>
          <w:b/>
          <w:szCs w:val="21"/>
        </w:rPr>
      </w:pPr>
      <w:r>
        <w:rPr>
          <w:rFonts w:hint="eastAsia" w:ascii="宋体" w:hAnsi="宋体" w:cs="宋体"/>
          <w:b/>
          <w:szCs w:val="21"/>
        </w:rPr>
        <w:t>一、我方承诺无下列相互串通投标的情形：</w:t>
      </w:r>
    </w:p>
    <w:p w14:paraId="6E81FF11">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1.不同投标人的投标文件由同一单位或者个人编制；或者不同投标人报名的IP地址一致的；或者编制标书硬件设备CPU编号、硬盘编号、网卡地址一致的情况。</w:t>
      </w:r>
    </w:p>
    <w:p w14:paraId="0C231DA0">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2.不同投标人委托同一单位或者个人办理投标事宜；</w:t>
      </w:r>
    </w:p>
    <w:p w14:paraId="3A342CB6">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3.不同的投标人的投标文件载明的项目管理员为同一个人；</w:t>
      </w:r>
    </w:p>
    <w:p w14:paraId="7EA414AF">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4.不同投标人的投标文件异常一致或者投标报价呈规律性差异；</w:t>
      </w:r>
    </w:p>
    <w:p w14:paraId="77BA8438">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5.不同投标人的投标文件相互混装；</w:t>
      </w:r>
    </w:p>
    <w:p w14:paraId="496F41EB">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6.不同投标人的投标保证金从同一单位或者个人账户转出。</w:t>
      </w:r>
    </w:p>
    <w:p w14:paraId="4C40ABAA">
      <w:pPr>
        <w:snapToGrid w:val="0"/>
        <w:spacing w:before="120" w:beforeLines="50" w:after="50" w:line="360" w:lineRule="auto"/>
        <w:jc w:val="left"/>
        <w:rPr>
          <w:rFonts w:ascii="宋体" w:hAnsi="宋体" w:cs="宋体"/>
          <w:szCs w:val="21"/>
        </w:rPr>
      </w:pPr>
      <w:r>
        <w:rPr>
          <w:rFonts w:hint="eastAsia" w:ascii="宋体" w:hAnsi="宋体" w:cs="宋体"/>
          <w:b/>
          <w:szCs w:val="21"/>
        </w:rPr>
        <w:t>二、我方承诺无下列恶意串通的情形：</w:t>
      </w:r>
    </w:p>
    <w:p w14:paraId="680663AF">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1.投标人直接或者间接从采购人或者采购代理机构处获得其他投标人的相关信息并修改其投标文件或者投标文件；</w:t>
      </w:r>
    </w:p>
    <w:p w14:paraId="582B22FD">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2.投标人按照采购人或者采购代理机构的授意撤换、修改投标文件或者投标文件；</w:t>
      </w:r>
    </w:p>
    <w:p w14:paraId="09EA2BC4">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3.投标人之间协商报价、技术方案等投标文件或者投标文件的实质性内容；</w:t>
      </w:r>
    </w:p>
    <w:p w14:paraId="779DA83C">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4.属于同一集团、协会、商会等组织成员的投标人按照该组织要求协同参加政府采购活动；</w:t>
      </w:r>
    </w:p>
    <w:p w14:paraId="764C022D">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5.投标人之间事先约定一致抬高或者压低投标报价，或者在招标项目中事先约定轮流以高价位或者低价位中标，或者事先约定由某一特定投标人中标，然后再参加投标；</w:t>
      </w:r>
    </w:p>
    <w:p w14:paraId="5CFC6644">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6.投标人之间商定部分投标人放弃参加政府采购活动或者放弃中标；</w:t>
      </w:r>
    </w:p>
    <w:p w14:paraId="59EC2A86">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7.投标人与采购人或者采购代理机构之间、投标人相互之间，为谋求特定投标人中标或者排斥其他投标人的其他串通行为。</w:t>
      </w:r>
    </w:p>
    <w:p w14:paraId="54283F21">
      <w:pPr>
        <w:snapToGrid w:val="0"/>
        <w:spacing w:before="120" w:beforeLines="50" w:after="50" w:line="360" w:lineRule="auto"/>
        <w:ind w:firstLine="413" w:firstLineChars="196"/>
        <w:jc w:val="left"/>
        <w:rPr>
          <w:rFonts w:ascii="宋体" w:hAnsi="宋体" w:cs="宋体"/>
          <w:b/>
          <w:szCs w:val="21"/>
        </w:rPr>
      </w:pPr>
      <w:r>
        <w:rPr>
          <w:rFonts w:hint="eastAsia" w:ascii="宋体" w:hAnsi="宋体" w:cs="宋体"/>
          <w:b/>
          <w:szCs w:val="21"/>
        </w:rPr>
        <w:t>以上情形一经核查属实，接受政府采购监管部门对我方认定存在围标串标行为，我方愿意承担一切后果，并不再寻求任何旨在减轻或者免除法律责任的辩解。</w:t>
      </w:r>
    </w:p>
    <w:p w14:paraId="270AB6C6">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61127EF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D9E2DBD">
      <w:pPr>
        <w:pStyle w:val="12"/>
        <w:snapToGrid w:val="0"/>
        <w:spacing w:before="295" w:after="295" w:line="360" w:lineRule="auto"/>
        <w:jc w:val="center"/>
        <w:rPr>
          <w:rFonts w:hAnsi="宋体" w:cs="宋体"/>
          <w:b/>
          <w:sz w:val="24"/>
        </w:rPr>
      </w:pPr>
      <w:r>
        <w:rPr>
          <w:rFonts w:hint="eastAsia" w:hAnsi="宋体" w:cs="宋体"/>
          <w:b/>
          <w:sz w:val="24"/>
        </w:rPr>
        <w:br w:type="page"/>
      </w:r>
      <w:r>
        <w:rPr>
          <w:rFonts w:hint="eastAsia" w:hAnsi="宋体" w:cs="宋体"/>
          <w:b/>
          <w:bCs/>
          <w:sz w:val="30"/>
          <w:szCs w:val="30"/>
        </w:rPr>
        <w:t>二、法定代表人身份证明</w:t>
      </w:r>
    </w:p>
    <w:p w14:paraId="584D7B3C">
      <w:pPr>
        <w:spacing w:before="240" w:beforeLines="100" w:after="120" w:afterLines="50" w:line="360" w:lineRule="auto"/>
        <w:ind w:left="540"/>
        <w:jc w:val="center"/>
        <w:rPr>
          <w:rFonts w:ascii="宋体" w:hAnsi="宋体" w:cs="宋体"/>
          <w:b/>
          <w:sz w:val="32"/>
          <w:szCs w:val="32"/>
        </w:rPr>
      </w:pPr>
    </w:p>
    <w:p w14:paraId="2F7D82E4">
      <w:pPr>
        <w:spacing w:before="240" w:beforeLines="100" w:after="120" w:afterLines="50" w:line="360" w:lineRule="auto"/>
        <w:ind w:left="540"/>
        <w:jc w:val="center"/>
        <w:rPr>
          <w:rFonts w:ascii="宋体" w:hAnsi="宋体" w:cs="宋体"/>
          <w:sz w:val="32"/>
          <w:szCs w:val="32"/>
        </w:rPr>
      </w:pPr>
      <w:r>
        <w:rPr>
          <w:rFonts w:hint="eastAsia" w:ascii="宋体" w:hAnsi="宋体" w:cs="宋体"/>
          <w:b/>
          <w:sz w:val="32"/>
          <w:szCs w:val="32"/>
        </w:rPr>
        <w:t>法定代表人身份证明</w:t>
      </w:r>
    </w:p>
    <w:p w14:paraId="7D133359">
      <w:pPr>
        <w:spacing w:line="360" w:lineRule="auto"/>
        <w:ind w:left="540"/>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w:t>
      </w:r>
    </w:p>
    <w:p w14:paraId="64A5EB52">
      <w:pPr>
        <w:spacing w:line="360" w:lineRule="auto"/>
        <w:ind w:left="54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4C418AB8">
      <w:pPr>
        <w:spacing w:line="360" w:lineRule="auto"/>
        <w:ind w:left="54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14:paraId="09739E32">
      <w:pPr>
        <w:spacing w:line="360" w:lineRule="auto"/>
        <w:ind w:left="540"/>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14:paraId="3388A67A">
      <w:pPr>
        <w:spacing w:line="360" w:lineRule="auto"/>
        <w:ind w:left="54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1C6766A5">
      <w:pPr>
        <w:spacing w:line="360" w:lineRule="auto"/>
        <w:ind w:left="54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（投标人名称）              </w:t>
      </w:r>
      <w:r>
        <w:rPr>
          <w:rFonts w:hint="eastAsia" w:ascii="宋体" w:hAnsi="宋体" w:cs="宋体"/>
          <w:sz w:val="24"/>
        </w:rPr>
        <w:t>的法定代表人。</w:t>
      </w:r>
    </w:p>
    <w:p w14:paraId="45D996FE">
      <w:pPr>
        <w:spacing w:line="360" w:lineRule="auto"/>
        <w:ind w:left="540"/>
        <w:rPr>
          <w:rFonts w:ascii="宋体" w:hAnsi="宋体" w:cs="宋体"/>
          <w:sz w:val="24"/>
        </w:rPr>
      </w:pPr>
      <w:r>
        <w:rPr>
          <w:rFonts w:hint="eastAsia" w:ascii="宋体" w:hAnsi="宋体" w:cs="宋体"/>
          <w:sz w:val="24"/>
        </w:rPr>
        <w:t>特此证明。</w:t>
      </w:r>
    </w:p>
    <w:p w14:paraId="478259F3">
      <w:pPr>
        <w:spacing w:line="360" w:lineRule="auto"/>
        <w:ind w:left="540"/>
        <w:rPr>
          <w:rFonts w:ascii="宋体" w:hAnsi="宋体" w:cs="宋体"/>
          <w:sz w:val="24"/>
        </w:rPr>
      </w:pPr>
    </w:p>
    <w:p w14:paraId="6EC1AAA6">
      <w:pPr>
        <w:spacing w:line="360" w:lineRule="auto"/>
        <w:ind w:left="540"/>
        <w:rPr>
          <w:rFonts w:ascii="宋体" w:hAnsi="宋体" w:cs="宋体"/>
          <w:sz w:val="24"/>
        </w:rPr>
      </w:pPr>
    </w:p>
    <w:p w14:paraId="16BC8750">
      <w:pPr>
        <w:spacing w:line="360" w:lineRule="auto"/>
        <w:ind w:left="540"/>
        <w:rPr>
          <w:rFonts w:ascii="宋体" w:hAnsi="宋体" w:cs="宋体"/>
          <w:sz w:val="24"/>
        </w:rPr>
      </w:pPr>
      <w:r>
        <w:rPr>
          <w:rFonts w:hint="eastAsia" w:ascii="宋体" w:hAnsi="宋体" w:cs="宋体"/>
          <w:sz w:val="24"/>
        </w:rPr>
        <w:t>附件：法定代表人有效身份证正反面复印件</w:t>
      </w:r>
    </w:p>
    <w:p w14:paraId="599FB5D8">
      <w:pPr>
        <w:spacing w:line="360" w:lineRule="auto"/>
        <w:ind w:left="540"/>
        <w:rPr>
          <w:rFonts w:ascii="宋体" w:hAnsi="宋体" w:cs="宋体"/>
          <w:sz w:val="24"/>
        </w:rPr>
      </w:pPr>
    </w:p>
    <w:p w14:paraId="5F0FF8A2">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02C23E8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0E5E5E2">
      <w:pPr>
        <w:snapToGrid w:val="0"/>
        <w:spacing w:before="120" w:beforeLines="50" w:after="50" w:line="360" w:lineRule="auto"/>
        <w:jc w:val="center"/>
        <w:rPr>
          <w:rFonts w:ascii="宋体" w:hAnsi="宋体" w:cs="宋体"/>
          <w:b/>
          <w:sz w:val="24"/>
        </w:rPr>
      </w:pPr>
    </w:p>
    <w:p w14:paraId="3EB10052">
      <w:pPr>
        <w:snapToGrid w:val="0"/>
        <w:spacing w:before="120" w:beforeLines="50" w:after="50" w:line="360" w:lineRule="auto"/>
        <w:ind w:firstLine="600" w:firstLineChars="250"/>
        <w:jc w:val="left"/>
        <w:rPr>
          <w:rFonts w:ascii="宋体" w:hAnsi="宋体" w:cs="宋体"/>
          <w:sz w:val="24"/>
        </w:rPr>
      </w:pPr>
      <w:r>
        <w:rPr>
          <w:rFonts w:hint="eastAsia" w:ascii="宋体" w:hAnsi="宋体" w:cs="宋体"/>
          <w:sz w:val="24"/>
        </w:rPr>
        <w:t>注：自然人投标的无需提供</w:t>
      </w:r>
    </w:p>
    <w:p w14:paraId="276625E1">
      <w:pPr>
        <w:snapToGrid w:val="0"/>
        <w:spacing w:before="120" w:beforeLines="50" w:after="50" w:line="360" w:lineRule="auto"/>
        <w:ind w:firstLine="600" w:firstLineChars="250"/>
        <w:jc w:val="left"/>
        <w:rPr>
          <w:rFonts w:ascii="宋体" w:hAnsi="宋体" w:cs="宋体"/>
          <w:sz w:val="24"/>
        </w:rPr>
      </w:pPr>
    </w:p>
    <w:p w14:paraId="14C7E549">
      <w:pPr>
        <w:snapToGrid w:val="0"/>
        <w:spacing w:before="120" w:beforeLines="50" w:after="50" w:line="360" w:lineRule="auto"/>
        <w:ind w:firstLine="602" w:firstLineChars="250"/>
        <w:jc w:val="left"/>
        <w:rPr>
          <w:rFonts w:ascii="宋体" w:hAnsi="宋体" w:cs="宋体"/>
          <w:b/>
          <w:sz w:val="24"/>
          <w:szCs w:val="20"/>
        </w:rPr>
      </w:pPr>
    </w:p>
    <w:tbl>
      <w:tblPr>
        <w:tblStyle w:val="24"/>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0686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tcPr>
          <w:p w14:paraId="53B3CC01">
            <w:pPr>
              <w:spacing w:line="360" w:lineRule="auto"/>
              <w:rPr>
                <w:rFonts w:ascii="宋体" w:hAnsi="宋体" w:cs="宋体"/>
                <w:b/>
                <w:sz w:val="24"/>
              </w:rPr>
            </w:pPr>
          </w:p>
          <w:p w14:paraId="33A61BD4">
            <w:pPr>
              <w:spacing w:line="360" w:lineRule="auto"/>
              <w:rPr>
                <w:rFonts w:ascii="宋体" w:hAnsi="宋体" w:cs="宋体"/>
                <w:b/>
                <w:sz w:val="24"/>
              </w:rPr>
            </w:pPr>
            <w:r>
              <w:rPr>
                <w:rFonts w:hint="eastAsia" w:ascii="宋体" w:hAnsi="宋体" w:cs="宋体"/>
                <w:b/>
                <w:sz w:val="24"/>
              </w:rPr>
              <w:t>法定代表身份证复印件粘贴处（正、反面）</w:t>
            </w:r>
          </w:p>
        </w:tc>
      </w:tr>
    </w:tbl>
    <w:p w14:paraId="6D7F043F">
      <w:pPr>
        <w:pStyle w:val="12"/>
        <w:snapToGrid w:val="0"/>
        <w:spacing w:before="295" w:after="295" w:line="360" w:lineRule="auto"/>
        <w:jc w:val="center"/>
        <w:rPr>
          <w:rFonts w:hAnsi="宋体" w:cs="宋体"/>
          <w:b/>
          <w:sz w:val="24"/>
        </w:rPr>
      </w:pPr>
      <w:r>
        <w:rPr>
          <w:rFonts w:hint="eastAsia" w:hAnsi="宋体" w:cs="宋体"/>
          <w:b/>
          <w:sz w:val="24"/>
        </w:rPr>
        <w:t>附件：</w:t>
      </w:r>
      <w:r>
        <w:rPr>
          <w:rFonts w:hint="eastAsia" w:hAnsi="宋体" w:cs="宋体"/>
          <w:b/>
          <w:sz w:val="24"/>
        </w:rPr>
        <w:br w:type="page"/>
      </w:r>
      <w:r>
        <w:rPr>
          <w:rFonts w:hint="eastAsia" w:hAnsi="宋体" w:cs="宋体"/>
          <w:b/>
          <w:bCs/>
          <w:sz w:val="30"/>
          <w:szCs w:val="30"/>
        </w:rPr>
        <w:t>三、法定代表人授权委托书（如有委托时）</w:t>
      </w:r>
    </w:p>
    <w:p w14:paraId="3CD2D79A">
      <w:pPr>
        <w:snapToGrid w:val="0"/>
        <w:spacing w:before="120" w:beforeLines="50" w:after="50" w:line="360" w:lineRule="auto"/>
        <w:jc w:val="center"/>
        <w:rPr>
          <w:rFonts w:ascii="宋体" w:hAnsi="宋体" w:cs="宋体"/>
          <w:b/>
          <w:sz w:val="32"/>
          <w:szCs w:val="32"/>
        </w:rPr>
      </w:pPr>
      <w:r>
        <w:rPr>
          <w:rFonts w:hint="eastAsia" w:ascii="宋体" w:hAnsi="宋体" w:cs="宋体"/>
          <w:b/>
          <w:sz w:val="32"/>
          <w:szCs w:val="32"/>
        </w:rPr>
        <w:t>法定代表人授权委托书</w:t>
      </w:r>
    </w:p>
    <w:p w14:paraId="7FA60C61">
      <w:pPr>
        <w:snapToGrid w:val="0"/>
        <w:spacing w:before="120" w:beforeLines="50" w:after="50" w:line="360" w:lineRule="auto"/>
        <w:jc w:val="center"/>
        <w:rPr>
          <w:rFonts w:ascii="宋体" w:hAnsi="宋体" w:cs="宋体"/>
          <w:b/>
          <w:sz w:val="24"/>
        </w:rPr>
      </w:pPr>
    </w:p>
    <w:p w14:paraId="2035D27C">
      <w:pPr>
        <w:pStyle w:val="12"/>
        <w:spacing w:line="360" w:lineRule="auto"/>
        <w:ind w:firstLine="420" w:firstLineChars="200"/>
        <w:rPr>
          <w:rFonts w:hAnsi="宋体" w:cs="宋体"/>
        </w:rPr>
      </w:pPr>
      <w:r>
        <w:rPr>
          <w:rFonts w:hint="eastAsia" w:hAnsi="宋体" w:cs="宋体"/>
        </w:rPr>
        <w:t>致：</w:t>
      </w:r>
      <w:r>
        <w:rPr>
          <w:rFonts w:hint="eastAsia" w:hAnsi="宋体" w:cs="宋体"/>
          <w:u w:val="single"/>
        </w:rPr>
        <w:t xml:space="preserve">             </w:t>
      </w:r>
    </w:p>
    <w:p w14:paraId="4BD8B297">
      <w:pPr>
        <w:pStyle w:val="12"/>
        <w:spacing w:line="360" w:lineRule="auto"/>
        <w:ind w:firstLine="420" w:firstLineChars="200"/>
        <w:rPr>
          <w:rFonts w:hAnsi="宋体" w:cs="宋体"/>
        </w:rPr>
      </w:pPr>
      <w:r>
        <w:rPr>
          <w:rFonts w:hint="eastAsia" w:hAnsi="宋体" w:cs="宋体"/>
        </w:rPr>
        <w:t>本人</w:t>
      </w:r>
      <w:r>
        <w:rPr>
          <w:rFonts w:hint="eastAsia" w:hAnsi="宋体" w:cs="宋体"/>
          <w:u w:val="single"/>
        </w:rPr>
        <w:t xml:space="preserve">        </w:t>
      </w:r>
      <w:r>
        <w:rPr>
          <w:rFonts w:hint="eastAsia" w:hAnsi="宋体" w:cs="宋体"/>
        </w:rPr>
        <w:t>（姓名）系</w:t>
      </w:r>
      <w:r>
        <w:rPr>
          <w:rFonts w:hint="eastAsia" w:hAnsi="宋体" w:cs="宋体"/>
          <w:u w:val="single"/>
        </w:rPr>
        <w:t xml:space="preserve">                 </w:t>
      </w:r>
      <w:r>
        <w:rPr>
          <w:rFonts w:hint="eastAsia" w:hAnsi="宋体" w:cs="宋体"/>
        </w:rPr>
        <w:t>（投标人名称）的法定代表人，现授权我单位在职正式员工</w:t>
      </w:r>
      <w:r>
        <w:rPr>
          <w:rFonts w:hint="eastAsia" w:hAnsi="宋体" w:cs="宋体"/>
          <w:u w:val="single"/>
        </w:rPr>
        <w:t xml:space="preserve">        </w:t>
      </w:r>
      <w:r>
        <w:rPr>
          <w:rFonts w:hint="eastAsia" w:hAnsi="宋体" w:cs="宋体"/>
        </w:rPr>
        <w:t>（姓名和职务）为我方代理人。代理人根据授权，以我方名义签署、澄清、说明、补正、递交、撤回、修改贵方组织的</w:t>
      </w:r>
      <w:r>
        <w:rPr>
          <w:rFonts w:hint="eastAsia" w:hAnsi="宋体" w:cs="宋体"/>
          <w:u w:val="single"/>
        </w:rPr>
        <w:t xml:space="preserve">           </w:t>
      </w:r>
      <w:r>
        <w:rPr>
          <w:rFonts w:hint="eastAsia" w:hAnsi="宋体" w:cs="宋体"/>
        </w:rPr>
        <w:t>项目（项目编号：</w:t>
      </w:r>
      <w:r>
        <w:rPr>
          <w:rFonts w:hint="eastAsia" w:hAnsi="宋体" w:cs="宋体"/>
          <w:u w:val="single"/>
        </w:rPr>
        <w:t xml:space="preserve">                  </w:t>
      </w:r>
      <w:r>
        <w:rPr>
          <w:rFonts w:hint="eastAsia" w:hAnsi="宋体" w:cs="宋体"/>
        </w:rPr>
        <w:t>）的投标文件、签订合同和处理一切有关事宜，其法律后果由我方承担。</w:t>
      </w:r>
    </w:p>
    <w:p w14:paraId="53483900">
      <w:pPr>
        <w:pStyle w:val="12"/>
        <w:spacing w:line="360" w:lineRule="auto"/>
        <w:ind w:firstLine="420" w:firstLineChars="200"/>
        <w:rPr>
          <w:rFonts w:hAnsi="宋体" w:cs="宋体"/>
        </w:rPr>
      </w:pPr>
      <w:r>
        <w:rPr>
          <w:rFonts w:hint="eastAsia" w:hAnsi="宋体" w:cs="宋体"/>
        </w:rPr>
        <w:t>本授权书于</w:t>
      </w:r>
      <w:r>
        <w:rPr>
          <w:rFonts w:hint="eastAsia" w:hAnsi="宋体" w:cs="宋体"/>
          <w:spacing w:val="10"/>
          <w:sz w:val="24"/>
          <w:u w:val="single"/>
        </w:rPr>
        <w:t xml:space="preserve">    </w:t>
      </w:r>
      <w:r>
        <w:rPr>
          <w:rFonts w:hint="eastAsia" w:hAnsi="宋体" w:cs="宋体"/>
        </w:rPr>
        <w:t>年</w:t>
      </w:r>
      <w:r>
        <w:rPr>
          <w:rFonts w:hint="eastAsia" w:hAnsi="宋体" w:cs="宋体"/>
          <w:spacing w:val="10"/>
          <w:sz w:val="24"/>
          <w:u w:val="single"/>
        </w:rPr>
        <w:t xml:space="preserve">    </w:t>
      </w:r>
      <w:r>
        <w:rPr>
          <w:rFonts w:hint="eastAsia" w:hAnsi="宋体" w:cs="宋体"/>
        </w:rPr>
        <w:t>月</w:t>
      </w:r>
      <w:r>
        <w:rPr>
          <w:rFonts w:hint="eastAsia" w:hAnsi="宋体" w:cs="宋体"/>
          <w:spacing w:val="10"/>
          <w:sz w:val="24"/>
          <w:u w:val="single"/>
        </w:rPr>
        <w:t xml:space="preserve">    </w:t>
      </w:r>
      <w:r>
        <w:rPr>
          <w:rFonts w:hint="eastAsia" w:hAnsi="宋体" w:cs="宋体"/>
        </w:rPr>
        <w:t>日签字生效，委托期限：</w:t>
      </w:r>
      <w:r>
        <w:rPr>
          <w:rFonts w:hint="eastAsia" w:hAnsi="宋体" w:cs="宋体"/>
          <w:spacing w:val="10"/>
          <w:sz w:val="24"/>
          <w:u w:val="single"/>
        </w:rPr>
        <w:t xml:space="preserve">    </w:t>
      </w:r>
      <w:r>
        <w:rPr>
          <w:rFonts w:hint="eastAsia" w:hAnsi="宋体" w:cs="宋体"/>
        </w:rPr>
        <w:t>。</w:t>
      </w:r>
    </w:p>
    <w:p w14:paraId="14BF8F4B">
      <w:pPr>
        <w:pStyle w:val="12"/>
        <w:spacing w:line="360" w:lineRule="auto"/>
        <w:ind w:firstLine="420"/>
        <w:rPr>
          <w:rFonts w:hAnsi="宋体" w:cs="宋体"/>
        </w:rPr>
      </w:pPr>
      <w:r>
        <w:rPr>
          <w:rFonts w:hint="eastAsia" w:hAnsi="宋体" w:cs="宋体"/>
        </w:rPr>
        <w:t>代理人无转委托权。</w:t>
      </w:r>
    </w:p>
    <w:p w14:paraId="13E8DF01">
      <w:pPr>
        <w:pStyle w:val="12"/>
        <w:spacing w:line="360" w:lineRule="auto"/>
        <w:ind w:firstLine="420"/>
        <w:rPr>
          <w:rFonts w:hAnsi="宋体" w:cs="宋体"/>
        </w:rPr>
      </w:pPr>
    </w:p>
    <w:p w14:paraId="67BFEA06">
      <w:pPr>
        <w:pStyle w:val="12"/>
        <w:spacing w:line="360" w:lineRule="auto"/>
        <w:ind w:firstLine="420"/>
        <w:rPr>
          <w:rFonts w:hAnsi="宋体" w:cs="宋体"/>
          <w:u w:val="single"/>
        </w:rPr>
      </w:pPr>
      <w:r>
        <w:rPr>
          <w:rFonts w:hint="eastAsia" w:hAnsi="宋体" w:cs="宋体"/>
        </w:rPr>
        <w:t>投标人（或联合体投标</w:t>
      </w:r>
      <w:r>
        <w:rPr>
          <w:rFonts w:hint="eastAsia" w:hAnsi="宋体" w:cs="宋体"/>
          <w:kern w:val="0"/>
          <w:szCs w:val="21"/>
        </w:rPr>
        <w:t>牵头人名称</w:t>
      </w:r>
      <w:r>
        <w:rPr>
          <w:rFonts w:hint="eastAsia" w:hAnsi="宋体" w:cs="宋体"/>
        </w:rPr>
        <w:t>）（盖单位公章）：</w:t>
      </w:r>
      <w:r>
        <w:rPr>
          <w:rFonts w:hint="eastAsia" w:hAnsi="宋体" w:cs="宋体"/>
          <w:u w:val="single"/>
        </w:rPr>
        <w:t xml:space="preserve">                                    </w:t>
      </w:r>
    </w:p>
    <w:p w14:paraId="4881DF04">
      <w:pPr>
        <w:pStyle w:val="12"/>
        <w:spacing w:line="360" w:lineRule="auto"/>
        <w:ind w:firstLine="420"/>
        <w:rPr>
          <w:rFonts w:hAnsi="宋体" w:cs="宋体"/>
          <w:u w:val="single"/>
        </w:rPr>
      </w:pPr>
      <w:r>
        <w:rPr>
          <w:rFonts w:hint="eastAsia" w:hAnsi="宋体" w:cs="宋体"/>
        </w:rPr>
        <w:t>法定代表人（签字）：</w:t>
      </w:r>
      <w:r>
        <w:rPr>
          <w:rFonts w:hint="eastAsia" w:hAnsi="宋体" w:cs="宋体"/>
          <w:u w:val="single"/>
        </w:rPr>
        <w:t xml:space="preserve">                                </w:t>
      </w:r>
    </w:p>
    <w:p w14:paraId="39557971">
      <w:pPr>
        <w:pStyle w:val="12"/>
        <w:spacing w:line="360" w:lineRule="auto"/>
        <w:ind w:firstLine="420"/>
        <w:rPr>
          <w:rFonts w:hAnsi="宋体" w:cs="宋体"/>
          <w:u w:val="single"/>
        </w:rPr>
      </w:pPr>
      <w:r>
        <w:rPr>
          <w:rFonts w:hint="eastAsia" w:hAnsi="宋体" w:cs="宋体"/>
        </w:rPr>
        <w:t>法定代表人身份证号码：</w:t>
      </w:r>
      <w:r>
        <w:rPr>
          <w:rFonts w:hint="eastAsia" w:hAnsi="宋体" w:cs="宋体"/>
          <w:u w:val="single"/>
        </w:rPr>
        <w:t xml:space="preserve">                                   </w:t>
      </w:r>
    </w:p>
    <w:p w14:paraId="1F20A77D">
      <w:pPr>
        <w:pStyle w:val="12"/>
        <w:spacing w:line="360" w:lineRule="auto"/>
        <w:ind w:firstLine="420" w:firstLineChars="200"/>
        <w:rPr>
          <w:rFonts w:hAnsi="宋体" w:cs="宋体"/>
        </w:rPr>
      </w:pPr>
      <w:r>
        <w:rPr>
          <w:rFonts w:hint="eastAsia" w:hAnsi="宋体" w:cs="宋体"/>
        </w:rPr>
        <w:t>委托代理人（签字）：</w:t>
      </w:r>
      <w:r>
        <w:rPr>
          <w:rFonts w:hint="eastAsia" w:hAnsi="宋体" w:cs="宋体"/>
          <w:u w:val="single"/>
        </w:rPr>
        <w:t xml:space="preserve">                                </w:t>
      </w:r>
    </w:p>
    <w:p w14:paraId="42C62C2B">
      <w:pPr>
        <w:pStyle w:val="12"/>
        <w:spacing w:line="360" w:lineRule="auto"/>
        <w:ind w:firstLine="420"/>
        <w:rPr>
          <w:rFonts w:hAnsi="宋体" w:cs="宋体"/>
          <w:u w:val="single"/>
        </w:rPr>
      </w:pPr>
      <w:r>
        <w:rPr>
          <w:rFonts w:hint="eastAsia" w:hAnsi="宋体" w:cs="宋体"/>
        </w:rPr>
        <w:t>委托代理人身份证号码：</w:t>
      </w:r>
      <w:r>
        <w:rPr>
          <w:rFonts w:hint="eastAsia" w:hAnsi="宋体" w:cs="宋体"/>
          <w:u w:val="single"/>
        </w:rPr>
        <w:t xml:space="preserve">                                   </w:t>
      </w:r>
    </w:p>
    <w:p w14:paraId="47994B95">
      <w:pPr>
        <w:pStyle w:val="12"/>
        <w:spacing w:line="360" w:lineRule="auto"/>
        <w:ind w:firstLine="420"/>
        <w:rPr>
          <w:rFonts w:hAnsi="宋体" w:cs="宋体"/>
          <w:u w:val="single"/>
        </w:rPr>
      </w:pPr>
    </w:p>
    <w:p w14:paraId="5EF5646D">
      <w:pPr>
        <w:pStyle w:val="12"/>
        <w:spacing w:line="360" w:lineRule="auto"/>
        <w:ind w:firstLine="420"/>
        <w:rPr>
          <w:rFonts w:hAnsi="宋体" w:cs="宋体"/>
          <w:u w:val="single"/>
        </w:rPr>
      </w:pPr>
      <w:r>
        <w:rPr>
          <w:rFonts w:hint="eastAsia" w:hAnsi="宋体" w:cs="宋体"/>
          <w:kern w:val="0"/>
          <w:szCs w:val="21"/>
        </w:rPr>
        <w:t>成员一名称：</w:t>
      </w:r>
      <w:r>
        <w:rPr>
          <w:rFonts w:hint="eastAsia" w:hAnsi="宋体" w:cs="宋体"/>
        </w:rPr>
        <w:t>（盖单位公章）：</w:t>
      </w:r>
      <w:r>
        <w:rPr>
          <w:rFonts w:hint="eastAsia" w:hAnsi="宋体" w:cs="宋体"/>
          <w:u w:val="single"/>
        </w:rPr>
        <w:t xml:space="preserve">                                    </w:t>
      </w:r>
    </w:p>
    <w:p w14:paraId="071A8683">
      <w:pPr>
        <w:pStyle w:val="12"/>
        <w:spacing w:line="360" w:lineRule="auto"/>
        <w:ind w:firstLine="420"/>
        <w:rPr>
          <w:rFonts w:hAnsi="宋体" w:cs="宋体"/>
          <w:u w:val="single"/>
        </w:rPr>
      </w:pPr>
      <w:r>
        <w:rPr>
          <w:rFonts w:hint="eastAsia" w:hAnsi="宋体" w:cs="宋体"/>
        </w:rPr>
        <w:t>法定代表人（签字）：</w:t>
      </w:r>
      <w:r>
        <w:rPr>
          <w:rFonts w:hint="eastAsia" w:hAnsi="宋体" w:cs="宋体"/>
          <w:u w:val="single"/>
        </w:rPr>
        <w:t xml:space="preserve">                                </w:t>
      </w:r>
    </w:p>
    <w:p w14:paraId="1FA70C0F">
      <w:pPr>
        <w:pStyle w:val="12"/>
        <w:spacing w:line="360" w:lineRule="auto"/>
        <w:ind w:firstLine="420"/>
        <w:rPr>
          <w:rFonts w:hAnsi="宋体" w:cs="宋体"/>
          <w:u w:val="single"/>
        </w:rPr>
      </w:pPr>
    </w:p>
    <w:p w14:paraId="66866554">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成员二名称：</w:t>
      </w:r>
      <w:r>
        <w:rPr>
          <w:rFonts w:hint="eastAsia" w:ascii="宋体" w:hAnsi="宋体" w:cs="宋体"/>
          <w:kern w:val="0"/>
          <w:szCs w:val="21"/>
          <w:u w:val="single"/>
        </w:rPr>
        <w:t xml:space="preserve">                                       </w:t>
      </w:r>
      <w:r>
        <w:rPr>
          <w:rFonts w:hint="eastAsia" w:ascii="宋体" w:hAnsi="宋体" w:cs="宋体"/>
          <w:kern w:val="0"/>
          <w:szCs w:val="21"/>
        </w:rPr>
        <w:t>（盖单位公章）</w:t>
      </w:r>
    </w:p>
    <w:p w14:paraId="4CEA251A">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（签字）</w:t>
      </w:r>
    </w:p>
    <w:p w14:paraId="4D9E2B43">
      <w:pPr>
        <w:pStyle w:val="12"/>
        <w:spacing w:line="360" w:lineRule="auto"/>
        <w:ind w:firstLine="420" w:firstLineChars="200"/>
        <w:rPr>
          <w:rFonts w:hAnsi="宋体" w:cs="宋体"/>
        </w:rPr>
      </w:pPr>
      <w:r>
        <w:rPr>
          <w:rFonts w:hint="eastAsia" w:hAnsi="宋体" w:cs="宋体"/>
        </w:rPr>
        <w:t>……</w:t>
      </w:r>
    </w:p>
    <w:p w14:paraId="47EE9ADB">
      <w:pPr>
        <w:spacing w:line="360" w:lineRule="auto"/>
        <w:rPr>
          <w:rFonts w:ascii="宋体" w:hAnsi="宋体" w:cs="宋体"/>
          <w:szCs w:val="21"/>
        </w:rPr>
      </w:pPr>
      <w:r>
        <w:rPr>
          <w:rFonts w:hint="eastAsia" w:ascii="宋体" w:hAnsi="宋体" w:cs="宋体"/>
          <w:szCs w:val="21"/>
        </w:rPr>
        <w:t>注：</w:t>
      </w:r>
    </w:p>
    <w:p w14:paraId="27B7A485">
      <w:pPr>
        <w:spacing w:line="360" w:lineRule="auto"/>
        <w:rPr>
          <w:rFonts w:ascii="宋体" w:hAnsi="宋体" w:cs="宋体"/>
          <w:szCs w:val="21"/>
        </w:rPr>
      </w:pPr>
      <w:r>
        <w:rPr>
          <w:rFonts w:hint="eastAsia" w:ascii="宋体" w:hAnsi="宋体" w:cs="宋体"/>
          <w:szCs w:val="21"/>
        </w:rPr>
        <w:t>1.法定代表人和委托代理人必须在授权委托书上亲笔签名，不得使用印章、签名章或者其他电子制版签名代替，</w:t>
      </w:r>
      <w:r>
        <w:rPr>
          <w:rFonts w:hint="eastAsia" w:ascii="宋体" w:hAnsi="宋体" w:cs="宋体"/>
          <w:b/>
          <w:bCs/>
          <w:szCs w:val="21"/>
        </w:rPr>
        <w:t>否则作无效投标处理</w:t>
      </w:r>
      <w:r>
        <w:rPr>
          <w:rFonts w:hint="eastAsia" w:ascii="宋体" w:hAnsi="宋体" w:cs="宋体"/>
          <w:szCs w:val="21"/>
        </w:rPr>
        <w:t>；</w:t>
      </w:r>
    </w:p>
    <w:p w14:paraId="4B2F3771">
      <w:pPr>
        <w:spacing w:line="360" w:lineRule="auto"/>
        <w:jc w:val="left"/>
        <w:rPr>
          <w:rFonts w:ascii="宋体" w:hAnsi="宋体" w:cs="宋体"/>
          <w:szCs w:val="21"/>
        </w:rPr>
      </w:pPr>
      <w:r>
        <w:rPr>
          <w:rFonts w:hint="eastAsia" w:ascii="宋体" w:hAnsi="宋体" w:cs="宋体"/>
          <w:szCs w:val="21"/>
        </w:rPr>
        <w:t>2.以联合体形式投标的，本授权委托书应由联合体牵头人的法定代表人按上述规定签署。</w:t>
      </w:r>
    </w:p>
    <w:p w14:paraId="6D6EBB92">
      <w:pPr>
        <w:snapToGrid w:val="0"/>
        <w:spacing w:before="50" w:after="120" w:afterLines="50" w:line="360" w:lineRule="auto"/>
        <w:jc w:val="left"/>
        <w:rPr>
          <w:rFonts w:ascii="宋体" w:hAnsi="宋体" w:cs="宋体"/>
          <w:szCs w:val="21"/>
        </w:rPr>
      </w:pPr>
      <w:r>
        <w:rPr>
          <w:rFonts w:hint="eastAsia" w:ascii="宋体" w:hAnsi="宋体" w:cs="宋体"/>
          <w:szCs w:val="21"/>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4C1EC1DB">
      <w:pPr>
        <w:snapToGrid w:val="0"/>
        <w:spacing w:before="50" w:after="120" w:afterLines="50" w:line="360" w:lineRule="auto"/>
        <w:jc w:val="left"/>
        <w:rPr>
          <w:rFonts w:ascii="宋体" w:hAnsi="宋体" w:cs="宋体"/>
          <w:szCs w:val="21"/>
        </w:rPr>
      </w:pPr>
      <w:r>
        <w:rPr>
          <w:rFonts w:hint="eastAsia" w:ascii="宋体" w:hAnsi="宋体" w:cs="宋体"/>
          <w:szCs w:val="21"/>
        </w:rPr>
        <w:t>4. 若为联合体投标须各方签字或盖章。</w:t>
      </w:r>
    </w:p>
    <w:p w14:paraId="52FFC51A">
      <w:pPr>
        <w:spacing w:line="360" w:lineRule="auto"/>
        <w:rPr>
          <w:rFonts w:ascii="宋体" w:hAnsi="宋体" w:cs="宋体"/>
          <w:b/>
          <w:sz w:val="24"/>
        </w:rPr>
      </w:pPr>
    </w:p>
    <w:p w14:paraId="3939486B">
      <w:pPr>
        <w:spacing w:line="360" w:lineRule="auto"/>
        <w:rPr>
          <w:rFonts w:ascii="宋体" w:hAnsi="宋体" w:cs="宋体"/>
          <w:b/>
          <w:sz w:val="24"/>
        </w:rPr>
      </w:pPr>
      <w:r>
        <w:rPr>
          <w:rFonts w:hint="eastAsia" w:ascii="宋体" w:hAnsi="宋体" w:cs="宋体"/>
          <w:b/>
          <w:sz w:val="24"/>
        </w:rPr>
        <w:t>附件：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78E2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8" w:hRule="atLeast"/>
          <w:jc w:val="center"/>
        </w:trPr>
        <w:tc>
          <w:tcPr>
            <w:tcW w:w="7985" w:type="dxa"/>
          </w:tcPr>
          <w:p w14:paraId="659BFFC5">
            <w:pPr>
              <w:spacing w:line="360" w:lineRule="auto"/>
              <w:rPr>
                <w:rFonts w:ascii="宋体" w:hAnsi="宋体" w:cs="宋体"/>
                <w:b/>
                <w:sz w:val="24"/>
              </w:rPr>
            </w:pPr>
          </w:p>
          <w:p w14:paraId="2CB00CAC">
            <w:pPr>
              <w:spacing w:line="360" w:lineRule="auto"/>
              <w:rPr>
                <w:rFonts w:ascii="宋体" w:hAnsi="宋体" w:cs="宋体"/>
                <w:b/>
                <w:sz w:val="24"/>
              </w:rPr>
            </w:pPr>
            <w:r>
              <w:rPr>
                <w:rFonts w:hint="eastAsia" w:ascii="宋体" w:hAnsi="宋体" w:cs="宋体"/>
                <w:b/>
                <w:sz w:val="24"/>
              </w:rPr>
              <w:t>全权代表身份证复印件粘贴处（正、反面）</w:t>
            </w:r>
          </w:p>
        </w:tc>
      </w:tr>
    </w:tbl>
    <w:p w14:paraId="3513E38D">
      <w:pPr>
        <w:snapToGrid w:val="0"/>
        <w:spacing w:before="50" w:after="120" w:afterLines="50" w:line="360" w:lineRule="auto"/>
        <w:jc w:val="left"/>
        <w:rPr>
          <w:rFonts w:ascii="宋体" w:hAnsi="宋体" w:cs="宋体"/>
          <w:szCs w:val="21"/>
        </w:rPr>
      </w:pPr>
    </w:p>
    <w:p w14:paraId="570D738F">
      <w:pPr>
        <w:snapToGrid w:val="0"/>
        <w:spacing w:before="120" w:beforeLines="50" w:after="50" w:line="360" w:lineRule="auto"/>
        <w:ind w:firstLine="711" w:firstLineChars="236"/>
        <w:jc w:val="center"/>
        <w:rPr>
          <w:rFonts w:ascii="宋体" w:hAnsi="宋体" w:cs="宋体"/>
          <w:b/>
          <w:bCs/>
          <w:sz w:val="30"/>
          <w:szCs w:val="30"/>
        </w:rPr>
        <w:sectPr>
          <w:footerReference r:id="rId10" w:type="first"/>
          <w:footerReference r:id="rId8" w:type="default"/>
          <w:footerReference r:id="rId9" w:type="even"/>
          <w:pgSz w:w="11906" w:h="16838"/>
          <w:pgMar w:top="1440" w:right="1080" w:bottom="1440" w:left="1080" w:header="851" w:footer="992" w:gutter="0"/>
          <w:cols w:space="720" w:num="1"/>
          <w:docGrid w:linePitch="312" w:charSpace="0"/>
        </w:sectPr>
      </w:pPr>
    </w:p>
    <w:p w14:paraId="3A171EE6">
      <w:pPr>
        <w:snapToGrid w:val="0"/>
        <w:spacing w:before="120" w:beforeLines="50" w:after="50" w:line="360" w:lineRule="auto"/>
        <w:ind w:firstLine="711" w:firstLineChars="236"/>
        <w:jc w:val="center"/>
        <w:rPr>
          <w:rFonts w:ascii="宋体" w:hAnsi="宋体" w:cs="宋体"/>
          <w:b/>
          <w:bCs/>
          <w:sz w:val="30"/>
          <w:szCs w:val="30"/>
        </w:rPr>
      </w:pPr>
      <w:r>
        <w:rPr>
          <w:rFonts w:hint="eastAsia" w:ascii="宋体" w:hAnsi="宋体" w:cs="宋体"/>
          <w:b/>
          <w:bCs/>
          <w:sz w:val="30"/>
          <w:szCs w:val="30"/>
        </w:rPr>
        <w:t>四、商务条款偏离表</w:t>
      </w:r>
    </w:p>
    <w:p w14:paraId="24093140">
      <w:pPr>
        <w:spacing w:line="360" w:lineRule="auto"/>
        <w:jc w:val="center"/>
        <w:rPr>
          <w:rFonts w:ascii="宋体" w:hAnsi="宋体" w:cs="宋体"/>
          <w:b/>
          <w:sz w:val="24"/>
          <w:szCs w:val="20"/>
        </w:rPr>
      </w:pPr>
      <w:r>
        <w:rPr>
          <w:rFonts w:hint="eastAsia" w:ascii="宋体" w:hAnsi="宋体" w:cs="宋体"/>
          <w:sz w:val="30"/>
          <w:szCs w:val="20"/>
        </w:rPr>
        <w:t>（注：按项目需求表具体项目修改）</w:t>
      </w:r>
    </w:p>
    <w:p w14:paraId="0FB339F9">
      <w:pPr>
        <w:snapToGrid w:val="0"/>
        <w:spacing w:before="50" w:line="360" w:lineRule="auto"/>
        <w:jc w:val="left"/>
        <w:rPr>
          <w:rFonts w:ascii="宋体" w:hAnsi="宋体" w:cs="宋体"/>
          <w:sz w:val="24"/>
        </w:rPr>
      </w:pPr>
    </w:p>
    <w:p w14:paraId="69C3B123">
      <w:pPr>
        <w:pStyle w:val="12"/>
        <w:spacing w:line="360" w:lineRule="auto"/>
        <w:ind w:left="-424" w:leftChars="-202" w:firstLine="846"/>
        <w:rPr>
          <w:rFonts w:hAnsi="宋体" w:cs="宋体"/>
          <w:sz w:val="24"/>
          <w:szCs w:val="24"/>
        </w:rPr>
      </w:pPr>
      <w:r>
        <w:rPr>
          <w:rFonts w:hint="eastAsia" w:hAnsi="宋体" w:cs="宋体"/>
        </w:rPr>
        <w:t>请逐条对应本项目招标文件第二章“货物需求一览表”中“商务条款”的要求，详细填写相应的具体内容。“偏离说明”一栏应当选择“正偏离”、“负偏离”或“无偏离”进行填写。</w:t>
      </w:r>
    </w:p>
    <w:tbl>
      <w:tblPr>
        <w:tblStyle w:val="24"/>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7B44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136F87F3">
            <w:pPr>
              <w:spacing w:line="360" w:lineRule="auto"/>
              <w:jc w:val="center"/>
              <w:rPr>
                <w:rFonts w:ascii="宋体" w:hAnsi="宋体" w:cs="宋体"/>
                <w:szCs w:val="21"/>
              </w:rPr>
            </w:pPr>
            <w:r>
              <w:rPr>
                <w:rFonts w:hint="eastAsia" w:ascii="宋体" w:hAnsi="宋体" w:cs="宋体"/>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38BF2EE6">
            <w:pPr>
              <w:spacing w:line="360" w:lineRule="auto"/>
              <w:jc w:val="center"/>
              <w:rPr>
                <w:rFonts w:ascii="宋体" w:hAnsi="宋体" w:cs="宋体"/>
                <w:szCs w:val="21"/>
              </w:rPr>
            </w:pPr>
            <w:r>
              <w:rPr>
                <w:rFonts w:hint="eastAsia" w:ascii="宋体" w:hAnsi="宋体" w:cs="宋体"/>
                <w:szCs w:val="21"/>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1976FB2F">
            <w:pPr>
              <w:spacing w:line="360" w:lineRule="auto"/>
              <w:jc w:val="center"/>
              <w:rPr>
                <w:rFonts w:ascii="宋体" w:hAnsi="宋体" w:cs="宋体"/>
                <w:szCs w:val="21"/>
              </w:rPr>
            </w:pPr>
            <w:r>
              <w:rPr>
                <w:rFonts w:hint="eastAsia" w:ascii="宋体" w:hAnsi="宋体" w:cs="宋体"/>
                <w:szCs w:val="21"/>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048EF473">
            <w:pPr>
              <w:spacing w:line="360" w:lineRule="auto"/>
              <w:jc w:val="center"/>
              <w:rPr>
                <w:rFonts w:ascii="宋体" w:hAnsi="宋体" w:cs="宋体"/>
                <w:szCs w:val="21"/>
              </w:rPr>
            </w:pPr>
            <w:r>
              <w:rPr>
                <w:rFonts w:hint="eastAsia" w:ascii="宋体" w:hAnsi="宋体" w:cs="宋体"/>
                <w:szCs w:val="21"/>
              </w:rPr>
              <w:t>偏离说明</w:t>
            </w:r>
          </w:p>
        </w:tc>
      </w:tr>
      <w:tr w14:paraId="43CD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vAlign w:val="center"/>
          </w:tcPr>
          <w:p w14:paraId="0DEF3786">
            <w:pPr>
              <w:spacing w:line="360" w:lineRule="auto"/>
              <w:jc w:val="center"/>
              <w:rPr>
                <w:rFonts w:ascii="宋体" w:hAnsi="宋体" w:cs="宋体"/>
                <w:szCs w:val="21"/>
              </w:rPr>
            </w:pPr>
            <w:r>
              <w:rPr>
                <w:rFonts w:hint="eastAsia" w:ascii="宋体" w:hAnsi="宋体" w:cs="宋体"/>
                <w:szCs w:val="21"/>
              </w:rPr>
              <w:t>一</w:t>
            </w:r>
          </w:p>
        </w:tc>
        <w:tc>
          <w:tcPr>
            <w:tcW w:w="3926" w:type="dxa"/>
            <w:tcBorders>
              <w:top w:val="single" w:color="auto" w:sz="4" w:space="0"/>
              <w:left w:val="single" w:color="auto" w:sz="4" w:space="0"/>
              <w:bottom w:val="single" w:color="auto" w:sz="4" w:space="0"/>
              <w:right w:val="single" w:color="auto" w:sz="4" w:space="0"/>
            </w:tcBorders>
            <w:vAlign w:val="center"/>
          </w:tcPr>
          <w:p w14:paraId="2D31DA16">
            <w:pPr>
              <w:spacing w:line="360" w:lineRule="auto"/>
              <w:jc w:val="center"/>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vAlign w:val="center"/>
          </w:tcPr>
          <w:p w14:paraId="6C883FA1">
            <w:pPr>
              <w:spacing w:line="360" w:lineRule="auto"/>
              <w:jc w:val="center"/>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vAlign w:val="center"/>
          </w:tcPr>
          <w:p w14:paraId="41FDE1D3">
            <w:pPr>
              <w:spacing w:line="360" w:lineRule="auto"/>
              <w:jc w:val="center"/>
              <w:rPr>
                <w:rFonts w:ascii="宋体" w:hAnsi="宋体" w:cs="宋体"/>
                <w:szCs w:val="21"/>
              </w:rPr>
            </w:pPr>
            <w:r>
              <w:rPr>
                <w:rFonts w:hint="eastAsia" w:ascii="宋体" w:hAnsi="宋体" w:cs="宋体"/>
                <w:szCs w:val="21"/>
              </w:rPr>
              <w:t>正偏离（负偏离或无偏离）</w:t>
            </w:r>
          </w:p>
        </w:tc>
      </w:tr>
      <w:tr w14:paraId="6F59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vAlign w:val="center"/>
          </w:tcPr>
          <w:p w14:paraId="30BE0924">
            <w:pPr>
              <w:spacing w:line="360" w:lineRule="auto"/>
              <w:jc w:val="center"/>
              <w:rPr>
                <w:rFonts w:ascii="宋体" w:hAnsi="宋体" w:cs="宋体"/>
                <w:szCs w:val="21"/>
              </w:rPr>
            </w:pPr>
            <w:r>
              <w:rPr>
                <w:rFonts w:hint="eastAsia" w:ascii="宋体" w:hAnsi="宋体" w:cs="宋体"/>
                <w:szCs w:val="21"/>
              </w:rPr>
              <w:t>二</w:t>
            </w:r>
          </w:p>
        </w:tc>
        <w:tc>
          <w:tcPr>
            <w:tcW w:w="3926" w:type="dxa"/>
            <w:tcBorders>
              <w:top w:val="single" w:color="auto" w:sz="4" w:space="0"/>
              <w:left w:val="single" w:color="auto" w:sz="4" w:space="0"/>
              <w:bottom w:val="single" w:color="auto" w:sz="4" w:space="0"/>
              <w:right w:val="single" w:color="auto" w:sz="4" w:space="0"/>
            </w:tcBorders>
            <w:vAlign w:val="center"/>
          </w:tcPr>
          <w:p w14:paraId="0571644D">
            <w:pPr>
              <w:spacing w:line="360" w:lineRule="auto"/>
              <w:jc w:val="center"/>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vAlign w:val="center"/>
          </w:tcPr>
          <w:p w14:paraId="6A21969E">
            <w:pPr>
              <w:spacing w:line="360" w:lineRule="auto"/>
              <w:jc w:val="center"/>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vAlign w:val="center"/>
          </w:tcPr>
          <w:p w14:paraId="259C1187">
            <w:pPr>
              <w:spacing w:line="360" w:lineRule="auto"/>
              <w:jc w:val="center"/>
              <w:rPr>
                <w:rFonts w:ascii="宋体" w:hAnsi="宋体" w:cs="宋体"/>
                <w:szCs w:val="21"/>
              </w:rPr>
            </w:pPr>
            <w:r>
              <w:rPr>
                <w:rFonts w:hint="eastAsia" w:ascii="宋体" w:hAnsi="宋体" w:cs="宋体"/>
                <w:szCs w:val="21"/>
              </w:rPr>
              <w:t>正偏离（负偏离或无偏离）</w:t>
            </w:r>
          </w:p>
        </w:tc>
      </w:tr>
      <w:tr w14:paraId="4D998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vAlign w:val="center"/>
          </w:tcPr>
          <w:p w14:paraId="4BD188D6">
            <w:pPr>
              <w:spacing w:line="360" w:lineRule="auto"/>
              <w:jc w:val="center"/>
              <w:rPr>
                <w:rFonts w:ascii="宋体" w:hAnsi="宋体" w:cs="宋体"/>
                <w:szCs w:val="21"/>
              </w:rPr>
            </w:pPr>
            <w:r>
              <w:rPr>
                <w:rFonts w:hint="eastAsia" w:ascii="宋体" w:hAnsi="宋体" w:cs="宋体"/>
                <w:szCs w:val="21"/>
              </w:rPr>
              <w:t>……</w:t>
            </w:r>
          </w:p>
        </w:tc>
        <w:tc>
          <w:tcPr>
            <w:tcW w:w="3926" w:type="dxa"/>
            <w:tcBorders>
              <w:top w:val="single" w:color="auto" w:sz="4" w:space="0"/>
              <w:left w:val="single" w:color="auto" w:sz="4" w:space="0"/>
              <w:bottom w:val="single" w:color="auto" w:sz="4" w:space="0"/>
              <w:right w:val="single" w:color="auto" w:sz="4" w:space="0"/>
            </w:tcBorders>
            <w:vAlign w:val="center"/>
          </w:tcPr>
          <w:p w14:paraId="407B5F1F">
            <w:pPr>
              <w:spacing w:line="360" w:lineRule="auto"/>
              <w:jc w:val="center"/>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vAlign w:val="center"/>
          </w:tcPr>
          <w:p w14:paraId="57FCF8E2">
            <w:pPr>
              <w:spacing w:line="360" w:lineRule="auto"/>
              <w:jc w:val="center"/>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vAlign w:val="center"/>
          </w:tcPr>
          <w:p w14:paraId="1EE4E107">
            <w:pPr>
              <w:spacing w:line="360" w:lineRule="auto"/>
              <w:jc w:val="center"/>
              <w:rPr>
                <w:rFonts w:ascii="宋体" w:hAnsi="宋体" w:cs="宋体"/>
                <w:szCs w:val="21"/>
              </w:rPr>
            </w:pPr>
            <w:r>
              <w:rPr>
                <w:rFonts w:hint="eastAsia" w:ascii="宋体" w:hAnsi="宋体" w:cs="宋体"/>
                <w:szCs w:val="21"/>
              </w:rPr>
              <w:t>正偏离（负偏离或无偏离）</w:t>
            </w:r>
          </w:p>
        </w:tc>
      </w:tr>
    </w:tbl>
    <w:p w14:paraId="15860D2C">
      <w:pPr>
        <w:pStyle w:val="12"/>
        <w:spacing w:line="360" w:lineRule="auto"/>
        <w:ind w:left="-708" w:leftChars="-337"/>
        <w:rPr>
          <w:rFonts w:hAnsi="宋体" w:cs="宋体"/>
        </w:rPr>
      </w:pPr>
    </w:p>
    <w:p w14:paraId="52B40189">
      <w:pPr>
        <w:pStyle w:val="12"/>
        <w:spacing w:line="360" w:lineRule="auto"/>
        <w:ind w:left="-8" w:firstLine="7"/>
        <w:rPr>
          <w:rFonts w:hAnsi="宋体" w:cs="宋体"/>
        </w:rPr>
      </w:pPr>
      <w:r>
        <w:rPr>
          <w:rFonts w:hint="eastAsia" w:hAnsi="宋体" w:cs="宋体"/>
        </w:rPr>
        <w:t>注：</w:t>
      </w:r>
    </w:p>
    <w:p w14:paraId="5EABD995">
      <w:pPr>
        <w:pStyle w:val="12"/>
        <w:spacing w:line="360" w:lineRule="auto"/>
        <w:ind w:left="-8" w:firstLine="428"/>
        <w:rPr>
          <w:rFonts w:hAnsi="宋体" w:cs="宋体"/>
        </w:rPr>
      </w:pPr>
      <w:r>
        <w:rPr>
          <w:rFonts w:hint="eastAsia" w:hAnsi="宋体" w:cs="宋体"/>
        </w:rPr>
        <w:t>1.表格内容均需按要求填写并盖章，不得留空，否则按投标无效处理。</w:t>
      </w:r>
    </w:p>
    <w:p w14:paraId="01C709CA">
      <w:pPr>
        <w:pStyle w:val="12"/>
        <w:spacing w:line="360" w:lineRule="auto"/>
        <w:ind w:left="-8" w:firstLine="428"/>
        <w:rPr>
          <w:rFonts w:hAnsi="宋体" w:cs="宋体"/>
        </w:rPr>
      </w:pPr>
      <w:r>
        <w:rPr>
          <w:rFonts w:hint="eastAsia" w:hAnsi="宋体" w:cs="宋体"/>
        </w:rPr>
        <w:t>2.如果招标文件需求为小于或大于某个数值标准时，投标文件承诺不得直接复制招标文件需求，投标文件承诺内容应当写明投标货物具体参数或商务响应承诺的具体数值，否则按投标无效处理。</w:t>
      </w:r>
    </w:p>
    <w:p w14:paraId="4BCF49FF">
      <w:pPr>
        <w:pStyle w:val="12"/>
        <w:spacing w:line="360" w:lineRule="auto"/>
        <w:ind w:left="-8" w:firstLine="428"/>
        <w:rPr>
          <w:rFonts w:hAnsi="宋体" w:cs="宋体"/>
        </w:rPr>
      </w:pPr>
      <w:r>
        <w:rPr>
          <w:rFonts w:hint="eastAsia" w:hAnsi="宋体" w:cs="宋体"/>
        </w:rPr>
        <w:t>3.当投标文件的商务内容低于招标文件要求时，投标人应当如实写明“负偏离”，否则视为虚假应标。</w:t>
      </w:r>
    </w:p>
    <w:p w14:paraId="6A569DA5">
      <w:pPr>
        <w:pStyle w:val="12"/>
        <w:spacing w:line="360" w:lineRule="auto"/>
        <w:ind w:left="-8" w:firstLine="428"/>
        <w:rPr>
          <w:rFonts w:hAnsi="宋体" w:cs="宋体"/>
        </w:rPr>
      </w:pPr>
      <w:r>
        <w:rPr>
          <w:rFonts w:hint="eastAsia" w:hAnsi="宋体" w:cs="宋体"/>
          <w:szCs w:val="21"/>
        </w:rPr>
        <w:t>4.采购需求中带“▲”及“★”的条款，也要分别在本表“投标文件的商务需求”、“投标文件承诺的商务条款”中标记。</w:t>
      </w:r>
    </w:p>
    <w:p w14:paraId="17EAA3E7">
      <w:pPr>
        <w:snapToGrid w:val="0"/>
        <w:spacing w:before="50" w:after="50" w:line="360" w:lineRule="auto"/>
        <w:rPr>
          <w:rFonts w:ascii="宋体" w:hAnsi="宋体" w:cs="宋体"/>
          <w:sz w:val="24"/>
        </w:rPr>
      </w:pPr>
    </w:p>
    <w:p w14:paraId="1F9E8A0B">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20229985">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A684EC4">
      <w:pPr>
        <w:snapToGrid w:val="0"/>
        <w:spacing w:before="120" w:beforeLines="50" w:after="50" w:line="360" w:lineRule="auto"/>
        <w:ind w:firstLine="3150" w:firstLineChars="1500"/>
        <w:jc w:val="left"/>
        <w:rPr>
          <w:rFonts w:ascii="宋体" w:hAnsi="宋体" w:cs="宋体"/>
          <w:szCs w:val="21"/>
        </w:rPr>
        <w:sectPr>
          <w:pgSz w:w="11906" w:h="16838"/>
          <w:pgMar w:top="1440" w:right="1080" w:bottom="1440" w:left="1080" w:header="851" w:footer="992" w:gutter="0"/>
          <w:cols w:space="720" w:num="1"/>
          <w:docGrid w:linePitch="312" w:charSpace="0"/>
        </w:sectPr>
      </w:pPr>
    </w:p>
    <w:p w14:paraId="3EA2B209">
      <w:pPr>
        <w:snapToGrid w:val="0"/>
        <w:spacing w:before="165" w:beforeLines="50" w:after="50" w:line="360" w:lineRule="auto"/>
        <w:jc w:val="center"/>
        <w:rPr>
          <w:rFonts w:ascii="宋体" w:hAnsi="宋体" w:cs="宋体"/>
          <w:b/>
          <w:bCs/>
          <w:sz w:val="30"/>
          <w:szCs w:val="30"/>
        </w:rPr>
      </w:pPr>
      <w:r>
        <w:rPr>
          <w:rFonts w:hint="eastAsia" w:ascii="宋体" w:hAnsi="宋体" w:cs="宋体"/>
          <w:b/>
          <w:bCs/>
          <w:sz w:val="30"/>
          <w:szCs w:val="30"/>
        </w:rPr>
        <w:t>五、投标人情况介绍</w:t>
      </w:r>
    </w:p>
    <w:p w14:paraId="0294CE47">
      <w:pPr>
        <w:spacing w:line="360" w:lineRule="auto"/>
        <w:ind w:firstLine="4048" w:firstLineChars="1687"/>
        <w:rPr>
          <w:rFonts w:ascii="宋体" w:hAnsi="宋体" w:cs="宋体"/>
          <w:kern w:val="0"/>
          <w:sz w:val="24"/>
        </w:rPr>
      </w:pPr>
      <w:r>
        <w:rPr>
          <w:rFonts w:hint="eastAsia" w:ascii="宋体" w:hAnsi="宋体" w:cs="宋体"/>
          <w:sz w:val="24"/>
        </w:rPr>
        <w:t>（格式自拟）</w:t>
      </w:r>
    </w:p>
    <w:p w14:paraId="21BA2674">
      <w:pPr>
        <w:snapToGrid w:val="0"/>
        <w:spacing w:line="360" w:lineRule="auto"/>
        <w:ind w:firstLine="4935" w:firstLineChars="2350"/>
        <w:rPr>
          <w:rFonts w:ascii="宋体" w:hAnsi="宋体" w:cs="宋体"/>
          <w:szCs w:val="21"/>
        </w:rPr>
      </w:pPr>
      <w:r>
        <w:rPr>
          <w:rFonts w:hint="eastAsia" w:ascii="宋体" w:hAnsi="宋体" w:cs="宋体"/>
          <w:szCs w:val="21"/>
        </w:rPr>
        <w:t xml:space="preserve"> </w:t>
      </w:r>
    </w:p>
    <w:p w14:paraId="7D61ED81">
      <w:pPr>
        <w:snapToGrid w:val="0"/>
        <w:spacing w:line="360" w:lineRule="auto"/>
        <w:ind w:firstLine="4935" w:firstLineChars="2350"/>
        <w:rPr>
          <w:rFonts w:ascii="宋体" w:hAnsi="宋体" w:cs="宋体"/>
          <w:szCs w:val="21"/>
        </w:rPr>
      </w:pPr>
    </w:p>
    <w:p w14:paraId="30E17C01">
      <w:pPr>
        <w:snapToGrid w:val="0"/>
        <w:spacing w:line="360" w:lineRule="auto"/>
        <w:ind w:firstLine="4935" w:firstLineChars="2350"/>
        <w:rPr>
          <w:rFonts w:ascii="宋体" w:hAnsi="宋体" w:cs="宋体"/>
          <w:szCs w:val="21"/>
        </w:rPr>
      </w:pPr>
    </w:p>
    <w:p w14:paraId="555EFBDE">
      <w:pPr>
        <w:snapToGrid w:val="0"/>
        <w:spacing w:line="360" w:lineRule="auto"/>
        <w:ind w:firstLine="4935" w:firstLineChars="2350"/>
        <w:rPr>
          <w:rFonts w:ascii="宋体" w:hAnsi="宋体" w:cs="宋体"/>
          <w:szCs w:val="21"/>
        </w:rPr>
      </w:pPr>
    </w:p>
    <w:p w14:paraId="37F154C2">
      <w:pPr>
        <w:spacing w:line="360" w:lineRule="auto"/>
        <w:rPr>
          <w:rFonts w:ascii="宋体" w:hAnsi="宋体" w:cs="宋体"/>
        </w:rPr>
      </w:pPr>
    </w:p>
    <w:p w14:paraId="404D598A">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7270CC69">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C5ECAB5">
      <w:pPr>
        <w:snapToGrid w:val="0"/>
        <w:spacing w:before="165" w:beforeLines="50" w:after="50" w:line="360" w:lineRule="auto"/>
        <w:ind w:firstLine="602" w:firstLineChars="200"/>
        <w:jc w:val="center"/>
        <w:rPr>
          <w:rFonts w:ascii="宋体" w:hAnsi="宋体" w:cs="宋体"/>
          <w:b/>
          <w:bCs/>
          <w:sz w:val="30"/>
          <w:szCs w:val="30"/>
        </w:rPr>
      </w:pPr>
    </w:p>
    <w:p w14:paraId="0B93779F">
      <w:pPr>
        <w:snapToGrid w:val="0"/>
        <w:spacing w:before="165" w:beforeLines="50" w:after="50" w:line="360" w:lineRule="auto"/>
        <w:ind w:firstLine="602" w:firstLineChars="200"/>
        <w:jc w:val="center"/>
        <w:rPr>
          <w:rFonts w:ascii="宋体" w:hAnsi="宋体" w:cs="宋体"/>
          <w:b/>
          <w:bCs/>
          <w:sz w:val="30"/>
          <w:szCs w:val="30"/>
        </w:rPr>
        <w:sectPr>
          <w:footerReference r:id="rId13" w:type="first"/>
          <w:footerReference r:id="rId11" w:type="default"/>
          <w:footerReference r:id="rId12" w:type="even"/>
          <w:pgSz w:w="11906" w:h="16838"/>
          <w:pgMar w:top="1440" w:right="1080" w:bottom="1440" w:left="1080" w:header="720" w:footer="720" w:gutter="0"/>
          <w:cols w:space="720" w:num="1"/>
          <w:docGrid w:type="lines" w:linePitch="331" w:charSpace="0"/>
        </w:sectPr>
      </w:pPr>
    </w:p>
    <w:p w14:paraId="3360B799">
      <w:pPr>
        <w:snapToGrid w:val="0"/>
        <w:spacing w:before="165" w:beforeLines="50" w:after="50" w:line="360" w:lineRule="auto"/>
        <w:ind w:firstLine="602" w:firstLineChars="200"/>
        <w:jc w:val="center"/>
        <w:rPr>
          <w:rFonts w:ascii="宋体" w:hAnsi="宋体" w:cs="宋体"/>
          <w:b/>
          <w:bCs/>
          <w:sz w:val="30"/>
          <w:szCs w:val="30"/>
        </w:rPr>
      </w:pPr>
      <w:r>
        <w:rPr>
          <w:rFonts w:hint="eastAsia" w:ascii="宋体" w:hAnsi="宋体" w:cs="宋体"/>
          <w:b/>
          <w:bCs/>
          <w:sz w:val="30"/>
          <w:szCs w:val="30"/>
        </w:rPr>
        <w:t>六、投标人类似的业绩证明文件（如有要求）</w:t>
      </w:r>
    </w:p>
    <w:p w14:paraId="20704233">
      <w:pPr>
        <w:pStyle w:val="19"/>
        <w:snapToGrid w:val="0"/>
        <w:spacing w:line="360" w:lineRule="auto"/>
        <w:ind w:left="480" w:hanging="480"/>
        <w:rPr>
          <w:rFonts w:ascii="宋体" w:hAnsi="宋体" w:cs="宋体"/>
          <w:sz w:val="24"/>
        </w:rPr>
      </w:pPr>
    </w:p>
    <w:p w14:paraId="0DA85B4C">
      <w:pPr>
        <w:autoSpaceDE w:val="0"/>
        <w:autoSpaceDN w:val="0"/>
        <w:spacing w:line="360" w:lineRule="auto"/>
        <w:ind w:firstLine="120"/>
        <w:rPr>
          <w:rFonts w:ascii="宋体" w:hAnsi="宋体" w:cs="宋体"/>
          <w:sz w:val="24"/>
        </w:rPr>
      </w:pPr>
      <w:r>
        <w:rPr>
          <w:rFonts w:hint="eastAsia" w:ascii="宋体" w:hAnsi="宋体" w:cs="宋体"/>
          <w:b/>
          <w:sz w:val="24"/>
        </w:rPr>
        <w:t>附表 ：相关项目业绩一览表</w:t>
      </w:r>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2268"/>
      </w:tblGrid>
      <w:tr w14:paraId="786F7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0EC33201">
            <w:pPr>
              <w:snapToGrid w:val="0"/>
              <w:spacing w:line="360" w:lineRule="auto"/>
              <w:jc w:val="center"/>
              <w:rPr>
                <w:rFonts w:ascii="宋体" w:hAnsi="宋体" w:cs="宋体"/>
                <w:sz w:val="24"/>
              </w:rPr>
            </w:pPr>
            <w:r>
              <w:rPr>
                <w:rFonts w:hint="eastAsia" w:ascii="宋体" w:hAnsi="宋体" w:cs="宋体"/>
                <w:sz w:val="24"/>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7161F719">
            <w:pPr>
              <w:snapToGrid w:val="0"/>
              <w:spacing w:line="360" w:lineRule="auto"/>
              <w:jc w:val="center"/>
              <w:rPr>
                <w:rFonts w:ascii="宋体" w:hAnsi="宋体" w:cs="宋体"/>
                <w:sz w:val="24"/>
              </w:rPr>
            </w:pPr>
            <w:r>
              <w:rPr>
                <w:rFonts w:hint="eastAsia" w:ascii="宋体" w:hAnsi="宋体" w:cs="宋体"/>
                <w:sz w:val="24"/>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565176C3">
            <w:pPr>
              <w:snapToGrid w:val="0"/>
              <w:spacing w:line="360" w:lineRule="auto"/>
              <w:jc w:val="center"/>
              <w:rPr>
                <w:rFonts w:ascii="宋体" w:hAnsi="宋体" w:cs="宋体"/>
                <w:sz w:val="24"/>
              </w:rPr>
            </w:pPr>
            <w:r>
              <w:rPr>
                <w:rFonts w:hint="eastAsia" w:ascii="宋体" w:hAnsi="宋体" w:cs="宋体"/>
                <w:sz w:val="24"/>
              </w:rPr>
              <w:t>合同</w:t>
            </w:r>
          </w:p>
          <w:p w14:paraId="0E45FA46">
            <w:pPr>
              <w:snapToGrid w:val="0"/>
              <w:spacing w:line="360" w:lineRule="auto"/>
              <w:jc w:val="center"/>
              <w:rPr>
                <w:rFonts w:ascii="宋体" w:hAnsi="宋体" w:cs="宋体"/>
                <w:sz w:val="24"/>
              </w:rPr>
            </w:pPr>
            <w:r>
              <w:rPr>
                <w:rFonts w:hint="eastAsia" w:ascii="宋体" w:hAnsi="宋体" w:cs="宋体"/>
                <w:sz w:val="24"/>
              </w:rPr>
              <w:t>金额</w:t>
            </w:r>
          </w:p>
          <w:p w14:paraId="2D9F0455">
            <w:pPr>
              <w:snapToGrid w:val="0"/>
              <w:spacing w:line="360" w:lineRule="auto"/>
              <w:jc w:val="center"/>
              <w:rPr>
                <w:rFonts w:ascii="宋体" w:hAnsi="宋体" w:cs="宋体"/>
                <w:sz w:val="24"/>
              </w:rPr>
            </w:pPr>
            <w:r>
              <w:rPr>
                <w:rFonts w:hint="eastAsia" w:ascii="宋体" w:hAnsi="宋体" w:cs="宋体"/>
                <w:sz w:val="24"/>
              </w:rPr>
              <w:t>（万元）</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4875ED7F">
            <w:pPr>
              <w:snapToGrid w:val="0"/>
              <w:spacing w:line="360" w:lineRule="auto"/>
              <w:jc w:val="center"/>
              <w:rPr>
                <w:rFonts w:ascii="宋体" w:hAnsi="宋体" w:cs="宋体"/>
                <w:sz w:val="24"/>
              </w:rPr>
            </w:pPr>
            <w:r>
              <w:rPr>
                <w:rFonts w:hint="eastAsia" w:ascii="宋体" w:hAnsi="宋体" w:cs="宋体"/>
                <w:sz w:val="24"/>
              </w:rPr>
              <w:t>采购人联系人及</w:t>
            </w:r>
          </w:p>
          <w:p w14:paraId="6F24F8F3">
            <w:pPr>
              <w:snapToGrid w:val="0"/>
              <w:spacing w:line="360" w:lineRule="auto"/>
              <w:jc w:val="center"/>
              <w:rPr>
                <w:rFonts w:ascii="宋体" w:hAnsi="宋体" w:cs="宋体"/>
                <w:sz w:val="24"/>
              </w:rPr>
            </w:pPr>
            <w:r>
              <w:rPr>
                <w:rFonts w:hint="eastAsia" w:ascii="宋体" w:hAnsi="宋体" w:cs="宋体"/>
                <w:sz w:val="24"/>
              </w:rPr>
              <w:t>联系电话</w:t>
            </w:r>
          </w:p>
        </w:tc>
      </w:tr>
      <w:tr w14:paraId="3CF98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68410230">
            <w:pPr>
              <w:spacing w:line="360" w:lineRule="auto"/>
              <w:jc w:val="left"/>
              <w:rPr>
                <w:rFonts w:ascii="宋体" w:hAnsi="宋体" w:cs="宋体"/>
                <w:sz w:val="24"/>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20FDDCF5">
            <w:pPr>
              <w:spacing w:line="360" w:lineRule="auto"/>
              <w:jc w:val="left"/>
              <w:rPr>
                <w:rFonts w:ascii="宋体" w:hAnsi="宋体" w:cs="宋体"/>
                <w:sz w:val="24"/>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46125D99">
            <w:pPr>
              <w:spacing w:line="360" w:lineRule="auto"/>
              <w:jc w:val="left"/>
              <w:rPr>
                <w:rFonts w:ascii="宋体" w:hAnsi="宋体"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499D9212">
            <w:pPr>
              <w:spacing w:line="360" w:lineRule="auto"/>
              <w:jc w:val="left"/>
              <w:rPr>
                <w:rFonts w:ascii="宋体" w:hAnsi="宋体" w:cs="宋体"/>
                <w:sz w:val="24"/>
              </w:rPr>
            </w:pPr>
          </w:p>
        </w:tc>
      </w:tr>
      <w:tr w14:paraId="0D726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4CCBC744">
            <w:pPr>
              <w:snapToGrid w:val="0"/>
              <w:spacing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40A8522C">
            <w:pPr>
              <w:snapToGrid w:val="0"/>
              <w:spacing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14652CFE">
            <w:pPr>
              <w:snapToGrid w:val="0"/>
              <w:spacing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087BB8EF">
            <w:pPr>
              <w:snapToGrid w:val="0"/>
              <w:spacing w:line="360" w:lineRule="auto"/>
              <w:jc w:val="left"/>
              <w:rPr>
                <w:rFonts w:ascii="宋体" w:hAnsi="宋体" w:cs="宋体"/>
                <w:sz w:val="24"/>
              </w:rPr>
            </w:pPr>
          </w:p>
        </w:tc>
      </w:tr>
      <w:tr w14:paraId="585AD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8C73692">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0D8577E7">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54558BF1">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70E69123">
            <w:pPr>
              <w:snapToGrid w:val="0"/>
              <w:spacing w:before="50" w:after="165" w:afterLines="50" w:line="360" w:lineRule="auto"/>
              <w:jc w:val="left"/>
              <w:rPr>
                <w:rFonts w:ascii="宋体" w:hAnsi="宋体" w:cs="宋体"/>
                <w:sz w:val="24"/>
              </w:rPr>
            </w:pPr>
          </w:p>
        </w:tc>
      </w:tr>
      <w:tr w14:paraId="4F0D8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30FD006F">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750663CF">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112FF2F7">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77889D75">
            <w:pPr>
              <w:snapToGrid w:val="0"/>
              <w:spacing w:before="50" w:after="165" w:afterLines="50" w:line="360" w:lineRule="auto"/>
              <w:jc w:val="left"/>
              <w:rPr>
                <w:rFonts w:ascii="宋体" w:hAnsi="宋体" w:cs="宋体"/>
                <w:sz w:val="24"/>
              </w:rPr>
            </w:pPr>
          </w:p>
        </w:tc>
      </w:tr>
      <w:tr w14:paraId="4DA14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4E991F4">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1F911F80">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1D722D85">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40490DC0">
            <w:pPr>
              <w:snapToGrid w:val="0"/>
              <w:spacing w:before="50" w:after="165" w:afterLines="50" w:line="360" w:lineRule="auto"/>
              <w:jc w:val="left"/>
              <w:rPr>
                <w:rFonts w:ascii="宋体" w:hAnsi="宋体" w:cs="宋体"/>
                <w:sz w:val="24"/>
              </w:rPr>
            </w:pPr>
          </w:p>
        </w:tc>
      </w:tr>
      <w:tr w14:paraId="71B15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054FB99">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1744FCDE">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4CA593C9">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07235646">
            <w:pPr>
              <w:snapToGrid w:val="0"/>
              <w:spacing w:before="50" w:after="165" w:afterLines="50" w:line="360" w:lineRule="auto"/>
              <w:jc w:val="left"/>
              <w:rPr>
                <w:rFonts w:ascii="宋体" w:hAnsi="宋体" w:cs="宋体"/>
                <w:sz w:val="24"/>
              </w:rPr>
            </w:pPr>
          </w:p>
        </w:tc>
      </w:tr>
    </w:tbl>
    <w:p w14:paraId="3C4F4A9B">
      <w:pPr>
        <w:pStyle w:val="12"/>
        <w:spacing w:line="360" w:lineRule="auto"/>
        <w:ind w:left="72"/>
        <w:rPr>
          <w:rFonts w:hAnsi="宋体" w:cs="宋体"/>
        </w:rPr>
      </w:pPr>
      <w:r>
        <w:rPr>
          <w:rFonts w:hint="eastAsia" w:hAnsi="宋体" w:cs="宋体"/>
        </w:rPr>
        <w:t>注：投标人可参考上述的格式自行编制，须随表提交相应的合同复印件等材料并注明所在投标人商务技术文件页码。</w:t>
      </w:r>
    </w:p>
    <w:p w14:paraId="48EDE105">
      <w:pPr>
        <w:snapToGrid w:val="0"/>
        <w:spacing w:line="360" w:lineRule="auto"/>
        <w:ind w:firstLine="4935" w:firstLineChars="2350"/>
        <w:rPr>
          <w:rFonts w:ascii="宋体" w:hAnsi="宋体" w:cs="宋体"/>
          <w:szCs w:val="21"/>
        </w:rPr>
      </w:pPr>
      <w:r>
        <w:rPr>
          <w:rFonts w:hint="eastAsia" w:ascii="宋体" w:hAnsi="宋体" w:cs="宋体"/>
          <w:szCs w:val="21"/>
        </w:rPr>
        <w:t xml:space="preserve"> </w:t>
      </w:r>
    </w:p>
    <w:p w14:paraId="68DE45F2">
      <w:pPr>
        <w:snapToGrid w:val="0"/>
        <w:spacing w:line="360" w:lineRule="auto"/>
        <w:ind w:firstLine="4935" w:firstLineChars="2350"/>
        <w:rPr>
          <w:rFonts w:ascii="宋体" w:hAnsi="宋体" w:cs="宋体"/>
          <w:szCs w:val="21"/>
        </w:rPr>
      </w:pPr>
    </w:p>
    <w:p w14:paraId="322E398B">
      <w:pPr>
        <w:snapToGrid w:val="0"/>
        <w:spacing w:line="360" w:lineRule="auto"/>
        <w:ind w:firstLine="10080" w:firstLineChars="480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3262612A">
      <w:pPr>
        <w:snapToGrid w:val="0"/>
        <w:spacing w:line="360" w:lineRule="auto"/>
        <w:ind w:firstLine="10080" w:firstLineChars="4200"/>
        <w:rPr>
          <w:rFonts w:ascii="宋体" w:hAnsi="宋体" w:cs="宋体"/>
          <w:kern w:val="0"/>
          <w:sz w:val="24"/>
          <w:lang w:val="zh-CN"/>
        </w:rPr>
        <w:sectPr>
          <w:pgSz w:w="11906" w:h="16838"/>
          <w:pgMar w:top="1080" w:right="1440" w:bottom="1080" w:left="1440" w:header="720" w:footer="720" w:gutter="0"/>
          <w:cols w:space="720" w:num="1"/>
          <w:docGrid w:type="lines" w:linePitch="331" w:charSpace="0"/>
        </w:sect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3364FAB">
      <w:pPr>
        <w:pStyle w:val="12"/>
        <w:spacing w:line="360" w:lineRule="auto"/>
        <w:jc w:val="center"/>
        <w:outlineLvl w:val="1"/>
        <w:rPr>
          <w:rFonts w:hAnsi="宋体" w:cs="宋体"/>
          <w:b/>
          <w:bCs/>
          <w:sz w:val="28"/>
          <w:szCs w:val="28"/>
        </w:rPr>
      </w:pPr>
      <w:bookmarkStart w:id="306" w:name="_Toc21416"/>
      <w:bookmarkStart w:id="307" w:name="_Toc19686839"/>
      <w:r>
        <w:rPr>
          <w:rFonts w:hint="eastAsia" w:hAnsi="宋体" w:cs="宋体"/>
          <w:b/>
          <w:bCs/>
          <w:sz w:val="28"/>
          <w:szCs w:val="28"/>
        </w:rPr>
        <w:t>第四节 技术文件格式</w:t>
      </w:r>
      <w:bookmarkEnd w:id="306"/>
      <w:bookmarkEnd w:id="307"/>
    </w:p>
    <w:p w14:paraId="559B0A91">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电子投标文件</w:t>
      </w:r>
    </w:p>
    <w:p w14:paraId="37F14667">
      <w:pPr>
        <w:snapToGrid w:val="0"/>
        <w:spacing w:before="165" w:beforeLines="50" w:after="50" w:line="360" w:lineRule="auto"/>
        <w:rPr>
          <w:rFonts w:ascii="宋体" w:hAnsi="宋体" w:cs="宋体"/>
          <w:sz w:val="24"/>
          <w:szCs w:val="20"/>
        </w:rPr>
      </w:pPr>
    </w:p>
    <w:p w14:paraId="3E26B336">
      <w:pPr>
        <w:snapToGrid w:val="0"/>
        <w:spacing w:before="165" w:beforeLines="50" w:after="50" w:line="360" w:lineRule="auto"/>
        <w:jc w:val="center"/>
        <w:rPr>
          <w:rFonts w:ascii="宋体" w:hAnsi="宋体" w:cs="宋体"/>
          <w:b/>
          <w:bCs/>
          <w:sz w:val="32"/>
          <w:szCs w:val="32"/>
        </w:rPr>
      </w:pPr>
    </w:p>
    <w:p w14:paraId="6DB5F7A1">
      <w:pPr>
        <w:snapToGrid w:val="0"/>
        <w:spacing w:before="165" w:beforeLines="50" w:after="50" w:line="360" w:lineRule="auto"/>
        <w:jc w:val="center"/>
        <w:rPr>
          <w:rFonts w:ascii="宋体" w:hAnsi="宋体" w:cs="宋体"/>
          <w:b/>
          <w:bCs/>
          <w:sz w:val="32"/>
          <w:szCs w:val="32"/>
        </w:rPr>
      </w:pPr>
    </w:p>
    <w:p w14:paraId="78E9D398">
      <w:pPr>
        <w:snapToGrid w:val="0"/>
        <w:spacing w:before="165" w:beforeLines="50" w:after="50" w:line="360" w:lineRule="auto"/>
        <w:jc w:val="center"/>
        <w:rPr>
          <w:rFonts w:ascii="宋体" w:hAnsi="宋体" w:cs="宋体"/>
          <w:b/>
          <w:bCs/>
          <w:sz w:val="32"/>
          <w:szCs w:val="32"/>
        </w:rPr>
      </w:pPr>
    </w:p>
    <w:p w14:paraId="3D677504">
      <w:pPr>
        <w:snapToGrid w:val="0"/>
        <w:spacing w:before="165" w:beforeLines="50" w:after="50" w:line="360" w:lineRule="auto"/>
        <w:jc w:val="center"/>
        <w:rPr>
          <w:rFonts w:ascii="宋体" w:hAnsi="宋体" w:cs="宋体"/>
          <w:b/>
          <w:bCs/>
          <w:sz w:val="32"/>
          <w:szCs w:val="32"/>
        </w:rPr>
      </w:pPr>
      <w:r>
        <w:rPr>
          <w:rFonts w:hint="eastAsia" w:ascii="宋体" w:hAnsi="宋体" w:cs="宋体"/>
          <w:b/>
          <w:bCs/>
          <w:sz w:val="32"/>
          <w:szCs w:val="32"/>
        </w:rPr>
        <w:t>技术文件（封面）</w:t>
      </w:r>
    </w:p>
    <w:p w14:paraId="4500EB9A">
      <w:pPr>
        <w:snapToGrid w:val="0"/>
        <w:spacing w:before="165" w:beforeLines="50" w:after="50" w:line="360" w:lineRule="auto"/>
        <w:rPr>
          <w:rFonts w:ascii="宋体" w:hAnsi="宋体" w:cs="宋体"/>
          <w:bCs/>
          <w:sz w:val="24"/>
          <w:szCs w:val="20"/>
        </w:rPr>
      </w:pPr>
    </w:p>
    <w:p w14:paraId="4F5B41EB">
      <w:pPr>
        <w:snapToGrid w:val="0"/>
        <w:spacing w:before="165" w:beforeLines="50" w:after="50" w:line="360" w:lineRule="auto"/>
        <w:ind w:firstLine="360" w:firstLineChars="150"/>
        <w:rPr>
          <w:rFonts w:ascii="宋体" w:hAnsi="宋体" w:cs="宋体"/>
          <w:bCs/>
          <w:sz w:val="24"/>
          <w:szCs w:val="20"/>
        </w:rPr>
      </w:pPr>
      <w:r>
        <w:rPr>
          <w:rFonts w:hint="eastAsia" w:ascii="宋体" w:hAnsi="宋体" w:cs="宋体"/>
          <w:bCs/>
          <w:sz w:val="24"/>
        </w:rPr>
        <w:t xml:space="preserve">项目名称： </w:t>
      </w:r>
    </w:p>
    <w:p w14:paraId="7AFCBF71">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 xml:space="preserve">项目编号： </w:t>
      </w:r>
    </w:p>
    <w:p w14:paraId="4D49418B">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所投分标：（此处有分标时填写具体分标号，无分标时填写“无”）</w:t>
      </w:r>
    </w:p>
    <w:p w14:paraId="0E645621">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投标人名称：</w:t>
      </w:r>
    </w:p>
    <w:p w14:paraId="3A48E14B">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投标人地址：</w:t>
      </w:r>
    </w:p>
    <w:p w14:paraId="18F7C1A8">
      <w:pPr>
        <w:snapToGrid w:val="0"/>
        <w:spacing w:before="165" w:beforeLines="50" w:after="50" w:line="360" w:lineRule="auto"/>
        <w:ind w:firstLine="645"/>
        <w:jc w:val="center"/>
        <w:rPr>
          <w:rFonts w:ascii="宋体" w:hAnsi="宋体" w:cs="宋体"/>
          <w:sz w:val="24"/>
        </w:rPr>
      </w:pPr>
      <w:r>
        <w:rPr>
          <w:rFonts w:hint="eastAsia" w:ascii="宋体" w:hAnsi="宋体" w:cs="宋体"/>
          <w:sz w:val="24"/>
        </w:rPr>
        <w:t xml:space="preserve">                        年    月    日</w:t>
      </w:r>
    </w:p>
    <w:p w14:paraId="73CD017A">
      <w:pPr>
        <w:snapToGrid w:val="0"/>
        <w:spacing w:before="165" w:beforeLines="50" w:after="50" w:line="360" w:lineRule="auto"/>
        <w:ind w:firstLine="645"/>
        <w:jc w:val="center"/>
        <w:rPr>
          <w:rFonts w:ascii="宋体" w:hAnsi="宋体" w:cs="宋体"/>
          <w:sz w:val="24"/>
          <w:szCs w:val="20"/>
        </w:rPr>
      </w:pPr>
    </w:p>
    <w:p w14:paraId="1ABE8F0C">
      <w:pPr>
        <w:spacing w:line="360" w:lineRule="auto"/>
        <w:jc w:val="center"/>
        <w:rPr>
          <w:rFonts w:ascii="宋体" w:hAnsi="宋体" w:cs="宋体"/>
          <w:b/>
          <w:kern w:val="0"/>
          <w:sz w:val="28"/>
          <w:szCs w:val="28"/>
        </w:rPr>
        <w:sectPr>
          <w:footerReference r:id="rId16" w:type="first"/>
          <w:footerReference r:id="rId14" w:type="default"/>
          <w:footerReference r:id="rId15" w:type="even"/>
          <w:pgSz w:w="11906" w:h="16838"/>
          <w:pgMar w:top="1440" w:right="1080" w:bottom="1440" w:left="1080" w:header="720" w:footer="720" w:gutter="0"/>
          <w:cols w:space="720" w:num="1"/>
          <w:docGrid w:type="lines" w:linePitch="331" w:charSpace="0"/>
        </w:sectPr>
      </w:pPr>
    </w:p>
    <w:p w14:paraId="1B827E3A">
      <w:pPr>
        <w:spacing w:line="360" w:lineRule="auto"/>
        <w:jc w:val="center"/>
        <w:rPr>
          <w:rFonts w:ascii="宋体" w:hAnsi="宋体" w:cs="宋体"/>
          <w:b/>
          <w:kern w:val="0"/>
          <w:sz w:val="28"/>
          <w:szCs w:val="28"/>
        </w:rPr>
      </w:pPr>
      <w:r>
        <w:rPr>
          <w:rFonts w:hint="eastAsia" w:ascii="宋体" w:hAnsi="宋体" w:cs="宋体"/>
          <w:b/>
          <w:kern w:val="0"/>
          <w:sz w:val="28"/>
          <w:szCs w:val="28"/>
        </w:rPr>
        <w:t>技术文件目录</w:t>
      </w:r>
    </w:p>
    <w:p w14:paraId="783139C1">
      <w:pPr>
        <w:pStyle w:val="34"/>
        <w:spacing w:line="360" w:lineRule="auto"/>
        <w:rPr>
          <w:rFonts w:ascii="宋体" w:hAnsi="宋体" w:eastAsia="宋体" w:cs="宋体"/>
        </w:rPr>
      </w:pPr>
      <w:r>
        <w:rPr>
          <w:rFonts w:hint="eastAsia" w:ascii="宋体" w:hAnsi="宋体" w:eastAsia="宋体" w:cs="宋体"/>
        </w:rPr>
        <w:t>一、技术需求偏离表………………</w:t>
      </w:r>
      <w:r>
        <w:rPr>
          <w:rFonts w:hint="eastAsia" w:ascii="宋体" w:hAnsi="宋体" w:eastAsia="宋体" w:cs="宋体"/>
          <w:lang w:val="zh-CN"/>
        </w:rPr>
        <w:t>…………</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14:paraId="13819448">
      <w:pPr>
        <w:pStyle w:val="34"/>
        <w:spacing w:line="360" w:lineRule="auto"/>
        <w:rPr>
          <w:rFonts w:ascii="宋体" w:hAnsi="宋体" w:eastAsia="宋体" w:cs="宋体"/>
        </w:rPr>
      </w:pPr>
      <w:r>
        <w:rPr>
          <w:rFonts w:hint="eastAsia" w:ascii="宋体" w:hAnsi="宋体" w:eastAsia="宋体" w:cs="宋体"/>
        </w:rPr>
        <w:t>二、项目实施方案…………………………………………………………………（页码）</w:t>
      </w:r>
    </w:p>
    <w:p w14:paraId="6D2248AC">
      <w:pPr>
        <w:pStyle w:val="34"/>
        <w:spacing w:line="360" w:lineRule="auto"/>
        <w:rPr>
          <w:rFonts w:ascii="宋体" w:hAnsi="宋体" w:eastAsia="宋体" w:cs="宋体"/>
        </w:rPr>
      </w:pPr>
      <w:r>
        <w:rPr>
          <w:rFonts w:hint="eastAsia" w:ascii="宋体" w:hAnsi="宋体" w:eastAsia="宋体" w:cs="宋体"/>
        </w:rPr>
        <w:t>三、售后服务方案 ………………………………</w:t>
      </w:r>
      <w:r>
        <w:rPr>
          <w:rFonts w:hint="eastAsia" w:ascii="宋体" w:hAnsi="宋体" w:eastAsia="宋体" w:cs="宋体"/>
          <w:lang w:val="zh-CN"/>
        </w:rPr>
        <w:t>………</w:t>
      </w:r>
      <w:r>
        <w:rPr>
          <w:rFonts w:hint="eastAsia" w:ascii="宋体" w:hAnsi="宋体" w:eastAsia="宋体" w:cs="宋体"/>
        </w:rPr>
        <w:t>…………………………（页码）</w:t>
      </w:r>
    </w:p>
    <w:p w14:paraId="574AE95E">
      <w:pPr>
        <w:pStyle w:val="34"/>
        <w:spacing w:line="360" w:lineRule="auto"/>
        <w:rPr>
          <w:rFonts w:ascii="宋体" w:hAnsi="宋体" w:eastAsia="宋体" w:cs="宋体"/>
        </w:rPr>
      </w:pPr>
      <w:r>
        <w:rPr>
          <w:rFonts w:hint="eastAsia" w:ascii="宋体" w:hAnsi="宋体" w:eastAsia="宋体" w:cs="宋体"/>
        </w:rPr>
        <w:t>四、</w:t>
      </w:r>
      <w:r>
        <w:rPr>
          <w:rFonts w:hint="eastAsia" w:ascii="宋体" w:hAnsi="宋体" w:eastAsia="宋体" w:cs="宋体"/>
          <w:lang w:val="zh-CN"/>
        </w:rPr>
        <w:t>项目实施人员一览表 ………………………………</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14:paraId="6FE790CA">
      <w:pPr>
        <w:pStyle w:val="34"/>
        <w:spacing w:line="360" w:lineRule="auto"/>
        <w:rPr>
          <w:rFonts w:ascii="宋体" w:hAnsi="宋体" w:eastAsia="宋体" w:cs="宋体"/>
        </w:rPr>
      </w:pPr>
      <w:r>
        <w:rPr>
          <w:rFonts w:hint="eastAsia" w:ascii="宋体" w:hAnsi="宋体" w:eastAsia="宋体" w:cs="宋体"/>
        </w:rPr>
        <w:t>五、对本项目总体要求的理解</w:t>
      </w:r>
      <w:r>
        <w:rPr>
          <w:rFonts w:hint="eastAsia" w:ascii="宋体" w:hAnsi="宋体" w:eastAsia="宋体" w:cs="宋体"/>
          <w:lang w:val="zh-CN"/>
        </w:rPr>
        <w:t>………………………………………………</w:t>
      </w:r>
      <w:r>
        <w:rPr>
          <w:rFonts w:hint="eastAsia" w:ascii="宋体" w:hAnsi="宋体" w:eastAsia="宋体" w:cs="宋体"/>
        </w:rPr>
        <w:t>………（页码）</w:t>
      </w:r>
    </w:p>
    <w:p w14:paraId="21AA86D4">
      <w:pPr>
        <w:pStyle w:val="34"/>
        <w:spacing w:line="360" w:lineRule="auto"/>
        <w:rPr>
          <w:rFonts w:ascii="宋体" w:hAnsi="宋体" w:eastAsia="宋体" w:cs="宋体"/>
        </w:rPr>
      </w:pPr>
      <w:r>
        <w:rPr>
          <w:rFonts w:hint="eastAsia" w:ascii="宋体" w:hAnsi="宋体" w:eastAsia="宋体" w:cs="宋体"/>
        </w:rPr>
        <w:t>六、产品出厂标准、质量检测报告</w:t>
      </w:r>
      <w:r>
        <w:rPr>
          <w:rFonts w:hint="eastAsia" w:ascii="宋体" w:hAnsi="宋体" w:eastAsia="宋体" w:cs="宋体"/>
          <w:lang w:val="zh-CN"/>
        </w:rPr>
        <w:t>…………………………………………………</w:t>
      </w:r>
      <w:r>
        <w:rPr>
          <w:rFonts w:hint="eastAsia" w:ascii="宋体" w:hAnsi="宋体" w:eastAsia="宋体" w:cs="宋体"/>
        </w:rPr>
        <w:t>（页码）</w:t>
      </w:r>
    </w:p>
    <w:p w14:paraId="260326CB">
      <w:pPr>
        <w:pStyle w:val="34"/>
        <w:spacing w:line="360" w:lineRule="auto"/>
        <w:rPr>
          <w:rFonts w:ascii="宋体" w:hAnsi="宋体" w:eastAsia="宋体" w:cs="宋体"/>
        </w:rPr>
      </w:pPr>
      <w:r>
        <w:rPr>
          <w:rFonts w:hint="eastAsia" w:ascii="宋体" w:hAnsi="宋体" w:eastAsia="宋体" w:cs="宋体"/>
        </w:rPr>
        <w:t>七、优惠条件（如有）</w:t>
      </w:r>
      <w:r>
        <w:rPr>
          <w:rFonts w:hint="eastAsia" w:ascii="宋体" w:hAnsi="宋体" w:eastAsia="宋体" w:cs="宋体"/>
          <w:lang w:val="zh-CN"/>
        </w:rPr>
        <w:t>………………………………………………………………</w:t>
      </w:r>
      <w:r>
        <w:rPr>
          <w:rFonts w:hint="eastAsia" w:ascii="宋体" w:hAnsi="宋体" w:eastAsia="宋体" w:cs="宋体"/>
        </w:rPr>
        <w:t>（页码）</w:t>
      </w:r>
    </w:p>
    <w:p w14:paraId="61F400ED">
      <w:pPr>
        <w:pStyle w:val="34"/>
        <w:spacing w:line="360" w:lineRule="auto"/>
        <w:rPr>
          <w:rFonts w:ascii="宋体" w:hAnsi="宋体" w:eastAsia="宋体" w:cs="宋体"/>
        </w:rPr>
      </w:pPr>
      <w:r>
        <w:rPr>
          <w:rFonts w:hint="eastAsia" w:ascii="宋体" w:hAnsi="宋体" w:eastAsia="宋体" w:cs="宋体"/>
        </w:rPr>
        <w:t>八、投标人对本项目的合理化建议和改进措施（如有）</w:t>
      </w:r>
      <w:r>
        <w:rPr>
          <w:rFonts w:hint="eastAsia" w:ascii="宋体" w:hAnsi="宋体" w:eastAsia="宋体" w:cs="宋体"/>
          <w:lang w:val="zh-CN"/>
        </w:rPr>
        <w:t>…………………</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14:paraId="68D4735D">
      <w:pPr>
        <w:pStyle w:val="34"/>
        <w:spacing w:line="360" w:lineRule="auto"/>
        <w:rPr>
          <w:rFonts w:ascii="宋体" w:hAnsi="宋体" w:eastAsia="宋体" w:cs="宋体"/>
        </w:rPr>
      </w:pPr>
      <w:r>
        <w:rPr>
          <w:rFonts w:hint="eastAsia" w:ascii="宋体" w:hAnsi="宋体" w:eastAsia="宋体" w:cs="宋体"/>
        </w:rPr>
        <w:t>九、除招标文件规定必须提供以外，投标人需要说明的其他文件和说明（如有）</w:t>
      </w:r>
      <w:r>
        <w:rPr>
          <w:rFonts w:hint="eastAsia" w:ascii="宋体" w:hAnsi="宋体" w:eastAsia="宋体" w:cs="宋体"/>
          <w:lang w:val="zh-CN"/>
        </w:rPr>
        <w:t>……………………………………</w:t>
      </w:r>
      <w:r>
        <w:rPr>
          <w:rFonts w:hint="eastAsia" w:ascii="宋体" w:hAnsi="宋体" w:eastAsia="宋体" w:cs="宋体"/>
        </w:rPr>
        <w:t>（页码）</w:t>
      </w:r>
    </w:p>
    <w:p w14:paraId="395AACDF">
      <w:pPr>
        <w:pStyle w:val="34"/>
        <w:spacing w:line="360" w:lineRule="auto"/>
        <w:ind w:firstLine="482"/>
        <w:rPr>
          <w:rFonts w:ascii="宋体" w:hAnsi="宋体" w:eastAsia="宋体" w:cs="宋体"/>
          <w:b/>
          <w:bCs/>
        </w:rPr>
      </w:pPr>
      <w:r>
        <w:rPr>
          <w:rFonts w:hint="eastAsia" w:ascii="宋体" w:hAnsi="宋体" w:eastAsia="宋体" w:cs="宋体"/>
          <w:b/>
          <w:bCs/>
        </w:rPr>
        <w:t>注：以上目录是基本格式要求，各投标人可根据自身情况进一步向下增加内容或细化。</w:t>
      </w:r>
    </w:p>
    <w:p w14:paraId="66A6CB0A">
      <w:pPr>
        <w:snapToGrid w:val="0"/>
        <w:spacing w:before="165" w:beforeLines="50" w:after="50" w:line="360" w:lineRule="auto"/>
        <w:ind w:left="143" w:leftChars="68" w:firstLine="472" w:firstLineChars="196"/>
        <w:jc w:val="left"/>
        <w:rPr>
          <w:rFonts w:ascii="宋体" w:hAnsi="宋体" w:cs="宋体"/>
          <w:b/>
          <w:sz w:val="24"/>
        </w:rPr>
      </w:pPr>
    </w:p>
    <w:p w14:paraId="27C82B48">
      <w:pPr>
        <w:pStyle w:val="12"/>
        <w:spacing w:line="360" w:lineRule="auto"/>
        <w:jc w:val="center"/>
        <w:rPr>
          <w:rFonts w:hAnsi="宋体" w:cs="宋体"/>
          <w:b/>
          <w:bCs/>
          <w:sz w:val="30"/>
          <w:szCs w:val="30"/>
        </w:rPr>
        <w:sectPr>
          <w:pgSz w:w="11906" w:h="16838"/>
          <w:pgMar w:top="1440" w:right="1080" w:bottom="1440" w:left="1080" w:header="720" w:footer="720" w:gutter="0"/>
          <w:cols w:space="720" w:num="1"/>
          <w:docGrid w:type="lines" w:linePitch="331" w:charSpace="0"/>
        </w:sectPr>
      </w:pPr>
    </w:p>
    <w:p w14:paraId="45312B2B">
      <w:pPr>
        <w:pStyle w:val="12"/>
        <w:spacing w:line="360" w:lineRule="auto"/>
        <w:jc w:val="center"/>
        <w:rPr>
          <w:rFonts w:hAnsi="宋体" w:cs="宋体"/>
          <w:b/>
          <w:bCs/>
          <w:sz w:val="30"/>
          <w:szCs w:val="30"/>
        </w:rPr>
      </w:pPr>
      <w:r>
        <w:rPr>
          <w:rFonts w:hint="eastAsia" w:hAnsi="宋体" w:cs="宋体"/>
          <w:b/>
          <w:bCs/>
          <w:sz w:val="30"/>
          <w:szCs w:val="30"/>
        </w:rPr>
        <w:t>一、技术需求偏离表</w:t>
      </w:r>
    </w:p>
    <w:p w14:paraId="0A51EB70">
      <w:pPr>
        <w:pStyle w:val="12"/>
        <w:spacing w:line="360" w:lineRule="auto"/>
        <w:ind w:firstLine="420" w:firstLineChars="200"/>
        <w:rPr>
          <w:rFonts w:hAnsi="宋体" w:cs="宋体"/>
        </w:rPr>
      </w:pPr>
    </w:p>
    <w:p w14:paraId="03C1E0DD">
      <w:pPr>
        <w:pStyle w:val="12"/>
        <w:spacing w:line="360" w:lineRule="auto"/>
        <w:ind w:firstLine="480" w:firstLineChars="200"/>
        <w:rPr>
          <w:rFonts w:hAnsi="宋体" w:cs="宋体"/>
          <w:sz w:val="24"/>
          <w:szCs w:val="24"/>
        </w:rPr>
      </w:pPr>
      <w:r>
        <w:rPr>
          <w:rFonts w:hint="eastAsia" w:hAnsi="宋体" w:cs="宋体"/>
          <w:sz w:val="24"/>
          <w:szCs w:val="24"/>
        </w:rPr>
        <w:t>请根据所投货物的实际技术参数，本项目招标文件第二章“货物需求一览表”中的“偏离说明”一栏应当选择“正偏离”、“负偏离”或“无偏离”进行填写。</w:t>
      </w:r>
    </w:p>
    <w:tbl>
      <w:tblPr>
        <w:tblStyle w:val="24"/>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137"/>
        <w:gridCol w:w="3676"/>
        <w:gridCol w:w="1168"/>
      </w:tblGrid>
      <w:tr w14:paraId="53AE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3FDC221A">
            <w:pPr>
              <w:spacing w:line="360" w:lineRule="auto"/>
              <w:rPr>
                <w:rFonts w:ascii="宋体" w:hAnsi="宋体" w:cs="宋体"/>
                <w:szCs w:val="21"/>
              </w:rPr>
            </w:pPr>
            <w:r>
              <w:rPr>
                <w:rFonts w:hint="eastAsia" w:ascii="宋体" w:hAnsi="宋体" w:cs="宋体"/>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7B15128A">
            <w:pPr>
              <w:spacing w:line="360" w:lineRule="auto"/>
              <w:jc w:val="center"/>
              <w:rPr>
                <w:rFonts w:ascii="宋体" w:hAnsi="宋体" w:cs="宋体"/>
                <w:szCs w:val="21"/>
              </w:rPr>
            </w:pPr>
            <w:r>
              <w:rPr>
                <w:rFonts w:hint="eastAsia" w:ascii="宋体" w:hAnsi="宋体" w:cs="宋体"/>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727522D4">
            <w:pPr>
              <w:spacing w:line="360" w:lineRule="auto"/>
              <w:jc w:val="center"/>
              <w:rPr>
                <w:rFonts w:ascii="宋体" w:hAnsi="宋体" w:cs="宋体"/>
                <w:szCs w:val="21"/>
              </w:rPr>
            </w:pPr>
            <w:r>
              <w:rPr>
                <w:rFonts w:hint="eastAsia" w:ascii="宋体" w:hAnsi="宋体" w:cs="宋体"/>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12C61209">
            <w:pPr>
              <w:spacing w:line="360" w:lineRule="auto"/>
              <w:rPr>
                <w:rFonts w:ascii="宋体" w:hAnsi="宋体" w:cs="宋体"/>
                <w:szCs w:val="21"/>
              </w:rPr>
            </w:pPr>
            <w:r>
              <w:rPr>
                <w:rFonts w:hint="eastAsia" w:ascii="宋体" w:hAnsi="宋体" w:cs="宋体"/>
                <w:szCs w:val="21"/>
              </w:rPr>
              <w:t>偏离说明</w:t>
            </w:r>
          </w:p>
        </w:tc>
      </w:tr>
      <w:tr w14:paraId="035B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6AD17AF4">
            <w:pPr>
              <w:widowControl/>
              <w:spacing w:line="360" w:lineRule="auto"/>
              <w:jc w:val="left"/>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166DDE7">
            <w:pPr>
              <w:spacing w:line="360" w:lineRule="auto"/>
              <w:jc w:val="center"/>
              <w:rPr>
                <w:rFonts w:ascii="宋体" w:hAnsi="宋体" w:cs="宋体"/>
                <w:szCs w:val="21"/>
              </w:rPr>
            </w:pPr>
            <w:r>
              <w:rPr>
                <w:rFonts w:hint="eastAsia" w:ascii="宋体" w:hAnsi="宋体" w:cs="宋体"/>
                <w:szCs w:val="21"/>
              </w:rPr>
              <w:t>货物名称</w:t>
            </w:r>
          </w:p>
        </w:tc>
        <w:tc>
          <w:tcPr>
            <w:tcW w:w="2310" w:type="dxa"/>
            <w:tcBorders>
              <w:top w:val="single" w:color="auto" w:sz="4" w:space="0"/>
              <w:left w:val="single" w:color="auto" w:sz="4" w:space="0"/>
              <w:bottom w:val="single" w:color="auto" w:sz="4" w:space="0"/>
              <w:right w:val="single" w:color="auto" w:sz="4" w:space="0"/>
            </w:tcBorders>
            <w:vAlign w:val="center"/>
          </w:tcPr>
          <w:p w14:paraId="625B92C0">
            <w:pPr>
              <w:spacing w:line="360" w:lineRule="auto"/>
              <w:jc w:val="center"/>
              <w:rPr>
                <w:rFonts w:ascii="宋体" w:hAnsi="宋体" w:cs="宋体"/>
                <w:szCs w:val="21"/>
              </w:rPr>
            </w:pPr>
            <w:r>
              <w:rPr>
                <w:rFonts w:hint="eastAsia" w:ascii="宋体" w:hAnsi="宋体" w:cs="宋体"/>
                <w:szCs w:val="21"/>
              </w:rPr>
              <w:t>货物参数</w:t>
            </w:r>
          </w:p>
        </w:tc>
        <w:tc>
          <w:tcPr>
            <w:tcW w:w="1137" w:type="dxa"/>
            <w:tcBorders>
              <w:top w:val="single" w:color="auto" w:sz="4" w:space="0"/>
              <w:left w:val="single" w:color="auto" w:sz="4" w:space="0"/>
              <w:bottom w:val="single" w:color="auto" w:sz="4" w:space="0"/>
              <w:right w:val="single" w:color="auto" w:sz="4" w:space="0"/>
            </w:tcBorders>
            <w:vAlign w:val="center"/>
          </w:tcPr>
          <w:p w14:paraId="6E19B38E">
            <w:pPr>
              <w:spacing w:line="360" w:lineRule="auto"/>
              <w:jc w:val="center"/>
              <w:rPr>
                <w:rFonts w:ascii="宋体" w:hAnsi="宋体" w:cs="宋体"/>
                <w:szCs w:val="21"/>
              </w:rPr>
            </w:pPr>
            <w:r>
              <w:rPr>
                <w:rFonts w:hint="eastAsia" w:ascii="宋体" w:hAnsi="宋体" w:cs="宋体"/>
                <w:szCs w:val="21"/>
              </w:rPr>
              <w:t>货物名称</w:t>
            </w:r>
          </w:p>
        </w:tc>
        <w:tc>
          <w:tcPr>
            <w:tcW w:w="3676" w:type="dxa"/>
            <w:tcBorders>
              <w:top w:val="single" w:color="auto" w:sz="4" w:space="0"/>
              <w:left w:val="single" w:color="auto" w:sz="4" w:space="0"/>
              <w:bottom w:val="single" w:color="auto" w:sz="4" w:space="0"/>
              <w:right w:val="single" w:color="auto" w:sz="4" w:space="0"/>
            </w:tcBorders>
            <w:vAlign w:val="center"/>
          </w:tcPr>
          <w:p w14:paraId="6B0A31CA">
            <w:pPr>
              <w:spacing w:line="360" w:lineRule="auto"/>
              <w:jc w:val="center"/>
              <w:rPr>
                <w:rFonts w:ascii="宋体" w:hAnsi="宋体" w:cs="宋体"/>
                <w:szCs w:val="21"/>
              </w:rPr>
            </w:pPr>
            <w:r>
              <w:rPr>
                <w:rFonts w:hint="eastAsia" w:ascii="宋体" w:hAnsi="宋体" w:cs="宋体"/>
                <w:szCs w:val="21"/>
              </w:rPr>
              <w:t>所提供货物的内容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0124FF1C">
            <w:pPr>
              <w:widowControl/>
              <w:spacing w:line="360" w:lineRule="auto"/>
              <w:jc w:val="left"/>
              <w:rPr>
                <w:rFonts w:ascii="宋体" w:hAnsi="宋体" w:cs="宋体"/>
                <w:szCs w:val="21"/>
              </w:rPr>
            </w:pPr>
          </w:p>
        </w:tc>
      </w:tr>
      <w:tr w14:paraId="100C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71236F2">
            <w:pPr>
              <w:spacing w:line="360" w:lineRule="auto"/>
              <w:jc w:val="center"/>
              <w:rPr>
                <w:rFonts w:ascii="宋体" w:hAnsi="宋体" w:cs="宋体"/>
                <w:szCs w:val="21"/>
              </w:rPr>
            </w:pPr>
            <w:r>
              <w:rPr>
                <w:rFonts w:hint="eastAsia" w:ascii="宋体" w:hAnsi="宋体" w:cs="宋体"/>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40D2C933">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717D779A">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7562331F">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535026EB">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44F1EC8C">
            <w:pPr>
              <w:spacing w:line="360" w:lineRule="auto"/>
              <w:jc w:val="center"/>
              <w:rPr>
                <w:rFonts w:ascii="宋体" w:hAnsi="宋体" w:cs="宋体"/>
                <w:szCs w:val="21"/>
              </w:rPr>
            </w:pPr>
            <w:r>
              <w:rPr>
                <w:rFonts w:hint="eastAsia" w:ascii="宋体" w:hAnsi="宋体" w:cs="宋体"/>
                <w:szCs w:val="21"/>
              </w:rPr>
              <w:t>正偏离（负偏离或无偏离）</w:t>
            </w:r>
          </w:p>
        </w:tc>
      </w:tr>
      <w:tr w14:paraId="7627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4DC74CCF">
            <w:pPr>
              <w:spacing w:line="360" w:lineRule="auto"/>
              <w:jc w:val="center"/>
              <w:rPr>
                <w:rFonts w:ascii="宋体" w:hAnsi="宋体" w:cs="宋体"/>
                <w:szCs w:val="21"/>
              </w:rPr>
            </w:pPr>
            <w:r>
              <w:rPr>
                <w:rFonts w:hint="eastAsia" w:ascii="宋体" w:hAnsi="宋体" w:cs="宋体"/>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71DA8BBF">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68300376">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1501C76C">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004C2FE3">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05D5CD0B">
            <w:pPr>
              <w:spacing w:line="360" w:lineRule="auto"/>
              <w:jc w:val="center"/>
              <w:rPr>
                <w:rFonts w:ascii="宋体" w:hAnsi="宋体" w:cs="宋体"/>
                <w:szCs w:val="21"/>
              </w:rPr>
            </w:pPr>
            <w:r>
              <w:rPr>
                <w:rFonts w:hint="eastAsia" w:ascii="宋体" w:hAnsi="宋体" w:cs="宋体"/>
                <w:szCs w:val="21"/>
              </w:rPr>
              <w:t>……</w:t>
            </w:r>
          </w:p>
        </w:tc>
      </w:tr>
      <w:tr w14:paraId="1276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70077468">
            <w:pPr>
              <w:spacing w:line="360" w:lineRule="auto"/>
              <w:jc w:val="center"/>
              <w:rPr>
                <w:rFonts w:ascii="宋体" w:hAnsi="宋体" w:cs="宋体"/>
                <w:szCs w:val="21"/>
              </w:rPr>
            </w:pPr>
            <w:r>
              <w:rPr>
                <w:rFonts w:hint="eastAsia" w:ascii="宋体" w:hAnsi="宋体" w:cs="宋体"/>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69099D35">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30E0FBF5">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422EA997">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132CD98E">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3AA2CBF1">
            <w:pPr>
              <w:spacing w:line="360" w:lineRule="auto"/>
              <w:jc w:val="center"/>
              <w:rPr>
                <w:rFonts w:ascii="宋体" w:hAnsi="宋体" w:cs="宋体"/>
                <w:szCs w:val="21"/>
              </w:rPr>
            </w:pPr>
            <w:r>
              <w:rPr>
                <w:rFonts w:hint="eastAsia" w:ascii="宋体" w:hAnsi="宋体" w:cs="宋体"/>
                <w:szCs w:val="21"/>
              </w:rPr>
              <w:t>……</w:t>
            </w:r>
          </w:p>
        </w:tc>
      </w:tr>
      <w:tr w14:paraId="3E38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E14F973">
            <w:pPr>
              <w:spacing w:line="360" w:lineRule="auto"/>
              <w:jc w:val="center"/>
              <w:rPr>
                <w:rFonts w:ascii="宋体" w:hAnsi="宋体" w:cs="宋体"/>
                <w:szCs w:val="21"/>
              </w:rPr>
            </w:pPr>
            <w:r>
              <w:rPr>
                <w:rFonts w:hint="eastAsia" w:ascii="宋体" w:hAnsi="宋体" w:cs="宋体"/>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14:paraId="35B290C3">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1E68568B">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23CCD3D6">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03E77B35">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626E5826">
            <w:pPr>
              <w:spacing w:line="360" w:lineRule="auto"/>
              <w:jc w:val="center"/>
              <w:rPr>
                <w:rFonts w:ascii="宋体" w:hAnsi="宋体" w:cs="宋体"/>
                <w:szCs w:val="21"/>
              </w:rPr>
            </w:pPr>
            <w:r>
              <w:rPr>
                <w:rFonts w:hint="eastAsia" w:ascii="宋体" w:hAnsi="宋体" w:cs="宋体"/>
                <w:szCs w:val="21"/>
              </w:rPr>
              <w:t>……</w:t>
            </w:r>
          </w:p>
        </w:tc>
      </w:tr>
    </w:tbl>
    <w:p w14:paraId="1C04C140">
      <w:pPr>
        <w:pStyle w:val="12"/>
        <w:spacing w:line="360" w:lineRule="auto"/>
        <w:rPr>
          <w:rFonts w:hAnsi="宋体" w:cs="宋体"/>
          <w:szCs w:val="21"/>
        </w:rPr>
      </w:pPr>
      <w:r>
        <w:rPr>
          <w:rFonts w:hint="eastAsia" w:hAnsi="宋体" w:cs="宋体"/>
          <w:szCs w:val="21"/>
        </w:rPr>
        <w:t>注：</w:t>
      </w:r>
    </w:p>
    <w:p w14:paraId="7D767236">
      <w:pPr>
        <w:pStyle w:val="12"/>
        <w:spacing w:line="360" w:lineRule="auto"/>
        <w:ind w:firstLine="420" w:firstLineChars="200"/>
        <w:rPr>
          <w:rFonts w:hAnsi="宋体" w:cs="宋体"/>
          <w:szCs w:val="21"/>
        </w:rPr>
      </w:pPr>
      <w:r>
        <w:rPr>
          <w:rFonts w:hint="eastAsia" w:hAnsi="宋体" w:cs="宋体"/>
          <w:szCs w:val="21"/>
        </w:rPr>
        <w:t>1.表格内容均需按要求填写并盖章，不得留空，</w:t>
      </w:r>
      <w:r>
        <w:rPr>
          <w:rFonts w:hint="eastAsia" w:hAnsi="宋体" w:cs="宋体"/>
          <w:bCs/>
          <w:szCs w:val="21"/>
        </w:rPr>
        <w:t>否则按投标无效处理</w:t>
      </w:r>
      <w:r>
        <w:rPr>
          <w:rFonts w:hint="eastAsia" w:hAnsi="宋体" w:cs="宋体"/>
          <w:szCs w:val="21"/>
        </w:rPr>
        <w:t>。</w:t>
      </w:r>
    </w:p>
    <w:p w14:paraId="44088A23">
      <w:pPr>
        <w:pStyle w:val="12"/>
        <w:spacing w:line="360" w:lineRule="auto"/>
        <w:ind w:firstLine="420" w:firstLineChars="200"/>
        <w:rPr>
          <w:rFonts w:hAnsi="宋体" w:cs="宋体"/>
          <w:szCs w:val="21"/>
        </w:rPr>
      </w:pPr>
      <w:r>
        <w:rPr>
          <w:rFonts w:hint="eastAsia" w:hAnsi="宋体" w:cs="宋体"/>
          <w:bCs/>
          <w:szCs w:val="21"/>
        </w:rPr>
        <w:t>2.当投标文件的货物内容低于招标文件要求时，投标人应当如实写明“负偏离”，否则视为虚假应标。</w:t>
      </w:r>
    </w:p>
    <w:p w14:paraId="16A838C2">
      <w:pPr>
        <w:pStyle w:val="12"/>
        <w:spacing w:line="360" w:lineRule="auto"/>
        <w:ind w:firstLine="420" w:firstLineChars="200"/>
        <w:rPr>
          <w:rFonts w:hAnsi="宋体" w:cs="宋体"/>
        </w:rPr>
      </w:pPr>
      <w:r>
        <w:rPr>
          <w:rFonts w:hint="eastAsia" w:hAnsi="宋体" w:cs="宋体"/>
        </w:rPr>
        <w:t>3.</w:t>
      </w:r>
      <w:r>
        <w:rPr>
          <w:rFonts w:hint="eastAsia" w:hAnsi="宋体" w:cs="宋体"/>
          <w:szCs w:val="21"/>
        </w:rPr>
        <w:t>采购需求中带“▲”及“★”的条款，也要分别在本表“货物参数”、“所提供货物的内容”中标记。</w:t>
      </w:r>
    </w:p>
    <w:p w14:paraId="4E962E5C">
      <w:pPr>
        <w:snapToGrid w:val="0"/>
        <w:spacing w:line="360" w:lineRule="auto"/>
        <w:ind w:firstLine="5640" w:firstLineChars="2350"/>
        <w:rPr>
          <w:rFonts w:ascii="宋体" w:hAnsi="宋体" w:cs="宋体"/>
          <w:kern w:val="0"/>
          <w:sz w:val="24"/>
          <w:lang w:val="zh-CN"/>
        </w:rPr>
      </w:pPr>
    </w:p>
    <w:p w14:paraId="727D6EFD">
      <w:pPr>
        <w:snapToGrid w:val="0"/>
        <w:spacing w:line="360" w:lineRule="auto"/>
        <w:ind w:firstLine="5640" w:firstLineChars="2350"/>
        <w:rPr>
          <w:rFonts w:ascii="宋体" w:hAnsi="宋体" w:cs="宋体"/>
          <w:kern w:val="0"/>
          <w:sz w:val="24"/>
        </w:rPr>
      </w:pPr>
      <w:r>
        <w:rPr>
          <w:rFonts w:hint="eastAsia" w:ascii="宋体" w:hAnsi="宋体" w:cs="宋体"/>
          <w:kern w:val="0"/>
          <w:sz w:val="24"/>
          <w:lang w:val="zh-CN"/>
        </w:rPr>
        <w:t>投标人名称（电子签章）：</w:t>
      </w:r>
    </w:p>
    <w:p w14:paraId="5117CB82">
      <w:pPr>
        <w:snapToGrid w:val="0"/>
        <w:spacing w:line="360" w:lineRule="auto"/>
        <w:ind w:firstLine="5880" w:firstLineChars="24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8E70DC6">
      <w:pPr>
        <w:snapToGrid w:val="0"/>
        <w:spacing w:before="165" w:beforeLines="50" w:after="50" w:line="360" w:lineRule="auto"/>
        <w:ind w:left="143" w:leftChars="68" w:firstLine="600" w:firstLineChars="200"/>
        <w:jc w:val="left"/>
        <w:rPr>
          <w:rFonts w:ascii="宋体" w:hAnsi="宋体" w:cs="宋体"/>
          <w:sz w:val="30"/>
          <w:szCs w:val="20"/>
        </w:rPr>
        <w:sectPr>
          <w:pgSz w:w="11906" w:h="16838"/>
          <w:pgMar w:top="1440" w:right="1080" w:bottom="1440" w:left="1080" w:header="720" w:footer="720" w:gutter="0"/>
          <w:cols w:space="720" w:num="1"/>
          <w:docGrid w:type="lines" w:linePitch="331" w:charSpace="0"/>
        </w:sectPr>
      </w:pPr>
    </w:p>
    <w:p w14:paraId="73082CB5">
      <w:pPr>
        <w:snapToGrid w:val="0"/>
        <w:spacing w:before="165" w:beforeLines="50" w:after="50" w:line="360" w:lineRule="auto"/>
        <w:jc w:val="center"/>
        <w:rPr>
          <w:rFonts w:ascii="宋体" w:hAnsi="宋体" w:cs="宋体"/>
          <w:b/>
          <w:bCs/>
          <w:sz w:val="30"/>
          <w:szCs w:val="30"/>
        </w:rPr>
      </w:pPr>
      <w:r>
        <w:rPr>
          <w:rFonts w:hint="eastAsia" w:ascii="宋体" w:hAnsi="宋体" w:cs="宋体"/>
          <w:b/>
          <w:bCs/>
          <w:sz w:val="30"/>
          <w:szCs w:val="30"/>
        </w:rPr>
        <w:t>二、项目实施方案</w:t>
      </w:r>
    </w:p>
    <w:p w14:paraId="1BA81C69">
      <w:pPr>
        <w:autoSpaceDE w:val="0"/>
        <w:autoSpaceDN w:val="0"/>
        <w:spacing w:line="360" w:lineRule="auto"/>
        <w:jc w:val="center"/>
        <w:rPr>
          <w:rFonts w:ascii="宋体" w:hAnsi="宋体" w:cs="宋体"/>
          <w:b/>
          <w:bCs/>
          <w:sz w:val="30"/>
          <w:szCs w:val="30"/>
        </w:rPr>
        <w:sectPr>
          <w:pgSz w:w="11906" w:h="16838"/>
          <w:pgMar w:top="1440" w:right="1080" w:bottom="1440" w:left="1080" w:header="720" w:footer="720" w:gutter="0"/>
          <w:cols w:space="720" w:num="1"/>
          <w:docGrid w:type="lines" w:linePitch="331" w:charSpace="0"/>
        </w:sectPr>
      </w:pPr>
      <w:r>
        <w:rPr>
          <w:rFonts w:hint="eastAsia" w:ascii="宋体" w:hAnsi="宋体" w:cs="宋体"/>
          <w:sz w:val="24"/>
        </w:rPr>
        <w:t>（格式仅供参考，由投标人根据采购需求及招标文件要求编制）</w:t>
      </w:r>
    </w:p>
    <w:p w14:paraId="1B5696FA">
      <w:pPr>
        <w:snapToGrid w:val="0"/>
        <w:spacing w:before="165" w:beforeLines="50" w:after="50" w:line="360" w:lineRule="auto"/>
        <w:jc w:val="center"/>
        <w:rPr>
          <w:rFonts w:ascii="宋体" w:hAnsi="宋体" w:cs="宋体"/>
          <w:b/>
          <w:bCs/>
          <w:sz w:val="30"/>
          <w:szCs w:val="30"/>
        </w:rPr>
      </w:pPr>
      <w:r>
        <w:rPr>
          <w:rFonts w:hint="eastAsia" w:ascii="宋体" w:hAnsi="宋体" w:cs="宋体"/>
          <w:b/>
          <w:bCs/>
          <w:sz w:val="30"/>
          <w:szCs w:val="30"/>
        </w:rPr>
        <w:t>三、售后服务方案</w:t>
      </w:r>
    </w:p>
    <w:p w14:paraId="63EABC73">
      <w:pPr>
        <w:autoSpaceDE w:val="0"/>
        <w:autoSpaceDN w:val="0"/>
        <w:spacing w:line="360" w:lineRule="auto"/>
        <w:jc w:val="center"/>
        <w:rPr>
          <w:rFonts w:ascii="宋体" w:hAnsi="宋体" w:cs="宋体"/>
          <w:sz w:val="24"/>
        </w:rPr>
      </w:pPr>
      <w:r>
        <w:rPr>
          <w:rFonts w:hint="eastAsia" w:ascii="宋体" w:hAnsi="宋体" w:cs="宋体"/>
          <w:sz w:val="24"/>
        </w:rPr>
        <w:t>（格式仅供参考，由投标人根据采购需求及招标文件要求编制）</w:t>
      </w:r>
    </w:p>
    <w:p w14:paraId="3F4C7A7E">
      <w:pPr>
        <w:snapToGrid w:val="0"/>
        <w:spacing w:before="165" w:beforeLines="50" w:after="50" w:line="360" w:lineRule="auto"/>
        <w:ind w:left="142"/>
        <w:jc w:val="center"/>
        <w:rPr>
          <w:rFonts w:ascii="宋体" w:hAnsi="宋体" w:cs="宋体"/>
          <w:b/>
          <w:sz w:val="32"/>
          <w:szCs w:val="32"/>
        </w:rPr>
      </w:pPr>
    </w:p>
    <w:p w14:paraId="74041122">
      <w:pPr>
        <w:snapToGrid w:val="0"/>
        <w:spacing w:before="165" w:beforeLines="50" w:after="50" w:line="360" w:lineRule="auto"/>
        <w:ind w:left="142"/>
        <w:jc w:val="center"/>
        <w:rPr>
          <w:rFonts w:ascii="宋体" w:hAnsi="宋体" w:cs="宋体"/>
          <w:b/>
          <w:sz w:val="32"/>
          <w:szCs w:val="32"/>
        </w:rPr>
      </w:pPr>
      <w:r>
        <w:rPr>
          <w:rFonts w:hint="eastAsia" w:ascii="宋体" w:hAnsi="宋体" w:cs="宋体"/>
          <w:b/>
          <w:sz w:val="32"/>
          <w:szCs w:val="32"/>
        </w:rPr>
        <w:t>四、项目实施人员一览表</w:t>
      </w:r>
    </w:p>
    <w:p w14:paraId="5B122BA1">
      <w:pPr>
        <w:snapToGrid w:val="0"/>
        <w:spacing w:before="165" w:beforeLines="50" w:after="50" w:line="360" w:lineRule="auto"/>
        <w:jc w:val="left"/>
        <w:rPr>
          <w:rFonts w:ascii="宋体" w:hAnsi="宋体" w:cs="宋体"/>
          <w:sz w:val="24"/>
        </w:rPr>
      </w:pPr>
      <w:r>
        <w:rPr>
          <w:rFonts w:hint="eastAsia" w:ascii="宋体" w:hAnsi="宋体" w:cs="宋体"/>
          <w:sz w:val="24"/>
        </w:rPr>
        <w:t xml:space="preserve"> </w:t>
      </w:r>
    </w:p>
    <w:p w14:paraId="63209714">
      <w:pPr>
        <w:snapToGrid w:val="0"/>
        <w:spacing w:before="165" w:beforeLines="50" w:after="50" w:line="360" w:lineRule="auto"/>
        <w:ind w:left="142"/>
        <w:jc w:val="center"/>
        <w:rPr>
          <w:rFonts w:ascii="宋体" w:hAnsi="宋体" w:cs="宋体"/>
          <w:b/>
          <w:sz w:val="32"/>
          <w:szCs w:val="32"/>
        </w:rPr>
      </w:pPr>
    </w:p>
    <w:p w14:paraId="7450C110">
      <w:pPr>
        <w:snapToGrid w:val="0"/>
        <w:spacing w:before="165" w:beforeLines="50" w:after="50" w:line="360" w:lineRule="auto"/>
        <w:ind w:left="142"/>
        <w:jc w:val="center"/>
        <w:rPr>
          <w:rFonts w:ascii="宋体" w:hAnsi="宋体" w:cs="宋体"/>
          <w:b/>
          <w:sz w:val="32"/>
          <w:szCs w:val="32"/>
        </w:rPr>
      </w:pPr>
      <w:r>
        <w:rPr>
          <w:rFonts w:hint="eastAsia" w:ascii="宋体" w:hAnsi="宋体" w:cs="宋体"/>
          <w:b/>
          <w:sz w:val="32"/>
          <w:szCs w:val="32"/>
        </w:rPr>
        <w:t>五、对本项目总体要求的理解</w:t>
      </w:r>
    </w:p>
    <w:p w14:paraId="590B8B1B">
      <w:pPr>
        <w:spacing w:line="360" w:lineRule="auto"/>
        <w:jc w:val="center"/>
        <w:rPr>
          <w:rFonts w:ascii="宋体" w:hAnsi="宋体" w:cs="宋体"/>
          <w:b/>
          <w:sz w:val="32"/>
          <w:szCs w:val="32"/>
        </w:rPr>
      </w:pPr>
    </w:p>
    <w:p w14:paraId="2AE4743C">
      <w:pPr>
        <w:spacing w:line="360" w:lineRule="auto"/>
        <w:jc w:val="center"/>
        <w:rPr>
          <w:rFonts w:ascii="宋体" w:hAnsi="宋体" w:cs="宋体"/>
          <w:b/>
          <w:sz w:val="32"/>
          <w:szCs w:val="32"/>
        </w:rPr>
      </w:pPr>
      <w:r>
        <w:rPr>
          <w:rFonts w:hint="eastAsia" w:ascii="宋体" w:hAnsi="宋体" w:cs="宋体"/>
          <w:b/>
          <w:sz w:val="32"/>
          <w:szCs w:val="32"/>
        </w:rPr>
        <w:t>六、产品出厂标准、质量检测报告</w:t>
      </w:r>
    </w:p>
    <w:p w14:paraId="194BEB14">
      <w:pPr>
        <w:spacing w:line="360" w:lineRule="auto"/>
        <w:jc w:val="center"/>
        <w:rPr>
          <w:rFonts w:ascii="宋体" w:hAnsi="宋体" w:cs="宋体"/>
          <w:b/>
          <w:sz w:val="32"/>
          <w:szCs w:val="32"/>
        </w:rPr>
      </w:pPr>
    </w:p>
    <w:p w14:paraId="10862A79">
      <w:pPr>
        <w:numPr>
          <w:ilvl w:val="0"/>
          <w:numId w:val="8"/>
        </w:numPr>
        <w:spacing w:line="360" w:lineRule="auto"/>
        <w:jc w:val="center"/>
        <w:rPr>
          <w:rFonts w:ascii="宋体" w:hAnsi="宋体" w:cs="宋体"/>
          <w:b/>
          <w:sz w:val="32"/>
          <w:szCs w:val="32"/>
        </w:rPr>
      </w:pPr>
      <w:r>
        <w:rPr>
          <w:rFonts w:hint="eastAsia" w:ascii="宋体" w:hAnsi="宋体" w:cs="宋体"/>
          <w:b/>
          <w:sz w:val="32"/>
          <w:szCs w:val="32"/>
        </w:rPr>
        <w:t>优惠条件</w:t>
      </w:r>
    </w:p>
    <w:p w14:paraId="06180D06">
      <w:pPr>
        <w:pStyle w:val="23"/>
        <w:numPr>
          <w:ilvl w:val="0"/>
          <w:numId w:val="8"/>
        </w:numPr>
        <w:ind w:firstLine="210"/>
      </w:pPr>
    </w:p>
    <w:p w14:paraId="63B840F8">
      <w:pPr>
        <w:spacing w:line="360" w:lineRule="auto"/>
        <w:jc w:val="center"/>
        <w:rPr>
          <w:rFonts w:ascii="宋体" w:hAnsi="宋体" w:cs="宋体"/>
          <w:b/>
          <w:sz w:val="32"/>
          <w:szCs w:val="32"/>
        </w:rPr>
      </w:pPr>
      <w:r>
        <w:rPr>
          <w:rFonts w:hint="eastAsia" w:ascii="宋体" w:hAnsi="宋体" w:cs="宋体"/>
          <w:b/>
          <w:sz w:val="32"/>
          <w:szCs w:val="32"/>
        </w:rPr>
        <w:t>八、投标人对本项目的合理化建议和改进措施</w:t>
      </w:r>
    </w:p>
    <w:p w14:paraId="2EA1673A">
      <w:pPr>
        <w:autoSpaceDE w:val="0"/>
        <w:autoSpaceDN w:val="0"/>
        <w:spacing w:line="360" w:lineRule="auto"/>
        <w:ind w:firstLine="120"/>
        <w:rPr>
          <w:rFonts w:ascii="宋体" w:hAnsi="宋体" w:cs="宋体"/>
          <w:sz w:val="24"/>
        </w:rPr>
      </w:pPr>
    </w:p>
    <w:p w14:paraId="0101DC96">
      <w:pPr>
        <w:spacing w:line="360" w:lineRule="auto"/>
        <w:jc w:val="center"/>
        <w:rPr>
          <w:rFonts w:ascii="宋体" w:hAnsi="宋体" w:cs="宋体"/>
          <w:b/>
          <w:sz w:val="32"/>
          <w:szCs w:val="32"/>
        </w:rPr>
      </w:pPr>
    </w:p>
    <w:p w14:paraId="3F782907">
      <w:pPr>
        <w:spacing w:line="360" w:lineRule="auto"/>
        <w:jc w:val="center"/>
        <w:rPr>
          <w:rFonts w:ascii="宋体" w:hAnsi="宋体" w:cs="宋体"/>
          <w:b/>
          <w:sz w:val="32"/>
          <w:szCs w:val="32"/>
        </w:rPr>
      </w:pPr>
    </w:p>
    <w:p w14:paraId="7FCAD6C5">
      <w:pPr>
        <w:spacing w:line="360" w:lineRule="auto"/>
        <w:jc w:val="center"/>
        <w:rPr>
          <w:rFonts w:ascii="宋体" w:hAnsi="宋体" w:cs="宋体"/>
          <w:b/>
          <w:sz w:val="32"/>
          <w:szCs w:val="32"/>
        </w:rPr>
      </w:pPr>
      <w:r>
        <w:rPr>
          <w:rFonts w:hint="eastAsia" w:ascii="宋体" w:hAnsi="宋体" w:cs="宋体"/>
          <w:b/>
          <w:sz w:val="32"/>
          <w:szCs w:val="32"/>
        </w:rPr>
        <w:t>九、认为需要的其他技术文件或说明</w:t>
      </w:r>
    </w:p>
    <w:p w14:paraId="239E3815">
      <w:pPr>
        <w:autoSpaceDE w:val="0"/>
        <w:autoSpaceDN w:val="0"/>
        <w:spacing w:line="360" w:lineRule="auto"/>
        <w:rPr>
          <w:rFonts w:ascii="宋体" w:hAnsi="宋体" w:cs="宋体"/>
          <w:b/>
          <w:bCs/>
          <w:sz w:val="30"/>
          <w:szCs w:val="30"/>
        </w:rPr>
      </w:pPr>
    </w:p>
    <w:p w14:paraId="07DA427E">
      <w:pPr>
        <w:snapToGrid w:val="0"/>
        <w:spacing w:before="165" w:beforeLines="50" w:after="50" w:line="360" w:lineRule="auto"/>
        <w:jc w:val="center"/>
        <w:outlineLvl w:val="1"/>
        <w:rPr>
          <w:rFonts w:ascii="宋体" w:hAnsi="宋体" w:cs="宋体"/>
          <w:b/>
          <w:bCs/>
          <w:sz w:val="24"/>
        </w:rPr>
        <w:sectPr>
          <w:pgSz w:w="11906" w:h="16838"/>
          <w:pgMar w:top="1440" w:right="1080" w:bottom="1440" w:left="1080" w:header="720" w:footer="720" w:gutter="0"/>
          <w:cols w:space="720" w:num="1"/>
          <w:docGrid w:type="lines" w:linePitch="331" w:charSpace="0"/>
        </w:sectPr>
      </w:pPr>
    </w:p>
    <w:p w14:paraId="5B358C7A">
      <w:pPr>
        <w:pStyle w:val="12"/>
        <w:spacing w:line="360" w:lineRule="auto"/>
        <w:jc w:val="center"/>
        <w:outlineLvl w:val="1"/>
        <w:rPr>
          <w:rFonts w:hAnsi="宋体" w:cs="宋体"/>
          <w:b/>
          <w:bCs/>
          <w:sz w:val="28"/>
          <w:szCs w:val="28"/>
        </w:rPr>
      </w:pPr>
      <w:bookmarkStart w:id="308" w:name="_Toc22229"/>
      <w:r>
        <w:rPr>
          <w:rFonts w:hint="eastAsia" w:hAnsi="宋体" w:cs="宋体"/>
          <w:b/>
          <w:bCs/>
          <w:sz w:val="28"/>
          <w:szCs w:val="28"/>
        </w:rPr>
        <w:t>第五节 报价文件格式</w:t>
      </w:r>
      <w:bookmarkEnd w:id="308"/>
    </w:p>
    <w:p w14:paraId="305B00B5">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电子投标文件</w:t>
      </w:r>
    </w:p>
    <w:p w14:paraId="2E36F82C">
      <w:pPr>
        <w:snapToGrid w:val="0"/>
        <w:spacing w:before="165" w:beforeLines="50" w:after="50" w:line="360" w:lineRule="auto"/>
        <w:jc w:val="center"/>
        <w:rPr>
          <w:rFonts w:ascii="宋体" w:hAnsi="宋体" w:cs="宋体"/>
          <w:bCs/>
          <w:sz w:val="24"/>
          <w:szCs w:val="20"/>
        </w:rPr>
      </w:pPr>
    </w:p>
    <w:p w14:paraId="0DDB705A">
      <w:pPr>
        <w:snapToGrid w:val="0"/>
        <w:spacing w:before="165" w:beforeLines="50" w:after="50" w:line="360" w:lineRule="auto"/>
        <w:jc w:val="center"/>
        <w:rPr>
          <w:rFonts w:ascii="宋体" w:hAnsi="宋体" w:cs="宋体"/>
          <w:b/>
          <w:bCs/>
          <w:sz w:val="32"/>
          <w:szCs w:val="32"/>
        </w:rPr>
      </w:pPr>
      <w:r>
        <w:rPr>
          <w:rFonts w:hint="eastAsia" w:ascii="宋体" w:hAnsi="宋体" w:cs="宋体"/>
          <w:b/>
          <w:bCs/>
          <w:sz w:val="32"/>
          <w:szCs w:val="32"/>
        </w:rPr>
        <w:t>报价文件（封面）</w:t>
      </w:r>
    </w:p>
    <w:p w14:paraId="3671E14C">
      <w:pPr>
        <w:snapToGrid w:val="0"/>
        <w:spacing w:before="165" w:beforeLines="50" w:after="50" w:line="360" w:lineRule="auto"/>
        <w:rPr>
          <w:rFonts w:ascii="宋体" w:hAnsi="宋体" w:cs="宋体"/>
          <w:bCs/>
          <w:sz w:val="24"/>
          <w:szCs w:val="20"/>
        </w:rPr>
      </w:pPr>
    </w:p>
    <w:p w14:paraId="49DCE7B7">
      <w:pPr>
        <w:snapToGrid w:val="0"/>
        <w:spacing w:before="165" w:beforeLines="50" w:after="50" w:line="360" w:lineRule="auto"/>
        <w:rPr>
          <w:rFonts w:ascii="宋体" w:hAnsi="宋体" w:cs="宋体"/>
          <w:bCs/>
          <w:sz w:val="24"/>
          <w:szCs w:val="20"/>
        </w:rPr>
      </w:pPr>
    </w:p>
    <w:p w14:paraId="3AB23FC8">
      <w:pPr>
        <w:snapToGrid w:val="0"/>
        <w:spacing w:before="165" w:beforeLines="50" w:after="50" w:line="360" w:lineRule="auto"/>
        <w:rPr>
          <w:rFonts w:ascii="宋体" w:hAnsi="宋体" w:cs="宋体"/>
          <w:bCs/>
          <w:sz w:val="24"/>
          <w:szCs w:val="20"/>
        </w:rPr>
      </w:pPr>
    </w:p>
    <w:p w14:paraId="6345AF80">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项目名称：</w:t>
      </w:r>
    </w:p>
    <w:p w14:paraId="036AA529">
      <w:pPr>
        <w:snapToGrid w:val="0"/>
        <w:spacing w:before="165" w:beforeLines="50" w:after="50" w:line="360" w:lineRule="auto"/>
        <w:ind w:firstLine="360" w:firstLineChars="150"/>
        <w:rPr>
          <w:rFonts w:ascii="宋体" w:hAnsi="宋体" w:cs="宋体"/>
          <w:bCs/>
          <w:sz w:val="24"/>
        </w:rPr>
      </w:pPr>
    </w:p>
    <w:p w14:paraId="2D4EB956">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 xml:space="preserve">项目编号： </w:t>
      </w:r>
    </w:p>
    <w:p w14:paraId="4028EEDC">
      <w:pPr>
        <w:snapToGrid w:val="0"/>
        <w:spacing w:before="165" w:beforeLines="50" w:after="50" w:line="360" w:lineRule="auto"/>
        <w:ind w:firstLine="360" w:firstLineChars="150"/>
        <w:rPr>
          <w:rFonts w:ascii="宋体" w:hAnsi="宋体" w:cs="宋体"/>
          <w:bCs/>
          <w:sz w:val="24"/>
        </w:rPr>
      </w:pPr>
    </w:p>
    <w:p w14:paraId="7D6046DC">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所投分标：（此处有分标时填写具体分标号，无分标时填写“无”）</w:t>
      </w:r>
    </w:p>
    <w:p w14:paraId="718B5710">
      <w:pPr>
        <w:snapToGrid w:val="0"/>
        <w:spacing w:before="165" w:beforeLines="50" w:after="50" w:line="360" w:lineRule="auto"/>
        <w:ind w:firstLine="360" w:firstLineChars="150"/>
        <w:rPr>
          <w:rFonts w:ascii="宋体" w:hAnsi="宋体" w:cs="宋体"/>
          <w:bCs/>
          <w:sz w:val="24"/>
        </w:rPr>
      </w:pPr>
    </w:p>
    <w:p w14:paraId="0997E572">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投标人名称：</w:t>
      </w:r>
    </w:p>
    <w:p w14:paraId="2349F7CB">
      <w:pPr>
        <w:snapToGrid w:val="0"/>
        <w:spacing w:before="165" w:beforeLines="50" w:after="50" w:line="360" w:lineRule="auto"/>
        <w:ind w:firstLine="360" w:firstLineChars="150"/>
        <w:rPr>
          <w:rFonts w:ascii="宋体" w:hAnsi="宋体" w:cs="宋体"/>
          <w:bCs/>
          <w:sz w:val="24"/>
        </w:rPr>
      </w:pPr>
    </w:p>
    <w:p w14:paraId="67B3F51E">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投标人地址：</w:t>
      </w:r>
    </w:p>
    <w:p w14:paraId="7DCF7FF3">
      <w:pPr>
        <w:pStyle w:val="7"/>
        <w:snapToGrid w:val="0"/>
        <w:spacing w:before="50" w:after="50" w:line="360" w:lineRule="auto"/>
        <w:ind w:firstLine="960" w:firstLineChars="400"/>
        <w:rPr>
          <w:rFonts w:ascii="宋体" w:hAnsi="宋体" w:cs="宋体"/>
          <w:bCs/>
          <w:sz w:val="24"/>
          <w:szCs w:val="24"/>
        </w:rPr>
      </w:pPr>
    </w:p>
    <w:p w14:paraId="1C6C7761">
      <w:pPr>
        <w:snapToGrid w:val="0"/>
        <w:spacing w:before="165" w:beforeLines="50" w:after="50" w:line="360" w:lineRule="auto"/>
        <w:rPr>
          <w:rFonts w:ascii="宋体" w:hAnsi="宋体" w:cs="宋体"/>
          <w:sz w:val="24"/>
        </w:rPr>
        <w:sectPr>
          <w:pgSz w:w="11906" w:h="16838"/>
          <w:pgMar w:top="1440" w:right="1080" w:bottom="1440" w:left="1080" w:header="720" w:footer="720" w:gutter="0"/>
          <w:cols w:space="720" w:num="1"/>
          <w:docGrid w:type="lines" w:linePitch="331" w:charSpace="0"/>
        </w:sectPr>
      </w:pPr>
      <w:r>
        <w:rPr>
          <w:rFonts w:hint="eastAsia" w:ascii="宋体" w:hAnsi="宋体" w:cs="宋体"/>
          <w:sz w:val="24"/>
        </w:rPr>
        <w:t xml:space="preserve">                                                       年  月  日</w:t>
      </w:r>
    </w:p>
    <w:p w14:paraId="082C7F83">
      <w:pPr>
        <w:spacing w:line="360" w:lineRule="auto"/>
        <w:rPr>
          <w:rFonts w:ascii="宋体" w:hAnsi="宋体" w:cs="宋体"/>
        </w:rPr>
      </w:pPr>
    </w:p>
    <w:p w14:paraId="2E246BB4">
      <w:pPr>
        <w:snapToGrid w:val="0"/>
        <w:spacing w:before="165" w:beforeLines="50" w:after="50" w:line="360" w:lineRule="auto"/>
        <w:jc w:val="center"/>
        <w:rPr>
          <w:rFonts w:ascii="宋体" w:hAnsi="宋体" w:cs="宋体"/>
          <w:b/>
          <w:bCs/>
          <w:sz w:val="32"/>
          <w:szCs w:val="32"/>
        </w:rPr>
      </w:pPr>
      <w:r>
        <w:rPr>
          <w:rFonts w:hint="eastAsia" w:ascii="宋体" w:hAnsi="宋体" w:cs="宋体"/>
          <w:b/>
          <w:bCs/>
          <w:sz w:val="32"/>
          <w:szCs w:val="32"/>
        </w:rPr>
        <w:t>报价文件目录</w:t>
      </w:r>
    </w:p>
    <w:p w14:paraId="4644AB30">
      <w:pPr>
        <w:spacing w:line="360" w:lineRule="auto"/>
        <w:rPr>
          <w:rFonts w:ascii="宋体" w:hAnsi="宋体" w:cs="宋体"/>
        </w:rPr>
      </w:pPr>
    </w:p>
    <w:p w14:paraId="53681F43">
      <w:pPr>
        <w:pStyle w:val="34"/>
        <w:spacing w:line="360" w:lineRule="auto"/>
        <w:rPr>
          <w:rFonts w:ascii="宋体" w:hAnsi="宋体" w:eastAsia="宋体" w:cs="宋体"/>
          <w:lang w:val="zh-CN"/>
        </w:rPr>
      </w:pPr>
      <w:r>
        <w:rPr>
          <w:rFonts w:hint="eastAsia" w:ascii="宋体" w:hAnsi="宋体" w:eastAsia="宋体" w:cs="宋体"/>
          <w:lang w:val="zh-CN"/>
        </w:rPr>
        <w:t>一、投标函………………………………………………………（页码）</w:t>
      </w:r>
    </w:p>
    <w:p w14:paraId="5C842A79">
      <w:pPr>
        <w:pStyle w:val="34"/>
        <w:spacing w:line="360" w:lineRule="auto"/>
        <w:rPr>
          <w:rFonts w:ascii="宋体" w:hAnsi="宋体" w:eastAsia="宋体" w:cs="宋体"/>
          <w:lang w:val="zh-CN"/>
        </w:rPr>
      </w:pPr>
      <w:r>
        <w:rPr>
          <w:rFonts w:hint="eastAsia" w:ascii="宋体" w:hAnsi="宋体" w:eastAsia="宋体" w:cs="宋体"/>
          <w:lang w:val="zh-CN"/>
        </w:rPr>
        <w:t>二、开标一览表…………………………………………………（页码）</w:t>
      </w:r>
    </w:p>
    <w:p w14:paraId="555E5BB1">
      <w:pPr>
        <w:pStyle w:val="34"/>
        <w:spacing w:line="360" w:lineRule="auto"/>
        <w:rPr>
          <w:rFonts w:ascii="宋体" w:hAnsi="宋体" w:eastAsia="宋体" w:cs="宋体"/>
          <w:lang w:val="zh-CN"/>
        </w:rPr>
      </w:pPr>
      <w:r>
        <w:rPr>
          <w:rFonts w:hint="eastAsia" w:ascii="宋体" w:hAnsi="宋体" w:eastAsia="宋体" w:cs="宋体"/>
          <w:lang w:val="zh-CN"/>
        </w:rPr>
        <w:t>三、中小企业声明函或残疾人福利性单位声明函或投标人属于监狱企业的证明材料……………………………………………（页码）</w:t>
      </w:r>
    </w:p>
    <w:p w14:paraId="1FF0792F">
      <w:pPr>
        <w:pStyle w:val="34"/>
        <w:spacing w:line="360" w:lineRule="auto"/>
        <w:rPr>
          <w:rFonts w:ascii="宋体" w:hAnsi="宋体" w:eastAsia="宋体" w:cs="宋体"/>
          <w:lang w:val="zh-CN"/>
        </w:rPr>
        <w:sectPr>
          <w:pgSz w:w="11906" w:h="16838"/>
          <w:pgMar w:top="1440" w:right="1080" w:bottom="1440" w:left="1080" w:header="720" w:footer="720" w:gutter="0"/>
          <w:cols w:space="720" w:num="1"/>
          <w:docGrid w:type="lines" w:linePitch="331" w:charSpace="0"/>
        </w:sectPr>
      </w:pPr>
      <w:r>
        <w:rPr>
          <w:rFonts w:hint="eastAsia" w:ascii="宋体" w:hAnsi="宋体" w:eastAsia="宋体" w:cs="宋体"/>
          <w:lang w:val="zh-CN"/>
        </w:rPr>
        <w:t>四、投标人针对报价需要说明的其他文件和说明…………………………（页码）</w:t>
      </w:r>
    </w:p>
    <w:p w14:paraId="6765B86B">
      <w:pPr>
        <w:pStyle w:val="12"/>
        <w:spacing w:line="360" w:lineRule="auto"/>
        <w:jc w:val="center"/>
        <w:rPr>
          <w:rFonts w:hAnsi="宋体" w:cs="宋体"/>
          <w:b/>
          <w:bCs/>
          <w:sz w:val="30"/>
          <w:szCs w:val="30"/>
        </w:rPr>
      </w:pPr>
      <w:r>
        <w:rPr>
          <w:rFonts w:hint="eastAsia" w:hAnsi="宋体" w:cs="宋体"/>
          <w:b/>
          <w:bCs/>
          <w:sz w:val="30"/>
          <w:szCs w:val="30"/>
        </w:rPr>
        <w:t>一、投标函</w:t>
      </w:r>
    </w:p>
    <w:p w14:paraId="4460D17D">
      <w:pPr>
        <w:pStyle w:val="12"/>
        <w:spacing w:line="360" w:lineRule="auto"/>
        <w:ind w:firstLine="420" w:firstLineChars="200"/>
        <w:rPr>
          <w:rFonts w:hAnsi="宋体" w:cs="宋体"/>
          <w:u w:val="single"/>
        </w:rPr>
      </w:pPr>
      <w:r>
        <w:rPr>
          <w:rFonts w:hint="eastAsia" w:hAnsi="宋体" w:cs="宋体"/>
        </w:rPr>
        <w:t>致：</w:t>
      </w:r>
      <w:r>
        <w:rPr>
          <w:rFonts w:hint="eastAsia" w:hAnsi="宋体" w:cs="宋体"/>
          <w:u w:val="single"/>
        </w:rPr>
        <w:t xml:space="preserve">                     </w:t>
      </w:r>
    </w:p>
    <w:p w14:paraId="51518279">
      <w:pPr>
        <w:pStyle w:val="12"/>
        <w:spacing w:line="360" w:lineRule="auto"/>
        <w:ind w:firstLine="420" w:firstLineChars="200"/>
        <w:rPr>
          <w:rFonts w:hAnsi="宋体" w:cs="宋体"/>
        </w:rPr>
      </w:pPr>
      <w:r>
        <w:rPr>
          <w:rFonts w:hint="eastAsia" w:hAnsi="宋体" w:cs="宋体"/>
        </w:rPr>
        <w:t>我方已仔细阅读了贵方组织的</w:t>
      </w:r>
      <w:r>
        <w:rPr>
          <w:rFonts w:hint="eastAsia" w:hAnsi="宋体" w:cs="宋体"/>
          <w:u w:val="single"/>
        </w:rPr>
        <w:t xml:space="preserve">             </w:t>
      </w:r>
      <w:r>
        <w:rPr>
          <w:rFonts w:hint="eastAsia" w:hAnsi="宋体" w:cs="宋体"/>
        </w:rPr>
        <w:t>项目（项目编号：</w:t>
      </w:r>
      <w:r>
        <w:rPr>
          <w:rFonts w:hint="eastAsia" w:hAnsi="宋体" w:cs="宋体"/>
          <w:u w:val="single"/>
        </w:rPr>
        <w:t xml:space="preserve">             </w:t>
      </w:r>
      <w:r>
        <w:rPr>
          <w:rFonts w:hint="eastAsia" w:hAnsi="宋体" w:cs="宋体"/>
        </w:rPr>
        <w:t>）的招标文件的全部内容，授权</w:t>
      </w:r>
      <w:r>
        <w:rPr>
          <w:rFonts w:hint="eastAsia" w:hAnsi="宋体" w:cs="宋体"/>
          <w:u w:val="single"/>
        </w:rPr>
        <w:t xml:space="preserve">                      （</w:t>
      </w:r>
      <w:r>
        <w:rPr>
          <w:rFonts w:hint="eastAsia" w:hAnsi="宋体" w:cs="宋体"/>
        </w:rPr>
        <w:t>全权代表姓名）</w:t>
      </w:r>
      <w:r>
        <w:rPr>
          <w:rFonts w:hint="eastAsia" w:hAnsi="宋体" w:cs="宋体"/>
          <w:u w:val="single"/>
        </w:rPr>
        <w:t xml:space="preserve">          </w:t>
      </w:r>
      <w:r>
        <w:rPr>
          <w:rFonts w:hint="eastAsia" w:hAnsi="宋体" w:cs="宋体"/>
        </w:rPr>
        <w:t xml:space="preserve"> （职务、职称）为全权代表，现正式递交下述文件参加贵方组织的本次政府采购活动： </w:t>
      </w:r>
    </w:p>
    <w:p w14:paraId="3F074289">
      <w:pPr>
        <w:pStyle w:val="12"/>
        <w:spacing w:line="360" w:lineRule="auto"/>
        <w:ind w:firstLine="420" w:firstLineChars="200"/>
        <w:rPr>
          <w:rFonts w:hAnsi="宋体" w:cs="宋体"/>
        </w:rPr>
      </w:pPr>
      <w:r>
        <w:rPr>
          <w:rFonts w:hint="eastAsia" w:hAnsi="宋体" w:cs="宋体"/>
        </w:rPr>
        <w:t>一、报价文件电子版一份（包含按投标人须知前附表要求提交的全部文件）；</w:t>
      </w:r>
    </w:p>
    <w:p w14:paraId="14904ECC">
      <w:pPr>
        <w:pStyle w:val="12"/>
        <w:spacing w:line="360" w:lineRule="auto"/>
        <w:ind w:firstLine="482"/>
        <w:rPr>
          <w:rFonts w:hAnsi="宋体" w:cs="宋体"/>
        </w:rPr>
      </w:pPr>
      <w:r>
        <w:rPr>
          <w:rFonts w:hint="eastAsia" w:hAnsi="宋体" w:cs="宋体"/>
        </w:rPr>
        <w:t>二、资格文件电子版一份（包含按投标人须知前附表要求提交的全部文件）；</w:t>
      </w:r>
    </w:p>
    <w:p w14:paraId="7F2BB774">
      <w:pPr>
        <w:pStyle w:val="12"/>
        <w:spacing w:line="360" w:lineRule="auto"/>
        <w:ind w:firstLine="482"/>
        <w:rPr>
          <w:rFonts w:hAnsi="宋体" w:cs="宋体"/>
        </w:rPr>
      </w:pPr>
      <w:r>
        <w:rPr>
          <w:rFonts w:hint="eastAsia" w:hAnsi="宋体" w:cs="宋体"/>
        </w:rPr>
        <w:t>三、技术文件电子版一份（包含按投标人须知前附表要求提交的全部文件）；</w:t>
      </w:r>
    </w:p>
    <w:p w14:paraId="4B29EB0E">
      <w:pPr>
        <w:pStyle w:val="12"/>
        <w:spacing w:line="360" w:lineRule="auto"/>
        <w:ind w:firstLine="482"/>
        <w:rPr>
          <w:rFonts w:hAnsi="宋体" w:cs="宋体"/>
        </w:rPr>
      </w:pPr>
      <w:r>
        <w:rPr>
          <w:rFonts w:hint="eastAsia" w:hAnsi="宋体" w:cs="宋体"/>
        </w:rPr>
        <w:t>四、商务文件电子版一份（包含按投标人须知前附表要求提交的全部文件）；</w:t>
      </w:r>
    </w:p>
    <w:p w14:paraId="222B5320">
      <w:pPr>
        <w:pStyle w:val="12"/>
        <w:spacing w:line="360" w:lineRule="auto"/>
        <w:ind w:firstLine="482"/>
        <w:rPr>
          <w:rFonts w:hAnsi="宋体" w:cs="宋体"/>
        </w:rPr>
      </w:pPr>
      <w:r>
        <w:rPr>
          <w:rFonts w:hint="eastAsia" w:hAnsi="宋体" w:cs="宋体"/>
        </w:rPr>
        <w:t>据此函，签字人兹宣布：</w:t>
      </w:r>
    </w:p>
    <w:p w14:paraId="7320C0B3">
      <w:pPr>
        <w:pStyle w:val="12"/>
        <w:spacing w:line="360" w:lineRule="auto"/>
        <w:ind w:firstLine="420" w:firstLineChars="200"/>
        <w:rPr>
          <w:rFonts w:hAnsi="宋体" w:cs="宋体"/>
        </w:rPr>
      </w:pPr>
      <w:r>
        <w:rPr>
          <w:rFonts w:hint="eastAsia" w:hAnsi="宋体" w:cs="宋体"/>
        </w:rPr>
        <w:t>1、我方愿意以（大写）人民币</w:t>
      </w:r>
      <w:r>
        <w:rPr>
          <w:rFonts w:hint="eastAsia" w:hAnsi="宋体" w:cs="宋体"/>
          <w:u w:val="single"/>
        </w:rPr>
        <w:t xml:space="preserve">              </w:t>
      </w:r>
      <w:r>
        <w:rPr>
          <w:rFonts w:hint="eastAsia" w:hAnsi="宋体" w:cs="宋体"/>
        </w:rPr>
        <w:t>元 (￥</w:t>
      </w:r>
      <w:r>
        <w:rPr>
          <w:rFonts w:hint="eastAsia" w:hAnsi="宋体" w:cs="宋体"/>
          <w:u w:val="single"/>
        </w:rPr>
        <w:t xml:space="preserve">          </w:t>
      </w:r>
      <w:r>
        <w:rPr>
          <w:rFonts w:hint="eastAsia" w:hAnsi="宋体" w:cs="宋体"/>
        </w:rPr>
        <w:t>元）的投标总报价，提交货物时间（无分标时填写）</w:t>
      </w:r>
      <w:r>
        <w:rPr>
          <w:rFonts w:hint="eastAsia" w:hAnsi="宋体" w:cs="宋体"/>
          <w:u w:val="single"/>
        </w:rPr>
        <w:t xml:space="preserve">              </w:t>
      </w:r>
      <w:r>
        <w:rPr>
          <w:rFonts w:hint="eastAsia" w:hAnsi="宋体" w:cs="宋体"/>
        </w:rPr>
        <w:t>，提供本项目招标文件第二章“货物需求一览表”中的相应的采购内容。</w:t>
      </w:r>
    </w:p>
    <w:p w14:paraId="4A8D7735">
      <w:pPr>
        <w:pStyle w:val="12"/>
        <w:spacing w:line="360" w:lineRule="auto"/>
        <w:ind w:firstLine="420" w:firstLineChars="200"/>
        <w:rPr>
          <w:rFonts w:hAnsi="宋体" w:cs="宋体"/>
          <w:u w:val="single"/>
        </w:rPr>
      </w:pPr>
      <w:r>
        <w:rPr>
          <w:rFonts w:hint="eastAsia" w:hAnsi="宋体" w:cs="宋体"/>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3023008D">
      <w:pPr>
        <w:pStyle w:val="12"/>
        <w:spacing w:line="360" w:lineRule="auto"/>
        <w:ind w:firstLine="420" w:firstLineChars="200"/>
        <w:rPr>
          <w:rFonts w:hAnsi="宋体" w:cs="宋体"/>
          <w:u w:val="single"/>
        </w:rPr>
      </w:pPr>
      <w:r>
        <w:rPr>
          <w:rFonts w:hint="eastAsia" w:hAnsi="宋体" w:cs="宋体"/>
        </w:rPr>
        <w:t>3、我方所递交的投标文件及有关资料都是内容完整、真实和准确的。</w:t>
      </w:r>
    </w:p>
    <w:p w14:paraId="49D8E1F6">
      <w:pPr>
        <w:pStyle w:val="12"/>
        <w:spacing w:line="360" w:lineRule="auto"/>
        <w:ind w:firstLine="482"/>
        <w:rPr>
          <w:rFonts w:hAnsi="宋体" w:cs="宋体"/>
        </w:rPr>
      </w:pPr>
      <w:r>
        <w:rPr>
          <w:rFonts w:hint="eastAsia" w:hAnsi="宋体" w:cs="宋体"/>
        </w:rPr>
        <w:t>4、</w:t>
      </w:r>
      <w:r>
        <w:rPr>
          <w:rFonts w:hint="eastAsia" w:hAnsi="宋体" w:cs="宋体"/>
          <w:szCs w:val="21"/>
        </w:rPr>
        <w:t>如本项目采购内容涉及须符合国家强制规定的，我方承诺我方本次投标（包括资格条件和所投产品）均符合国家有关强制规定。</w:t>
      </w:r>
    </w:p>
    <w:p w14:paraId="206171D0">
      <w:pPr>
        <w:pStyle w:val="12"/>
        <w:spacing w:line="360" w:lineRule="auto"/>
        <w:ind w:firstLine="420" w:firstLineChars="200"/>
        <w:rPr>
          <w:rFonts w:hAnsi="宋体" w:cs="宋体"/>
        </w:rPr>
      </w:pPr>
      <w:r>
        <w:rPr>
          <w:rFonts w:hint="eastAsia" w:hAnsi="宋体" w:cs="宋体"/>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5557EB10">
      <w:pPr>
        <w:pStyle w:val="12"/>
        <w:spacing w:line="360" w:lineRule="auto"/>
        <w:ind w:firstLine="420" w:firstLineChars="200"/>
        <w:rPr>
          <w:rFonts w:hAnsi="宋体" w:cs="宋体"/>
        </w:rPr>
      </w:pPr>
      <w:r>
        <w:rPr>
          <w:rFonts w:hint="eastAsia" w:hAnsi="宋体" w:cs="宋体"/>
        </w:rPr>
        <w:t>6、我方已详细审核招标文件，我方知道必须放弃提出含糊不清或误解问题的权利。</w:t>
      </w:r>
    </w:p>
    <w:p w14:paraId="28E1AEFD">
      <w:pPr>
        <w:pStyle w:val="12"/>
        <w:spacing w:line="360" w:lineRule="auto"/>
        <w:ind w:firstLine="420" w:firstLineChars="200"/>
        <w:rPr>
          <w:rFonts w:hAnsi="宋体" w:cs="宋体"/>
        </w:rPr>
      </w:pPr>
      <w:r>
        <w:rPr>
          <w:rFonts w:hint="eastAsia" w:hAnsi="宋体" w:cs="宋体"/>
        </w:rPr>
        <w:t>7、我方同意应贵方要求提供与本投标有关的任何数据或资料。若贵方需要，我方愿意提供我方作出的一切承诺的证明材料。</w:t>
      </w:r>
    </w:p>
    <w:p w14:paraId="7502E225">
      <w:pPr>
        <w:pStyle w:val="12"/>
        <w:spacing w:line="360" w:lineRule="auto"/>
        <w:ind w:firstLine="420" w:firstLineChars="200"/>
        <w:rPr>
          <w:rFonts w:hAnsi="宋体" w:cs="宋体"/>
        </w:rPr>
      </w:pPr>
      <w:r>
        <w:rPr>
          <w:rFonts w:hint="eastAsia" w:hAnsi="宋体" w:cs="宋体"/>
        </w:rPr>
        <w:t>8、我方完全理解贵方不一定接受投标报价最低的投标人为中标人的行为。</w:t>
      </w:r>
    </w:p>
    <w:p w14:paraId="0AAA952A">
      <w:pPr>
        <w:pStyle w:val="12"/>
        <w:spacing w:line="360" w:lineRule="auto"/>
        <w:ind w:firstLine="420" w:firstLineChars="200"/>
        <w:rPr>
          <w:rFonts w:hAnsi="宋体" w:cs="宋体"/>
        </w:rPr>
      </w:pPr>
      <w:r>
        <w:rPr>
          <w:rFonts w:hint="eastAsia" w:hAnsi="宋体" w:cs="宋体"/>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D291924">
      <w:pPr>
        <w:pStyle w:val="12"/>
        <w:numPr>
          <w:ilvl w:val="0"/>
          <w:numId w:val="9"/>
        </w:numPr>
        <w:spacing w:line="360" w:lineRule="auto"/>
        <w:rPr>
          <w:rFonts w:hAnsi="宋体" w:cs="宋体"/>
        </w:rPr>
      </w:pPr>
      <w:r>
        <w:rPr>
          <w:rFonts w:hint="eastAsia" w:hAnsi="宋体" w:cs="宋体"/>
        </w:rPr>
        <w:t>提供虚假材料谋取中标、成交的；</w:t>
      </w:r>
    </w:p>
    <w:p w14:paraId="3CB64C5A">
      <w:pPr>
        <w:pStyle w:val="12"/>
        <w:numPr>
          <w:ilvl w:val="0"/>
          <w:numId w:val="9"/>
        </w:numPr>
        <w:spacing w:line="360" w:lineRule="auto"/>
        <w:rPr>
          <w:rFonts w:hAnsi="宋体" w:cs="宋体"/>
        </w:rPr>
      </w:pPr>
      <w:r>
        <w:rPr>
          <w:rFonts w:hint="eastAsia" w:hAnsi="宋体" w:cs="宋体"/>
        </w:rPr>
        <w:t>采取不正当手段诋毁、排挤其他供应商的；</w:t>
      </w:r>
    </w:p>
    <w:p w14:paraId="389BDD1B">
      <w:pPr>
        <w:pStyle w:val="12"/>
        <w:numPr>
          <w:ilvl w:val="0"/>
          <w:numId w:val="9"/>
        </w:numPr>
        <w:spacing w:line="360" w:lineRule="auto"/>
        <w:rPr>
          <w:rFonts w:hAnsi="宋体" w:cs="宋体"/>
        </w:rPr>
      </w:pPr>
      <w:r>
        <w:rPr>
          <w:rFonts w:hint="eastAsia" w:hAnsi="宋体" w:cs="宋体"/>
        </w:rPr>
        <w:t>与采购人、其他供应商或者采购代理机构恶意串通的；</w:t>
      </w:r>
    </w:p>
    <w:p w14:paraId="4E7E286E">
      <w:pPr>
        <w:pStyle w:val="12"/>
        <w:numPr>
          <w:ilvl w:val="0"/>
          <w:numId w:val="9"/>
        </w:numPr>
        <w:spacing w:line="360" w:lineRule="auto"/>
        <w:rPr>
          <w:rFonts w:hAnsi="宋体" w:cs="宋体"/>
        </w:rPr>
      </w:pPr>
      <w:r>
        <w:rPr>
          <w:rFonts w:hint="eastAsia" w:hAnsi="宋体" w:cs="宋体"/>
        </w:rPr>
        <w:t>向采购人、采购代理机构行贿或者提供其他不正当利益的；</w:t>
      </w:r>
    </w:p>
    <w:p w14:paraId="58E1D2B6">
      <w:pPr>
        <w:pStyle w:val="12"/>
        <w:numPr>
          <w:ilvl w:val="0"/>
          <w:numId w:val="9"/>
        </w:numPr>
        <w:spacing w:line="360" w:lineRule="auto"/>
        <w:rPr>
          <w:rFonts w:hAnsi="宋体" w:cs="宋体"/>
        </w:rPr>
      </w:pPr>
      <w:r>
        <w:rPr>
          <w:rFonts w:hint="eastAsia" w:hAnsi="宋体" w:cs="宋体"/>
        </w:rPr>
        <w:t>在招标采购过程中与采购人进行协商谈判的；</w:t>
      </w:r>
    </w:p>
    <w:p w14:paraId="6A5D6648">
      <w:pPr>
        <w:pStyle w:val="12"/>
        <w:numPr>
          <w:ilvl w:val="0"/>
          <w:numId w:val="9"/>
        </w:numPr>
        <w:spacing w:line="360" w:lineRule="auto"/>
        <w:rPr>
          <w:rFonts w:hAnsi="宋体" w:cs="宋体"/>
        </w:rPr>
      </w:pPr>
      <w:r>
        <w:rPr>
          <w:rFonts w:hint="eastAsia" w:hAnsi="宋体" w:cs="宋体"/>
        </w:rPr>
        <w:t>拒绝有关部门监督检查或提供虚假情况的。</w:t>
      </w:r>
    </w:p>
    <w:p w14:paraId="1C29D404">
      <w:pPr>
        <w:pStyle w:val="12"/>
        <w:spacing w:line="360" w:lineRule="auto"/>
        <w:ind w:left="420"/>
        <w:rPr>
          <w:rFonts w:hAnsi="宋体" w:cs="宋体"/>
        </w:rPr>
      </w:pPr>
      <w:r>
        <w:rPr>
          <w:rFonts w:hint="eastAsia" w:hAnsi="宋体" w:cs="宋体"/>
        </w:rPr>
        <w:t>10、我方及由本人担任法定代表人的其他机构最近三年内被处罚的违法行为有：</w:t>
      </w:r>
      <w:r>
        <w:rPr>
          <w:rFonts w:hint="eastAsia" w:hAnsi="宋体" w:cs="宋体"/>
          <w:u w:val="single"/>
        </w:rPr>
        <w:t xml:space="preserve">                                        </w:t>
      </w:r>
    </w:p>
    <w:p w14:paraId="0BB75A99">
      <w:pPr>
        <w:pStyle w:val="12"/>
        <w:spacing w:line="360" w:lineRule="auto"/>
        <w:ind w:left="420"/>
        <w:rPr>
          <w:rFonts w:hAnsi="宋体" w:cs="宋体"/>
        </w:rPr>
      </w:pPr>
      <w:r>
        <w:rPr>
          <w:rFonts w:hint="eastAsia" w:hAnsi="宋体" w:cs="宋体"/>
          <w:u w:val="single"/>
        </w:rPr>
        <w:t xml:space="preserve">                                                                                                                        </w:t>
      </w:r>
    </w:p>
    <w:p w14:paraId="141B5B74">
      <w:pPr>
        <w:pStyle w:val="12"/>
        <w:spacing w:line="360" w:lineRule="auto"/>
        <w:ind w:firstLine="420"/>
        <w:rPr>
          <w:rFonts w:hAnsi="宋体" w:cs="宋体"/>
        </w:rPr>
      </w:pPr>
      <w:r>
        <w:rPr>
          <w:rFonts w:hint="eastAsia" w:hAnsi="宋体" w:cs="宋体"/>
        </w:rPr>
        <w:t>11、以上事项如有虚假或隐瞒，我方愿意承担一切后果，并不再寻求任何旨在减轻或免除法律责任的辩解。</w:t>
      </w:r>
    </w:p>
    <w:p w14:paraId="789029A2">
      <w:pPr>
        <w:pStyle w:val="12"/>
        <w:spacing w:line="360" w:lineRule="auto"/>
        <w:ind w:firstLine="420"/>
        <w:rPr>
          <w:rFonts w:hAnsi="宋体" w:cs="宋体"/>
        </w:rPr>
      </w:pPr>
      <w:r>
        <w:rPr>
          <w:rFonts w:hint="eastAsia" w:hAnsi="宋体" w:cs="宋体"/>
        </w:rPr>
        <w:t>12、与本投标有关的一切正式往来信函请寄：</w:t>
      </w:r>
      <w:r>
        <w:rPr>
          <w:rFonts w:hint="eastAsia" w:hAnsi="宋体" w:cs="宋体"/>
          <w:u w:val="single"/>
        </w:rPr>
        <w:t xml:space="preserve"> </w:t>
      </w:r>
    </w:p>
    <w:p w14:paraId="4D9A2A68">
      <w:pPr>
        <w:pStyle w:val="12"/>
        <w:spacing w:line="360" w:lineRule="auto"/>
        <w:ind w:firstLine="420"/>
        <w:rPr>
          <w:rFonts w:hAnsi="宋体" w:cs="宋体"/>
        </w:rPr>
      </w:pPr>
      <w:r>
        <w:rPr>
          <w:rFonts w:hint="eastAsia" w:hAnsi="宋体" w:cs="宋体"/>
        </w:rPr>
        <w:t>地址：</w:t>
      </w:r>
      <w:r>
        <w:rPr>
          <w:rFonts w:hint="eastAsia" w:hAnsi="宋体" w:cs="宋体"/>
          <w:u w:val="single"/>
        </w:rPr>
        <w:t xml:space="preserve">                                                        </w:t>
      </w:r>
      <w:r>
        <w:rPr>
          <w:rFonts w:hint="eastAsia" w:hAnsi="宋体" w:cs="宋体"/>
        </w:rPr>
        <w:t xml:space="preserve"> </w:t>
      </w:r>
    </w:p>
    <w:p w14:paraId="2E59A9AE">
      <w:pPr>
        <w:pStyle w:val="12"/>
        <w:spacing w:line="360" w:lineRule="auto"/>
        <w:ind w:firstLine="420"/>
        <w:rPr>
          <w:rFonts w:hAnsi="宋体" w:cs="宋体"/>
          <w:u w:val="single"/>
        </w:rPr>
      </w:pPr>
      <w:r>
        <w:rPr>
          <w:rFonts w:hint="eastAsia" w:hAnsi="宋体" w:cs="宋体"/>
        </w:rPr>
        <w:t>电话：</w:t>
      </w:r>
      <w:r>
        <w:rPr>
          <w:rFonts w:hint="eastAsia" w:hAnsi="宋体" w:cs="宋体"/>
          <w:u w:val="single"/>
        </w:rPr>
        <w:t xml:space="preserve">                                      　　　　　　　　　</w:t>
      </w:r>
    </w:p>
    <w:p w14:paraId="40CF4024">
      <w:pPr>
        <w:pStyle w:val="12"/>
        <w:spacing w:line="360" w:lineRule="auto"/>
        <w:ind w:firstLine="420"/>
        <w:rPr>
          <w:rFonts w:hAnsi="宋体" w:cs="宋体"/>
        </w:rPr>
      </w:pPr>
      <w:r>
        <w:rPr>
          <w:rFonts w:hint="eastAsia" w:hAnsi="宋体" w:cs="宋体"/>
        </w:rPr>
        <w:t>传真：</w:t>
      </w:r>
      <w:r>
        <w:rPr>
          <w:rFonts w:hint="eastAsia" w:hAnsi="宋体" w:cs="宋体"/>
          <w:u w:val="single"/>
        </w:rPr>
        <w:t>　　　　　　　　　　　　　　　　　　　　　　　　　　　　</w:t>
      </w:r>
    </w:p>
    <w:p w14:paraId="69DC8D4D">
      <w:pPr>
        <w:pStyle w:val="12"/>
        <w:spacing w:line="360" w:lineRule="auto"/>
        <w:ind w:firstLine="420"/>
        <w:rPr>
          <w:rFonts w:hAnsi="宋体" w:cs="宋体"/>
          <w:u w:val="single"/>
        </w:rPr>
      </w:pPr>
      <w:r>
        <w:rPr>
          <w:rFonts w:hint="eastAsia" w:hAnsi="宋体" w:cs="宋体"/>
        </w:rPr>
        <w:t>邮政编码：</w:t>
      </w:r>
      <w:r>
        <w:rPr>
          <w:rFonts w:hint="eastAsia" w:hAnsi="宋体" w:cs="宋体"/>
          <w:u w:val="single"/>
        </w:rPr>
        <w:t xml:space="preserve">                                                    </w:t>
      </w:r>
    </w:p>
    <w:p w14:paraId="4D25B636">
      <w:pPr>
        <w:pStyle w:val="12"/>
        <w:spacing w:line="360" w:lineRule="auto"/>
        <w:ind w:firstLine="420"/>
        <w:rPr>
          <w:rFonts w:hAnsi="宋体" w:cs="宋体"/>
          <w:u w:val="single"/>
        </w:rPr>
      </w:pPr>
      <w:r>
        <w:rPr>
          <w:rFonts w:hint="eastAsia" w:hAnsi="宋体" w:cs="宋体"/>
        </w:rPr>
        <w:t>开户名称：</w:t>
      </w:r>
      <w:r>
        <w:rPr>
          <w:rFonts w:hint="eastAsia" w:hAnsi="宋体" w:cs="宋体"/>
          <w:u w:val="single"/>
        </w:rPr>
        <w:t xml:space="preserve">                                                    </w:t>
      </w:r>
    </w:p>
    <w:p w14:paraId="3ACC1D65">
      <w:pPr>
        <w:pStyle w:val="12"/>
        <w:spacing w:line="360" w:lineRule="auto"/>
        <w:ind w:firstLine="420"/>
        <w:rPr>
          <w:rFonts w:hAnsi="宋体" w:cs="宋体"/>
          <w:u w:val="single"/>
        </w:rPr>
      </w:pPr>
      <w:r>
        <w:rPr>
          <w:rFonts w:hint="eastAsia" w:hAnsi="宋体" w:cs="宋体"/>
        </w:rPr>
        <w:t>开户银行：</w:t>
      </w:r>
      <w:r>
        <w:rPr>
          <w:rFonts w:hint="eastAsia" w:hAnsi="宋体" w:cs="宋体"/>
          <w:u w:val="single"/>
        </w:rPr>
        <w:t xml:space="preserve">                                                    </w:t>
      </w:r>
    </w:p>
    <w:p w14:paraId="4390751F">
      <w:pPr>
        <w:pStyle w:val="12"/>
        <w:spacing w:line="360" w:lineRule="auto"/>
        <w:ind w:firstLine="420"/>
        <w:rPr>
          <w:rFonts w:hAnsi="宋体" w:cs="宋体"/>
          <w:u w:val="single"/>
        </w:rPr>
      </w:pPr>
      <w:r>
        <w:rPr>
          <w:rFonts w:hint="eastAsia" w:hAnsi="宋体" w:cs="宋体"/>
        </w:rPr>
        <w:t>银行账号：</w:t>
      </w:r>
      <w:r>
        <w:rPr>
          <w:rFonts w:hint="eastAsia" w:hAnsi="宋体" w:cs="宋体"/>
          <w:u w:val="single"/>
        </w:rPr>
        <w:t xml:space="preserve">                                                    </w:t>
      </w:r>
    </w:p>
    <w:p w14:paraId="17EA0067">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071E369B">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D217ADA">
      <w:pPr>
        <w:snapToGrid w:val="0"/>
        <w:spacing w:line="360" w:lineRule="auto"/>
        <w:ind w:firstLine="5160" w:firstLineChars="2150"/>
        <w:rPr>
          <w:rFonts w:ascii="宋体" w:hAnsi="宋体" w:cs="宋体"/>
          <w:kern w:val="0"/>
          <w:sz w:val="24"/>
          <w:lang w:val="zh-CN"/>
        </w:rPr>
        <w:sectPr>
          <w:pgSz w:w="11906" w:h="16838"/>
          <w:pgMar w:top="1440" w:right="1080" w:bottom="1440" w:left="1080" w:header="720" w:footer="720" w:gutter="0"/>
          <w:cols w:space="720" w:num="1"/>
          <w:docGrid w:type="lines" w:linePitch="331" w:charSpace="0"/>
        </w:sectPr>
      </w:pPr>
    </w:p>
    <w:p w14:paraId="7872CCEA">
      <w:pPr>
        <w:pStyle w:val="12"/>
        <w:spacing w:line="360" w:lineRule="auto"/>
        <w:jc w:val="center"/>
        <w:rPr>
          <w:rFonts w:hAnsi="宋体" w:cs="宋体"/>
          <w:b/>
          <w:sz w:val="30"/>
          <w:szCs w:val="30"/>
        </w:rPr>
      </w:pPr>
      <w:r>
        <w:rPr>
          <w:rFonts w:hint="eastAsia" w:hAnsi="宋体" w:cs="宋体"/>
          <w:sz w:val="30"/>
        </w:rPr>
        <w:t>二、</w:t>
      </w:r>
      <w:r>
        <w:rPr>
          <w:rFonts w:hint="eastAsia" w:hAnsi="宋体" w:cs="宋体"/>
          <w:b/>
          <w:sz w:val="30"/>
          <w:szCs w:val="30"/>
        </w:rPr>
        <w:t>开标一览表（</w:t>
      </w:r>
      <w:r>
        <w:rPr>
          <w:rFonts w:hint="eastAsia" w:hAnsi="宋体" w:cs="宋体"/>
          <w:b/>
          <w:kern w:val="0"/>
          <w:sz w:val="24"/>
          <w:lang w:val="zh-CN"/>
        </w:rPr>
        <w:t>单位均为人民币元）</w:t>
      </w:r>
    </w:p>
    <w:p w14:paraId="672C3766">
      <w:pPr>
        <w:snapToGrid w:val="0"/>
        <w:spacing w:before="50" w:after="50" w:line="360" w:lineRule="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p>
    <w:p w14:paraId="265630C7">
      <w:pPr>
        <w:snapToGrid w:val="0"/>
        <w:spacing w:before="50" w:after="50" w:line="360" w:lineRule="auto"/>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w:t>
      </w:r>
    </w:p>
    <w:p w14:paraId="539A0B46">
      <w:pPr>
        <w:pStyle w:val="12"/>
        <w:spacing w:line="360" w:lineRule="auto"/>
        <w:rPr>
          <w:rFonts w:hAnsi="宋体" w:cs="宋体"/>
          <w:b/>
          <w:sz w:val="32"/>
        </w:rPr>
      </w:pPr>
      <w:r>
        <w:rPr>
          <w:rFonts w:hint="eastAsia" w:hAnsi="宋体" w:cs="宋体"/>
          <w:sz w:val="24"/>
        </w:rPr>
        <w:t>投标人名称：</w:t>
      </w:r>
      <w:r>
        <w:rPr>
          <w:rFonts w:hint="eastAsia" w:hAnsi="宋体" w:cs="宋体"/>
          <w:sz w:val="24"/>
          <w:u w:val="single"/>
        </w:rPr>
        <w:t xml:space="preserve">                     </w:t>
      </w:r>
      <w:r>
        <w:rPr>
          <w:rFonts w:hint="eastAsia" w:hAnsi="宋体" w:cs="宋体"/>
          <w:sz w:val="24"/>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118"/>
        <w:gridCol w:w="1281"/>
        <w:gridCol w:w="1725"/>
        <w:gridCol w:w="728"/>
        <w:gridCol w:w="1535"/>
        <w:gridCol w:w="1702"/>
        <w:gridCol w:w="899"/>
      </w:tblGrid>
      <w:tr w14:paraId="78B0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650" w:type="dxa"/>
            <w:tcBorders>
              <w:top w:val="single" w:color="auto" w:sz="4" w:space="0"/>
              <w:left w:val="single" w:color="auto" w:sz="4" w:space="0"/>
              <w:bottom w:val="single" w:color="auto" w:sz="4" w:space="0"/>
              <w:right w:val="single" w:color="auto" w:sz="4" w:space="0"/>
            </w:tcBorders>
            <w:vAlign w:val="center"/>
          </w:tcPr>
          <w:p w14:paraId="57AF531F">
            <w:pPr>
              <w:spacing w:line="360" w:lineRule="auto"/>
              <w:jc w:val="center"/>
              <w:rPr>
                <w:rFonts w:ascii="宋体" w:hAnsi="宋体" w:cs="宋体"/>
                <w:szCs w:val="22"/>
              </w:rPr>
            </w:pPr>
            <w:r>
              <w:rPr>
                <w:rFonts w:hint="eastAsia" w:ascii="宋体" w:hAnsi="宋体" w:cs="宋体"/>
                <w:szCs w:val="22"/>
              </w:rPr>
              <w:t>序号</w:t>
            </w:r>
          </w:p>
        </w:tc>
        <w:tc>
          <w:tcPr>
            <w:tcW w:w="1118" w:type="dxa"/>
            <w:tcBorders>
              <w:top w:val="single" w:color="auto" w:sz="4" w:space="0"/>
              <w:left w:val="single" w:color="auto" w:sz="4" w:space="0"/>
              <w:bottom w:val="single" w:color="auto" w:sz="4" w:space="0"/>
              <w:right w:val="single" w:color="auto" w:sz="4" w:space="0"/>
            </w:tcBorders>
            <w:vAlign w:val="center"/>
          </w:tcPr>
          <w:p w14:paraId="7C14AC2B">
            <w:pPr>
              <w:spacing w:line="360" w:lineRule="auto"/>
              <w:jc w:val="center"/>
              <w:rPr>
                <w:rFonts w:ascii="宋体" w:hAnsi="宋体" w:cs="宋体"/>
                <w:szCs w:val="22"/>
              </w:rPr>
            </w:pPr>
            <w:r>
              <w:rPr>
                <w:rFonts w:hint="eastAsia" w:ascii="宋体" w:hAnsi="宋体" w:cs="宋体"/>
                <w:szCs w:val="22"/>
              </w:rPr>
              <w:t>货物名称</w:t>
            </w:r>
          </w:p>
        </w:tc>
        <w:tc>
          <w:tcPr>
            <w:tcW w:w="1281" w:type="dxa"/>
            <w:tcBorders>
              <w:top w:val="single" w:color="auto" w:sz="4" w:space="0"/>
              <w:left w:val="single" w:color="auto" w:sz="4" w:space="0"/>
              <w:bottom w:val="single" w:color="auto" w:sz="4" w:space="0"/>
              <w:right w:val="single" w:color="auto" w:sz="4" w:space="0"/>
            </w:tcBorders>
            <w:vAlign w:val="center"/>
          </w:tcPr>
          <w:p w14:paraId="401DDAA4">
            <w:pPr>
              <w:spacing w:line="360" w:lineRule="auto"/>
              <w:jc w:val="center"/>
              <w:rPr>
                <w:rFonts w:ascii="宋体" w:hAnsi="宋体" w:cs="宋体"/>
                <w:szCs w:val="22"/>
              </w:rPr>
            </w:pPr>
            <w:r>
              <w:rPr>
                <w:rFonts w:hint="eastAsia" w:ascii="宋体" w:hAnsi="宋体" w:cs="宋体"/>
                <w:szCs w:val="22"/>
              </w:rPr>
              <w:t>规格型号</w:t>
            </w:r>
          </w:p>
        </w:tc>
        <w:tc>
          <w:tcPr>
            <w:tcW w:w="1725" w:type="dxa"/>
            <w:tcBorders>
              <w:top w:val="single" w:color="auto" w:sz="4" w:space="0"/>
              <w:left w:val="single" w:color="auto" w:sz="4" w:space="0"/>
              <w:bottom w:val="single" w:color="auto" w:sz="4" w:space="0"/>
              <w:right w:val="single" w:color="auto" w:sz="4" w:space="0"/>
            </w:tcBorders>
            <w:vAlign w:val="center"/>
          </w:tcPr>
          <w:p w14:paraId="5459AA81">
            <w:pPr>
              <w:spacing w:line="360" w:lineRule="auto"/>
              <w:jc w:val="center"/>
              <w:rPr>
                <w:rFonts w:ascii="宋体" w:hAnsi="宋体" w:cs="宋体"/>
                <w:szCs w:val="22"/>
              </w:rPr>
            </w:pPr>
            <w:r>
              <w:rPr>
                <w:rFonts w:hint="eastAsia" w:ascii="宋体" w:hAnsi="宋体" w:cs="宋体"/>
                <w:szCs w:val="22"/>
              </w:rPr>
              <w:t>品牌（如有）</w:t>
            </w:r>
          </w:p>
        </w:tc>
        <w:tc>
          <w:tcPr>
            <w:tcW w:w="728" w:type="dxa"/>
            <w:tcBorders>
              <w:top w:val="single" w:color="auto" w:sz="4" w:space="0"/>
              <w:left w:val="single" w:color="auto" w:sz="4" w:space="0"/>
              <w:bottom w:val="single" w:color="auto" w:sz="4" w:space="0"/>
              <w:right w:val="single" w:color="auto" w:sz="4" w:space="0"/>
            </w:tcBorders>
            <w:vAlign w:val="center"/>
          </w:tcPr>
          <w:p w14:paraId="0EEF0A68">
            <w:pPr>
              <w:spacing w:line="360" w:lineRule="auto"/>
              <w:jc w:val="center"/>
              <w:rPr>
                <w:rFonts w:ascii="宋体" w:hAnsi="宋体" w:cs="宋体"/>
                <w:szCs w:val="22"/>
              </w:rPr>
            </w:pPr>
            <w:r>
              <w:rPr>
                <w:rFonts w:hint="eastAsia" w:ascii="宋体" w:hAnsi="宋体" w:cs="宋体"/>
                <w:szCs w:val="22"/>
              </w:rPr>
              <w:t>数量①</w:t>
            </w:r>
          </w:p>
        </w:tc>
        <w:tc>
          <w:tcPr>
            <w:tcW w:w="1535" w:type="dxa"/>
            <w:tcBorders>
              <w:top w:val="single" w:color="auto" w:sz="4" w:space="0"/>
              <w:left w:val="single" w:color="auto" w:sz="4" w:space="0"/>
              <w:bottom w:val="single" w:color="auto" w:sz="4" w:space="0"/>
              <w:right w:val="single" w:color="auto" w:sz="4" w:space="0"/>
            </w:tcBorders>
            <w:vAlign w:val="center"/>
          </w:tcPr>
          <w:p w14:paraId="036EEEB5">
            <w:pPr>
              <w:spacing w:line="360" w:lineRule="auto"/>
              <w:jc w:val="center"/>
              <w:rPr>
                <w:rFonts w:ascii="宋体" w:hAnsi="宋体" w:cs="宋体"/>
                <w:szCs w:val="22"/>
              </w:rPr>
            </w:pPr>
            <w:r>
              <w:rPr>
                <w:rFonts w:hint="eastAsia" w:ascii="宋体" w:hAnsi="宋体" w:cs="宋体"/>
                <w:szCs w:val="22"/>
              </w:rPr>
              <w:t>单价（元）②</w:t>
            </w:r>
          </w:p>
        </w:tc>
        <w:tc>
          <w:tcPr>
            <w:tcW w:w="1702" w:type="dxa"/>
            <w:tcBorders>
              <w:top w:val="single" w:color="auto" w:sz="4" w:space="0"/>
              <w:left w:val="single" w:color="auto" w:sz="4" w:space="0"/>
              <w:bottom w:val="single" w:color="auto" w:sz="4" w:space="0"/>
              <w:right w:val="single" w:color="auto" w:sz="4" w:space="0"/>
            </w:tcBorders>
            <w:vAlign w:val="center"/>
          </w:tcPr>
          <w:p w14:paraId="51C84EB3">
            <w:pPr>
              <w:spacing w:line="360" w:lineRule="auto"/>
              <w:jc w:val="center"/>
              <w:rPr>
                <w:rFonts w:ascii="宋体" w:hAnsi="宋体" w:cs="宋体"/>
                <w:szCs w:val="22"/>
              </w:rPr>
            </w:pPr>
            <w:r>
              <w:rPr>
                <w:rFonts w:hint="eastAsia" w:ascii="宋体" w:hAnsi="宋体" w:cs="宋体"/>
                <w:szCs w:val="21"/>
              </w:rPr>
              <w:t>分项报价</w:t>
            </w:r>
            <w:r>
              <w:rPr>
                <w:rFonts w:hint="eastAsia" w:ascii="宋体" w:hAnsi="宋体" w:cs="宋体"/>
                <w:szCs w:val="22"/>
              </w:rPr>
              <w:t>（元）</w:t>
            </w:r>
          </w:p>
          <w:p w14:paraId="0C8004AB">
            <w:pPr>
              <w:spacing w:line="360" w:lineRule="auto"/>
              <w:jc w:val="center"/>
              <w:rPr>
                <w:rFonts w:ascii="宋体" w:hAnsi="宋体" w:cs="宋体"/>
                <w:szCs w:val="22"/>
              </w:rPr>
            </w:pPr>
            <w:r>
              <w:rPr>
                <w:rFonts w:hint="eastAsia" w:ascii="宋体" w:hAnsi="宋体" w:cs="宋体"/>
                <w:szCs w:val="22"/>
              </w:rPr>
              <w:t>③＝①×②</w:t>
            </w:r>
          </w:p>
        </w:tc>
        <w:tc>
          <w:tcPr>
            <w:tcW w:w="899" w:type="dxa"/>
            <w:tcBorders>
              <w:top w:val="single" w:color="auto" w:sz="4" w:space="0"/>
              <w:left w:val="single" w:color="auto" w:sz="4" w:space="0"/>
              <w:bottom w:val="single" w:color="auto" w:sz="4" w:space="0"/>
              <w:right w:val="single" w:color="auto" w:sz="4" w:space="0"/>
            </w:tcBorders>
            <w:vAlign w:val="center"/>
          </w:tcPr>
          <w:p w14:paraId="263FCD38">
            <w:pPr>
              <w:spacing w:line="360" w:lineRule="auto"/>
              <w:jc w:val="center"/>
              <w:rPr>
                <w:rFonts w:ascii="宋体" w:hAnsi="宋体" w:cs="宋体"/>
                <w:szCs w:val="22"/>
              </w:rPr>
            </w:pPr>
            <w:r>
              <w:rPr>
                <w:rFonts w:hint="eastAsia" w:ascii="宋体" w:hAnsi="宋体" w:cs="宋体"/>
                <w:szCs w:val="22"/>
              </w:rPr>
              <w:t>备注</w:t>
            </w:r>
          </w:p>
        </w:tc>
      </w:tr>
      <w:tr w14:paraId="752B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2B0C3ECE">
            <w:pPr>
              <w:spacing w:line="360" w:lineRule="auto"/>
              <w:jc w:val="center"/>
              <w:rPr>
                <w:rFonts w:ascii="宋体" w:hAnsi="宋体" w:cs="宋体"/>
                <w:szCs w:val="22"/>
              </w:rPr>
            </w:pPr>
            <w:r>
              <w:rPr>
                <w:rFonts w:hint="eastAsia" w:ascii="宋体" w:hAnsi="宋体" w:cs="宋体"/>
                <w:szCs w:val="22"/>
              </w:rPr>
              <w:t>1</w:t>
            </w:r>
          </w:p>
        </w:tc>
        <w:tc>
          <w:tcPr>
            <w:tcW w:w="1118" w:type="dxa"/>
            <w:tcBorders>
              <w:top w:val="single" w:color="auto" w:sz="4" w:space="0"/>
              <w:left w:val="single" w:color="auto" w:sz="4" w:space="0"/>
              <w:bottom w:val="single" w:color="auto" w:sz="4" w:space="0"/>
              <w:right w:val="single" w:color="auto" w:sz="4" w:space="0"/>
            </w:tcBorders>
            <w:vAlign w:val="center"/>
          </w:tcPr>
          <w:p w14:paraId="0FD228CD">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0C73EA49">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55EFB3A2">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67CB21C5">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76DB6D30">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5AF8B67C">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127D8A31">
            <w:pPr>
              <w:spacing w:line="360" w:lineRule="auto"/>
              <w:jc w:val="center"/>
              <w:rPr>
                <w:rFonts w:ascii="宋体" w:hAnsi="宋体" w:cs="宋体"/>
                <w:szCs w:val="22"/>
              </w:rPr>
            </w:pPr>
          </w:p>
        </w:tc>
      </w:tr>
      <w:tr w14:paraId="527C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15E1DE0B">
            <w:pPr>
              <w:spacing w:line="360" w:lineRule="auto"/>
              <w:jc w:val="center"/>
              <w:rPr>
                <w:rFonts w:ascii="宋体" w:hAnsi="宋体" w:cs="宋体"/>
                <w:szCs w:val="22"/>
              </w:rPr>
            </w:pPr>
            <w:r>
              <w:rPr>
                <w:rFonts w:hint="eastAsia" w:ascii="宋体" w:hAnsi="宋体" w:cs="宋体"/>
                <w:szCs w:val="22"/>
              </w:rPr>
              <w:t>2</w:t>
            </w:r>
          </w:p>
        </w:tc>
        <w:tc>
          <w:tcPr>
            <w:tcW w:w="1118" w:type="dxa"/>
            <w:tcBorders>
              <w:top w:val="single" w:color="auto" w:sz="4" w:space="0"/>
              <w:left w:val="single" w:color="auto" w:sz="4" w:space="0"/>
              <w:bottom w:val="single" w:color="auto" w:sz="4" w:space="0"/>
              <w:right w:val="single" w:color="auto" w:sz="4" w:space="0"/>
            </w:tcBorders>
            <w:vAlign w:val="center"/>
          </w:tcPr>
          <w:p w14:paraId="15100CD0">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23C83F9C">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543D186A">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46DE850E">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61A34F2A">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5120D95F">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743FE68D">
            <w:pPr>
              <w:spacing w:line="360" w:lineRule="auto"/>
              <w:jc w:val="center"/>
              <w:rPr>
                <w:rFonts w:ascii="宋体" w:hAnsi="宋体" w:cs="宋体"/>
                <w:szCs w:val="22"/>
              </w:rPr>
            </w:pPr>
          </w:p>
        </w:tc>
      </w:tr>
      <w:tr w14:paraId="7D9E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15514FB0">
            <w:pPr>
              <w:spacing w:line="360" w:lineRule="auto"/>
              <w:jc w:val="center"/>
              <w:rPr>
                <w:rFonts w:ascii="宋体" w:hAnsi="宋体" w:cs="宋体"/>
                <w:szCs w:val="22"/>
              </w:rPr>
            </w:pPr>
            <w:r>
              <w:rPr>
                <w:rFonts w:hint="eastAsia" w:ascii="宋体" w:hAnsi="宋体" w:cs="宋体"/>
                <w:szCs w:val="22"/>
              </w:rPr>
              <w:t>3</w:t>
            </w:r>
          </w:p>
        </w:tc>
        <w:tc>
          <w:tcPr>
            <w:tcW w:w="1118" w:type="dxa"/>
            <w:tcBorders>
              <w:top w:val="single" w:color="auto" w:sz="4" w:space="0"/>
              <w:left w:val="single" w:color="auto" w:sz="4" w:space="0"/>
              <w:bottom w:val="single" w:color="auto" w:sz="4" w:space="0"/>
              <w:right w:val="single" w:color="auto" w:sz="4" w:space="0"/>
            </w:tcBorders>
            <w:vAlign w:val="center"/>
          </w:tcPr>
          <w:p w14:paraId="6B6AD71F">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7CCBA556">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2B92D5CB">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3B20A8D5">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6EF9D648">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019E7F5F">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388912B0">
            <w:pPr>
              <w:spacing w:line="360" w:lineRule="auto"/>
              <w:jc w:val="center"/>
              <w:rPr>
                <w:rFonts w:ascii="宋体" w:hAnsi="宋体" w:cs="宋体"/>
                <w:szCs w:val="22"/>
              </w:rPr>
            </w:pPr>
          </w:p>
        </w:tc>
      </w:tr>
      <w:tr w14:paraId="64BE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4F22A26B">
            <w:pPr>
              <w:spacing w:line="360" w:lineRule="auto"/>
              <w:jc w:val="center"/>
              <w:rPr>
                <w:rFonts w:ascii="宋体" w:hAnsi="宋体" w:cs="宋体"/>
                <w:szCs w:val="22"/>
              </w:rPr>
            </w:pPr>
            <w:r>
              <w:rPr>
                <w:rFonts w:hint="eastAsia" w:ascii="宋体" w:hAnsi="宋体" w:cs="宋体"/>
                <w:szCs w:val="22"/>
              </w:rPr>
              <w:t>……</w:t>
            </w:r>
          </w:p>
        </w:tc>
        <w:tc>
          <w:tcPr>
            <w:tcW w:w="1118" w:type="dxa"/>
            <w:tcBorders>
              <w:top w:val="single" w:color="auto" w:sz="4" w:space="0"/>
              <w:left w:val="single" w:color="auto" w:sz="4" w:space="0"/>
              <w:bottom w:val="single" w:color="auto" w:sz="4" w:space="0"/>
              <w:right w:val="single" w:color="auto" w:sz="4" w:space="0"/>
            </w:tcBorders>
            <w:vAlign w:val="center"/>
          </w:tcPr>
          <w:p w14:paraId="7EBDCE17">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529845C9">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36BA0C8F">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1A8089F1">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50389AAC">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26929433">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604C2897">
            <w:pPr>
              <w:spacing w:line="360" w:lineRule="auto"/>
              <w:jc w:val="center"/>
              <w:rPr>
                <w:rFonts w:ascii="宋体" w:hAnsi="宋体" w:cs="宋体"/>
                <w:szCs w:val="22"/>
              </w:rPr>
            </w:pPr>
          </w:p>
        </w:tc>
      </w:tr>
      <w:tr w14:paraId="7872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8" w:type="dxa"/>
            <w:gridSpan w:val="8"/>
            <w:tcBorders>
              <w:top w:val="single" w:color="auto" w:sz="4" w:space="0"/>
              <w:left w:val="single" w:color="auto" w:sz="4" w:space="0"/>
              <w:bottom w:val="single" w:color="auto" w:sz="4" w:space="0"/>
              <w:right w:val="single" w:color="auto" w:sz="4" w:space="0"/>
            </w:tcBorders>
          </w:tcPr>
          <w:p w14:paraId="6A37C44A">
            <w:pPr>
              <w:spacing w:line="360" w:lineRule="auto"/>
              <w:jc w:val="left"/>
              <w:rPr>
                <w:rFonts w:ascii="宋体" w:hAnsi="宋体" w:cs="宋体"/>
                <w:szCs w:val="22"/>
              </w:rPr>
            </w:pPr>
            <w:r>
              <w:rPr>
                <w:rFonts w:hint="eastAsia" w:ascii="宋体" w:hAnsi="宋体" w:cs="宋体"/>
                <w:szCs w:val="22"/>
              </w:rPr>
              <w:t>报价合计（包含税费等所有费用）：</w:t>
            </w:r>
            <w:r>
              <w:rPr>
                <w:rFonts w:hint="eastAsia" w:ascii="宋体" w:hAnsi="宋体" w:cs="宋体"/>
                <w:szCs w:val="22"/>
                <w:u w:val="single"/>
              </w:rPr>
              <w:t>（大写）人民币               （￥             元）</w:t>
            </w:r>
          </w:p>
        </w:tc>
      </w:tr>
    </w:tbl>
    <w:p w14:paraId="4FE8E881">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注： </w:t>
      </w:r>
    </w:p>
    <w:p w14:paraId="352C864A">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 投标人需按本表格式填写，不得自行更改，也不得留空， 如有多分标，按分标分别提供开标一览表，必须加盖投标人有效电子公章，</w:t>
      </w:r>
      <w:r>
        <w:rPr>
          <w:rFonts w:hint="eastAsia" w:ascii="宋体" w:hAnsi="宋体" w:cs="宋体"/>
          <w:b/>
          <w:kern w:val="0"/>
          <w:sz w:val="24"/>
          <w:lang w:val="zh-CN"/>
        </w:rPr>
        <w:t>否则其投标作无效投标处理。</w:t>
      </w:r>
    </w:p>
    <w:p w14:paraId="08288E2B">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2、本表内容均不能涂改，</w:t>
      </w:r>
      <w:r>
        <w:rPr>
          <w:rFonts w:hint="eastAsia" w:ascii="宋体" w:hAnsi="宋体" w:cs="宋体"/>
          <w:b/>
          <w:kern w:val="0"/>
          <w:sz w:val="24"/>
          <w:lang w:val="zh-CN"/>
        </w:rPr>
        <w:t>否则其投标作无效投标处理。</w:t>
      </w:r>
    </w:p>
    <w:p w14:paraId="16E2AD76">
      <w:pPr>
        <w:snapToGrid w:val="0"/>
        <w:spacing w:before="50" w:after="50" w:line="360" w:lineRule="auto"/>
        <w:ind w:firstLine="480" w:firstLineChars="200"/>
        <w:jc w:val="left"/>
        <w:rPr>
          <w:rFonts w:ascii="宋体" w:hAnsi="宋体" w:cs="宋体"/>
          <w:b/>
          <w:kern w:val="0"/>
          <w:sz w:val="24"/>
          <w:lang w:val="zh-CN"/>
        </w:rPr>
      </w:pPr>
      <w:r>
        <w:rPr>
          <w:rFonts w:hint="eastAsia" w:ascii="宋体" w:hAnsi="宋体" w:cs="宋体"/>
          <w:kern w:val="0"/>
          <w:sz w:val="24"/>
          <w:lang w:val="zh-CN"/>
        </w:rPr>
        <w:t>3、如为联合体投标，“投标人名称”处必须列明联合体各方名称，并标注联合体牵头人名称，且盖章处须加盖联合体各方公章，</w:t>
      </w:r>
      <w:r>
        <w:rPr>
          <w:rFonts w:hint="eastAsia" w:ascii="宋体" w:hAnsi="宋体" w:cs="宋体"/>
          <w:b/>
          <w:kern w:val="0"/>
          <w:sz w:val="24"/>
          <w:lang w:val="zh-CN"/>
        </w:rPr>
        <w:t>否则其投标作无效投标处理。</w:t>
      </w:r>
    </w:p>
    <w:p w14:paraId="1125574B">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4、以上表格要求细分项目及报价，在“规格型号”一栏中，填写具体货物规格和型号，</w:t>
      </w:r>
      <w:r>
        <w:rPr>
          <w:rFonts w:hint="eastAsia" w:ascii="宋体" w:hAnsi="宋体" w:cs="宋体"/>
          <w:b/>
          <w:kern w:val="0"/>
          <w:sz w:val="24"/>
          <w:lang w:val="zh-CN"/>
        </w:rPr>
        <w:t>否则其投标作无效投标处理。</w:t>
      </w:r>
    </w:p>
    <w:p w14:paraId="6092A066">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5、特别提示：采购机构将对项目名称和项目编号，中标人名称、地址和中标金额，主要中标标的的名称、规格型号、数量、单价等予以公示。</w:t>
      </w:r>
    </w:p>
    <w:p w14:paraId="7420662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6、</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9FCFFF4">
      <w:pPr>
        <w:snapToGrid w:val="0"/>
        <w:spacing w:line="360" w:lineRule="auto"/>
        <w:ind w:firstLine="5040" w:firstLineChars="2100"/>
        <w:rPr>
          <w:rFonts w:ascii="宋体" w:hAnsi="宋体" w:cs="宋体"/>
          <w:kern w:val="0"/>
          <w:sz w:val="24"/>
          <w:lang w:val="zh-CN"/>
        </w:rPr>
      </w:pPr>
    </w:p>
    <w:p w14:paraId="19F3F641">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3F3AE172">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0E7B757">
      <w:pPr>
        <w:pStyle w:val="12"/>
        <w:spacing w:line="360" w:lineRule="auto"/>
        <w:ind w:firstLine="450" w:firstLineChars="150"/>
        <w:rPr>
          <w:rFonts w:hAnsi="宋体" w:cs="宋体"/>
          <w:sz w:val="30"/>
        </w:rPr>
        <w:sectPr>
          <w:pgSz w:w="11906" w:h="16838"/>
          <w:pgMar w:top="1440" w:right="1080" w:bottom="1440" w:left="1080" w:header="720" w:footer="720" w:gutter="0"/>
          <w:cols w:space="720" w:num="1"/>
          <w:docGrid w:type="lines" w:linePitch="331" w:charSpace="0"/>
        </w:sectPr>
      </w:pPr>
    </w:p>
    <w:p w14:paraId="64717825">
      <w:pPr>
        <w:pStyle w:val="12"/>
        <w:spacing w:line="360" w:lineRule="auto"/>
        <w:jc w:val="center"/>
        <w:rPr>
          <w:rFonts w:hAnsi="宋体" w:cs="宋体"/>
          <w:b/>
          <w:sz w:val="30"/>
          <w:szCs w:val="30"/>
        </w:rPr>
      </w:pPr>
      <w:r>
        <w:rPr>
          <w:rFonts w:hint="eastAsia" w:hAnsi="宋体" w:cs="宋体"/>
          <w:b/>
          <w:sz w:val="30"/>
          <w:szCs w:val="30"/>
        </w:rPr>
        <w:t>三、中小企业声明函</w:t>
      </w:r>
    </w:p>
    <w:p w14:paraId="701B00B9">
      <w:pPr>
        <w:pStyle w:val="10"/>
        <w:spacing w:line="360" w:lineRule="auto"/>
        <w:ind w:firstLine="0"/>
        <w:rPr>
          <w:rFonts w:hAnsi="宋体" w:cs="宋体"/>
          <w:sz w:val="24"/>
          <w:szCs w:val="24"/>
        </w:rPr>
      </w:pPr>
      <w:r>
        <w:rPr>
          <w:rFonts w:hint="eastAsia" w:hAnsi="宋体" w:cs="宋体"/>
          <w:sz w:val="24"/>
          <w:szCs w:val="24"/>
        </w:rPr>
        <w:t>说明：</w:t>
      </w:r>
    </w:p>
    <w:p w14:paraId="56F7BEE1">
      <w:pPr>
        <w:pStyle w:val="10"/>
        <w:spacing w:line="360" w:lineRule="auto"/>
        <w:ind w:firstLine="464" w:firstLineChars="200"/>
        <w:rPr>
          <w:rFonts w:hAnsi="宋体" w:cs="宋体"/>
          <w:sz w:val="24"/>
          <w:szCs w:val="24"/>
        </w:rPr>
      </w:pPr>
      <w:r>
        <w:rPr>
          <w:rFonts w:hint="eastAsia" w:hAnsi="宋体" w:cs="宋体"/>
          <w:sz w:val="24"/>
          <w:szCs w:val="24"/>
        </w:rPr>
        <w:t>1、本声明函主要供参加政府采购活动的中小企业填写，非中小企业无需填写。</w:t>
      </w:r>
    </w:p>
    <w:p w14:paraId="7962995F">
      <w:pPr>
        <w:pStyle w:val="10"/>
        <w:spacing w:line="360" w:lineRule="auto"/>
        <w:ind w:firstLine="464" w:firstLineChars="200"/>
        <w:rPr>
          <w:rFonts w:hAnsi="宋体" w:cs="宋体"/>
          <w:sz w:val="24"/>
          <w:szCs w:val="24"/>
        </w:rPr>
      </w:pPr>
      <w:r>
        <w:rPr>
          <w:rFonts w:hint="eastAsia" w:hAnsi="宋体" w:cs="宋体"/>
          <w:sz w:val="24"/>
          <w:szCs w:val="24"/>
        </w:rPr>
        <w:t>2、小型、微型企业提供中型企业提供的货物的，视同为中型企业。</w:t>
      </w:r>
    </w:p>
    <w:p w14:paraId="56A2D755">
      <w:pPr>
        <w:pStyle w:val="10"/>
        <w:spacing w:line="360" w:lineRule="auto"/>
        <w:ind w:firstLine="464" w:firstLineChars="200"/>
        <w:rPr>
          <w:rFonts w:hAnsi="宋体" w:cs="宋体"/>
          <w:sz w:val="24"/>
          <w:szCs w:val="24"/>
        </w:rPr>
      </w:pPr>
    </w:p>
    <w:p w14:paraId="402BC19A">
      <w:pPr>
        <w:pStyle w:val="9"/>
        <w:spacing w:line="360" w:lineRule="auto"/>
        <w:ind w:left="-2" w:leftChars="-1" w:right="142"/>
        <w:contextualSpacing/>
        <w:rPr>
          <w:rFonts w:ascii="宋体" w:hAnsi="宋体" w:cs="宋体"/>
          <w:kern w:val="24"/>
          <w:sz w:val="24"/>
        </w:rPr>
      </w:pPr>
      <w:r>
        <w:rPr>
          <w:rFonts w:hint="eastAsia" w:ascii="宋体" w:hAnsi="宋体" w:cs="宋体"/>
          <w:kern w:val="24"/>
          <w:sz w:val="24"/>
        </w:rPr>
        <w:t>本公司郑重声明，根据《政府采购促进中小企业发展暂行办法》（财库[2011]181号）的规定，本公司为_</w:t>
      </w:r>
      <w:r>
        <w:rPr>
          <w:rFonts w:hint="eastAsia" w:ascii="宋体" w:hAnsi="宋体" w:cs="宋体"/>
          <w:kern w:val="24"/>
          <w:sz w:val="24"/>
          <w:u w:val="single"/>
        </w:rPr>
        <w:t xml:space="preserve">        </w:t>
      </w:r>
      <w:r>
        <w:rPr>
          <w:rFonts w:hint="eastAsia" w:ascii="宋体" w:hAnsi="宋体" w:cs="宋体"/>
          <w:kern w:val="24"/>
          <w:sz w:val="24"/>
        </w:rPr>
        <w:t>_（请填写：中型、小型、微型）企业。即，本公司同时满足以下条件：</w:t>
      </w:r>
    </w:p>
    <w:p w14:paraId="69AF1619">
      <w:pPr>
        <w:pStyle w:val="9"/>
        <w:spacing w:line="360" w:lineRule="auto"/>
        <w:ind w:left="-426" w:leftChars="-203" w:right="142" w:firstLine="480" w:firstLineChars="200"/>
        <w:contextualSpacing/>
        <w:rPr>
          <w:rFonts w:ascii="宋体" w:hAnsi="宋体" w:cs="宋体"/>
          <w:kern w:val="24"/>
          <w:sz w:val="24"/>
        </w:rPr>
      </w:pPr>
      <w:r>
        <w:rPr>
          <w:rFonts w:hint="eastAsia" w:ascii="宋体" w:hAnsi="宋体" w:cs="宋体"/>
          <w:kern w:val="24"/>
          <w:sz w:val="24"/>
        </w:rPr>
        <w:t>　　1.根据《工业和信息化部、国家统计局、国家发展和改革委员会、财政部关于印发中小企业划型标准规定的通知》（工信部联企业[2011]300号）规定的划分标准，本公司为_微型_（请填写：中型、小型、微型）企业。</w:t>
      </w:r>
    </w:p>
    <w:p w14:paraId="7CEF9F29">
      <w:pPr>
        <w:pStyle w:val="9"/>
        <w:spacing w:line="360" w:lineRule="auto"/>
        <w:ind w:left="-426" w:leftChars="-203" w:right="142" w:firstLine="480" w:firstLineChars="200"/>
        <w:contextualSpacing/>
        <w:rPr>
          <w:rFonts w:ascii="宋体" w:hAnsi="宋体" w:cs="宋体"/>
          <w:kern w:val="24"/>
          <w:sz w:val="24"/>
        </w:rPr>
      </w:pPr>
      <w:r>
        <w:rPr>
          <w:rFonts w:hint="eastAsia" w:ascii="宋体" w:hAnsi="宋体" w:cs="宋体"/>
          <w:kern w:val="24"/>
          <w:sz w:val="24"/>
        </w:rPr>
        <w:t>　　2.本公司参加_</w:t>
      </w:r>
      <w:r>
        <w:rPr>
          <w:rFonts w:hint="eastAsia" w:ascii="宋体" w:hAnsi="宋体" w:cs="宋体"/>
          <w:kern w:val="24"/>
          <w:sz w:val="24"/>
          <w:u w:val="single"/>
        </w:rPr>
        <w:t xml:space="preserve">            </w:t>
      </w:r>
      <w:r>
        <w:rPr>
          <w:rFonts w:hint="eastAsia" w:ascii="宋体" w:hAnsi="宋体" w:cs="宋体"/>
          <w:kern w:val="24"/>
          <w:sz w:val="24"/>
        </w:rPr>
        <w:t xml:space="preserve"> 单位的__</w:t>
      </w:r>
      <w:r>
        <w:rPr>
          <w:rFonts w:hint="eastAsia" w:ascii="宋体" w:hAnsi="宋体" w:cs="宋体"/>
          <w:kern w:val="24"/>
          <w:sz w:val="24"/>
          <w:u w:val="single"/>
        </w:rPr>
        <w:t xml:space="preserve">                </w:t>
      </w:r>
      <w:r>
        <w:rPr>
          <w:rFonts w:hint="eastAsia" w:ascii="宋体" w:hAnsi="宋体" w:cs="宋体"/>
          <w:kern w:val="24"/>
          <w:sz w:val="24"/>
        </w:rPr>
        <w:t>_项目采购活动提供本企业制造的货物，由本企业承担工程、提供服务，或者提供其他_微型 （请填写：中型、小型、微型）企业制造的货物。本条所称货物不包括使用大型企业注册商标的货物。</w:t>
      </w:r>
    </w:p>
    <w:p w14:paraId="0FB9DF2F">
      <w:pPr>
        <w:pStyle w:val="9"/>
        <w:spacing w:line="360" w:lineRule="auto"/>
        <w:ind w:left="-426" w:leftChars="-203" w:right="142" w:firstLine="480" w:firstLineChars="200"/>
        <w:contextualSpacing/>
        <w:rPr>
          <w:rFonts w:ascii="宋体" w:hAnsi="宋体" w:cs="宋体"/>
          <w:kern w:val="24"/>
          <w:sz w:val="24"/>
        </w:rPr>
      </w:pPr>
      <w:r>
        <w:rPr>
          <w:rFonts w:hint="eastAsia" w:ascii="宋体" w:hAnsi="宋体" w:cs="宋体"/>
          <w:kern w:val="24"/>
          <w:sz w:val="24"/>
        </w:rPr>
        <w:t>本公司对上述声明的真实性负责。如有虚假，将依法承担相应责任。</w:t>
      </w:r>
    </w:p>
    <w:p w14:paraId="68B3C824">
      <w:pPr>
        <w:pStyle w:val="12"/>
        <w:spacing w:line="360" w:lineRule="auto"/>
        <w:ind w:firstLine="480" w:firstLineChars="200"/>
        <w:rPr>
          <w:rFonts w:hAnsi="宋体" w:cs="宋体"/>
          <w:sz w:val="24"/>
          <w:szCs w:val="24"/>
        </w:rPr>
      </w:pPr>
    </w:p>
    <w:p w14:paraId="54120483">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524403F5">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658BD33">
      <w:pPr>
        <w:pStyle w:val="12"/>
        <w:spacing w:line="360" w:lineRule="auto"/>
        <w:ind w:firstLine="420" w:firstLineChars="200"/>
        <w:rPr>
          <w:rFonts w:hAnsi="宋体" w:cs="宋体"/>
          <w:szCs w:val="21"/>
        </w:rPr>
      </w:pPr>
    </w:p>
    <w:p w14:paraId="655F1648">
      <w:pPr>
        <w:snapToGrid w:val="0"/>
        <w:spacing w:before="50" w:after="165" w:afterLines="50" w:line="360" w:lineRule="auto"/>
        <w:jc w:val="left"/>
        <w:rPr>
          <w:rFonts w:ascii="宋体" w:hAnsi="宋体" w:cs="宋体"/>
          <w:sz w:val="20"/>
        </w:rPr>
      </w:pPr>
      <w:r>
        <w:rPr>
          <w:rFonts w:hint="eastAsia" w:ascii="宋体" w:hAnsi="宋体" w:cs="宋体"/>
          <w:sz w:val="20"/>
        </w:rPr>
        <w:t>注：</w:t>
      </w:r>
    </w:p>
    <w:p w14:paraId="0BE6B04F">
      <w:pPr>
        <w:numPr>
          <w:ilvl w:val="0"/>
          <w:numId w:val="10"/>
        </w:numPr>
        <w:snapToGrid w:val="0"/>
        <w:spacing w:before="50" w:after="165" w:afterLines="50" w:line="360" w:lineRule="auto"/>
        <w:jc w:val="left"/>
        <w:rPr>
          <w:rFonts w:ascii="宋体" w:hAnsi="宋体" w:cs="宋体"/>
          <w:sz w:val="20"/>
        </w:rPr>
      </w:pPr>
      <w:r>
        <w:rPr>
          <w:rFonts w:hint="eastAsia" w:ascii="宋体" w:hAnsi="宋体" w:cs="宋体"/>
          <w:sz w:val="20"/>
        </w:rPr>
        <w:t>从业人员、营业收入、资产总额填报上一年度数据，无上一年度数据的新成立企业可不填报。</w:t>
      </w:r>
    </w:p>
    <w:p w14:paraId="2C068C9C">
      <w:pPr>
        <w:snapToGrid w:val="0"/>
        <w:spacing w:before="50" w:after="165" w:afterLines="50" w:line="360" w:lineRule="auto"/>
        <w:ind w:firstLine="300" w:firstLineChars="150"/>
        <w:jc w:val="left"/>
        <w:rPr>
          <w:rFonts w:ascii="宋体" w:hAnsi="宋体" w:cs="宋体"/>
          <w:sz w:val="20"/>
        </w:rPr>
        <w:sectPr>
          <w:pgSz w:w="11906" w:h="16838"/>
          <w:pgMar w:top="1440" w:right="1080" w:bottom="1440" w:left="1080" w:header="720" w:footer="720" w:gutter="0"/>
          <w:cols w:space="720" w:num="1"/>
          <w:docGrid w:type="lines" w:linePitch="331" w:charSpace="0"/>
        </w:sectPr>
      </w:pPr>
      <w:r>
        <w:rPr>
          <w:rFonts w:hint="eastAsia" w:ascii="宋体" w:hAnsi="宋体" w:cs="宋体"/>
          <w:sz w:val="20"/>
        </w:rPr>
        <w:t>2、请根据自己的真实情况出具《中小企业声明函》。依法享受中小企业优惠政策的，采购人或者采购代理机构在公告中标结果时，同时公告其《中小企业声明函》，接受社会监督。</w:t>
      </w:r>
    </w:p>
    <w:p w14:paraId="124D0235">
      <w:pPr>
        <w:pStyle w:val="12"/>
        <w:spacing w:line="360" w:lineRule="auto"/>
        <w:jc w:val="center"/>
        <w:rPr>
          <w:rFonts w:hAnsi="宋体" w:cs="宋体"/>
          <w:b/>
          <w:sz w:val="30"/>
          <w:szCs w:val="30"/>
        </w:rPr>
      </w:pPr>
      <w:r>
        <w:rPr>
          <w:rFonts w:hint="eastAsia" w:hAnsi="宋体" w:cs="宋体"/>
          <w:b/>
          <w:sz w:val="30"/>
          <w:szCs w:val="30"/>
        </w:rPr>
        <w:t>残疾人福利性单位声明函（如有）</w:t>
      </w:r>
    </w:p>
    <w:p w14:paraId="2F5A744F">
      <w:pPr>
        <w:pStyle w:val="12"/>
        <w:spacing w:line="360" w:lineRule="auto"/>
        <w:jc w:val="center"/>
        <w:rPr>
          <w:rFonts w:hAnsi="宋体" w:cs="宋体"/>
          <w:b/>
          <w:sz w:val="30"/>
          <w:szCs w:val="30"/>
        </w:rPr>
      </w:pPr>
    </w:p>
    <w:p w14:paraId="3C2CD85C">
      <w:pPr>
        <w:pStyle w:val="12"/>
        <w:spacing w:line="360" w:lineRule="auto"/>
        <w:jc w:val="left"/>
        <w:rPr>
          <w:rFonts w:hAnsi="宋体" w:cs="宋体"/>
          <w:sz w:val="24"/>
          <w:szCs w:val="24"/>
        </w:rPr>
      </w:pPr>
      <w:r>
        <w:rPr>
          <w:rFonts w:hint="eastAsia" w:hAnsi="宋体" w:cs="宋体"/>
          <w:sz w:val="30"/>
          <w:szCs w:val="30"/>
        </w:rPr>
        <w:t xml:space="preserve">   </w:t>
      </w:r>
      <w:r>
        <w:rPr>
          <w:rFonts w:hint="eastAsia" w:hAnsi="宋体" w:cs="宋体"/>
          <w:sz w:val="24"/>
          <w:szCs w:val="24"/>
        </w:rPr>
        <w:t>本公司郑重声明，根据《财政部 民政部 中国残疾人联合会关于促进残疾人就业政府采购政策的通知》（财库〔2017〕 141号）的规定，本公司为符合条件的残疾人福利性单位，且本公司参加</w:t>
      </w:r>
      <w:r>
        <w:rPr>
          <w:rFonts w:hint="eastAsia" w:hAnsi="宋体" w:cs="宋体"/>
          <w:sz w:val="24"/>
          <w:szCs w:val="24"/>
          <w:u w:val="single"/>
        </w:rPr>
        <w:t xml:space="preserve"> 隆安县教育局 </w:t>
      </w:r>
      <w:r>
        <w:rPr>
          <w:rFonts w:hint="eastAsia" w:hAnsi="宋体" w:cs="宋体"/>
          <w:sz w:val="24"/>
          <w:szCs w:val="24"/>
        </w:rPr>
        <w:t>单位的</w:t>
      </w:r>
      <w:r>
        <w:rPr>
          <w:rFonts w:hint="eastAsia" w:hAnsi="宋体" w:cs="宋体"/>
          <w:sz w:val="24"/>
          <w:szCs w:val="24"/>
          <w:u w:val="single"/>
        </w:rPr>
        <w:t xml:space="preserve">                </w:t>
      </w:r>
      <w:r>
        <w:rPr>
          <w:rFonts w:hint="eastAsia" w:hAnsi="宋体" w:cs="宋体"/>
          <w:sz w:val="24"/>
          <w:szCs w:val="24"/>
        </w:rPr>
        <w:t>项目采购活动提供本公司制造的货物（由本公司承担工程/提供服务），或者提供其他残疾人福利性单位制造的货物（不包括使用非残疾人福利性单位注册商标的货物）。</w:t>
      </w:r>
    </w:p>
    <w:p w14:paraId="1F751D36">
      <w:pPr>
        <w:pStyle w:val="12"/>
        <w:spacing w:line="360" w:lineRule="auto"/>
        <w:ind w:firstLine="480" w:firstLineChars="200"/>
        <w:jc w:val="left"/>
        <w:rPr>
          <w:rFonts w:hAnsi="宋体" w:cs="宋体"/>
          <w:sz w:val="24"/>
          <w:szCs w:val="24"/>
        </w:rPr>
      </w:pPr>
      <w:r>
        <w:rPr>
          <w:rFonts w:hint="eastAsia" w:hAnsi="宋体" w:cs="宋体"/>
          <w:sz w:val="24"/>
          <w:szCs w:val="24"/>
        </w:rPr>
        <w:t>本公司对上述声明的真实性负责。如有虚假，将依法承担相应责任。</w:t>
      </w:r>
    </w:p>
    <w:p w14:paraId="6AEE67A6">
      <w:pPr>
        <w:pStyle w:val="12"/>
        <w:spacing w:line="360" w:lineRule="auto"/>
        <w:jc w:val="left"/>
        <w:rPr>
          <w:rFonts w:hAnsi="宋体" w:cs="宋体"/>
          <w:b/>
          <w:szCs w:val="21"/>
        </w:rPr>
      </w:pPr>
    </w:p>
    <w:p w14:paraId="570B2CA3">
      <w:pPr>
        <w:pStyle w:val="12"/>
        <w:spacing w:line="360" w:lineRule="auto"/>
        <w:jc w:val="left"/>
        <w:rPr>
          <w:rFonts w:hAnsi="宋体" w:cs="宋体"/>
          <w:b/>
          <w:szCs w:val="21"/>
        </w:rPr>
      </w:pPr>
    </w:p>
    <w:p w14:paraId="62BC4141">
      <w:pPr>
        <w:snapToGrid w:val="0"/>
        <w:spacing w:line="360" w:lineRule="auto"/>
        <w:ind w:left="5137" w:leftChars="1736" w:hanging="1491" w:hangingChars="825"/>
        <w:rPr>
          <w:rFonts w:ascii="宋体" w:hAnsi="宋体" w:cs="宋体"/>
          <w:kern w:val="0"/>
          <w:sz w:val="24"/>
        </w:rPr>
      </w:pPr>
      <w:r>
        <w:rPr>
          <w:rFonts w:hint="eastAsia" w:ascii="宋体" w:hAnsi="宋体" w:cs="宋体"/>
          <w:b/>
          <w:sz w:val="18"/>
          <w:szCs w:val="18"/>
        </w:rPr>
        <w:t xml:space="preserve">                                                                    </w:t>
      </w:r>
      <w:r>
        <w:rPr>
          <w:rFonts w:hint="eastAsia" w:ascii="宋体" w:hAnsi="宋体" w:cs="宋体"/>
          <w:kern w:val="0"/>
          <w:sz w:val="24"/>
          <w:lang w:val="zh-CN"/>
        </w:rPr>
        <w:t>投标人名称（电子签章）：</w:t>
      </w:r>
    </w:p>
    <w:p w14:paraId="6B2044DC">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FFE9B7D">
      <w:pPr>
        <w:pStyle w:val="12"/>
        <w:spacing w:line="360" w:lineRule="auto"/>
        <w:ind w:left="5132" w:leftChars="1979" w:hanging="976" w:hangingChars="488"/>
        <w:rPr>
          <w:rFonts w:hAnsi="宋体" w:cs="宋体"/>
          <w:sz w:val="20"/>
        </w:rPr>
      </w:pPr>
    </w:p>
    <w:p w14:paraId="759FF614">
      <w:pPr>
        <w:spacing w:line="360" w:lineRule="auto"/>
        <w:ind w:right="420" w:firstLine="480" w:firstLineChars="200"/>
        <w:rPr>
          <w:rFonts w:ascii="宋体" w:hAnsi="宋体" w:cs="宋体"/>
          <w:sz w:val="24"/>
        </w:rPr>
      </w:pPr>
      <w:r>
        <w:rPr>
          <w:rFonts w:hint="eastAsia" w:ascii="宋体" w:hAnsi="宋体" w:cs="宋体"/>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14B05E25">
      <w:pPr>
        <w:snapToGrid w:val="0"/>
        <w:spacing w:before="50" w:after="165" w:afterLines="50" w:line="360" w:lineRule="auto"/>
        <w:jc w:val="left"/>
        <w:rPr>
          <w:rFonts w:ascii="宋体" w:hAnsi="宋体" w:cs="宋体"/>
          <w:sz w:val="20"/>
        </w:rPr>
        <w:sectPr>
          <w:pgSz w:w="11906" w:h="16838"/>
          <w:pgMar w:top="1440" w:right="1080" w:bottom="1440" w:left="1080" w:header="720" w:footer="720" w:gutter="0"/>
          <w:cols w:space="720" w:num="1"/>
          <w:docGrid w:type="lines" w:linePitch="331" w:charSpace="0"/>
        </w:sectPr>
      </w:pPr>
    </w:p>
    <w:p w14:paraId="4D18751A">
      <w:pPr>
        <w:snapToGrid w:val="0"/>
        <w:spacing w:before="50" w:after="165" w:afterLines="50" w:line="360" w:lineRule="auto"/>
        <w:jc w:val="left"/>
        <w:rPr>
          <w:rFonts w:ascii="宋体" w:hAnsi="宋体" w:cs="宋体"/>
          <w:sz w:val="20"/>
        </w:rPr>
      </w:pPr>
    </w:p>
    <w:p w14:paraId="3E51411C">
      <w:pPr>
        <w:pStyle w:val="12"/>
        <w:tabs>
          <w:tab w:val="left" w:pos="2472"/>
        </w:tabs>
        <w:spacing w:line="360" w:lineRule="auto"/>
        <w:jc w:val="center"/>
        <w:rPr>
          <w:rFonts w:hAnsi="宋体" w:cs="宋体"/>
          <w:b/>
          <w:sz w:val="36"/>
        </w:rPr>
      </w:pPr>
    </w:p>
    <w:p w14:paraId="4E3BA0C5">
      <w:pPr>
        <w:pStyle w:val="12"/>
        <w:tabs>
          <w:tab w:val="left" w:pos="2472"/>
        </w:tabs>
        <w:spacing w:line="360" w:lineRule="auto"/>
        <w:jc w:val="center"/>
        <w:rPr>
          <w:rFonts w:hAnsi="宋体" w:cs="宋体"/>
          <w:b/>
          <w:sz w:val="36"/>
        </w:rPr>
      </w:pPr>
    </w:p>
    <w:p w14:paraId="609377FC">
      <w:pPr>
        <w:pStyle w:val="12"/>
        <w:tabs>
          <w:tab w:val="left" w:pos="2472"/>
        </w:tabs>
        <w:spacing w:line="360" w:lineRule="auto"/>
        <w:jc w:val="center"/>
        <w:rPr>
          <w:rFonts w:hAnsi="宋体" w:cs="宋体"/>
          <w:b/>
          <w:sz w:val="36"/>
        </w:rPr>
      </w:pPr>
    </w:p>
    <w:p w14:paraId="146EF742">
      <w:pPr>
        <w:pStyle w:val="12"/>
        <w:tabs>
          <w:tab w:val="left" w:pos="2472"/>
        </w:tabs>
        <w:spacing w:line="360" w:lineRule="auto"/>
        <w:jc w:val="center"/>
        <w:rPr>
          <w:rFonts w:hAnsi="宋体" w:cs="宋体"/>
          <w:b/>
          <w:sz w:val="36"/>
        </w:rPr>
      </w:pPr>
    </w:p>
    <w:p w14:paraId="00106A5C">
      <w:pPr>
        <w:pStyle w:val="12"/>
        <w:tabs>
          <w:tab w:val="left" w:pos="2472"/>
        </w:tabs>
        <w:spacing w:line="360" w:lineRule="auto"/>
        <w:jc w:val="center"/>
        <w:rPr>
          <w:rFonts w:hAnsi="宋体" w:cs="宋体"/>
          <w:b/>
          <w:sz w:val="36"/>
        </w:rPr>
      </w:pPr>
    </w:p>
    <w:p w14:paraId="10CCF490">
      <w:pPr>
        <w:pStyle w:val="12"/>
        <w:tabs>
          <w:tab w:val="left" w:pos="2472"/>
        </w:tabs>
        <w:spacing w:line="360" w:lineRule="auto"/>
        <w:jc w:val="center"/>
        <w:rPr>
          <w:rFonts w:hAnsi="宋体" w:cs="宋体"/>
          <w:b/>
          <w:sz w:val="36"/>
        </w:rPr>
      </w:pPr>
    </w:p>
    <w:p w14:paraId="21CEE114">
      <w:pPr>
        <w:pStyle w:val="12"/>
        <w:tabs>
          <w:tab w:val="left" w:pos="2472"/>
        </w:tabs>
        <w:spacing w:line="360" w:lineRule="auto"/>
        <w:jc w:val="center"/>
        <w:rPr>
          <w:rFonts w:hAnsi="宋体" w:cs="宋体"/>
          <w:b/>
          <w:sz w:val="36"/>
        </w:rPr>
      </w:pPr>
    </w:p>
    <w:p w14:paraId="189D7635">
      <w:pPr>
        <w:pStyle w:val="12"/>
        <w:tabs>
          <w:tab w:val="left" w:pos="2472"/>
        </w:tabs>
        <w:spacing w:line="360" w:lineRule="auto"/>
        <w:jc w:val="center"/>
        <w:rPr>
          <w:rFonts w:hAnsi="宋体" w:cs="宋体"/>
          <w:b/>
          <w:sz w:val="36"/>
        </w:rPr>
      </w:pPr>
    </w:p>
    <w:p w14:paraId="6BCC8A85">
      <w:pPr>
        <w:pStyle w:val="12"/>
        <w:tabs>
          <w:tab w:val="left" w:pos="2472"/>
        </w:tabs>
        <w:spacing w:line="360" w:lineRule="auto"/>
        <w:jc w:val="center"/>
        <w:rPr>
          <w:rFonts w:hAnsi="宋体" w:cs="宋体"/>
          <w:b/>
          <w:sz w:val="36"/>
        </w:rPr>
      </w:pPr>
    </w:p>
    <w:p w14:paraId="20EB0428">
      <w:pPr>
        <w:pStyle w:val="12"/>
        <w:tabs>
          <w:tab w:val="left" w:pos="2472"/>
        </w:tabs>
        <w:spacing w:line="360" w:lineRule="auto"/>
        <w:jc w:val="center"/>
        <w:rPr>
          <w:rFonts w:hAnsi="宋体" w:cs="宋体"/>
          <w:b/>
          <w:sz w:val="36"/>
        </w:rPr>
      </w:pPr>
    </w:p>
    <w:p w14:paraId="730B4579">
      <w:pPr>
        <w:pStyle w:val="12"/>
        <w:tabs>
          <w:tab w:val="left" w:pos="2472"/>
        </w:tabs>
        <w:spacing w:line="360" w:lineRule="auto"/>
        <w:jc w:val="center"/>
        <w:rPr>
          <w:rFonts w:hAnsi="宋体" w:cs="宋体"/>
          <w:b/>
          <w:sz w:val="36"/>
        </w:rPr>
      </w:pPr>
    </w:p>
    <w:p w14:paraId="12753616">
      <w:pPr>
        <w:pStyle w:val="12"/>
        <w:tabs>
          <w:tab w:val="left" w:pos="2472"/>
        </w:tabs>
        <w:spacing w:line="360" w:lineRule="auto"/>
        <w:jc w:val="center"/>
        <w:outlineLvl w:val="0"/>
        <w:rPr>
          <w:rFonts w:hAnsi="宋体" w:cs="宋体"/>
          <w:b/>
          <w:sz w:val="36"/>
        </w:rPr>
      </w:pPr>
      <w:bookmarkStart w:id="309" w:name="_Toc6325"/>
      <w:r>
        <w:rPr>
          <w:rFonts w:hint="eastAsia" w:hAnsi="宋体" w:cs="宋体"/>
          <w:b/>
          <w:sz w:val="36"/>
        </w:rPr>
        <w:t>第七章 质疑、投诉，证明材料格式</w:t>
      </w:r>
      <w:bookmarkEnd w:id="309"/>
    </w:p>
    <w:p w14:paraId="35A898AC">
      <w:pPr>
        <w:snapToGrid w:val="0"/>
        <w:spacing w:before="50" w:after="165" w:afterLines="50" w:line="360" w:lineRule="auto"/>
        <w:ind w:firstLine="300" w:firstLineChars="150"/>
        <w:jc w:val="left"/>
        <w:rPr>
          <w:rFonts w:ascii="宋体" w:hAnsi="宋体" w:cs="宋体"/>
          <w:sz w:val="20"/>
        </w:rPr>
        <w:sectPr>
          <w:pgSz w:w="11906" w:h="16838"/>
          <w:pgMar w:top="1440" w:right="1080" w:bottom="1440" w:left="1080" w:header="720" w:footer="720" w:gutter="0"/>
          <w:cols w:space="720" w:num="1"/>
          <w:docGrid w:type="lines" w:linePitch="331" w:charSpace="0"/>
        </w:sectPr>
      </w:pPr>
    </w:p>
    <w:p w14:paraId="1FF5DE8B">
      <w:pPr>
        <w:adjustRightInd w:val="0"/>
        <w:snapToGrid w:val="0"/>
        <w:spacing w:line="360" w:lineRule="auto"/>
        <w:rPr>
          <w:rFonts w:ascii="宋体" w:hAnsi="宋体" w:cs="宋体"/>
          <w:b/>
          <w:bCs/>
          <w:sz w:val="28"/>
          <w:szCs w:val="28"/>
        </w:rPr>
      </w:pPr>
    </w:p>
    <w:p w14:paraId="36674F17">
      <w:pPr>
        <w:pStyle w:val="3"/>
        <w:spacing w:line="360" w:lineRule="auto"/>
        <w:jc w:val="center"/>
        <w:rPr>
          <w:rFonts w:ascii="宋体" w:hAnsi="宋体" w:cs="宋体"/>
          <w:b w:val="0"/>
        </w:rPr>
      </w:pPr>
      <w:bookmarkStart w:id="310" w:name="_Toc19666"/>
      <w:r>
        <w:rPr>
          <w:rFonts w:hint="eastAsia" w:ascii="宋体" w:hAnsi="宋体" w:cs="宋体"/>
          <w:b w:val="0"/>
        </w:rPr>
        <w:t>第一节 质疑函（格式）</w:t>
      </w:r>
      <w:bookmarkEnd w:id="310"/>
    </w:p>
    <w:p w14:paraId="345201F8">
      <w:pPr>
        <w:spacing w:line="360" w:lineRule="auto"/>
        <w:jc w:val="center"/>
        <w:rPr>
          <w:rFonts w:ascii="宋体" w:hAnsi="宋体" w:cs="宋体"/>
          <w:b/>
          <w:bCs/>
          <w:sz w:val="44"/>
          <w:szCs w:val="44"/>
        </w:rPr>
      </w:pPr>
      <w:r>
        <w:rPr>
          <w:rFonts w:hint="eastAsia" w:ascii="宋体" w:hAnsi="宋体" w:cs="宋体"/>
          <w:b/>
          <w:bCs/>
          <w:sz w:val="44"/>
          <w:szCs w:val="44"/>
        </w:rPr>
        <w:t>质疑函范本</w:t>
      </w:r>
    </w:p>
    <w:p w14:paraId="49224E0D">
      <w:pPr>
        <w:adjustRightInd w:val="0"/>
        <w:snapToGrid w:val="0"/>
        <w:spacing w:before="331" w:beforeLines="100" w:line="360" w:lineRule="auto"/>
        <w:rPr>
          <w:rFonts w:ascii="宋体" w:hAnsi="宋体" w:cs="宋体"/>
          <w:bCs/>
          <w:sz w:val="32"/>
          <w:szCs w:val="32"/>
        </w:rPr>
      </w:pPr>
      <w:r>
        <w:rPr>
          <w:rFonts w:hint="eastAsia" w:ascii="宋体" w:hAnsi="宋体" w:cs="宋体"/>
          <w:bCs/>
          <w:sz w:val="32"/>
          <w:szCs w:val="32"/>
        </w:rPr>
        <w:t>一、质疑供应商基本信息</w:t>
      </w:r>
    </w:p>
    <w:p w14:paraId="44192316">
      <w:pPr>
        <w:adjustRightInd w:val="0"/>
        <w:snapToGrid w:val="0"/>
        <w:spacing w:line="360" w:lineRule="auto"/>
        <w:rPr>
          <w:rFonts w:ascii="宋体" w:hAnsi="宋体" w:cs="宋体"/>
          <w:sz w:val="32"/>
          <w:szCs w:val="32"/>
          <w:u w:val="dotted"/>
        </w:rPr>
      </w:pPr>
      <w:r>
        <w:rPr>
          <w:rFonts w:hint="eastAsia" w:ascii="宋体" w:hAnsi="宋体" w:cs="宋体"/>
          <w:sz w:val="32"/>
          <w:szCs w:val="32"/>
        </w:rPr>
        <w:t>质疑供应商：</w:t>
      </w:r>
      <w:r>
        <w:rPr>
          <w:rFonts w:hint="eastAsia" w:ascii="宋体" w:hAnsi="宋体" w:cs="宋体"/>
          <w:sz w:val="32"/>
          <w:szCs w:val="32"/>
          <w:u w:val="dotted"/>
        </w:rPr>
        <w:t xml:space="preserve">                                        </w:t>
      </w:r>
    </w:p>
    <w:p w14:paraId="1363DF15">
      <w:pPr>
        <w:adjustRightInd w:val="0"/>
        <w:snapToGrid w:val="0"/>
        <w:spacing w:line="360" w:lineRule="auto"/>
        <w:rPr>
          <w:rFonts w:ascii="宋体" w:hAnsi="宋体" w:cs="宋体"/>
          <w:sz w:val="32"/>
          <w:szCs w:val="32"/>
        </w:rPr>
      </w:pPr>
      <w:r>
        <w:rPr>
          <w:rFonts w:hint="eastAsia" w:ascii="宋体" w:hAnsi="宋体" w:cs="宋体"/>
          <w:sz w:val="32"/>
          <w:szCs w:val="32"/>
        </w:rPr>
        <w:t>地址：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p>
    <w:p w14:paraId="7971E52B">
      <w:pPr>
        <w:adjustRightInd w:val="0"/>
        <w:snapToGrid w:val="0"/>
        <w:spacing w:line="360" w:lineRule="auto"/>
        <w:rPr>
          <w:rFonts w:ascii="宋体" w:hAnsi="宋体" w:cs="宋体"/>
          <w:sz w:val="32"/>
          <w:szCs w:val="32"/>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p>
    <w:p w14:paraId="217199D6">
      <w:pPr>
        <w:adjustRightInd w:val="0"/>
        <w:snapToGrid w:val="0"/>
        <w:spacing w:line="360" w:lineRule="auto"/>
        <w:rPr>
          <w:rFonts w:ascii="宋体" w:hAnsi="宋体" w:cs="宋体"/>
          <w:sz w:val="32"/>
          <w:szCs w:val="32"/>
          <w:u w:val="dotted"/>
        </w:rPr>
      </w:pPr>
      <w:r>
        <w:rPr>
          <w:rFonts w:hint="eastAsia" w:ascii="宋体" w:hAnsi="宋体" w:cs="宋体"/>
          <w:sz w:val="32"/>
          <w:szCs w:val="32"/>
        </w:rPr>
        <w:t>授权代表：</w:t>
      </w:r>
      <w:r>
        <w:rPr>
          <w:rFonts w:hint="eastAsia" w:ascii="宋体" w:hAnsi="宋体" w:cs="宋体"/>
          <w:sz w:val="32"/>
          <w:szCs w:val="32"/>
          <w:u w:val="dotted"/>
        </w:rPr>
        <w:t xml:space="preserve">                                          </w:t>
      </w:r>
    </w:p>
    <w:p w14:paraId="1E2759EC">
      <w:pPr>
        <w:adjustRightInd w:val="0"/>
        <w:snapToGrid w:val="0"/>
        <w:spacing w:line="360" w:lineRule="auto"/>
        <w:rPr>
          <w:rFonts w:ascii="宋体" w:hAnsi="宋体" w:cs="宋体"/>
          <w:sz w:val="32"/>
          <w:szCs w:val="32"/>
        </w:rPr>
      </w:pP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rPr>
        <w:t xml:space="preserve"> </w:t>
      </w:r>
    </w:p>
    <w:p w14:paraId="66B16888">
      <w:pPr>
        <w:adjustRightInd w:val="0"/>
        <w:snapToGrid w:val="0"/>
        <w:spacing w:line="360" w:lineRule="auto"/>
        <w:rPr>
          <w:rFonts w:ascii="宋体" w:hAnsi="宋体" w:cs="宋体"/>
          <w:sz w:val="32"/>
          <w:szCs w:val="32"/>
        </w:rPr>
      </w:pPr>
      <w:r>
        <w:rPr>
          <w:rFonts w:hint="eastAsia" w:ascii="宋体" w:hAnsi="宋体" w:cs="宋体"/>
          <w:sz w:val="32"/>
          <w:szCs w:val="32"/>
        </w:rPr>
        <w:t xml:space="preserve">地址： </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p>
    <w:p w14:paraId="3F041348">
      <w:pPr>
        <w:adjustRightInd w:val="0"/>
        <w:snapToGrid w:val="0"/>
        <w:spacing w:line="360" w:lineRule="auto"/>
        <w:rPr>
          <w:rFonts w:ascii="宋体" w:hAnsi="宋体" w:cs="宋体"/>
          <w:bCs/>
          <w:sz w:val="32"/>
          <w:szCs w:val="32"/>
        </w:rPr>
      </w:pPr>
      <w:r>
        <w:rPr>
          <w:rFonts w:hint="eastAsia" w:ascii="宋体" w:hAnsi="宋体" w:cs="宋体"/>
          <w:bCs/>
          <w:sz w:val="32"/>
          <w:szCs w:val="32"/>
        </w:rPr>
        <w:t>二、质疑项目基本情况</w:t>
      </w:r>
    </w:p>
    <w:p w14:paraId="1A647DE3">
      <w:pPr>
        <w:adjustRightInd w:val="0"/>
        <w:snapToGrid w:val="0"/>
        <w:spacing w:line="360" w:lineRule="auto"/>
        <w:rPr>
          <w:rFonts w:ascii="宋体" w:hAnsi="宋体" w:cs="宋体"/>
          <w:sz w:val="32"/>
          <w:szCs w:val="32"/>
        </w:rPr>
      </w:pPr>
      <w:r>
        <w:rPr>
          <w:rFonts w:hint="eastAsia" w:ascii="宋体" w:hAnsi="宋体" w:cs="宋体"/>
          <w:sz w:val="32"/>
          <w:szCs w:val="32"/>
        </w:rPr>
        <w:t>质疑项目的名称：</w:t>
      </w:r>
      <w:r>
        <w:rPr>
          <w:rFonts w:hint="eastAsia" w:ascii="宋体" w:hAnsi="宋体" w:cs="宋体"/>
          <w:sz w:val="32"/>
          <w:szCs w:val="32"/>
          <w:u w:val="dotted"/>
        </w:rPr>
        <w:t xml:space="preserve">   隆安县都结乡中心小学等19所学校“三个课堂”设备采购     </w:t>
      </w:r>
    </w:p>
    <w:p w14:paraId="1C3E20F1">
      <w:pPr>
        <w:adjustRightInd w:val="0"/>
        <w:snapToGrid w:val="0"/>
        <w:spacing w:line="360" w:lineRule="auto"/>
        <w:rPr>
          <w:rFonts w:ascii="宋体" w:hAnsi="宋体" w:cs="宋体"/>
          <w:sz w:val="32"/>
          <w:szCs w:val="32"/>
        </w:rPr>
      </w:pPr>
      <w:r>
        <w:rPr>
          <w:rFonts w:hint="eastAsia" w:ascii="宋体" w:hAnsi="宋体" w:cs="宋体"/>
          <w:sz w:val="32"/>
          <w:szCs w:val="32"/>
        </w:rPr>
        <w:t>质疑项目的编号：</w:t>
      </w:r>
      <w:r>
        <w:rPr>
          <w:rFonts w:hint="eastAsia" w:ascii="宋体" w:hAnsi="宋体" w:cs="宋体"/>
          <w:sz w:val="32"/>
          <w:szCs w:val="32"/>
          <w:u w:val="dotted"/>
        </w:rPr>
        <w:t xml:space="preserve">NNZC2022-G1-*****-XYGC </w:t>
      </w:r>
      <w:r>
        <w:rPr>
          <w:rFonts w:hint="eastAsia" w:ascii="宋体" w:hAnsi="宋体" w:cs="宋体"/>
          <w:sz w:val="32"/>
          <w:szCs w:val="32"/>
        </w:rPr>
        <w:t>包号：</w:t>
      </w:r>
      <w:r>
        <w:rPr>
          <w:rFonts w:hint="eastAsia" w:ascii="宋体" w:hAnsi="宋体" w:cs="宋体"/>
          <w:sz w:val="32"/>
          <w:szCs w:val="32"/>
          <w:u w:val="dotted"/>
        </w:rPr>
        <w:t xml:space="preserve">                 </w:t>
      </w:r>
    </w:p>
    <w:p w14:paraId="16828F3A">
      <w:pPr>
        <w:adjustRightInd w:val="0"/>
        <w:snapToGrid w:val="0"/>
        <w:spacing w:line="360" w:lineRule="auto"/>
        <w:rPr>
          <w:rFonts w:ascii="宋体" w:hAnsi="宋体" w:cs="宋体"/>
          <w:sz w:val="32"/>
          <w:szCs w:val="32"/>
          <w:u w:val="dotted"/>
        </w:rPr>
      </w:pPr>
      <w:r>
        <w:rPr>
          <w:rFonts w:hint="eastAsia" w:ascii="宋体" w:hAnsi="宋体" w:cs="宋体"/>
          <w:sz w:val="32"/>
          <w:szCs w:val="32"/>
        </w:rPr>
        <w:t>采购人名称：</w:t>
      </w:r>
      <w:r>
        <w:rPr>
          <w:rFonts w:hint="eastAsia" w:ascii="宋体" w:hAnsi="宋体" w:cs="宋体"/>
          <w:sz w:val="32"/>
          <w:szCs w:val="32"/>
          <w:u w:val="dotted"/>
        </w:rPr>
        <w:t xml:space="preserve">     隆安县教育局  </w:t>
      </w:r>
    </w:p>
    <w:p w14:paraId="29BD5719">
      <w:pPr>
        <w:adjustRightInd w:val="0"/>
        <w:snapToGrid w:val="0"/>
        <w:spacing w:line="360" w:lineRule="auto"/>
        <w:rPr>
          <w:rFonts w:ascii="宋体" w:hAnsi="宋体" w:cs="宋体"/>
          <w:sz w:val="32"/>
          <w:szCs w:val="32"/>
        </w:rPr>
      </w:pPr>
      <w:r>
        <w:rPr>
          <w:rFonts w:hint="eastAsia" w:ascii="宋体" w:hAnsi="宋体" w:cs="宋体"/>
          <w:sz w:val="32"/>
          <w:szCs w:val="32"/>
        </w:rPr>
        <w:t>采购文件获取日期：</w:t>
      </w:r>
      <w:r>
        <w:rPr>
          <w:rFonts w:hint="eastAsia" w:ascii="宋体" w:hAnsi="宋体" w:cs="宋体"/>
          <w:sz w:val="32"/>
          <w:szCs w:val="32"/>
          <w:u w:val="dotted"/>
        </w:rPr>
        <w:t xml:space="preserve">                                           </w:t>
      </w:r>
    </w:p>
    <w:p w14:paraId="5FC3284E">
      <w:pPr>
        <w:adjustRightInd w:val="0"/>
        <w:snapToGrid w:val="0"/>
        <w:spacing w:line="360" w:lineRule="auto"/>
        <w:rPr>
          <w:rFonts w:ascii="宋体" w:hAnsi="宋体" w:cs="宋体"/>
          <w:bCs/>
          <w:sz w:val="32"/>
          <w:szCs w:val="32"/>
        </w:rPr>
      </w:pPr>
      <w:r>
        <w:rPr>
          <w:rFonts w:hint="eastAsia" w:ascii="宋体" w:hAnsi="宋体" w:cs="宋体"/>
          <w:bCs/>
          <w:sz w:val="32"/>
          <w:szCs w:val="32"/>
        </w:rPr>
        <w:t>三、质疑事项具体内容</w:t>
      </w:r>
    </w:p>
    <w:p w14:paraId="5CEE2A73">
      <w:pPr>
        <w:adjustRightInd w:val="0"/>
        <w:snapToGrid w:val="0"/>
        <w:spacing w:line="360" w:lineRule="auto"/>
        <w:rPr>
          <w:rFonts w:ascii="宋体" w:hAnsi="宋体" w:cs="宋体"/>
          <w:sz w:val="32"/>
          <w:szCs w:val="32"/>
          <w:u w:val="dotted"/>
        </w:rPr>
      </w:pPr>
      <w:r>
        <w:rPr>
          <w:rFonts w:hint="eastAsia" w:ascii="宋体" w:hAnsi="宋体" w:cs="宋体"/>
          <w:sz w:val="32"/>
          <w:szCs w:val="32"/>
        </w:rPr>
        <w:t>质疑事项1：</w:t>
      </w:r>
      <w:r>
        <w:rPr>
          <w:rFonts w:hint="eastAsia" w:ascii="宋体" w:hAnsi="宋体" w:cs="宋体"/>
          <w:sz w:val="32"/>
          <w:szCs w:val="32"/>
          <w:u w:val="dotted"/>
        </w:rPr>
        <w:t xml:space="preserve">                                         </w:t>
      </w:r>
    </w:p>
    <w:p w14:paraId="37DF701E">
      <w:pPr>
        <w:adjustRightInd w:val="0"/>
        <w:snapToGrid w:val="0"/>
        <w:spacing w:line="360" w:lineRule="auto"/>
        <w:rPr>
          <w:rFonts w:ascii="宋体" w:hAnsi="宋体" w:cs="宋体"/>
          <w:sz w:val="32"/>
          <w:szCs w:val="32"/>
          <w:u w:val="dotted"/>
        </w:rPr>
      </w:pPr>
      <w:r>
        <w:rPr>
          <w:rFonts w:hint="eastAsia" w:ascii="宋体" w:hAnsi="宋体" w:cs="宋体"/>
          <w:sz w:val="32"/>
          <w:szCs w:val="32"/>
        </w:rPr>
        <w:t>事实依据：</w:t>
      </w:r>
      <w:r>
        <w:rPr>
          <w:rFonts w:hint="eastAsia" w:ascii="宋体" w:hAnsi="宋体" w:cs="宋体"/>
          <w:sz w:val="32"/>
          <w:szCs w:val="32"/>
          <w:u w:val="dotted"/>
        </w:rPr>
        <w:t xml:space="preserve">                                          </w:t>
      </w:r>
    </w:p>
    <w:p w14:paraId="11DD0FC9">
      <w:pPr>
        <w:adjustRightInd w:val="0"/>
        <w:snapToGrid w:val="0"/>
        <w:spacing w:line="360" w:lineRule="auto"/>
        <w:rPr>
          <w:rFonts w:ascii="宋体" w:hAnsi="宋体" w:cs="宋体"/>
          <w:sz w:val="32"/>
          <w:szCs w:val="32"/>
        </w:rPr>
      </w:pPr>
      <w:r>
        <w:rPr>
          <w:rFonts w:hint="eastAsia" w:ascii="宋体" w:hAnsi="宋体" w:cs="宋体"/>
          <w:sz w:val="32"/>
          <w:szCs w:val="32"/>
          <w:u w:val="dotted"/>
        </w:rPr>
        <w:t xml:space="preserve">                                                       </w:t>
      </w:r>
    </w:p>
    <w:p w14:paraId="68B3402C">
      <w:pPr>
        <w:adjustRightInd w:val="0"/>
        <w:snapToGrid w:val="0"/>
        <w:spacing w:line="360" w:lineRule="auto"/>
        <w:rPr>
          <w:rFonts w:ascii="宋体" w:hAnsi="宋体" w:cs="宋体"/>
          <w:sz w:val="32"/>
          <w:szCs w:val="32"/>
          <w:u w:val="dotted"/>
        </w:rPr>
      </w:pPr>
      <w:r>
        <w:rPr>
          <w:rFonts w:hint="eastAsia" w:ascii="宋体" w:hAnsi="宋体" w:cs="宋体"/>
          <w:sz w:val="32"/>
          <w:szCs w:val="32"/>
        </w:rPr>
        <w:t>法律依据：</w:t>
      </w:r>
      <w:r>
        <w:rPr>
          <w:rFonts w:hint="eastAsia" w:ascii="宋体" w:hAnsi="宋体" w:cs="宋体"/>
          <w:sz w:val="32"/>
          <w:szCs w:val="32"/>
          <w:u w:val="dotted"/>
        </w:rPr>
        <w:t xml:space="preserve">                                          </w:t>
      </w:r>
    </w:p>
    <w:p w14:paraId="3FB1D3FE">
      <w:pPr>
        <w:adjustRightInd w:val="0"/>
        <w:snapToGrid w:val="0"/>
        <w:spacing w:line="360" w:lineRule="auto"/>
        <w:rPr>
          <w:rFonts w:ascii="宋体" w:hAnsi="宋体" w:cs="宋体"/>
          <w:sz w:val="32"/>
          <w:szCs w:val="32"/>
          <w:u w:val="dotted"/>
        </w:rPr>
      </w:pPr>
      <w:r>
        <w:rPr>
          <w:rFonts w:hint="eastAsia" w:ascii="宋体" w:hAnsi="宋体" w:cs="宋体"/>
          <w:sz w:val="32"/>
          <w:szCs w:val="32"/>
          <w:u w:val="dotted"/>
        </w:rPr>
        <w:t xml:space="preserve">                                                     </w:t>
      </w:r>
    </w:p>
    <w:p w14:paraId="241E825B">
      <w:pPr>
        <w:adjustRightInd w:val="0"/>
        <w:snapToGrid w:val="0"/>
        <w:spacing w:line="360" w:lineRule="auto"/>
        <w:rPr>
          <w:rFonts w:ascii="宋体" w:hAnsi="宋体" w:cs="宋体"/>
          <w:sz w:val="32"/>
          <w:szCs w:val="32"/>
          <w:u w:val="dotted"/>
        </w:rPr>
      </w:pPr>
      <w:r>
        <w:rPr>
          <w:rFonts w:hint="eastAsia" w:ascii="宋体" w:hAnsi="宋体" w:cs="宋体"/>
          <w:sz w:val="32"/>
          <w:szCs w:val="32"/>
        </w:rPr>
        <w:t>质疑事项2</w:t>
      </w:r>
    </w:p>
    <w:p w14:paraId="417B90AF">
      <w:pPr>
        <w:adjustRightInd w:val="0"/>
        <w:snapToGrid w:val="0"/>
        <w:spacing w:line="360" w:lineRule="auto"/>
        <w:rPr>
          <w:rFonts w:ascii="宋体" w:hAnsi="宋体" w:cs="宋体"/>
          <w:sz w:val="32"/>
          <w:szCs w:val="32"/>
        </w:rPr>
      </w:pPr>
      <w:r>
        <w:rPr>
          <w:rFonts w:hint="eastAsia" w:ascii="宋体" w:hAnsi="宋体" w:cs="宋体"/>
          <w:sz w:val="32"/>
          <w:szCs w:val="32"/>
        </w:rPr>
        <w:t>……</w:t>
      </w:r>
    </w:p>
    <w:p w14:paraId="3C6A692F">
      <w:pPr>
        <w:adjustRightInd w:val="0"/>
        <w:snapToGrid w:val="0"/>
        <w:spacing w:line="360" w:lineRule="auto"/>
        <w:rPr>
          <w:rFonts w:ascii="宋体" w:hAnsi="宋体" w:cs="宋体"/>
          <w:bCs/>
          <w:sz w:val="32"/>
          <w:szCs w:val="32"/>
        </w:rPr>
      </w:pPr>
      <w:r>
        <w:rPr>
          <w:rFonts w:hint="eastAsia" w:ascii="宋体" w:hAnsi="宋体" w:cs="宋体"/>
          <w:bCs/>
          <w:sz w:val="32"/>
          <w:szCs w:val="32"/>
        </w:rPr>
        <w:t>四、与质疑事项相关的质疑请求</w:t>
      </w:r>
    </w:p>
    <w:p w14:paraId="59520138">
      <w:pPr>
        <w:adjustRightInd w:val="0"/>
        <w:snapToGrid w:val="0"/>
        <w:spacing w:line="360" w:lineRule="auto"/>
        <w:rPr>
          <w:rFonts w:ascii="宋体" w:hAnsi="宋体" w:cs="宋体"/>
          <w:sz w:val="32"/>
          <w:szCs w:val="32"/>
          <w:u w:val="dotted"/>
        </w:rPr>
      </w:pPr>
      <w:r>
        <w:rPr>
          <w:rFonts w:hint="eastAsia" w:ascii="宋体" w:hAnsi="宋体" w:cs="宋体"/>
          <w:sz w:val="32"/>
          <w:szCs w:val="32"/>
        </w:rPr>
        <w:t>请求：</w:t>
      </w:r>
      <w:r>
        <w:rPr>
          <w:rFonts w:hint="eastAsia" w:ascii="宋体" w:hAnsi="宋体" w:cs="宋体"/>
          <w:sz w:val="32"/>
          <w:szCs w:val="32"/>
          <w:u w:val="dotted"/>
        </w:rPr>
        <w:t xml:space="preserve">                                               </w:t>
      </w:r>
    </w:p>
    <w:p w14:paraId="3A05B6AF">
      <w:pPr>
        <w:spacing w:line="360" w:lineRule="auto"/>
        <w:rPr>
          <w:rFonts w:ascii="宋体" w:hAnsi="宋体" w:cs="宋体"/>
          <w:sz w:val="30"/>
          <w:szCs w:val="30"/>
        </w:rPr>
      </w:pPr>
      <w:r>
        <w:rPr>
          <w:rFonts w:hint="eastAsia" w:ascii="宋体" w:hAnsi="宋体" w:cs="宋体"/>
          <w:sz w:val="30"/>
          <w:szCs w:val="30"/>
        </w:rPr>
        <w:t xml:space="preserve">签字（签章）：                   公章：                      </w:t>
      </w:r>
    </w:p>
    <w:p w14:paraId="083E1C4A">
      <w:pPr>
        <w:spacing w:line="360" w:lineRule="auto"/>
        <w:rPr>
          <w:rFonts w:ascii="宋体" w:hAnsi="宋体" w:cs="宋体"/>
          <w:sz w:val="30"/>
          <w:szCs w:val="30"/>
        </w:rPr>
      </w:pPr>
      <w:r>
        <w:rPr>
          <w:rFonts w:hint="eastAsia" w:ascii="宋体" w:hAnsi="宋体" w:cs="宋体"/>
          <w:sz w:val="30"/>
          <w:szCs w:val="30"/>
        </w:rPr>
        <w:t xml:space="preserve">日期：    </w:t>
      </w:r>
    </w:p>
    <w:p w14:paraId="51CFE5A6">
      <w:pPr>
        <w:adjustRightInd w:val="0"/>
        <w:snapToGrid w:val="0"/>
        <w:spacing w:line="360" w:lineRule="auto"/>
        <w:rPr>
          <w:rFonts w:ascii="宋体" w:hAnsi="宋体" w:cs="宋体"/>
          <w:sz w:val="32"/>
          <w:szCs w:val="32"/>
        </w:rPr>
      </w:pPr>
    </w:p>
    <w:p w14:paraId="2FA9F5EF">
      <w:pPr>
        <w:spacing w:line="360" w:lineRule="auto"/>
        <w:rPr>
          <w:rFonts w:ascii="宋体" w:hAnsi="宋体" w:cs="宋体"/>
          <w:b/>
          <w:sz w:val="32"/>
          <w:szCs w:val="32"/>
        </w:rPr>
      </w:pPr>
    </w:p>
    <w:p w14:paraId="264CA97E">
      <w:pPr>
        <w:spacing w:line="360" w:lineRule="auto"/>
        <w:rPr>
          <w:rFonts w:ascii="宋体" w:hAnsi="宋体" w:cs="宋体"/>
          <w:b/>
          <w:sz w:val="32"/>
          <w:szCs w:val="32"/>
        </w:rPr>
      </w:pPr>
      <w:r>
        <w:rPr>
          <w:rFonts w:hint="eastAsia" w:ascii="宋体" w:hAnsi="宋体" w:cs="宋体"/>
          <w:b/>
          <w:sz w:val="32"/>
          <w:szCs w:val="32"/>
        </w:rPr>
        <w:t>质疑函制作说明：</w:t>
      </w:r>
    </w:p>
    <w:p w14:paraId="660F0E2E">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1.供应商提出质疑时，应提交质疑函和必要的证明材料。</w:t>
      </w:r>
    </w:p>
    <w:p w14:paraId="6A9FD885">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2.质疑供应商若委托代理人进行质疑的，质疑函应按要求列明“授权代表”的有关内容，并在附件中提交由质疑</w:t>
      </w:r>
      <w:r>
        <w:rPr>
          <w:rFonts w:hint="eastAsia" w:ascii="宋体" w:hAnsi="宋体" w:cs="宋体"/>
          <w:kern w:val="0"/>
          <w:sz w:val="32"/>
          <w:szCs w:val="32"/>
        </w:rPr>
        <w:t>供应商签署的授权委托书。授权委托书应载明代理人的姓名或者名称、代理事项、具体权限、期限和相关事项。</w:t>
      </w:r>
    </w:p>
    <w:p w14:paraId="1142500B">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3.质疑供应商若对项目的某一分包进行质疑，质疑函中应列明具体分包号。</w:t>
      </w:r>
    </w:p>
    <w:p w14:paraId="380574C9">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4.质疑函的质疑事项应具体、明确，并有必要的事实依据和法律依据。</w:t>
      </w:r>
    </w:p>
    <w:p w14:paraId="445E251A">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5.质疑函的质疑请求应与质疑事项相关。</w:t>
      </w:r>
    </w:p>
    <w:p w14:paraId="6AC2275E">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6.质疑供应商为自然人的，质疑函应由本人签字；质疑供应商为法人或者其他组织的，质疑函应由法定代表人、主要负责人，或者其授权代表签字或者盖章，并加盖公章。</w:t>
      </w:r>
    </w:p>
    <w:p w14:paraId="356D2195">
      <w:pPr>
        <w:widowControl/>
        <w:spacing w:line="360" w:lineRule="auto"/>
        <w:ind w:firstLine="600" w:firstLineChars="200"/>
        <w:jc w:val="left"/>
        <w:rPr>
          <w:rFonts w:ascii="宋体" w:hAnsi="宋体" w:cs="宋体"/>
          <w:sz w:val="30"/>
          <w:szCs w:val="30"/>
        </w:rPr>
      </w:pPr>
    </w:p>
    <w:p w14:paraId="36AE2234">
      <w:pPr>
        <w:snapToGrid w:val="0"/>
        <w:spacing w:before="50" w:after="165" w:afterLines="50" w:line="360" w:lineRule="auto"/>
        <w:ind w:firstLine="480" w:firstLineChars="200"/>
        <w:jc w:val="left"/>
        <w:rPr>
          <w:rFonts w:ascii="宋体" w:hAnsi="宋体" w:cs="宋体"/>
          <w:kern w:val="0"/>
          <w:sz w:val="24"/>
        </w:rPr>
        <w:sectPr>
          <w:pgSz w:w="11906" w:h="16838"/>
          <w:pgMar w:top="1440" w:right="1080" w:bottom="1440" w:left="1080" w:header="720" w:footer="720" w:gutter="0"/>
          <w:cols w:space="720" w:num="1"/>
          <w:docGrid w:type="lines" w:linePitch="331" w:charSpace="0"/>
        </w:sectPr>
      </w:pPr>
    </w:p>
    <w:p w14:paraId="5162ECE5">
      <w:pPr>
        <w:pStyle w:val="3"/>
        <w:spacing w:line="360" w:lineRule="auto"/>
        <w:jc w:val="center"/>
        <w:rPr>
          <w:rFonts w:ascii="宋体" w:hAnsi="宋体" w:cs="宋体"/>
          <w:b w:val="0"/>
        </w:rPr>
      </w:pPr>
      <w:bookmarkStart w:id="311" w:name="_Toc28529"/>
      <w:r>
        <w:rPr>
          <w:rFonts w:hint="eastAsia" w:ascii="宋体" w:hAnsi="宋体" w:cs="宋体"/>
          <w:b w:val="0"/>
        </w:rPr>
        <w:t>第二节 投诉书（格式）</w:t>
      </w:r>
      <w:bookmarkEnd w:id="311"/>
    </w:p>
    <w:p w14:paraId="5B26FC62">
      <w:pPr>
        <w:spacing w:line="360" w:lineRule="auto"/>
        <w:jc w:val="center"/>
        <w:rPr>
          <w:rFonts w:ascii="宋体" w:hAnsi="宋体" w:cs="宋体"/>
          <w:b/>
          <w:sz w:val="44"/>
          <w:szCs w:val="44"/>
        </w:rPr>
      </w:pPr>
      <w:r>
        <w:rPr>
          <w:rFonts w:hint="eastAsia" w:ascii="宋体" w:hAnsi="宋体" w:cs="宋体"/>
          <w:b/>
          <w:sz w:val="44"/>
          <w:szCs w:val="44"/>
        </w:rPr>
        <w:t>投诉书范本</w:t>
      </w:r>
    </w:p>
    <w:p w14:paraId="01AD2AB9">
      <w:pPr>
        <w:spacing w:line="360" w:lineRule="auto"/>
        <w:rPr>
          <w:rFonts w:ascii="宋体" w:hAnsi="宋体" w:cs="宋体"/>
          <w:sz w:val="32"/>
          <w:szCs w:val="32"/>
        </w:rPr>
      </w:pPr>
      <w:r>
        <w:rPr>
          <w:rFonts w:hint="eastAsia" w:ascii="宋体" w:hAnsi="宋体" w:cs="宋体"/>
          <w:sz w:val="32"/>
          <w:szCs w:val="32"/>
        </w:rPr>
        <w:t>一、投诉相关主体基本情况</w:t>
      </w:r>
    </w:p>
    <w:p w14:paraId="6B4CBCFE">
      <w:pPr>
        <w:spacing w:line="360" w:lineRule="auto"/>
        <w:rPr>
          <w:rFonts w:ascii="宋体" w:hAnsi="宋体" w:cs="宋体"/>
          <w:sz w:val="32"/>
          <w:szCs w:val="32"/>
          <w:u w:val="dotted"/>
        </w:rPr>
      </w:pPr>
      <w:r>
        <w:rPr>
          <w:rFonts w:hint="eastAsia" w:ascii="宋体" w:hAnsi="宋体" w:cs="宋体"/>
          <w:sz w:val="32"/>
          <w:szCs w:val="32"/>
        </w:rPr>
        <w:t>投诉人：</w:t>
      </w:r>
      <w:r>
        <w:rPr>
          <w:rFonts w:hint="eastAsia" w:ascii="宋体" w:hAnsi="宋体" w:cs="宋体"/>
          <w:sz w:val="32"/>
          <w:szCs w:val="32"/>
          <w:u w:val="dotted"/>
        </w:rPr>
        <w:t xml:space="preserve">                                               </w:t>
      </w:r>
    </w:p>
    <w:p w14:paraId="79FB488B">
      <w:pPr>
        <w:spacing w:line="360" w:lineRule="auto"/>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381AFF66">
      <w:pPr>
        <w:tabs>
          <w:tab w:val="left" w:pos="6510"/>
        </w:tabs>
        <w:spacing w:line="360" w:lineRule="auto"/>
        <w:jc w:val="left"/>
        <w:rPr>
          <w:rFonts w:ascii="宋体" w:hAnsi="宋体" w:cs="宋体"/>
          <w:sz w:val="32"/>
          <w:szCs w:val="32"/>
        </w:rPr>
      </w:pPr>
      <w:r>
        <w:rPr>
          <w:rFonts w:hint="eastAsia" w:ascii="宋体" w:hAnsi="宋体" w:cs="宋体"/>
          <w:sz w:val="32"/>
          <w:szCs w:val="32"/>
        </w:rPr>
        <w:t>法定代表人/主要负责人：</w:t>
      </w:r>
      <w:r>
        <w:rPr>
          <w:rFonts w:hint="eastAsia" w:ascii="宋体" w:hAnsi="宋体" w:cs="宋体"/>
          <w:sz w:val="32"/>
          <w:szCs w:val="32"/>
          <w:u w:val="dotted"/>
        </w:rPr>
        <w:t xml:space="preserve">                                   </w:t>
      </w:r>
      <w:r>
        <w:rPr>
          <w:rFonts w:hint="eastAsia" w:ascii="宋体" w:hAnsi="宋体" w:cs="宋体"/>
          <w:sz w:val="32"/>
          <w:szCs w:val="32"/>
        </w:rPr>
        <w:t xml:space="preserve">  </w:t>
      </w:r>
    </w:p>
    <w:p w14:paraId="7EC4AC1D">
      <w:pPr>
        <w:tabs>
          <w:tab w:val="left" w:pos="6510"/>
        </w:tabs>
        <w:spacing w:line="360" w:lineRule="auto"/>
        <w:rPr>
          <w:rFonts w:ascii="宋体" w:hAnsi="宋体" w:cs="宋体"/>
          <w:sz w:val="32"/>
          <w:szCs w:val="32"/>
          <w:u w:val="dotted"/>
        </w:rPr>
      </w:pPr>
      <w:r>
        <w:rPr>
          <w:rFonts w:hint="eastAsia" w:ascii="宋体" w:hAnsi="宋体" w:cs="宋体"/>
          <w:sz w:val="32"/>
          <w:szCs w:val="32"/>
        </w:rPr>
        <w:t>联系电话：</w:t>
      </w:r>
      <w:r>
        <w:rPr>
          <w:rFonts w:hint="eastAsia" w:ascii="宋体" w:hAnsi="宋体" w:cs="宋体"/>
          <w:sz w:val="32"/>
          <w:szCs w:val="32"/>
          <w:u w:val="dotted"/>
        </w:rPr>
        <w:t xml:space="preserve">                                             </w:t>
      </w:r>
    </w:p>
    <w:p w14:paraId="5A0BE05A">
      <w:pPr>
        <w:spacing w:line="360" w:lineRule="auto"/>
        <w:rPr>
          <w:rFonts w:ascii="宋体" w:hAnsi="宋体" w:cs="宋体"/>
          <w:sz w:val="32"/>
          <w:szCs w:val="32"/>
          <w:u w:val="dotted"/>
        </w:rPr>
      </w:pPr>
      <w:r>
        <w:rPr>
          <w:rFonts w:hint="eastAsia" w:ascii="宋体" w:hAnsi="宋体" w:cs="宋体"/>
          <w:sz w:val="32"/>
          <w:szCs w:val="32"/>
        </w:rPr>
        <w:t>授权代表：</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p>
    <w:p w14:paraId="14AAB470">
      <w:pPr>
        <w:spacing w:line="360" w:lineRule="auto"/>
        <w:rPr>
          <w:rFonts w:ascii="宋体" w:hAnsi="宋体" w:cs="宋体"/>
          <w:sz w:val="32"/>
          <w:szCs w:val="32"/>
          <w:u w:val="dotted"/>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r>
        <w:rPr>
          <w:rFonts w:hint="eastAsia" w:ascii="宋体" w:hAnsi="宋体" w:cs="宋体"/>
          <w:sz w:val="32"/>
          <w:szCs w:val="32"/>
          <w:u w:val="dotted"/>
        </w:rPr>
        <w:t xml:space="preserve">                   </w:t>
      </w:r>
    </w:p>
    <w:p w14:paraId="73D8FB0F">
      <w:pPr>
        <w:spacing w:line="360" w:lineRule="auto"/>
        <w:rPr>
          <w:rFonts w:ascii="宋体" w:hAnsi="宋体" w:cs="宋体"/>
          <w:sz w:val="32"/>
          <w:szCs w:val="32"/>
          <w:u w:val="single"/>
        </w:rPr>
      </w:pPr>
      <w:r>
        <w:rPr>
          <w:rFonts w:hint="eastAsia" w:ascii="宋体" w:hAnsi="宋体" w:cs="宋体"/>
          <w:sz w:val="32"/>
          <w:szCs w:val="32"/>
        </w:rPr>
        <w:t>被投诉人1：</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66246E80">
      <w:pPr>
        <w:spacing w:line="360" w:lineRule="auto"/>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1EB00EAD">
      <w:pPr>
        <w:spacing w:line="360" w:lineRule="auto"/>
        <w:rPr>
          <w:rFonts w:ascii="宋体" w:hAnsi="宋体" w:cs="宋体"/>
          <w:sz w:val="32"/>
          <w:szCs w:val="32"/>
          <w:u w:val="single"/>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632FC515">
      <w:pPr>
        <w:spacing w:line="360" w:lineRule="auto"/>
        <w:rPr>
          <w:rFonts w:ascii="宋体" w:hAnsi="宋体" w:cs="宋体"/>
          <w:sz w:val="32"/>
          <w:szCs w:val="32"/>
        </w:rPr>
      </w:pPr>
      <w:r>
        <w:rPr>
          <w:rFonts w:hint="eastAsia" w:ascii="宋体" w:hAnsi="宋体" w:cs="宋体"/>
          <w:sz w:val="32"/>
          <w:szCs w:val="32"/>
        </w:rPr>
        <w:t>被投诉人2</w:t>
      </w:r>
    </w:p>
    <w:p w14:paraId="3AA8A659">
      <w:pPr>
        <w:spacing w:line="360" w:lineRule="auto"/>
        <w:rPr>
          <w:rFonts w:ascii="宋体" w:hAnsi="宋体" w:cs="宋体"/>
          <w:sz w:val="32"/>
          <w:szCs w:val="32"/>
          <w:u w:val="dotted"/>
        </w:rPr>
      </w:pPr>
      <w:r>
        <w:rPr>
          <w:rFonts w:hint="eastAsia" w:ascii="宋体" w:hAnsi="宋体" w:cs="宋体"/>
          <w:sz w:val="32"/>
          <w:szCs w:val="32"/>
        </w:rPr>
        <w:t>……</w:t>
      </w:r>
    </w:p>
    <w:p w14:paraId="73027780">
      <w:pPr>
        <w:spacing w:line="360" w:lineRule="auto"/>
        <w:rPr>
          <w:rFonts w:ascii="宋体" w:hAnsi="宋体" w:cs="宋体"/>
          <w:sz w:val="32"/>
          <w:szCs w:val="32"/>
          <w:u w:val="single"/>
        </w:rPr>
      </w:pPr>
      <w:r>
        <w:rPr>
          <w:rFonts w:hint="eastAsia" w:ascii="宋体" w:hAnsi="宋体" w:cs="宋体"/>
          <w:sz w:val="32"/>
          <w:szCs w:val="32"/>
        </w:rPr>
        <w:t>相关供应商：</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40AF5B2B">
      <w:pPr>
        <w:spacing w:line="360" w:lineRule="auto"/>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2249493B">
      <w:pPr>
        <w:spacing w:line="360" w:lineRule="auto"/>
        <w:rPr>
          <w:rFonts w:ascii="宋体" w:hAnsi="宋体" w:cs="宋体"/>
          <w:sz w:val="32"/>
          <w:szCs w:val="32"/>
          <w:u w:val="single"/>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708B1048">
      <w:pPr>
        <w:spacing w:line="360" w:lineRule="auto"/>
        <w:rPr>
          <w:rFonts w:ascii="宋体" w:hAnsi="宋体" w:cs="宋体"/>
          <w:sz w:val="32"/>
          <w:szCs w:val="32"/>
        </w:rPr>
      </w:pPr>
      <w:r>
        <w:rPr>
          <w:rFonts w:hint="eastAsia" w:ascii="宋体" w:hAnsi="宋体" w:cs="宋体"/>
          <w:sz w:val="32"/>
          <w:szCs w:val="32"/>
        </w:rPr>
        <w:t>二、投诉项目基本情况</w:t>
      </w:r>
    </w:p>
    <w:p w14:paraId="21FC8EAC">
      <w:pPr>
        <w:spacing w:line="360" w:lineRule="auto"/>
        <w:rPr>
          <w:rFonts w:ascii="宋体" w:hAnsi="宋体" w:cs="宋体"/>
          <w:sz w:val="32"/>
          <w:szCs w:val="32"/>
          <w:u w:val="dotted"/>
        </w:rPr>
      </w:pPr>
      <w:r>
        <w:rPr>
          <w:rFonts w:hint="eastAsia" w:ascii="宋体" w:hAnsi="宋体" w:cs="宋体"/>
          <w:sz w:val="32"/>
          <w:szCs w:val="32"/>
        </w:rPr>
        <w:t>采购项目名称：</w:t>
      </w:r>
      <w:r>
        <w:rPr>
          <w:rFonts w:hint="eastAsia" w:ascii="宋体" w:hAnsi="宋体" w:cs="宋体"/>
          <w:sz w:val="32"/>
          <w:szCs w:val="32"/>
          <w:u w:val="dotted"/>
        </w:rPr>
        <w:t xml:space="preserve"> 隆安县都结乡中心小学等19所学校“三个课堂”设备采购   </w:t>
      </w:r>
    </w:p>
    <w:p w14:paraId="70FA2157">
      <w:pPr>
        <w:spacing w:line="360" w:lineRule="auto"/>
        <w:rPr>
          <w:rFonts w:ascii="宋体" w:hAnsi="宋体" w:cs="宋体"/>
          <w:sz w:val="32"/>
          <w:szCs w:val="32"/>
          <w:u w:val="single"/>
        </w:rPr>
      </w:pPr>
      <w:r>
        <w:rPr>
          <w:rFonts w:hint="eastAsia" w:ascii="宋体" w:hAnsi="宋体" w:cs="宋体"/>
          <w:sz w:val="32"/>
          <w:szCs w:val="32"/>
        </w:rPr>
        <w:t>采购项目编号：</w:t>
      </w:r>
      <w:r>
        <w:rPr>
          <w:rFonts w:hint="eastAsia" w:ascii="宋体" w:hAnsi="宋体" w:cs="宋体"/>
          <w:sz w:val="32"/>
          <w:szCs w:val="32"/>
          <w:u w:val="dotted"/>
        </w:rPr>
        <w:t xml:space="preserve"> NNZC2022-G1-*****-XYGC  </w:t>
      </w:r>
      <w:r>
        <w:rPr>
          <w:rFonts w:hint="eastAsia" w:ascii="宋体" w:hAnsi="宋体" w:cs="宋体"/>
          <w:sz w:val="32"/>
          <w:szCs w:val="32"/>
        </w:rPr>
        <w:t>包号：</w:t>
      </w:r>
      <w:r>
        <w:rPr>
          <w:rFonts w:hint="eastAsia" w:ascii="宋体" w:hAnsi="宋体" w:cs="宋体"/>
          <w:sz w:val="32"/>
          <w:szCs w:val="32"/>
          <w:u w:val="dotted"/>
        </w:rPr>
        <w:t xml:space="preserve">              </w:t>
      </w:r>
    </w:p>
    <w:p w14:paraId="46DE0409">
      <w:pPr>
        <w:spacing w:line="360" w:lineRule="auto"/>
        <w:rPr>
          <w:rFonts w:ascii="宋体" w:hAnsi="宋体" w:cs="宋体"/>
          <w:sz w:val="32"/>
          <w:szCs w:val="32"/>
        </w:rPr>
      </w:pPr>
      <w:r>
        <w:rPr>
          <w:rFonts w:hint="eastAsia" w:ascii="宋体" w:hAnsi="宋体" w:cs="宋体"/>
          <w:sz w:val="32"/>
          <w:szCs w:val="32"/>
        </w:rPr>
        <w:t>采购人名称：</w:t>
      </w:r>
      <w:r>
        <w:rPr>
          <w:rFonts w:hint="eastAsia" w:ascii="宋体" w:hAnsi="宋体" w:cs="宋体"/>
          <w:sz w:val="32"/>
          <w:szCs w:val="32"/>
          <w:u w:val="dotted"/>
        </w:rPr>
        <w:t xml:space="preserve">  隆安县教育局</w:t>
      </w:r>
      <w:r>
        <w:rPr>
          <w:rFonts w:hint="eastAsia" w:ascii="宋体" w:hAnsi="宋体" w:cs="宋体"/>
          <w:sz w:val="32"/>
          <w:szCs w:val="32"/>
          <w:u w:val="single"/>
        </w:rPr>
        <w:t xml:space="preserve">  </w:t>
      </w:r>
    </w:p>
    <w:p w14:paraId="4E4DA9CE">
      <w:pPr>
        <w:spacing w:line="360" w:lineRule="auto"/>
        <w:rPr>
          <w:rFonts w:ascii="宋体" w:hAnsi="宋体" w:cs="宋体"/>
          <w:sz w:val="32"/>
          <w:szCs w:val="32"/>
          <w:u w:val="single"/>
        </w:rPr>
      </w:pPr>
      <w:r>
        <w:rPr>
          <w:rFonts w:hint="eastAsia" w:ascii="宋体" w:hAnsi="宋体" w:cs="宋体"/>
          <w:sz w:val="32"/>
          <w:szCs w:val="32"/>
        </w:rPr>
        <w:t>代理机构名称：</w:t>
      </w:r>
      <w:r>
        <w:rPr>
          <w:rFonts w:hint="eastAsia" w:ascii="宋体" w:hAnsi="宋体" w:cs="宋体"/>
          <w:sz w:val="32"/>
          <w:szCs w:val="32"/>
          <w:u w:val="dotted"/>
        </w:rPr>
        <w:t xml:space="preserve">                                         </w:t>
      </w:r>
    </w:p>
    <w:p w14:paraId="14782A31">
      <w:pPr>
        <w:spacing w:line="360" w:lineRule="auto"/>
        <w:rPr>
          <w:rFonts w:ascii="宋体" w:hAnsi="宋体" w:cs="宋体"/>
          <w:sz w:val="32"/>
          <w:szCs w:val="32"/>
          <w:u w:val="dotted"/>
        </w:rPr>
      </w:pPr>
      <w:r>
        <w:rPr>
          <w:rFonts w:hint="eastAsia" w:ascii="宋体" w:hAnsi="宋体" w:cs="宋体"/>
          <w:sz w:val="32"/>
          <w:szCs w:val="32"/>
        </w:rPr>
        <w:t>采购文件公告：</w:t>
      </w:r>
      <w:r>
        <w:rPr>
          <w:rFonts w:hint="eastAsia" w:ascii="宋体" w:hAnsi="宋体" w:cs="宋体"/>
          <w:sz w:val="32"/>
          <w:szCs w:val="32"/>
          <w:u w:val="dotted"/>
        </w:rPr>
        <w:t xml:space="preserve">是/否 </w:t>
      </w:r>
      <w:r>
        <w:rPr>
          <w:rFonts w:hint="eastAsia" w:ascii="宋体" w:hAnsi="宋体" w:cs="宋体"/>
          <w:sz w:val="32"/>
          <w:szCs w:val="32"/>
        </w:rPr>
        <w:t>公告期限：</w:t>
      </w:r>
      <w:r>
        <w:rPr>
          <w:rFonts w:hint="eastAsia" w:ascii="宋体" w:hAnsi="宋体" w:cs="宋体"/>
          <w:sz w:val="32"/>
          <w:szCs w:val="32"/>
          <w:u w:val="dotted"/>
        </w:rPr>
        <w:t xml:space="preserve">                                 </w:t>
      </w:r>
    </w:p>
    <w:p w14:paraId="60F751EC">
      <w:pPr>
        <w:spacing w:line="360" w:lineRule="auto"/>
        <w:rPr>
          <w:rFonts w:ascii="宋体" w:hAnsi="宋体" w:cs="宋体"/>
          <w:sz w:val="32"/>
          <w:szCs w:val="32"/>
          <w:u w:val="single"/>
        </w:rPr>
      </w:pPr>
      <w:r>
        <w:rPr>
          <w:rFonts w:hint="eastAsia" w:ascii="宋体" w:hAnsi="宋体" w:cs="宋体"/>
          <w:sz w:val="32"/>
          <w:szCs w:val="32"/>
        </w:rPr>
        <w:t>采购结果公告：</w:t>
      </w:r>
      <w:r>
        <w:rPr>
          <w:rFonts w:hint="eastAsia" w:ascii="宋体" w:hAnsi="宋体" w:cs="宋体"/>
          <w:sz w:val="32"/>
          <w:szCs w:val="32"/>
          <w:u w:val="dotted"/>
        </w:rPr>
        <w:t xml:space="preserve">是/否 </w:t>
      </w:r>
      <w:r>
        <w:rPr>
          <w:rFonts w:hint="eastAsia" w:ascii="宋体" w:hAnsi="宋体" w:cs="宋体"/>
          <w:sz w:val="32"/>
          <w:szCs w:val="32"/>
        </w:rPr>
        <w:t>公告期限：</w:t>
      </w:r>
      <w:r>
        <w:rPr>
          <w:rFonts w:hint="eastAsia" w:ascii="宋体" w:hAnsi="宋体" w:cs="宋体"/>
          <w:sz w:val="32"/>
          <w:szCs w:val="32"/>
          <w:u w:val="dotted"/>
        </w:rPr>
        <w:t xml:space="preserve">                        </w:t>
      </w:r>
    </w:p>
    <w:p w14:paraId="0B0EA673">
      <w:pPr>
        <w:spacing w:line="360" w:lineRule="auto"/>
        <w:rPr>
          <w:rFonts w:ascii="宋体" w:hAnsi="宋体" w:cs="宋体"/>
          <w:sz w:val="32"/>
          <w:szCs w:val="32"/>
        </w:rPr>
      </w:pPr>
      <w:r>
        <w:rPr>
          <w:rFonts w:hint="eastAsia" w:ascii="宋体" w:hAnsi="宋体" w:cs="宋体"/>
          <w:sz w:val="32"/>
          <w:szCs w:val="32"/>
        </w:rPr>
        <w:t>三、质疑基本情况</w:t>
      </w:r>
    </w:p>
    <w:p w14:paraId="4C1449D7">
      <w:pPr>
        <w:spacing w:line="360" w:lineRule="auto"/>
        <w:ind w:firstLine="640" w:firstLineChars="200"/>
        <w:rPr>
          <w:rFonts w:ascii="宋体" w:hAnsi="宋体" w:cs="宋体"/>
          <w:sz w:val="32"/>
          <w:szCs w:val="32"/>
          <w:u w:val="dotted"/>
        </w:rPr>
      </w:pPr>
      <w:r>
        <w:rPr>
          <w:rFonts w:hint="eastAsia" w:ascii="宋体" w:hAnsi="宋体" w:cs="宋体"/>
          <w:sz w:val="32"/>
          <w:szCs w:val="32"/>
        </w:rPr>
        <w:t>投诉人于</w:t>
      </w:r>
      <w:r>
        <w:rPr>
          <w:rFonts w:hint="eastAsia" w:ascii="宋体" w:hAnsi="宋体" w:cs="宋体"/>
          <w:sz w:val="32"/>
          <w:szCs w:val="32"/>
          <w:u w:val="dotted"/>
        </w:rPr>
        <w:t xml:space="preserve">   </w:t>
      </w:r>
      <w:r>
        <w:rPr>
          <w:rFonts w:hint="eastAsia" w:ascii="宋体" w:hAnsi="宋体" w:cs="宋体"/>
          <w:sz w:val="32"/>
          <w:szCs w:val="32"/>
        </w:rPr>
        <w:t>年</w:t>
      </w:r>
      <w:r>
        <w:rPr>
          <w:rFonts w:hint="eastAsia" w:ascii="宋体" w:hAnsi="宋体" w:cs="宋体"/>
          <w:sz w:val="32"/>
          <w:szCs w:val="32"/>
          <w:u w:val="dotted"/>
        </w:rPr>
        <w:t xml:space="preserve">   </w:t>
      </w:r>
      <w:r>
        <w:rPr>
          <w:rFonts w:hint="eastAsia" w:ascii="宋体" w:hAnsi="宋体" w:cs="宋体"/>
          <w:sz w:val="32"/>
          <w:szCs w:val="32"/>
        </w:rPr>
        <w:t>月</w:t>
      </w:r>
      <w:r>
        <w:rPr>
          <w:rFonts w:hint="eastAsia" w:ascii="宋体" w:hAnsi="宋体" w:cs="宋体"/>
          <w:sz w:val="32"/>
          <w:szCs w:val="32"/>
          <w:u w:val="dotted"/>
        </w:rPr>
        <w:t xml:space="preserve">  </w:t>
      </w:r>
      <w:r>
        <w:rPr>
          <w:rFonts w:hint="eastAsia" w:ascii="宋体" w:hAnsi="宋体" w:cs="宋体"/>
          <w:sz w:val="32"/>
          <w:szCs w:val="32"/>
        </w:rPr>
        <w:t>日，向</w:t>
      </w:r>
      <w:r>
        <w:rPr>
          <w:rFonts w:hint="eastAsia" w:ascii="宋体" w:hAnsi="宋体" w:cs="宋体"/>
          <w:sz w:val="32"/>
          <w:szCs w:val="32"/>
          <w:u w:val="dotted"/>
        </w:rPr>
        <w:t xml:space="preserve">                   </w:t>
      </w:r>
      <w:r>
        <w:rPr>
          <w:rFonts w:hint="eastAsia" w:ascii="宋体" w:hAnsi="宋体" w:cs="宋体"/>
          <w:sz w:val="32"/>
          <w:szCs w:val="32"/>
        </w:rPr>
        <w:t>提出质疑，质疑事项为：</w:t>
      </w:r>
      <w:r>
        <w:rPr>
          <w:rFonts w:hint="eastAsia" w:ascii="宋体" w:hAnsi="宋体" w:cs="宋体"/>
          <w:sz w:val="32"/>
          <w:szCs w:val="32"/>
          <w:u w:val="dotted"/>
        </w:rPr>
        <w:t xml:space="preserve">                                </w:t>
      </w:r>
    </w:p>
    <w:p w14:paraId="4161A28F">
      <w:pPr>
        <w:spacing w:line="360" w:lineRule="auto"/>
        <w:rPr>
          <w:rFonts w:ascii="宋体" w:hAnsi="宋体" w:cs="宋体"/>
          <w:sz w:val="32"/>
          <w:szCs w:val="32"/>
          <w:u w:val="dotted"/>
        </w:rPr>
      </w:pPr>
      <w:r>
        <w:rPr>
          <w:rFonts w:hint="eastAsia" w:ascii="宋体" w:hAnsi="宋体" w:cs="宋体"/>
          <w:sz w:val="32"/>
          <w:szCs w:val="32"/>
          <w:u w:val="dotted"/>
        </w:rPr>
        <w:t xml:space="preserve">                                                     </w:t>
      </w:r>
      <w:r>
        <w:rPr>
          <w:rFonts w:hint="eastAsia" w:ascii="宋体" w:hAnsi="宋体" w:cs="宋体"/>
          <w:sz w:val="32"/>
          <w:szCs w:val="32"/>
        </w:rPr>
        <w:t xml:space="preserve">  </w:t>
      </w:r>
    </w:p>
    <w:p w14:paraId="59A61F8A">
      <w:pPr>
        <w:spacing w:line="360" w:lineRule="auto"/>
        <w:ind w:firstLine="480" w:firstLineChars="150"/>
        <w:rPr>
          <w:rFonts w:ascii="宋体" w:hAnsi="宋体" w:cs="宋体"/>
          <w:sz w:val="32"/>
          <w:szCs w:val="32"/>
        </w:rPr>
      </w:pPr>
      <w:r>
        <w:rPr>
          <w:rFonts w:hint="eastAsia" w:ascii="宋体" w:hAnsi="宋体" w:cs="宋体"/>
          <w:sz w:val="32"/>
          <w:szCs w:val="32"/>
          <w:u w:val="dotted"/>
        </w:rPr>
        <w:t>采购人/代理机构</w:t>
      </w:r>
      <w:r>
        <w:rPr>
          <w:rFonts w:hint="eastAsia" w:ascii="宋体" w:hAnsi="宋体" w:cs="宋体"/>
          <w:sz w:val="32"/>
          <w:szCs w:val="32"/>
        </w:rPr>
        <w:t>于</w:t>
      </w:r>
      <w:r>
        <w:rPr>
          <w:rFonts w:hint="eastAsia" w:ascii="宋体" w:hAnsi="宋体" w:cs="宋体"/>
          <w:sz w:val="32"/>
          <w:szCs w:val="32"/>
          <w:u w:val="dotted"/>
        </w:rPr>
        <w:t xml:space="preserve">   </w:t>
      </w:r>
      <w:r>
        <w:rPr>
          <w:rFonts w:hint="eastAsia" w:ascii="宋体" w:hAnsi="宋体" w:cs="宋体"/>
          <w:sz w:val="32"/>
          <w:szCs w:val="32"/>
        </w:rPr>
        <w:t>年</w:t>
      </w:r>
      <w:r>
        <w:rPr>
          <w:rFonts w:hint="eastAsia" w:ascii="宋体" w:hAnsi="宋体" w:cs="宋体"/>
          <w:sz w:val="32"/>
          <w:szCs w:val="32"/>
          <w:u w:val="dotted"/>
        </w:rPr>
        <w:t xml:space="preserve">   </w:t>
      </w:r>
      <w:r>
        <w:rPr>
          <w:rFonts w:hint="eastAsia" w:ascii="宋体" w:hAnsi="宋体" w:cs="宋体"/>
          <w:sz w:val="32"/>
          <w:szCs w:val="32"/>
        </w:rPr>
        <w:t>月</w:t>
      </w:r>
      <w:r>
        <w:rPr>
          <w:rFonts w:hint="eastAsia" w:ascii="宋体" w:hAnsi="宋体" w:cs="宋体"/>
          <w:sz w:val="32"/>
          <w:szCs w:val="32"/>
          <w:u w:val="dotted"/>
        </w:rPr>
        <w:t xml:space="preserve">   </w:t>
      </w:r>
      <w:r>
        <w:rPr>
          <w:rFonts w:hint="eastAsia" w:ascii="宋体" w:hAnsi="宋体" w:cs="宋体"/>
          <w:sz w:val="32"/>
          <w:szCs w:val="32"/>
        </w:rPr>
        <w:t>日，就质疑事项作出了答复/没有在法定期限内作出答复。</w:t>
      </w:r>
    </w:p>
    <w:p w14:paraId="5514D7EF">
      <w:pPr>
        <w:spacing w:line="360" w:lineRule="auto"/>
        <w:rPr>
          <w:rFonts w:ascii="宋体" w:hAnsi="宋体" w:cs="宋体"/>
          <w:sz w:val="32"/>
          <w:szCs w:val="32"/>
        </w:rPr>
      </w:pPr>
      <w:r>
        <w:rPr>
          <w:rFonts w:hint="eastAsia" w:ascii="宋体" w:hAnsi="宋体" w:cs="宋体"/>
          <w:sz w:val="32"/>
          <w:szCs w:val="32"/>
        </w:rPr>
        <w:t>四、投诉事项具体内容</w:t>
      </w:r>
    </w:p>
    <w:p w14:paraId="1BACCDC2">
      <w:pPr>
        <w:spacing w:line="360" w:lineRule="auto"/>
        <w:rPr>
          <w:rFonts w:ascii="宋体" w:hAnsi="宋体" w:cs="宋体"/>
          <w:sz w:val="32"/>
          <w:szCs w:val="32"/>
          <w:u w:val="single"/>
        </w:rPr>
      </w:pPr>
      <w:r>
        <w:rPr>
          <w:rFonts w:hint="eastAsia" w:ascii="宋体" w:hAnsi="宋体" w:cs="宋体"/>
          <w:sz w:val="32"/>
          <w:szCs w:val="32"/>
        </w:rPr>
        <w:t>投诉事项 1：</w:t>
      </w:r>
      <w:r>
        <w:rPr>
          <w:rFonts w:hint="eastAsia" w:ascii="宋体" w:hAnsi="宋体" w:cs="宋体"/>
          <w:sz w:val="32"/>
          <w:szCs w:val="32"/>
          <w:u w:val="dotted"/>
        </w:rPr>
        <w:t xml:space="preserve">                                       </w:t>
      </w:r>
    </w:p>
    <w:p w14:paraId="4F5E4E76">
      <w:pPr>
        <w:spacing w:line="360" w:lineRule="auto"/>
        <w:rPr>
          <w:rFonts w:ascii="宋体" w:hAnsi="宋体" w:cs="宋体"/>
          <w:sz w:val="32"/>
          <w:szCs w:val="32"/>
        </w:rPr>
      </w:pPr>
      <w:r>
        <w:rPr>
          <w:rFonts w:hint="eastAsia" w:ascii="宋体" w:hAnsi="宋体" w:cs="宋体"/>
          <w:sz w:val="32"/>
          <w:szCs w:val="32"/>
        </w:rPr>
        <w:t>事实依据：</w:t>
      </w:r>
      <w:r>
        <w:rPr>
          <w:rFonts w:hint="eastAsia" w:ascii="宋体" w:hAnsi="宋体" w:cs="宋体"/>
          <w:sz w:val="32"/>
          <w:szCs w:val="32"/>
          <w:u w:val="dotted"/>
        </w:rPr>
        <w:t xml:space="preserve">                                         </w:t>
      </w:r>
    </w:p>
    <w:p w14:paraId="6FF4ED8A">
      <w:pPr>
        <w:spacing w:line="360" w:lineRule="auto"/>
        <w:rPr>
          <w:rFonts w:ascii="宋体" w:hAnsi="宋体" w:cs="宋体"/>
          <w:sz w:val="32"/>
          <w:szCs w:val="32"/>
          <w:u w:val="dotted"/>
        </w:rPr>
      </w:pPr>
      <w:r>
        <w:rPr>
          <w:rFonts w:hint="eastAsia" w:ascii="宋体" w:hAnsi="宋体" w:cs="宋体"/>
          <w:sz w:val="32"/>
          <w:szCs w:val="32"/>
          <w:u w:val="dotted"/>
        </w:rPr>
        <w:t xml:space="preserve">                                                      </w:t>
      </w:r>
    </w:p>
    <w:p w14:paraId="2249BDD2">
      <w:pPr>
        <w:spacing w:line="360" w:lineRule="auto"/>
        <w:rPr>
          <w:rFonts w:ascii="宋体" w:hAnsi="宋体" w:cs="宋体"/>
          <w:sz w:val="32"/>
          <w:szCs w:val="32"/>
          <w:u w:val="single"/>
        </w:rPr>
      </w:pPr>
      <w:r>
        <w:rPr>
          <w:rFonts w:hint="eastAsia" w:ascii="宋体" w:hAnsi="宋体" w:cs="宋体"/>
          <w:sz w:val="32"/>
          <w:szCs w:val="32"/>
        </w:rPr>
        <w:t>法律依据：</w:t>
      </w:r>
      <w:r>
        <w:rPr>
          <w:rFonts w:hint="eastAsia" w:ascii="宋体" w:hAnsi="宋体" w:cs="宋体"/>
          <w:sz w:val="32"/>
          <w:szCs w:val="32"/>
          <w:u w:val="dotted"/>
        </w:rPr>
        <w:t xml:space="preserve">                                          </w:t>
      </w:r>
    </w:p>
    <w:p w14:paraId="0203F058">
      <w:pPr>
        <w:spacing w:line="360" w:lineRule="auto"/>
        <w:rPr>
          <w:rFonts w:ascii="宋体" w:hAnsi="宋体" w:cs="宋体"/>
          <w:sz w:val="32"/>
          <w:szCs w:val="32"/>
          <w:u w:val="dotted"/>
        </w:rPr>
      </w:pPr>
      <w:r>
        <w:rPr>
          <w:rFonts w:hint="eastAsia" w:ascii="宋体" w:hAnsi="宋体" w:cs="宋体"/>
          <w:sz w:val="32"/>
          <w:szCs w:val="32"/>
          <w:u w:val="dotted"/>
        </w:rPr>
        <w:t xml:space="preserve">                                                      </w:t>
      </w:r>
    </w:p>
    <w:p w14:paraId="6C280548">
      <w:pPr>
        <w:spacing w:line="360" w:lineRule="auto"/>
        <w:rPr>
          <w:rFonts w:ascii="宋体" w:hAnsi="宋体" w:cs="宋体"/>
          <w:sz w:val="32"/>
          <w:szCs w:val="32"/>
        </w:rPr>
      </w:pPr>
      <w:r>
        <w:rPr>
          <w:rFonts w:hint="eastAsia" w:ascii="宋体" w:hAnsi="宋体" w:cs="宋体"/>
          <w:sz w:val="32"/>
          <w:szCs w:val="32"/>
        </w:rPr>
        <w:t>投诉事项2</w:t>
      </w:r>
    </w:p>
    <w:p w14:paraId="565F8688">
      <w:pPr>
        <w:spacing w:line="360" w:lineRule="auto"/>
        <w:rPr>
          <w:rFonts w:ascii="宋体" w:hAnsi="宋体" w:cs="宋体"/>
          <w:sz w:val="32"/>
          <w:szCs w:val="32"/>
          <w:u w:val="dotted"/>
        </w:rPr>
      </w:pPr>
      <w:r>
        <w:rPr>
          <w:rFonts w:hint="eastAsia" w:ascii="宋体" w:hAnsi="宋体" w:cs="宋体"/>
          <w:sz w:val="32"/>
          <w:szCs w:val="32"/>
        </w:rPr>
        <w:t>……</w:t>
      </w:r>
    </w:p>
    <w:p w14:paraId="29B8E50D">
      <w:pPr>
        <w:spacing w:line="360" w:lineRule="auto"/>
        <w:rPr>
          <w:rFonts w:ascii="宋体" w:hAnsi="宋体" w:cs="宋体"/>
          <w:sz w:val="32"/>
          <w:szCs w:val="32"/>
        </w:rPr>
      </w:pPr>
      <w:r>
        <w:rPr>
          <w:rFonts w:hint="eastAsia" w:ascii="宋体" w:hAnsi="宋体" w:cs="宋体"/>
          <w:sz w:val="32"/>
          <w:szCs w:val="32"/>
        </w:rPr>
        <w:t>五、与投诉事项相关的投诉请求</w:t>
      </w:r>
    </w:p>
    <w:p w14:paraId="3537EECD">
      <w:pPr>
        <w:spacing w:line="360" w:lineRule="auto"/>
        <w:rPr>
          <w:rFonts w:ascii="宋体" w:hAnsi="宋体" w:cs="宋体"/>
          <w:sz w:val="32"/>
          <w:szCs w:val="32"/>
        </w:rPr>
      </w:pPr>
      <w:r>
        <w:rPr>
          <w:rFonts w:hint="eastAsia" w:ascii="宋体" w:hAnsi="宋体" w:cs="宋体"/>
          <w:sz w:val="32"/>
          <w:szCs w:val="32"/>
        </w:rPr>
        <w:t>请求：</w:t>
      </w:r>
      <w:r>
        <w:rPr>
          <w:rFonts w:hint="eastAsia" w:ascii="宋体" w:hAnsi="宋体" w:cs="宋体"/>
          <w:sz w:val="32"/>
          <w:szCs w:val="32"/>
          <w:u w:val="dotted"/>
        </w:rPr>
        <w:t xml:space="preserve">                                              </w:t>
      </w:r>
      <w:r>
        <w:rPr>
          <w:rFonts w:hint="eastAsia" w:ascii="宋体" w:hAnsi="宋体" w:cs="宋体"/>
          <w:sz w:val="32"/>
          <w:szCs w:val="32"/>
        </w:rPr>
        <w:t xml:space="preserve"> </w:t>
      </w:r>
    </w:p>
    <w:p w14:paraId="3DD10876">
      <w:pPr>
        <w:spacing w:line="360" w:lineRule="auto"/>
        <w:rPr>
          <w:rFonts w:ascii="宋体" w:hAnsi="宋体" w:cs="宋体"/>
          <w:sz w:val="32"/>
          <w:szCs w:val="32"/>
          <w:u w:val="single"/>
        </w:rPr>
      </w:pPr>
      <w:r>
        <w:rPr>
          <w:rFonts w:hint="eastAsia" w:ascii="宋体" w:hAnsi="宋体" w:cs="宋体"/>
          <w:sz w:val="32"/>
          <w:szCs w:val="32"/>
        </w:rPr>
        <w:t xml:space="preserve">                                                                                                    </w:t>
      </w:r>
    </w:p>
    <w:p w14:paraId="173E767A">
      <w:pPr>
        <w:spacing w:line="360" w:lineRule="auto"/>
        <w:rPr>
          <w:rFonts w:ascii="宋体" w:hAnsi="宋体" w:cs="宋体"/>
          <w:sz w:val="32"/>
          <w:szCs w:val="32"/>
        </w:rPr>
      </w:pPr>
      <w:r>
        <w:rPr>
          <w:rFonts w:hint="eastAsia" w:ascii="宋体" w:hAnsi="宋体" w:cs="宋体"/>
          <w:sz w:val="32"/>
          <w:szCs w:val="32"/>
        </w:rPr>
        <w:t xml:space="preserve">签字（签章）：                   公章：                      </w:t>
      </w:r>
    </w:p>
    <w:p w14:paraId="5253F778">
      <w:pPr>
        <w:spacing w:line="360" w:lineRule="auto"/>
        <w:rPr>
          <w:rFonts w:ascii="宋体" w:hAnsi="宋体" w:cs="宋体"/>
          <w:sz w:val="32"/>
          <w:szCs w:val="32"/>
        </w:rPr>
      </w:pPr>
      <w:r>
        <w:rPr>
          <w:rFonts w:hint="eastAsia" w:ascii="宋体" w:hAnsi="宋体" w:cs="宋体"/>
          <w:sz w:val="32"/>
          <w:szCs w:val="32"/>
        </w:rPr>
        <w:t xml:space="preserve">日期：    </w:t>
      </w:r>
    </w:p>
    <w:p w14:paraId="7A498591">
      <w:pPr>
        <w:spacing w:line="360" w:lineRule="auto"/>
        <w:rPr>
          <w:rFonts w:ascii="宋体" w:hAnsi="宋体" w:cs="宋体"/>
          <w:b/>
          <w:sz w:val="32"/>
          <w:szCs w:val="32"/>
        </w:rPr>
      </w:pPr>
    </w:p>
    <w:p w14:paraId="7195F6BF">
      <w:pPr>
        <w:spacing w:line="360" w:lineRule="auto"/>
        <w:rPr>
          <w:rFonts w:ascii="宋体" w:hAnsi="宋体" w:cs="宋体"/>
          <w:b/>
          <w:sz w:val="32"/>
          <w:szCs w:val="32"/>
        </w:rPr>
      </w:pPr>
      <w:r>
        <w:rPr>
          <w:rFonts w:hint="eastAsia" w:ascii="宋体" w:hAnsi="宋体" w:cs="宋体"/>
          <w:b/>
          <w:sz w:val="32"/>
          <w:szCs w:val="32"/>
        </w:rPr>
        <w:t>投诉书制作说明：</w:t>
      </w:r>
    </w:p>
    <w:p w14:paraId="2127ECF5">
      <w:pPr>
        <w:widowControl/>
        <w:spacing w:line="360" w:lineRule="auto"/>
        <w:ind w:firstLine="640" w:firstLineChars="200"/>
        <w:rPr>
          <w:rFonts w:ascii="宋体" w:hAnsi="宋体" w:cs="宋体"/>
          <w:kern w:val="0"/>
          <w:sz w:val="32"/>
          <w:szCs w:val="32"/>
        </w:rPr>
      </w:pPr>
      <w:r>
        <w:rPr>
          <w:rFonts w:hint="eastAsia" w:ascii="宋体" w:hAnsi="宋体" w:cs="宋体"/>
          <w:sz w:val="32"/>
          <w:szCs w:val="32"/>
        </w:rPr>
        <w:t>1.投诉人提起投诉时，应当提交投诉书和必要的证明材料，并按照被投诉人和与投诉事项有关的供应商数量提供投诉书副本。</w:t>
      </w:r>
    </w:p>
    <w:p w14:paraId="13BA3851">
      <w:pPr>
        <w:widowControl/>
        <w:spacing w:line="360" w:lineRule="auto"/>
        <w:ind w:firstLine="640" w:firstLineChars="200"/>
        <w:jc w:val="left"/>
        <w:rPr>
          <w:rFonts w:ascii="宋体" w:hAnsi="宋体" w:cs="宋体"/>
          <w:kern w:val="0"/>
          <w:sz w:val="32"/>
          <w:szCs w:val="32"/>
        </w:rPr>
      </w:pPr>
      <w:r>
        <w:rPr>
          <w:rFonts w:hint="eastAsia" w:ascii="宋体" w:hAnsi="宋体" w:cs="宋体"/>
          <w:sz w:val="32"/>
          <w:szCs w:val="32"/>
        </w:rPr>
        <w:t>2.投诉人若委托代理人进行投诉的，投诉书应按照要求列明“授权代表”的有关内容，并在附件中提交由</w:t>
      </w:r>
      <w:r>
        <w:rPr>
          <w:rFonts w:hint="eastAsia" w:ascii="宋体" w:hAnsi="宋体" w:cs="宋体"/>
          <w:kern w:val="0"/>
          <w:sz w:val="32"/>
          <w:szCs w:val="32"/>
        </w:rPr>
        <w:t>投诉人签署的授权委托书。授权委托书应当载明代理人的姓名或者名称、代理事项、具体权限、期限和相关事项。</w:t>
      </w:r>
    </w:p>
    <w:p w14:paraId="6A0F2F93">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3.投诉人若对项目的某一分包进行投诉，投诉书应列明具体分包号。</w:t>
      </w:r>
    </w:p>
    <w:p w14:paraId="63A1046D">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4.投诉书应简要列明质疑事项，质疑函、质疑答复等作为附件材料提供。</w:t>
      </w:r>
    </w:p>
    <w:p w14:paraId="3333A443">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5.投诉书的投诉事项应具体、明确，并有必要的事实依据和法律依据。</w:t>
      </w:r>
    </w:p>
    <w:p w14:paraId="5F316FEF">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6.投诉书的投诉请求应与投诉事项相关。</w:t>
      </w:r>
    </w:p>
    <w:p w14:paraId="06A01C9D">
      <w:pPr>
        <w:widowControl/>
        <w:spacing w:line="360" w:lineRule="auto"/>
        <w:ind w:firstLine="640" w:firstLineChars="200"/>
        <w:jc w:val="left"/>
        <w:rPr>
          <w:rFonts w:ascii="宋体" w:hAnsi="宋体" w:cs="宋体"/>
        </w:rPr>
      </w:pPr>
      <w:r>
        <w:rPr>
          <w:rFonts w:hint="eastAsia" w:ascii="宋体" w:hAnsi="宋体" w:cs="宋体"/>
          <w:sz w:val="32"/>
          <w:szCs w:val="32"/>
        </w:rPr>
        <w:t>7.投诉人为自然人的，投诉书应当由本人签字；投诉人为法人或者其他组织的，投诉书应当由法定代表人、主要负责人，或者其授权代表签字或者盖章，并加盖公章。</w:t>
      </w:r>
    </w:p>
    <w:p w14:paraId="47765F05"/>
    <w:sectPr>
      <w:footerReference r:id="rId19" w:type="first"/>
      <w:footerReference r:id="rId17" w:type="default"/>
      <w:footerReference r:id="rId18" w:type="even"/>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BB814">
    <w:pPr>
      <w:pStyle w:val="16"/>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FD0AB">
    <w:pPr>
      <w:pStyle w:val="16"/>
      <w:framePr w:wrap="around" w:vAnchor="text" w:hAnchor="margin" w:xAlign="center" w:y="1"/>
      <w:ind w:left="560" w:hanging="560"/>
      <w:rPr>
        <w:rStyle w:val="27"/>
      </w:rPr>
    </w:pPr>
    <w:r>
      <w:fldChar w:fldCharType="begin"/>
    </w:r>
    <w:r>
      <w:rPr>
        <w:rStyle w:val="27"/>
      </w:rPr>
      <w:instrText xml:space="preserve">PAGE  </w:instrText>
    </w:r>
    <w:r>
      <w:fldChar w:fldCharType="end"/>
    </w:r>
  </w:p>
  <w:p w14:paraId="0F651BF2">
    <w:pPr>
      <w:pStyle w:val="16"/>
      <w:ind w:left="560" w:hanging="5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D5317">
    <w:pPr>
      <w:pStyle w:val="16"/>
      <w:framePr w:wrap="around" w:vAnchor="text" w:hAnchor="margin" w:xAlign="right" w:y="1"/>
      <w:ind w:left="560" w:hanging="560"/>
      <w:rPr>
        <w:rStyle w:val="27"/>
      </w:rPr>
    </w:pPr>
    <w:r>
      <w:fldChar w:fldCharType="begin"/>
    </w:r>
    <w:r>
      <w:rPr>
        <w:rStyle w:val="27"/>
      </w:rPr>
      <w:instrText xml:space="preserve">PAGE  </w:instrText>
    </w:r>
    <w:r>
      <w:fldChar w:fldCharType="separate"/>
    </w:r>
    <w:r>
      <w:rPr>
        <w:rStyle w:val="27"/>
      </w:rPr>
      <w:t>122</w:t>
    </w:r>
    <w:r>
      <w:fldChar w:fldCharType="end"/>
    </w:r>
  </w:p>
  <w:p w14:paraId="6C498F4A">
    <w:pPr>
      <w:pStyle w:val="16"/>
      <w:ind w:left="560" w:right="360" w:hanging="560"/>
      <w:jc w:val="both"/>
    </w:pPr>
    <w:r>
      <w:rPr>
        <w:rFonts w:hint="eastAsia"/>
      </w:rPr>
      <w:t>121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8A47D">
    <w:pPr>
      <w:pStyle w:val="16"/>
      <w:ind w:left="560" w:hanging="560"/>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02E66E">
                          <w:pPr>
                            <w:pStyle w:val="16"/>
                          </w:pPr>
                          <w:r>
                            <w:fldChar w:fldCharType="begin"/>
                          </w:r>
                          <w:r>
                            <w:instrText xml:space="preserve"> PAGE  \* MERGEFORMAT </w:instrText>
                          </w:r>
                          <w:r>
                            <w:fldChar w:fldCharType="separate"/>
                          </w:r>
                          <w:r>
                            <w:t>335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3B02E66E">
                    <w:pPr>
                      <w:pStyle w:val="16"/>
                    </w:pPr>
                    <w:r>
                      <w:fldChar w:fldCharType="begin"/>
                    </w:r>
                    <w:r>
                      <w:instrText xml:space="preserve"> PAGE  \* MERGEFORMAT </w:instrText>
                    </w:r>
                    <w:r>
                      <w:fldChar w:fldCharType="separate"/>
                    </w:r>
                    <w:r>
                      <w:t>335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F0635">
    <w:pPr>
      <w:pStyle w:val="16"/>
      <w:framePr w:wrap="around" w:vAnchor="text" w:hAnchor="margin" w:xAlign="center" w:y="1"/>
      <w:ind w:left="560" w:hanging="560"/>
      <w:rPr>
        <w:rStyle w:val="27"/>
      </w:rPr>
    </w:pPr>
    <w:r>
      <w:fldChar w:fldCharType="begin"/>
    </w:r>
    <w:r>
      <w:rPr>
        <w:rStyle w:val="27"/>
      </w:rPr>
      <w:instrText xml:space="preserve">PAGE  </w:instrText>
    </w:r>
    <w:r>
      <w:fldChar w:fldCharType="end"/>
    </w:r>
  </w:p>
  <w:p w14:paraId="749DE77B">
    <w:pPr>
      <w:pStyle w:val="16"/>
      <w:ind w:left="560" w:hanging="5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60978">
    <w:pPr>
      <w:pStyle w:val="16"/>
      <w:framePr w:wrap="around" w:vAnchor="text" w:hAnchor="margin" w:xAlign="right" w:y="1"/>
      <w:ind w:left="560" w:hanging="560"/>
      <w:rPr>
        <w:rStyle w:val="27"/>
      </w:rPr>
    </w:pPr>
    <w:r>
      <w:fldChar w:fldCharType="begin"/>
    </w:r>
    <w:r>
      <w:rPr>
        <w:rStyle w:val="27"/>
      </w:rPr>
      <w:instrText xml:space="preserve">PAGE  </w:instrText>
    </w:r>
    <w:r>
      <w:fldChar w:fldCharType="separate"/>
    </w:r>
    <w:r>
      <w:rPr>
        <w:rStyle w:val="27"/>
      </w:rPr>
      <w:t>122</w:t>
    </w:r>
    <w:r>
      <w:fldChar w:fldCharType="end"/>
    </w:r>
  </w:p>
  <w:p w14:paraId="4A46157D">
    <w:pPr>
      <w:pStyle w:val="16"/>
      <w:ind w:left="560" w:right="360" w:hanging="560"/>
      <w:jc w:val="both"/>
    </w:pPr>
    <w:r>
      <w:rPr>
        <w:rFonts w:hint="eastAsia"/>
      </w:rPr>
      <w:t>121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71BD6">
    <w:pPr>
      <w:pStyle w:val="16"/>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EDA7FF">
                          <w:pPr>
                            <w:pStyle w:val="16"/>
                          </w:pPr>
                          <w:r>
                            <w:fldChar w:fldCharType="begin"/>
                          </w:r>
                          <w:r>
                            <w:instrText xml:space="preserve"> PAGE  \* MERGEFORMAT </w:instrText>
                          </w:r>
                          <w:r>
                            <w:fldChar w:fldCharType="separate"/>
                          </w:r>
                          <w:r>
                            <w:t>345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61EDA7FF">
                    <w:pPr>
                      <w:pStyle w:val="16"/>
                    </w:pPr>
                    <w:r>
                      <w:fldChar w:fldCharType="begin"/>
                    </w:r>
                    <w:r>
                      <w:instrText xml:space="preserve"> PAGE  \* MERGEFORMAT </w:instrText>
                    </w:r>
                    <w:r>
                      <w:fldChar w:fldCharType="separate"/>
                    </w:r>
                    <w:r>
                      <w:t>345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CF43E">
    <w:pPr>
      <w:pStyle w:val="16"/>
      <w:framePr w:wrap="around" w:vAnchor="text" w:hAnchor="margin" w:xAlign="center" w:y="1"/>
      <w:rPr>
        <w:rStyle w:val="27"/>
      </w:rPr>
    </w:pPr>
    <w:r>
      <w:fldChar w:fldCharType="begin"/>
    </w:r>
    <w:r>
      <w:rPr>
        <w:rStyle w:val="27"/>
      </w:rPr>
      <w:instrText xml:space="preserve">PAGE  </w:instrText>
    </w:r>
    <w:r>
      <w:fldChar w:fldCharType="end"/>
    </w:r>
  </w:p>
  <w:p w14:paraId="3202CA76">
    <w:pPr>
      <w:pStyle w:val="16"/>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EDBF5">
    <w:pPr>
      <w:pStyle w:val="16"/>
      <w:framePr w:wrap="around" w:vAnchor="text" w:hAnchor="margin" w:xAlign="right" w:y="1"/>
      <w:rPr>
        <w:rStyle w:val="27"/>
      </w:rPr>
    </w:pPr>
    <w:r>
      <w:fldChar w:fldCharType="begin"/>
    </w:r>
    <w:r>
      <w:rPr>
        <w:rStyle w:val="27"/>
      </w:rPr>
      <w:instrText xml:space="preserve">PAGE  </w:instrText>
    </w:r>
    <w:r>
      <w:fldChar w:fldCharType="separate"/>
    </w:r>
    <w:r>
      <w:rPr>
        <w:rStyle w:val="27"/>
      </w:rPr>
      <w:t>122</w:t>
    </w:r>
    <w:r>
      <w:fldChar w:fldCharType="end"/>
    </w:r>
  </w:p>
  <w:p w14:paraId="6C79107B">
    <w:pPr>
      <w:pStyle w:val="16"/>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60497">
    <w:pPr>
      <w:pStyle w:val="16"/>
      <w:framePr w:wrap="around" w:vAnchor="text" w:hAnchor="margin" w:xAlign="center" w:y="1"/>
      <w:rPr>
        <w:rStyle w:val="27"/>
        <w:sz w:val="21"/>
      </w:rPr>
    </w:pPr>
    <w:r>
      <w:rPr>
        <w:sz w:val="21"/>
      </w:rPr>
      <w:fldChar w:fldCharType="begin"/>
    </w:r>
    <w:r>
      <w:rPr>
        <w:rStyle w:val="27"/>
        <w:sz w:val="21"/>
      </w:rPr>
      <w:instrText xml:space="preserve">PAGE  </w:instrText>
    </w:r>
    <w:r>
      <w:rPr>
        <w:sz w:val="21"/>
      </w:rPr>
      <w:fldChar w:fldCharType="separate"/>
    </w:r>
    <w:r>
      <w:rPr>
        <w:rStyle w:val="27"/>
        <w:sz w:val="21"/>
      </w:rPr>
      <w:t>0</w:t>
    </w:r>
    <w:r>
      <w:rPr>
        <w:sz w:val="21"/>
      </w:rPr>
      <w:fldChar w:fldCharType="end"/>
    </w:r>
  </w:p>
  <w:p w14:paraId="726ACF99">
    <w:pPr>
      <w:pStyle w:val="16"/>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413C7">
    <w:pPr>
      <w:pStyle w:val="16"/>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31A095">
                          <w:pPr>
                            <w:pStyle w:val="1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631A095">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8870342"/>
    </w:sdtPr>
    <w:sdtContent>
      <w:p w14:paraId="14AC4EE7">
        <w:pPr>
          <w:pStyle w:val="16"/>
          <w:jc w:val="center"/>
        </w:pPr>
        <w:r>
          <w:fldChar w:fldCharType="begin"/>
        </w:r>
        <w:r>
          <w:instrText xml:space="preserve">PAGE   \* MERGEFORMAT</w:instrText>
        </w:r>
        <w:r>
          <w:fldChar w:fldCharType="separate"/>
        </w:r>
        <w:r>
          <w:rPr>
            <w:lang w:val="zh-CN"/>
          </w:rPr>
          <w:t>307</w:t>
        </w:r>
        <w:r>
          <w:fldChar w:fldCharType="end"/>
        </w:r>
      </w:p>
    </w:sdtContent>
  </w:sdt>
  <w:p w14:paraId="315B9FD4">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3C538">
    <w:pPr>
      <w:pStyle w:val="16"/>
      <w:ind w:left="560" w:hanging="56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62D275">
                          <w:pPr>
                            <w:pStyle w:val="16"/>
                          </w:pPr>
                          <w:r>
                            <w:fldChar w:fldCharType="begin"/>
                          </w:r>
                          <w:r>
                            <w:instrText xml:space="preserve"> PAGE  \* MERGEFORMAT </w:instrText>
                          </w:r>
                          <w:r>
                            <w:fldChar w:fldCharType="separate"/>
                          </w:r>
                          <w:r>
                            <w:t>312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1A62D275">
                    <w:pPr>
                      <w:pStyle w:val="16"/>
                    </w:pPr>
                    <w:r>
                      <w:fldChar w:fldCharType="begin"/>
                    </w:r>
                    <w:r>
                      <w:instrText xml:space="preserve"> PAGE  \* MERGEFORMAT </w:instrText>
                    </w:r>
                    <w:r>
                      <w:fldChar w:fldCharType="separate"/>
                    </w:r>
                    <w:r>
                      <w:t>312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DDA74">
    <w:pPr>
      <w:pStyle w:val="16"/>
      <w:ind w:left="560" w:hanging="56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E110B9">
                          <w:pPr>
                            <w:pStyle w:val="16"/>
                          </w:pPr>
                          <w:r>
                            <w:fldChar w:fldCharType="begin"/>
                          </w:r>
                          <w:r>
                            <w:instrText xml:space="preserve"> PAGE  \* MERGEFORMAT </w:instrText>
                          </w:r>
                          <w:r>
                            <w:fldChar w:fldCharType="separate"/>
                          </w:r>
                          <w:r>
                            <w:t>324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4DE110B9">
                    <w:pPr>
                      <w:pStyle w:val="16"/>
                    </w:pPr>
                    <w:r>
                      <w:fldChar w:fldCharType="begin"/>
                    </w:r>
                    <w:r>
                      <w:instrText xml:space="preserve"> PAGE  \* MERGEFORMAT </w:instrText>
                    </w:r>
                    <w:r>
                      <w:fldChar w:fldCharType="separate"/>
                    </w:r>
                    <w:r>
                      <w:t>324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CA2E3">
    <w:pPr>
      <w:pStyle w:val="16"/>
      <w:framePr w:wrap="around" w:vAnchor="text" w:hAnchor="margin" w:xAlign="center" w:y="1"/>
      <w:ind w:left="560" w:hanging="560"/>
      <w:rPr>
        <w:rStyle w:val="27"/>
      </w:rPr>
    </w:pPr>
    <w:r>
      <w:fldChar w:fldCharType="begin"/>
    </w:r>
    <w:r>
      <w:rPr>
        <w:rStyle w:val="27"/>
      </w:rPr>
      <w:instrText xml:space="preserve">PAGE  </w:instrText>
    </w:r>
    <w:r>
      <w:fldChar w:fldCharType="end"/>
    </w:r>
  </w:p>
  <w:p w14:paraId="3971B3F5">
    <w:pPr>
      <w:pStyle w:val="16"/>
      <w:ind w:left="560" w:hanging="5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25D20">
    <w:pPr>
      <w:pStyle w:val="16"/>
      <w:framePr w:wrap="around" w:vAnchor="text" w:hAnchor="margin" w:xAlign="right" w:y="1"/>
      <w:ind w:left="560" w:hanging="560"/>
      <w:rPr>
        <w:rStyle w:val="27"/>
      </w:rPr>
    </w:pPr>
    <w:r>
      <w:fldChar w:fldCharType="begin"/>
    </w:r>
    <w:r>
      <w:rPr>
        <w:rStyle w:val="27"/>
      </w:rPr>
      <w:instrText xml:space="preserve">PAGE  </w:instrText>
    </w:r>
    <w:r>
      <w:fldChar w:fldCharType="separate"/>
    </w:r>
    <w:r>
      <w:rPr>
        <w:rStyle w:val="27"/>
      </w:rPr>
      <w:t>122</w:t>
    </w:r>
    <w:r>
      <w:fldChar w:fldCharType="end"/>
    </w:r>
  </w:p>
  <w:p w14:paraId="3ADB7462">
    <w:pPr>
      <w:pStyle w:val="16"/>
      <w:ind w:left="560" w:right="360" w:hanging="560"/>
      <w:jc w:val="both"/>
    </w:pP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142C9">
    <w:pPr>
      <w:pStyle w:val="16"/>
      <w:ind w:left="560" w:hanging="56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8D993A">
                          <w:pPr>
                            <w:pStyle w:val="16"/>
                          </w:pPr>
                          <w:r>
                            <w:fldChar w:fldCharType="begin"/>
                          </w:r>
                          <w:r>
                            <w:instrText xml:space="preserve"> PAGE  \* MERGEFORMAT </w:instrText>
                          </w:r>
                          <w:r>
                            <w:fldChar w:fldCharType="separate"/>
                          </w:r>
                          <w:r>
                            <w:t>326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3F8D993A">
                    <w:pPr>
                      <w:pStyle w:val="16"/>
                    </w:pPr>
                    <w:r>
                      <w:fldChar w:fldCharType="begin"/>
                    </w:r>
                    <w:r>
                      <w:instrText xml:space="preserve"> PAGE  \* MERGEFORMAT </w:instrText>
                    </w:r>
                    <w:r>
                      <w:fldChar w:fldCharType="separate"/>
                    </w:r>
                    <w:r>
                      <w:t>326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DC56C"/>
    <w:multiLevelType w:val="singleLevel"/>
    <w:tmpl w:val="BDFDC56C"/>
    <w:lvl w:ilvl="0" w:tentative="0">
      <w:start w:val="1"/>
      <w:numFmt w:val="decimal"/>
      <w:lvlText w:val="%1."/>
      <w:lvlJc w:val="left"/>
      <w:pPr>
        <w:tabs>
          <w:tab w:val="left" w:pos="312"/>
        </w:tabs>
      </w:pPr>
    </w:lvl>
  </w:abstractNum>
  <w:abstractNum w:abstractNumId="1">
    <w:nsid w:val="C5AE78F3"/>
    <w:multiLevelType w:val="singleLevel"/>
    <w:tmpl w:val="C5AE78F3"/>
    <w:lvl w:ilvl="0" w:tentative="0">
      <w:start w:val="7"/>
      <w:numFmt w:val="chineseCounting"/>
      <w:suff w:val="nothing"/>
      <w:lvlText w:val="%1、"/>
      <w:lvlJc w:val="left"/>
      <w:rPr>
        <w:rFonts w:hint="eastAsia"/>
      </w:rPr>
    </w:lvl>
  </w:abstractNum>
  <w:abstractNum w:abstractNumId="2">
    <w:nsid w:val="D6CD6F83"/>
    <w:multiLevelType w:val="singleLevel"/>
    <w:tmpl w:val="D6CD6F83"/>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9F9218D"/>
    <w:multiLevelType w:val="multilevel"/>
    <w:tmpl w:val="49F9218D"/>
    <w:lvl w:ilvl="0" w:tentative="0">
      <w:start w:val="1"/>
      <w:numFmt w:val="decimal"/>
      <w:pStyle w:val="35"/>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5379745"/>
    <w:multiLevelType w:val="singleLevel"/>
    <w:tmpl w:val="55379745"/>
    <w:lvl w:ilvl="0" w:tentative="0">
      <w:start w:val="6"/>
      <w:numFmt w:val="chineseCounting"/>
      <w:suff w:val="nothing"/>
      <w:lvlText w:val="%1、"/>
      <w:lvlJc w:val="left"/>
      <w:rPr>
        <w:rFonts w:hint="eastAsia"/>
      </w:rPr>
    </w:lvl>
  </w:abstractNum>
  <w:abstractNum w:abstractNumId="8">
    <w:nsid w:val="61237E62"/>
    <w:multiLevelType w:val="singleLevel"/>
    <w:tmpl w:val="61237E62"/>
    <w:lvl w:ilvl="0" w:tentative="0">
      <w:start w:val="1"/>
      <w:numFmt w:val="decimal"/>
      <w:lvlText w:val="%1."/>
      <w:lvlJc w:val="left"/>
      <w:pPr>
        <w:tabs>
          <w:tab w:val="left" w:pos="312"/>
        </w:tabs>
      </w:pPr>
    </w:lvl>
  </w:abstractNum>
  <w:abstractNum w:abstractNumId="9">
    <w:nsid w:val="704FD9C0"/>
    <w:multiLevelType w:val="singleLevel"/>
    <w:tmpl w:val="704FD9C0"/>
    <w:lvl w:ilvl="0" w:tentative="0">
      <w:start w:val="2"/>
      <w:numFmt w:val="decimal"/>
      <w:lvlText w:val="%1."/>
      <w:lvlJc w:val="left"/>
      <w:pPr>
        <w:tabs>
          <w:tab w:val="left" w:pos="312"/>
        </w:tabs>
      </w:pPr>
    </w:lvl>
  </w:abstractNum>
  <w:num w:numId="1">
    <w:abstractNumId w:val="6"/>
  </w:num>
  <w:num w:numId="2">
    <w:abstractNumId w:val="9"/>
  </w:num>
  <w:num w:numId="3">
    <w:abstractNumId w:val="7"/>
  </w:num>
  <w:num w:numId="4">
    <w:abstractNumId w:val="8"/>
  </w:num>
  <w:num w:numId="5">
    <w:abstractNumId w:val="0"/>
  </w:num>
  <w:num w:numId="6">
    <w:abstractNumId w:val="5"/>
  </w:num>
  <w:num w:numId="7">
    <w:abstractNumId w:val="2"/>
  </w:num>
  <w:num w:numId="8">
    <w:abstractNumId w:val="1"/>
  </w:num>
  <w:num w:numId="9">
    <w:abstractNumId w:val="3"/>
    <w:lvlOverride w:ilvl="0">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kNTZmMmU5ZjQzODdhMTg4MWRkNDgxYmRjMjljZDEifQ=="/>
  </w:docVars>
  <w:rsids>
    <w:rsidRoot w:val="096317E4"/>
    <w:rsid w:val="00075193"/>
    <w:rsid w:val="001A0283"/>
    <w:rsid w:val="0023510A"/>
    <w:rsid w:val="00255699"/>
    <w:rsid w:val="002C3DF0"/>
    <w:rsid w:val="003F3DBA"/>
    <w:rsid w:val="004D58FD"/>
    <w:rsid w:val="004E5E90"/>
    <w:rsid w:val="00501EE6"/>
    <w:rsid w:val="005102A3"/>
    <w:rsid w:val="007917DF"/>
    <w:rsid w:val="008041EF"/>
    <w:rsid w:val="008347D6"/>
    <w:rsid w:val="00874558"/>
    <w:rsid w:val="008E1419"/>
    <w:rsid w:val="0091453E"/>
    <w:rsid w:val="009235DF"/>
    <w:rsid w:val="00927160"/>
    <w:rsid w:val="009A2FCF"/>
    <w:rsid w:val="009C2C57"/>
    <w:rsid w:val="00A04241"/>
    <w:rsid w:val="00A41511"/>
    <w:rsid w:val="00A734B0"/>
    <w:rsid w:val="00BB26F4"/>
    <w:rsid w:val="00BB2DF9"/>
    <w:rsid w:val="00BC63ED"/>
    <w:rsid w:val="00BD06A9"/>
    <w:rsid w:val="00BD6A27"/>
    <w:rsid w:val="00BE1572"/>
    <w:rsid w:val="00BE30C1"/>
    <w:rsid w:val="00CA5694"/>
    <w:rsid w:val="00D92BF7"/>
    <w:rsid w:val="00E249DB"/>
    <w:rsid w:val="00E656C9"/>
    <w:rsid w:val="00FE6ADC"/>
    <w:rsid w:val="025C340F"/>
    <w:rsid w:val="02B40E52"/>
    <w:rsid w:val="02B656F4"/>
    <w:rsid w:val="02E352E7"/>
    <w:rsid w:val="02F2620D"/>
    <w:rsid w:val="02F92D08"/>
    <w:rsid w:val="03D63E32"/>
    <w:rsid w:val="03FB485E"/>
    <w:rsid w:val="04090D29"/>
    <w:rsid w:val="04387860"/>
    <w:rsid w:val="04447FB3"/>
    <w:rsid w:val="04A96068"/>
    <w:rsid w:val="04B769D7"/>
    <w:rsid w:val="050D17B5"/>
    <w:rsid w:val="052E2B3A"/>
    <w:rsid w:val="059056CC"/>
    <w:rsid w:val="065E4C1C"/>
    <w:rsid w:val="06C84AC8"/>
    <w:rsid w:val="07515272"/>
    <w:rsid w:val="078D1C71"/>
    <w:rsid w:val="07905B50"/>
    <w:rsid w:val="07F04484"/>
    <w:rsid w:val="085F360E"/>
    <w:rsid w:val="08B1198F"/>
    <w:rsid w:val="08B4645C"/>
    <w:rsid w:val="08DD43F8"/>
    <w:rsid w:val="092764A8"/>
    <w:rsid w:val="096317E4"/>
    <w:rsid w:val="099178DE"/>
    <w:rsid w:val="099F7A3A"/>
    <w:rsid w:val="09B4084C"/>
    <w:rsid w:val="0A8B5AB4"/>
    <w:rsid w:val="0A9A31BC"/>
    <w:rsid w:val="0AAA37AF"/>
    <w:rsid w:val="0AC27AB4"/>
    <w:rsid w:val="0AD876A7"/>
    <w:rsid w:val="0B1F443B"/>
    <w:rsid w:val="0CE95111"/>
    <w:rsid w:val="0D2B0762"/>
    <w:rsid w:val="0D551328"/>
    <w:rsid w:val="0D7505C0"/>
    <w:rsid w:val="0DB56E7F"/>
    <w:rsid w:val="0DF2408F"/>
    <w:rsid w:val="0E084E96"/>
    <w:rsid w:val="0E1368C9"/>
    <w:rsid w:val="0E15476E"/>
    <w:rsid w:val="0E303356"/>
    <w:rsid w:val="0EF863A6"/>
    <w:rsid w:val="0F51041C"/>
    <w:rsid w:val="0F78784A"/>
    <w:rsid w:val="0F8808D4"/>
    <w:rsid w:val="0F9718DF"/>
    <w:rsid w:val="0FC1695C"/>
    <w:rsid w:val="0FF02D9D"/>
    <w:rsid w:val="0FF733ED"/>
    <w:rsid w:val="0FFE6D56"/>
    <w:rsid w:val="112A0531"/>
    <w:rsid w:val="1142587A"/>
    <w:rsid w:val="121759FD"/>
    <w:rsid w:val="12E92B58"/>
    <w:rsid w:val="12FE1E05"/>
    <w:rsid w:val="13024D3D"/>
    <w:rsid w:val="13797498"/>
    <w:rsid w:val="13F66B18"/>
    <w:rsid w:val="141B23B3"/>
    <w:rsid w:val="141C6386"/>
    <w:rsid w:val="142B0848"/>
    <w:rsid w:val="14465682"/>
    <w:rsid w:val="149D60A8"/>
    <w:rsid w:val="14FC21E4"/>
    <w:rsid w:val="151237B6"/>
    <w:rsid w:val="15394E16"/>
    <w:rsid w:val="158324F8"/>
    <w:rsid w:val="15E826E0"/>
    <w:rsid w:val="160E21CF"/>
    <w:rsid w:val="163523CD"/>
    <w:rsid w:val="16470370"/>
    <w:rsid w:val="16623A3D"/>
    <w:rsid w:val="16873A35"/>
    <w:rsid w:val="16892307"/>
    <w:rsid w:val="16F763AA"/>
    <w:rsid w:val="1706796F"/>
    <w:rsid w:val="176E0800"/>
    <w:rsid w:val="17712A16"/>
    <w:rsid w:val="177644D0"/>
    <w:rsid w:val="17901F96"/>
    <w:rsid w:val="18B45B17"/>
    <w:rsid w:val="19053372"/>
    <w:rsid w:val="19221A9A"/>
    <w:rsid w:val="193006AE"/>
    <w:rsid w:val="193E7535"/>
    <w:rsid w:val="19757876"/>
    <w:rsid w:val="19A32DB5"/>
    <w:rsid w:val="1A420699"/>
    <w:rsid w:val="1A462224"/>
    <w:rsid w:val="1AD45E89"/>
    <w:rsid w:val="1B207D76"/>
    <w:rsid w:val="1B6C2D6A"/>
    <w:rsid w:val="1BE13115"/>
    <w:rsid w:val="1CA35EFD"/>
    <w:rsid w:val="1CC5747C"/>
    <w:rsid w:val="1D7A3E1C"/>
    <w:rsid w:val="1E392547"/>
    <w:rsid w:val="1EBD29E4"/>
    <w:rsid w:val="1EF04B68"/>
    <w:rsid w:val="1F6E4FDD"/>
    <w:rsid w:val="1FD97FC7"/>
    <w:rsid w:val="1FED10A7"/>
    <w:rsid w:val="1FED72F9"/>
    <w:rsid w:val="204213F3"/>
    <w:rsid w:val="20560998"/>
    <w:rsid w:val="21A513A0"/>
    <w:rsid w:val="21C85928"/>
    <w:rsid w:val="22114593"/>
    <w:rsid w:val="223B07F0"/>
    <w:rsid w:val="22F8223D"/>
    <w:rsid w:val="236C6787"/>
    <w:rsid w:val="23983C4E"/>
    <w:rsid w:val="23A411CC"/>
    <w:rsid w:val="23B5021B"/>
    <w:rsid w:val="23BC14BC"/>
    <w:rsid w:val="23CD191B"/>
    <w:rsid w:val="23DA7B95"/>
    <w:rsid w:val="240C4027"/>
    <w:rsid w:val="245D6B87"/>
    <w:rsid w:val="247022A7"/>
    <w:rsid w:val="24AA6EC4"/>
    <w:rsid w:val="250B5AC7"/>
    <w:rsid w:val="253A32B3"/>
    <w:rsid w:val="25405BF6"/>
    <w:rsid w:val="25566A31"/>
    <w:rsid w:val="25740E92"/>
    <w:rsid w:val="258778A8"/>
    <w:rsid w:val="26351451"/>
    <w:rsid w:val="263D4931"/>
    <w:rsid w:val="26871A1E"/>
    <w:rsid w:val="26C07516"/>
    <w:rsid w:val="26D0702D"/>
    <w:rsid w:val="271866BD"/>
    <w:rsid w:val="274912B9"/>
    <w:rsid w:val="277D576B"/>
    <w:rsid w:val="27E16518"/>
    <w:rsid w:val="2864136E"/>
    <w:rsid w:val="28866BF1"/>
    <w:rsid w:val="28C84A03"/>
    <w:rsid w:val="290D4568"/>
    <w:rsid w:val="291D4F7D"/>
    <w:rsid w:val="292C7328"/>
    <w:rsid w:val="294343DE"/>
    <w:rsid w:val="2A24397F"/>
    <w:rsid w:val="2A6E1F85"/>
    <w:rsid w:val="2A7A79DB"/>
    <w:rsid w:val="2B2A4199"/>
    <w:rsid w:val="2B7B6852"/>
    <w:rsid w:val="2BD11A41"/>
    <w:rsid w:val="2C295F0F"/>
    <w:rsid w:val="2C2E09A7"/>
    <w:rsid w:val="2C8965FC"/>
    <w:rsid w:val="2CD71115"/>
    <w:rsid w:val="2DCE076A"/>
    <w:rsid w:val="2DE12E59"/>
    <w:rsid w:val="2DFD4BAB"/>
    <w:rsid w:val="2E4758DE"/>
    <w:rsid w:val="2E871EC5"/>
    <w:rsid w:val="2E9E6358"/>
    <w:rsid w:val="2EFE3E42"/>
    <w:rsid w:val="2F35161A"/>
    <w:rsid w:val="2F3842D0"/>
    <w:rsid w:val="2F8530AA"/>
    <w:rsid w:val="2F974FF1"/>
    <w:rsid w:val="301A6D15"/>
    <w:rsid w:val="30274161"/>
    <w:rsid w:val="307D6477"/>
    <w:rsid w:val="309F4982"/>
    <w:rsid w:val="30E61159"/>
    <w:rsid w:val="31436C4B"/>
    <w:rsid w:val="31D10829"/>
    <w:rsid w:val="31E63BA8"/>
    <w:rsid w:val="31F2079F"/>
    <w:rsid w:val="31FD5FB6"/>
    <w:rsid w:val="32136105"/>
    <w:rsid w:val="324A4137"/>
    <w:rsid w:val="3260395B"/>
    <w:rsid w:val="32791C9C"/>
    <w:rsid w:val="332C1A8F"/>
    <w:rsid w:val="336E20A7"/>
    <w:rsid w:val="33AD7952"/>
    <w:rsid w:val="33B741D4"/>
    <w:rsid w:val="33CA0AD0"/>
    <w:rsid w:val="33CB12A8"/>
    <w:rsid w:val="33F56325"/>
    <w:rsid w:val="33FA7BB1"/>
    <w:rsid w:val="34A613AE"/>
    <w:rsid w:val="34D06B0B"/>
    <w:rsid w:val="35053BD8"/>
    <w:rsid w:val="35157FBF"/>
    <w:rsid w:val="35E25A1F"/>
    <w:rsid w:val="35F034EA"/>
    <w:rsid w:val="35FD171E"/>
    <w:rsid w:val="360B2EED"/>
    <w:rsid w:val="36154A5C"/>
    <w:rsid w:val="36372C24"/>
    <w:rsid w:val="36541A28"/>
    <w:rsid w:val="36D30B9F"/>
    <w:rsid w:val="379466BC"/>
    <w:rsid w:val="37A83DDA"/>
    <w:rsid w:val="37E460C8"/>
    <w:rsid w:val="38012AF7"/>
    <w:rsid w:val="38520166"/>
    <w:rsid w:val="38BF587F"/>
    <w:rsid w:val="38C05FB2"/>
    <w:rsid w:val="38F17A02"/>
    <w:rsid w:val="38F848ED"/>
    <w:rsid w:val="39322FCA"/>
    <w:rsid w:val="399E1A0E"/>
    <w:rsid w:val="39FA4695"/>
    <w:rsid w:val="3A1C4C98"/>
    <w:rsid w:val="3A500759"/>
    <w:rsid w:val="3A5169AB"/>
    <w:rsid w:val="3A7601BF"/>
    <w:rsid w:val="3A8F750B"/>
    <w:rsid w:val="3AA103FD"/>
    <w:rsid w:val="3AA1245D"/>
    <w:rsid w:val="3ABF73A5"/>
    <w:rsid w:val="3AE96BE3"/>
    <w:rsid w:val="3B3F2CA7"/>
    <w:rsid w:val="3B42070B"/>
    <w:rsid w:val="3B4E2EEA"/>
    <w:rsid w:val="3B502BC7"/>
    <w:rsid w:val="3B7842CC"/>
    <w:rsid w:val="3B81176B"/>
    <w:rsid w:val="3BBC22EC"/>
    <w:rsid w:val="3BF99A41"/>
    <w:rsid w:val="3C141340"/>
    <w:rsid w:val="3C1527FF"/>
    <w:rsid w:val="3C331B44"/>
    <w:rsid w:val="3C611ECE"/>
    <w:rsid w:val="3CBC0226"/>
    <w:rsid w:val="3D1867A7"/>
    <w:rsid w:val="3D2C2DB7"/>
    <w:rsid w:val="3D8A5D30"/>
    <w:rsid w:val="3DF2553B"/>
    <w:rsid w:val="3DFE03C3"/>
    <w:rsid w:val="3E001CAF"/>
    <w:rsid w:val="3E135D25"/>
    <w:rsid w:val="3E1C2E2C"/>
    <w:rsid w:val="3E41744A"/>
    <w:rsid w:val="3E432B60"/>
    <w:rsid w:val="3E4E3DFC"/>
    <w:rsid w:val="3E6A158B"/>
    <w:rsid w:val="3EB70DA6"/>
    <w:rsid w:val="3ECB124E"/>
    <w:rsid w:val="3ED74FA5"/>
    <w:rsid w:val="3F7321D1"/>
    <w:rsid w:val="40372BB2"/>
    <w:rsid w:val="40907B01"/>
    <w:rsid w:val="40E12FDD"/>
    <w:rsid w:val="410E4516"/>
    <w:rsid w:val="41C04416"/>
    <w:rsid w:val="41D35EF7"/>
    <w:rsid w:val="42424E2B"/>
    <w:rsid w:val="42F36125"/>
    <w:rsid w:val="43394978"/>
    <w:rsid w:val="435314FB"/>
    <w:rsid w:val="43E44484"/>
    <w:rsid w:val="441D72ED"/>
    <w:rsid w:val="44653DB3"/>
    <w:rsid w:val="44962037"/>
    <w:rsid w:val="451505D5"/>
    <w:rsid w:val="454660D7"/>
    <w:rsid w:val="45790B64"/>
    <w:rsid w:val="462907DC"/>
    <w:rsid w:val="469575BC"/>
    <w:rsid w:val="47032343"/>
    <w:rsid w:val="47320ABD"/>
    <w:rsid w:val="474A22AA"/>
    <w:rsid w:val="47ED75E7"/>
    <w:rsid w:val="484A4A39"/>
    <w:rsid w:val="48BD2A61"/>
    <w:rsid w:val="48D26575"/>
    <w:rsid w:val="49262920"/>
    <w:rsid w:val="493C1D4E"/>
    <w:rsid w:val="493F20C4"/>
    <w:rsid w:val="49CA4A8E"/>
    <w:rsid w:val="4A0D3F70"/>
    <w:rsid w:val="4A18382D"/>
    <w:rsid w:val="4A6F69D9"/>
    <w:rsid w:val="4A93367C"/>
    <w:rsid w:val="4ADD3E3E"/>
    <w:rsid w:val="4AFF0728"/>
    <w:rsid w:val="4B901A26"/>
    <w:rsid w:val="4B9C784B"/>
    <w:rsid w:val="4BAF1BF0"/>
    <w:rsid w:val="4BD91CCE"/>
    <w:rsid w:val="4CA41E94"/>
    <w:rsid w:val="4CCD0192"/>
    <w:rsid w:val="4CF1409E"/>
    <w:rsid w:val="4D1B3555"/>
    <w:rsid w:val="4E151645"/>
    <w:rsid w:val="4E254D8D"/>
    <w:rsid w:val="4E296E9F"/>
    <w:rsid w:val="4E2F5148"/>
    <w:rsid w:val="4E8A2033"/>
    <w:rsid w:val="4E8C06FB"/>
    <w:rsid w:val="4EE01C53"/>
    <w:rsid w:val="4EEC23A6"/>
    <w:rsid w:val="4FC544EA"/>
    <w:rsid w:val="4FCA7FA1"/>
    <w:rsid w:val="503E7C3B"/>
    <w:rsid w:val="50AD0B62"/>
    <w:rsid w:val="50D73169"/>
    <w:rsid w:val="51081D48"/>
    <w:rsid w:val="514566E6"/>
    <w:rsid w:val="520E5B9A"/>
    <w:rsid w:val="52132BB8"/>
    <w:rsid w:val="52600A28"/>
    <w:rsid w:val="527F4B4D"/>
    <w:rsid w:val="52F61524"/>
    <w:rsid w:val="534D4075"/>
    <w:rsid w:val="53C04BC3"/>
    <w:rsid w:val="53C102A5"/>
    <w:rsid w:val="53E611C8"/>
    <w:rsid w:val="544039ED"/>
    <w:rsid w:val="55020B76"/>
    <w:rsid w:val="5594129E"/>
    <w:rsid w:val="56052829"/>
    <w:rsid w:val="566E5E35"/>
    <w:rsid w:val="56C77AA6"/>
    <w:rsid w:val="56E30533"/>
    <w:rsid w:val="571C4E7A"/>
    <w:rsid w:val="5776215B"/>
    <w:rsid w:val="58167669"/>
    <w:rsid w:val="594D7699"/>
    <w:rsid w:val="5A13112F"/>
    <w:rsid w:val="5A4D5A42"/>
    <w:rsid w:val="5A7F512D"/>
    <w:rsid w:val="5AA13277"/>
    <w:rsid w:val="5AC7349B"/>
    <w:rsid w:val="5ADC59C5"/>
    <w:rsid w:val="5BCD448E"/>
    <w:rsid w:val="5C101004"/>
    <w:rsid w:val="5C305CA6"/>
    <w:rsid w:val="5C38208A"/>
    <w:rsid w:val="5C5B705E"/>
    <w:rsid w:val="5C8468D6"/>
    <w:rsid w:val="5D0A3648"/>
    <w:rsid w:val="5D3C099D"/>
    <w:rsid w:val="5DAA7FFC"/>
    <w:rsid w:val="5E5D1226"/>
    <w:rsid w:val="5F051A77"/>
    <w:rsid w:val="5F0D28B7"/>
    <w:rsid w:val="5F9D3940"/>
    <w:rsid w:val="5F9F5213"/>
    <w:rsid w:val="601B6F8F"/>
    <w:rsid w:val="602A0F80"/>
    <w:rsid w:val="602D2580"/>
    <w:rsid w:val="60455DBA"/>
    <w:rsid w:val="6084265C"/>
    <w:rsid w:val="62532084"/>
    <w:rsid w:val="6265181E"/>
    <w:rsid w:val="6273175C"/>
    <w:rsid w:val="62886432"/>
    <w:rsid w:val="632117EE"/>
    <w:rsid w:val="634A36E8"/>
    <w:rsid w:val="634B4C36"/>
    <w:rsid w:val="637472EE"/>
    <w:rsid w:val="63B219B9"/>
    <w:rsid w:val="63CC1398"/>
    <w:rsid w:val="63E06B94"/>
    <w:rsid w:val="64103D2D"/>
    <w:rsid w:val="648E42F6"/>
    <w:rsid w:val="648F0372"/>
    <w:rsid w:val="64EB7A20"/>
    <w:rsid w:val="65402FF4"/>
    <w:rsid w:val="654C2095"/>
    <w:rsid w:val="66212AD3"/>
    <w:rsid w:val="663F505A"/>
    <w:rsid w:val="66554FD0"/>
    <w:rsid w:val="666D7055"/>
    <w:rsid w:val="668877D1"/>
    <w:rsid w:val="66CE1624"/>
    <w:rsid w:val="66D439F4"/>
    <w:rsid w:val="66D566F3"/>
    <w:rsid w:val="66DE0D17"/>
    <w:rsid w:val="66F86F35"/>
    <w:rsid w:val="67962FFB"/>
    <w:rsid w:val="679B7614"/>
    <w:rsid w:val="67A33875"/>
    <w:rsid w:val="682D1784"/>
    <w:rsid w:val="683C10FB"/>
    <w:rsid w:val="685C0145"/>
    <w:rsid w:val="689A0C6D"/>
    <w:rsid w:val="68A42C26"/>
    <w:rsid w:val="68CA50AF"/>
    <w:rsid w:val="69041ADC"/>
    <w:rsid w:val="6917406C"/>
    <w:rsid w:val="6974326C"/>
    <w:rsid w:val="69D16911"/>
    <w:rsid w:val="6A445335"/>
    <w:rsid w:val="6A5A29E1"/>
    <w:rsid w:val="6B5F6F20"/>
    <w:rsid w:val="6B9325E0"/>
    <w:rsid w:val="6B956EDC"/>
    <w:rsid w:val="6B9A7EBB"/>
    <w:rsid w:val="6BC404DB"/>
    <w:rsid w:val="6BD06690"/>
    <w:rsid w:val="6BD34BC2"/>
    <w:rsid w:val="6C2E204E"/>
    <w:rsid w:val="6C612740"/>
    <w:rsid w:val="6D3010AF"/>
    <w:rsid w:val="6D396CA7"/>
    <w:rsid w:val="6D414401"/>
    <w:rsid w:val="6D604233"/>
    <w:rsid w:val="6D6535A5"/>
    <w:rsid w:val="6EB1590B"/>
    <w:rsid w:val="6EE031AD"/>
    <w:rsid w:val="6EF56BFD"/>
    <w:rsid w:val="6F4440CD"/>
    <w:rsid w:val="6FA8325A"/>
    <w:rsid w:val="6FC14D32"/>
    <w:rsid w:val="706622EA"/>
    <w:rsid w:val="7157594D"/>
    <w:rsid w:val="71630796"/>
    <w:rsid w:val="719F7C01"/>
    <w:rsid w:val="71A379E4"/>
    <w:rsid w:val="72273C90"/>
    <w:rsid w:val="72AC1F8A"/>
    <w:rsid w:val="72DD1E82"/>
    <w:rsid w:val="72FC67AC"/>
    <w:rsid w:val="731F6641"/>
    <w:rsid w:val="73553DC1"/>
    <w:rsid w:val="73BB0416"/>
    <w:rsid w:val="73D544F8"/>
    <w:rsid w:val="74E67714"/>
    <w:rsid w:val="74F11DAB"/>
    <w:rsid w:val="75B50E95"/>
    <w:rsid w:val="75F91880"/>
    <w:rsid w:val="768E31AA"/>
    <w:rsid w:val="76CB3467"/>
    <w:rsid w:val="76E61C4D"/>
    <w:rsid w:val="770C71DA"/>
    <w:rsid w:val="774E3887"/>
    <w:rsid w:val="776B2153"/>
    <w:rsid w:val="786E4DF4"/>
    <w:rsid w:val="78FF6FF6"/>
    <w:rsid w:val="797A3EC4"/>
    <w:rsid w:val="79892B16"/>
    <w:rsid w:val="79C72E50"/>
    <w:rsid w:val="79D55FA9"/>
    <w:rsid w:val="7A374E5C"/>
    <w:rsid w:val="7A54153E"/>
    <w:rsid w:val="7B7470FC"/>
    <w:rsid w:val="7B9E41B3"/>
    <w:rsid w:val="7BFA7D17"/>
    <w:rsid w:val="7C3D3992"/>
    <w:rsid w:val="7C547326"/>
    <w:rsid w:val="7C5C0BAE"/>
    <w:rsid w:val="7C75312C"/>
    <w:rsid w:val="7CB9570E"/>
    <w:rsid w:val="7CE734C6"/>
    <w:rsid w:val="7CEC7892"/>
    <w:rsid w:val="7D2D1604"/>
    <w:rsid w:val="7D4F15A2"/>
    <w:rsid w:val="7D5E506A"/>
    <w:rsid w:val="7DA912DF"/>
    <w:rsid w:val="7DB87774"/>
    <w:rsid w:val="7DBA1CF9"/>
    <w:rsid w:val="7DBF4A57"/>
    <w:rsid w:val="7DF06F0E"/>
    <w:rsid w:val="7E1A21DD"/>
    <w:rsid w:val="7E4B40E5"/>
    <w:rsid w:val="7E5F1300"/>
    <w:rsid w:val="7E8B5F74"/>
    <w:rsid w:val="7EB443DF"/>
    <w:rsid w:val="7EFB3DBC"/>
    <w:rsid w:val="7F213556"/>
    <w:rsid w:val="7F3A4122"/>
    <w:rsid w:val="7F5D748B"/>
    <w:rsid w:val="7F9135F0"/>
    <w:rsid w:val="7FBD5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40" w:after="240" w:line="360" w:lineRule="auto"/>
      <w:jc w:val="center"/>
      <w:outlineLvl w:val="0"/>
    </w:pPr>
    <w:rPr>
      <w:b/>
      <w:kern w:val="44"/>
      <w:sz w:val="32"/>
    </w:rPr>
  </w:style>
  <w:style w:type="paragraph" w:styleId="3">
    <w:name w:val="heading 2"/>
    <w:basedOn w:val="1"/>
    <w:next w:val="1"/>
    <w:semiHidden/>
    <w:unhideWhenUsed/>
    <w:qFormat/>
    <w:uiPriority w:val="0"/>
    <w:pPr>
      <w:keepNext/>
      <w:keepLines/>
      <w:spacing w:before="120" w:after="120"/>
      <w:jc w:val="left"/>
      <w:outlineLvl w:val="1"/>
    </w:pPr>
    <w:rPr>
      <w:rFonts w:ascii="Arial" w:hAnsi="Arial"/>
      <w:b/>
      <w:sz w:val="30"/>
    </w:rPr>
  </w:style>
  <w:style w:type="paragraph" w:styleId="4">
    <w:name w:val="heading 3"/>
    <w:basedOn w:val="1"/>
    <w:next w:val="1"/>
    <w:link w:val="30"/>
    <w:semiHidden/>
    <w:unhideWhenUsed/>
    <w:qFormat/>
    <w:uiPriority w:val="0"/>
    <w:pPr>
      <w:keepNext/>
      <w:keepLines/>
      <w:spacing w:before="120" w:after="120"/>
      <w:jc w:val="center"/>
      <w:outlineLvl w:val="2"/>
    </w:pPr>
    <w:rPr>
      <w:rFonts w:ascii="宋体" w:hAnsi="宋体"/>
      <w:b/>
      <w:sz w:val="24"/>
    </w:rPr>
  </w:style>
  <w:style w:type="paragraph" w:styleId="5">
    <w:name w:val="heading 4"/>
    <w:basedOn w:val="1"/>
    <w:next w:val="1"/>
    <w:semiHidden/>
    <w:unhideWhenUsed/>
    <w:qFormat/>
    <w:uiPriority w:val="0"/>
    <w:pPr>
      <w:keepNext/>
      <w:keepLines/>
      <w:spacing w:before="120" w:after="120"/>
      <w:jc w:val="left"/>
      <w:outlineLvl w:val="3"/>
    </w:pPr>
    <w:rPr>
      <w:rFonts w:ascii="Arial" w:hAnsi="Arial"/>
      <w:b/>
      <w:sz w:val="28"/>
    </w:rPr>
  </w:style>
  <w:style w:type="paragraph" w:styleId="6">
    <w:name w:val="heading 5"/>
    <w:basedOn w:val="1"/>
    <w:next w:val="1"/>
    <w:semiHidden/>
    <w:unhideWhenUsed/>
    <w:qFormat/>
    <w:uiPriority w:val="0"/>
    <w:pPr>
      <w:keepNext/>
      <w:keepLines/>
      <w:spacing w:before="120" w:after="120"/>
      <w:outlineLvl w:val="4"/>
    </w:pPr>
    <w:rPr>
      <w:b/>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link w:val="47"/>
    <w:qFormat/>
    <w:uiPriority w:val="99"/>
    <w:pPr>
      <w:jc w:val="left"/>
    </w:pPr>
  </w:style>
  <w:style w:type="paragraph" w:styleId="9">
    <w:name w:val="Body Text"/>
    <w:basedOn w:val="1"/>
    <w:next w:val="1"/>
    <w:qFormat/>
    <w:uiPriority w:val="0"/>
    <w:pPr>
      <w:spacing w:after="120"/>
    </w:pPr>
  </w:style>
  <w:style w:type="paragraph" w:styleId="10">
    <w:name w:val="Body Text Indent"/>
    <w:basedOn w:val="1"/>
    <w:qFormat/>
    <w:uiPriority w:val="0"/>
    <w:pPr>
      <w:spacing w:line="200" w:lineRule="exact"/>
      <w:ind w:firstLine="301"/>
    </w:pPr>
    <w:rPr>
      <w:rFonts w:ascii="宋体" w:hAnsi="Courier New"/>
      <w:spacing w:val="-4"/>
      <w:sz w:val="18"/>
      <w:szCs w:val="20"/>
    </w:rPr>
  </w:style>
  <w:style w:type="paragraph" w:styleId="11">
    <w:name w:val="toc 3"/>
    <w:basedOn w:val="1"/>
    <w:next w:val="1"/>
    <w:qFormat/>
    <w:uiPriority w:val="0"/>
    <w:pPr>
      <w:jc w:val="left"/>
    </w:pPr>
    <w:rPr>
      <w:rFonts w:ascii="Calibri" w:hAnsi="Calibri"/>
      <w:smallCaps/>
      <w:sz w:val="22"/>
      <w:szCs w:val="22"/>
    </w:rPr>
  </w:style>
  <w:style w:type="paragraph" w:styleId="12">
    <w:name w:val="Plain Text"/>
    <w:basedOn w:val="1"/>
    <w:next w:val="1"/>
    <w:link w:val="37"/>
    <w:qFormat/>
    <w:uiPriority w:val="0"/>
    <w:rPr>
      <w:rFonts w:ascii="宋体" w:hAnsi="Courier New"/>
      <w:szCs w:val="20"/>
    </w:rPr>
  </w:style>
  <w:style w:type="paragraph" w:styleId="13">
    <w:name w:val="toc 8"/>
    <w:basedOn w:val="1"/>
    <w:next w:val="1"/>
    <w:unhideWhenUsed/>
    <w:qFormat/>
    <w:uiPriority w:val="39"/>
    <w:pPr>
      <w:jc w:val="left"/>
    </w:pPr>
    <w:rPr>
      <w:rFonts w:ascii="Calibri" w:hAnsi="Calibri"/>
      <w:sz w:val="22"/>
      <w:szCs w:val="22"/>
    </w:rPr>
  </w:style>
  <w:style w:type="paragraph" w:styleId="14">
    <w:name w:val="Date"/>
    <w:basedOn w:val="1"/>
    <w:next w:val="1"/>
    <w:qFormat/>
    <w:uiPriority w:val="0"/>
    <w:pPr>
      <w:ind w:left="100" w:leftChars="2500"/>
    </w:pPr>
  </w:style>
  <w:style w:type="paragraph" w:styleId="15">
    <w:name w:val="Balloon Text"/>
    <w:basedOn w:val="1"/>
    <w:link w:val="49"/>
    <w:qFormat/>
    <w:uiPriority w:val="0"/>
    <w:rPr>
      <w:sz w:val="18"/>
      <w:szCs w:val="18"/>
    </w:rPr>
  </w:style>
  <w:style w:type="paragraph" w:styleId="16">
    <w:name w:val="footer"/>
    <w:basedOn w:val="1"/>
    <w:next w:val="1"/>
    <w:link w:val="39"/>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pPr>
      <w:spacing w:before="360" w:after="360"/>
      <w:jc w:val="left"/>
    </w:pPr>
    <w:rPr>
      <w:rFonts w:ascii="Calibri" w:hAnsi="Calibri"/>
      <w:b/>
      <w:bCs/>
      <w:caps/>
      <w:sz w:val="22"/>
      <w:szCs w:val="22"/>
      <w:u w:val="single"/>
    </w:rPr>
  </w:style>
  <w:style w:type="paragraph" w:styleId="19">
    <w:name w:val="List"/>
    <w:basedOn w:val="1"/>
    <w:qFormat/>
    <w:uiPriority w:val="0"/>
    <w:pPr>
      <w:ind w:left="200" w:hanging="200" w:hangingChars="200"/>
    </w:pPr>
    <w:rPr>
      <w:sz w:val="28"/>
    </w:rPr>
  </w:style>
  <w:style w:type="paragraph" w:styleId="20">
    <w:name w:val="toc 2"/>
    <w:basedOn w:val="1"/>
    <w:next w:val="1"/>
    <w:qFormat/>
    <w:uiPriority w:val="0"/>
    <w:pPr>
      <w:jc w:val="left"/>
    </w:pPr>
    <w:rPr>
      <w:rFonts w:ascii="Calibri" w:hAnsi="Calibri"/>
      <w:b/>
      <w:bCs/>
      <w:smallCaps/>
      <w:sz w:val="22"/>
      <w:szCs w:val="22"/>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annotation subject"/>
    <w:basedOn w:val="8"/>
    <w:next w:val="8"/>
    <w:link w:val="48"/>
    <w:qFormat/>
    <w:uiPriority w:val="0"/>
    <w:rPr>
      <w:b/>
      <w:bCs/>
    </w:rPr>
  </w:style>
  <w:style w:type="paragraph" w:styleId="23">
    <w:name w:val="Body Text First Indent"/>
    <w:basedOn w:val="9"/>
    <w:qFormat/>
    <w:uiPriority w:val="0"/>
    <w:pPr>
      <w:ind w:firstLine="420" w:firstLineChars="100"/>
    </w:pPr>
  </w:style>
  <w:style w:type="table" w:styleId="25">
    <w:name w:val="Table Grid"/>
    <w:basedOn w:val="2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qFormat/>
    <w:uiPriority w:val="0"/>
  </w:style>
  <w:style w:type="character" w:styleId="28">
    <w:name w:val="Hyperlink"/>
    <w:qFormat/>
    <w:uiPriority w:val="0"/>
    <w:rPr>
      <w:color w:val="0000FF"/>
      <w:u w:val="single"/>
    </w:rPr>
  </w:style>
  <w:style w:type="character" w:styleId="29">
    <w:name w:val="annotation reference"/>
    <w:basedOn w:val="26"/>
    <w:qFormat/>
    <w:uiPriority w:val="0"/>
    <w:rPr>
      <w:sz w:val="21"/>
      <w:szCs w:val="21"/>
    </w:rPr>
  </w:style>
  <w:style w:type="character" w:customStyle="1" w:styleId="30">
    <w:name w:val="标题 3 Char"/>
    <w:link w:val="4"/>
    <w:qFormat/>
    <w:uiPriority w:val="0"/>
    <w:rPr>
      <w:rFonts w:ascii="宋体" w:hAnsi="宋体" w:eastAsia="宋体" w:cs="Times New Roman"/>
      <w:b/>
      <w:sz w:val="24"/>
    </w:rPr>
  </w:style>
  <w:style w:type="paragraph" w:customStyle="1" w:styleId="31">
    <w:name w:val="正文2"/>
    <w:basedOn w:val="1"/>
    <w:qFormat/>
    <w:uiPriority w:val="0"/>
    <w:pPr>
      <w:adjustRightInd w:val="0"/>
      <w:spacing w:before="156" w:line="360" w:lineRule="auto"/>
      <w:ind w:firstLine="510" w:firstLineChars="200"/>
    </w:pPr>
    <w:rPr>
      <w:sz w:val="24"/>
      <w:szCs w:val="20"/>
    </w:rPr>
  </w:style>
  <w:style w:type="paragraph" w:customStyle="1" w:styleId="32">
    <w:name w:val="首行缩进"/>
    <w:basedOn w:val="1"/>
    <w:qFormat/>
    <w:uiPriority w:val="0"/>
    <w:pPr>
      <w:ind w:firstLine="480" w:firstLineChars="200"/>
    </w:pPr>
  </w:style>
  <w:style w:type="paragraph" w:customStyle="1" w:styleId="33">
    <w:name w:val="正文缩进1"/>
    <w:basedOn w:val="1"/>
    <w:next w:val="10"/>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4">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5">
    <w:name w:val="自建标题样式"/>
    <w:basedOn w:val="36"/>
    <w:qFormat/>
    <w:uiPriority w:val="0"/>
    <w:pPr>
      <w:numPr>
        <w:ilvl w:val="0"/>
        <w:numId w:val="1"/>
      </w:numPr>
      <w:ind w:firstLine="0" w:firstLineChars="0"/>
      <w:jc w:val="left"/>
    </w:pPr>
    <w:rPr>
      <w:rFonts w:ascii="仿宋_GB2312" w:eastAsia="仿宋_GB2312"/>
      <w:b/>
      <w:sz w:val="32"/>
      <w:szCs w:val="32"/>
    </w:rPr>
  </w:style>
  <w:style w:type="paragraph" w:styleId="36">
    <w:name w:val="List Paragraph"/>
    <w:basedOn w:val="1"/>
    <w:qFormat/>
    <w:uiPriority w:val="34"/>
    <w:pPr>
      <w:ind w:firstLine="420" w:firstLineChars="200"/>
    </w:pPr>
  </w:style>
  <w:style w:type="character" w:customStyle="1" w:styleId="37">
    <w:name w:val="纯文本 Char"/>
    <w:link w:val="12"/>
    <w:qFormat/>
    <w:uiPriority w:val="0"/>
    <w:rPr>
      <w:rFonts w:ascii="宋体" w:hAnsi="Courier New" w:eastAsia="宋体" w:cs="Times New Roman"/>
      <w:kern w:val="2"/>
      <w:sz w:val="21"/>
    </w:rPr>
  </w:style>
  <w:style w:type="paragraph" w:customStyle="1" w:styleId="38">
    <w:name w:val="Char"/>
    <w:basedOn w:val="1"/>
    <w:qFormat/>
    <w:uiPriority w:val="0"/>
    <w:rPr>
      <w:rFonts w:ascii="仿宋_GB2312" w:eastAsia="仿宋_GB2312"/>
      <w:b/>
      <w:sz w:val="32"/>
      <w:szCs w:val="32"/>
    </w:rPr>
  </w:style>
  <w:style w:type="character" w:customStyle="1" w:styleId="39">
    <w:name w:val="页脚 Char"/>
    <w:basedOn w:val="26"/>
    <w:link w:val="16"/>
    <w:qFormat/>
    <w:uiPriority w:val="99"/>
    <w:rPr>
      <w:rFonts w:ascii="Times New Roman" w:hAnsi="Times New Roman" w:eastAsia="宋体" w:cs="Times New Roman"/>
      <w:kern w:val="2"/>
      <w:sz w:val="18"/>
      <w:szCs w:val="18"/>
    </w:rPr>
  </w:style>
  <w:style w:type="character" w:customStyle="1" w:styleId="40">
    <w:name w:val="font41"/>
    <w:basedOn w:val="26"/>
    <w:qFormat/>
    <w:uiPriority w:val="0"/>
    <w:rPr>
      <w:rFonts w:ascii="微软雅黑" w:hAnsi="微软雅黑" w:eastAsia="微软雅黑" w:cs="微软雅黑"/>
      <w:color w:val="000000"/>
      <w:sz w:val="22"/>
      <w:szCs w:val="22"/>
      <w:u w:val="none"/>
    </w:rPr>
  </w:style>
  <w:style w:type="character" w:customStyle="1" w:styleId="41">
    <w:name w:val="font11"/>
    <w:basedOn w:val="26"/>
    <w:qFormat/>
    <w:uiPriority w:val="0"/>
    <w:rPr>
      <w:rFonts w:hint="eastAsia" w:ascii="宋体" w:hAnsi="宋体" w:eastAsia="宋体" w:cs="宋体"/>
      <w:color w:val="000000"/>
      <w:sz w:val="22"/>
      <w:szCs w:val="22"/>
      <w:u w:val="none"/>
    </w:rPr>
  </w:style>
  <w:style w:type="character" w:customStyle="1" w:styleId="42">
    <w:name w:val="font51"/>
    <w:basedOn w:val="26"/>
    <w:qFormat/>
    <w:uiPriority w:val="0"/>
    <w:rPr>
      <w:rFonts w:hint="eastAsia" w:ascii="宋体" w:hAnsi="宋体" w:eastAsia="宋体" w:cs="宋体"/>
      <w:color w:val="000000"/>
      <w:sz w:val="22"/>
      <w:szCs w:val="22"/>
      <w:u w:val="none"/>
      <w:vertAlign w:val="superscript"/>
    </w:rPr>
  </w:style>
  <w:style w:type="character" w:customStyle="1" w:styleId="43">
    <w:name w:val="font61"/>
    <w:basedOn w:val="26"/>
    <w:qFormat/>
    <w:uiPriority w:val="0"/>
    <w:rPr>
      <w:rFonts w:ascii="等线" w:hAnsi="等线" w:eastAsia="等线" w:cs="等线"/>
      <w:color w:val="000000"/>
      <w:sz w:val="22"/>
      <w:szCs w:val="22"/>
      <w:u w:val="none"/>
    </w:rPr>
  </w:style>
  <w:style w:type="character" w:customStyle="1" w:styleId="44">
    <w:name w:val="font71"/>
    <w:basedOn w:val="26"/>
    <w:qFormat/>
    <w:uiPriority w:val="0"/>
    <w:rPr>
      <w:rFonts w:hint="eastAsia" w:ascii="宋体" w:hAnsi="宋体" w:eastAsia="宋体" w:cs="宋体"/>
      <w:color w:val="000000"/>
      <w:sz w:val="22"/>
      <w:szCs w:val="22"/>
      <w:u w:val="none"/>
      <w:vertAlign w:val="subscript"/>
    </w:rPr>
  </w:style>
  <w:style w:type="character" w:customStyle="1" w:styleId="45">
    <w:name w:val="font21"/>
    <w:basedOn w:val="26"/>
    <w:qFormat/>
    <w:uiPriority w:val="0"/>
    <w:rPr>
      <w:rFonts w:ascii="微软雅黑" w:hAnsi="微软雅黑" w:eastAsia="微软雅黑" w:cs="微软雅黑"/>
      <w:color w:val="000000"/>
      <w:sz w:val="22"/>
      <w:szCs w:val="22"/>
      <w:u w:val="none"/>
    </w:rPr>
  </w:style>
  <w:style w:type="character" w:customStyle="1" w:styleId="46">
    <w:name w:val="font31"/>
    <w:basedOn w:val="26"/>
    <w:qFormat/>
    <w:uiPriority w:val="0"/>
    <w:rPr>
      <w:rFonts w:hint="eastAsia" w:ascii="宋体" w:hAnsi="宋体" w:eastAsia="宋体" w:cs="宋体"/>
      <w:color w:val="000000"/>
      <w:sz w:val="22"/>
      <w:szCs w:val="22"/>
      <w:u w:val="none"/>
      <w:vertAlign w:val="superscript"/>
    </w:rPr>
  </w:style>
  <w:style w:type="character" w:customStyle="1" w:styleId="47">
    <w:name w:val="批注文字 Char"/>
    <w:basedOn w:val="26"/>
    <w:link w:val="8"/>
    <w:qFormat/>
    <w:uiPriority w:val="99"/>
    <w:rPr>
      <w:kern w:val="2"/>
      <w:sz w:val="21"/>
      <w:szCs w:val="24"/>
    </w:rPr>
  </w:style>
  <w:style w:type="character" w:customStyle="1" w:styleId="48">
    <w:name w:val="批注主题 Char"/>
    <w:basedOn w:val="47"/>
    <w:link w:val="22"/>
    <w:qFormat/>
    <w:uiPriority w:val="0"/>
    <w:rPr>
      <w:b/>
      <w:bCs/>
      <w:kern w:val="2"/>
      <w:sz w:val="21"/>
      <w:szCs w:val="24"/>
    </w:rPr>
  </w:style>
  <w:style w:type="character" w:customStyle="1" w:styleId="49">
    <w:name w:val="批注框文本 Char"/>
    <w:basedOn w:val="26"/>
    <w:link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7.png"/><Relationship Id="rId26" Type="http://schemas.openxmlformats.org/officeDocument/2006/relationships/image" Target="media/image6.png"/><Relationship Id="rId25" Type="http://schemas.openxmlformats.org/officeDocument/2006/relationships/image" Target="media/image5.png"/><Relationship Id="rId24" Type="http://schemas.openxmlformats.org/officeDocument/2006/relationships/image" Target="media/image4.jpeg"/><Relationship Id="rId23" Type="http://schemas.openxmlformats.org/officeDocument/2006/relationships/image" Target="media/image3.jpeg"/><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336</Pages>
  <Words>9254</Words>
  <Characters>11566</Characters>
  <Lines>498</Lines>
  <Paragraphs>544</Paragraphs>
  <TotalTime>2</TotalTime>
  <ScaleCrop>false</ScaleCrop>
  <LinksUpToDate>false</LinksUpToDate>
  <CharactersWithSpaces>12240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2023-09-25T04:56:00Z</dcterms:created>
  <dc:creator>Administrator</dc:creator>
  <cp:lastModifiedBy>蜗牛、</cp:lastModifiedBy>
  <dcterms:modified xsi:type="dcterms:W3CDTF">2025-05-21T01:40:05Z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FE956C8827CD4D33BB4D9DB5C45AE228_13</vt:lpwstr>
  </property>
  <property fmtid="{D5CDD505-2E9C-101B-9397-08002B2CF9AE}" pid="4" name="KSOTemplateDocerSaveRecord">
    <vt:lpwstr>eyJoZGlkIjoiYjRkNTZmMmU5ZjQzODdhMTg4MWRkNDgxYmRjMjljZDEiLCJ1c2VySWQiOiI5MzU5NzY0OTcifQ==</vt:lpwstr>
  </property>
</Properties>
</file>