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15.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903B">
      <w:pPr>
        <w:spacing w:beforeLines="100" w:afterLines="50" w:line="600" w:lineRule="exact"/>
        <w:jc w:val="center"/>
        <w:rPr>
          <w:color w:val="auto"/>
        </w:rPr>
      </w:pPr>
    </w:p>
    <w:p w14:paraId="754863DA">
      <w:pPr>
        <w:spacing w:line="360" w:lineRule="auto"/>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广西</w:t>
      </w:r>
      <w:r>
        <w:rPr>
          <w:rFonts w:hint="eastAsia" w:ascii="仿宋" w:hAnsi="仿宋" w:eastAsia="仿宋" w:cs="仿宋"/>
          <w:b/>
          <w:bCs/>
          <w:color w:val="auto"/>
          <w:sz w:val="52"/>
          <w:szCs w:val="52"/>
          <w:lang w:val="en-US" w:eastAsia="zh-CN"/>
        </w:rPr>
        <w:t>合盛工程</w:t>
      </w:r>
      <w:r>
        <w:rPr>
          <w:rFonts w:hint="eastAsia" w:ascii="仿宋" w:hAnsi="仿宋" w:eastAsia="仿宋" w:cs="仿宋"/>
          <w:b/>
          <w:bCs/>
          <w:color w:val="auto"/>
          <w:sz w:val="52"/>
          <w:szCs w:val="52"/>
        </w:rPr>
        <w:t>咨询有限公司</w:t>
      </w:r>
    </w:p>
    <w:p w14:paraId="0C550D00">
      <w:pPr>
        <w:spacing w:line="360" w:lineRule="auto"/>
        <w:jc w:val="center"/>
        <w:rPr>
          <w:rFonts w:ascii="方正小标宋简体" w:hAnsi="方正小标宋简体" w:eastAsia="方正小标宋简体" w:cs="方正小标宋简体"/>
          <w:b/>
          <w:color w:val="auto"/>
          <w:sz w:val="44"/>
          <w:szCs w:val="44"/>
        </w:rPr>
      </w:pPr>
    </w:p>
    <w:p w14:paraId="31B326B2">
      <w:pPr>
        <w:snapToGrid w:val="0"/>
        <w:spacing w:beforeLines="50" w:line="360" w:lineRule="auto"/>
        <w:jc w:val="center"/>
        <w:rPr>
          <w:rFonts w:ascii="华文新魏" w:hAnsi="宋体" w:eastAsia="华文新魏"/>
          <w:color w:val="auto"/>
          <w:sz w:val="72"/>
          <w:szCs w:val="72"/>
        </w:rPr>
      </w:pPr>
      <w:r>
        <w:rPr>
          <w:rFonts w:hint="eastAsia" w:ascii="华文新魏" w:hAnsi="宋体" w:eastAsia="华文新魏"/>
          <w:color w:val="auto"/>
          <w:sz w:val="120"/>
          <w:szCs w:val="120"/>
        </w:rPr>
        <w:t>招 标 文 件</w:t>
      </w:r>
    </w:p>
    <w:p w14:paraId="2B5DDF83">
      <w:pPr>
        <w:snapToGrid w:val="0"/>
        <w:spacing w:beforeLines="50" w:line="360" w:lineRule="auto"/>
        <w:jc w:val="center"/>
        <w:rPr>
          <w:rFonts w:ascii="仿宋_GB2312" w:hAnsi="宋体" w:eastAsia="仿宋_GB2312"/>
          <w:b/>
          <w:color w:val="auto"/>
          <w:sz w:val="48"/>
          <w:szCs w:val="48"/>
        </w:rPr>
      </w:pPr>
    </w:p>
    <w:p w14:paraId="00E63B53">
      <w:pPr>
        <w:pStyle w:val="20"/>
        <w:snapToGrid w:val="0"/>
        <w:spacing w:line="360" w:lineRule="auto"/>
        <w:ind w:left="2757" w:leftChars="540" w:hanging="1623" w:hangingChars="539"/>
        <w:rPr>
          <w:rFonts w:hint="eastAsia" w:ascii="仿宋_GB2312" w:hAnsi="宋体" w:eastAsia="仿宋_GB2312"/>
          <w:b/>
          <w:bCs/>
          <w:color w:val="auto"/>
          <w:sz w:val="30"/>
          <w:szCs w:val="30"/>
          <w:lang w:val="en-US" w:eastAsia="zh-CN"/>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：2025年河池市农村公路路况自动化检测</w:t>
      </w:r>
    </w:p>
    <w:p w14:paraId="77271233">
      <w:pPr>
        <w:snapToGrid w:val="0"/>
        <w:spacing w:line="360" w:lineRule="auto"/>
        <w:ind w:firstLine="1145" w:firstLineChars="400"/>
        <w:rPr>
          <w:rFonts w:ascii="仿宋_GB2312" w:hAnsi="宋体" w:eastAsia="仿宋_GB2312"/>
          <w:color w:val="auto"/>
          <w:sz w:val="30"/>
          <w:szCs w:val="72"/>
        </w:rPr>
      </w:pPr>
      <w:r>
        <w:rPr>
          <w:rFonts w:hint="eastAsia" w:ascii="仿宋_GB2312" w:hAnsi="宋体" w:eastAsia="仿宋_GB2312" w:cs="Courier New"/>
          <w:b/>
          <w:bCs/>
          <w:color w:val="auto"/>
          <w:w w:val="95"/>
          <w:sz w:val="30"/>
          <w:szCs w:val="30"/>
        </w:rPr>
        <w:t>项目</w:t>
      </w:r>
      <w:r>
        <w:rPr>
          <w:rFonts w:hint="eastAsia" w:ascii="仿宋_GB2312" w:hAnsi="宋体" w:eastAsia="仿宋_GB2312"/>
          <w:b/>
          <w:bCs/>
          <w:color w:val="auto"/>
          <w:sz w:val="30"/>
          <w:szCs w:val="30"/>
        </w:rPr>
        <w:t>编号</w:t>
      </w:r>
      <w:r>
        <w:rPr>
          <w:rFonts w:hint="eastAsia" w:ascii="仿宋_GB2312" w:hAnsi="宋体" w:eastAsia="仿宋_GB2312" w:cs="Courier New"/>
          <w:b/>
          <w:bCs/>
          <w:color w:val="auto"/>
          <w:w w:val="95"/>
          <w:sz w:val="30"/>
          <w:szCs w:val="30"/>
        </w:rPr>
        <w:t>：HCZC2025-G3-990115-HSGS</w:t>
      </w:r>
    </w:p>
    <w:p w14:paraId="6E7DD9D2">
      <w:pPr>
        <w:pStyle w:val="20"/>
        <w:snapToGrid w:val="0"/>
        <w:spacing w:line="360" w:lineRule="auto"/>
        <w:ind w:firstLine="1125" w:firstLineChars="393"/>
        <w:rPr>
          <w:rFonts w:hint="default" w:ascii="仿宋_GB2312" w:hAnsi="宋体" w:eastAsia="仿宋_GB2312"/>
          <w:b/>
          <w:bCs/>
          <w:color w:val="auto"/>
          <w:w w:val="95"/>
          <w:sz w:val="30"/>
          <w:szCs w:val="30"/>
          <w:lang w:val="en-US" w:eastAsia="zh-CN"/>
        </w:rPr>
      </w:pPr>
      <w:r>
        <w:rPr>
          <w:rFonts w:hint="eastAsia" w:ascii="仿宋_GB2312" w:hAnsi="宋体" w:eastAsia="仿宋_GB2312"/>
          <w:b/>
          <w:bCs/>
          <w:color w:val="auto"/>
          <w:w w:val="95"/>
          <w:sz w:val="30"/>
          <w:szCs w:val="30"/>
        </w:rPr>
        <w:t>采 购 人：</w:t>
      </w:r>
      <w:r>
        <w:rPr>
          <w:rFonts w:hint="eastAsia" w:ascii="仿宋_GB2312" w:hAnsi="宋体" w:eastAsia="仿宋_GB2312"/>
          <w:b/>
          <w:bCs/>
          <w:color w:val="auto"/>
          <w:w w:val="95"/>
          <w:sz w:val="30"/>
          <w:szCs w:val="30"/>
          <w:lang w:val="en-US" w:eastAsia="zh-CN"/>
        </w:rPr>
        <w:t>河池市交通运输局</w:t>
      </w:r>
    </w:p>
    <w:p w14:paraId="055D6D9C">
      <w:pPr>
        <w:pStyle w:val="20"/>
        <w:snapToGrid w:val="0"/>
        <w:spacing w:line="360" w:lineRule="auto"/>
        <w:ind w:firstLine="1125" w:firstLineChars="393"/>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采购代理机构：广西</w:t>
      </w:r>
      <w:r>
        <w:rPr>
          <w:rFonts w:hint="eastAsia" w:ascii="仿宋_GB2312" w:hAnsi="宋体" w:eastAsia="仿宋_GB2312"/>
          <w:b/>
          <w:bCs/>
          <w:color w:val="auto"/>
          <w:w w:val="95"/>
          <w:sz w:val="30"/>
          <w:szCs w:val="30"/>
          <w:lang w:val="en-US" w:eastAsia="zh-CN"/>
        </w:rPr>
        <w:t>合盛工程</w:t>
      </w:r>
      <w:r>
        <w:rPr>
          <w:rFonts w:hint="eastAsia" w:ascii="仿宋_GB2312" w:hAnsi="宋体" w:eastAsia="仿宋_GB2312"/>
          <w:b/>
          <w:bCs/>
          <w:color w:val="auto"/>
          <w:w w:val="95"/>
          <w:sz w:val="30"/>
          <w:szCs w:val="30"/>
        </w:rPr>
        <w:t>咨询有限公司</w:t>
      </w:r>
    </w:p>
    <w:p w14:paraId="21A3944F">
      <w:pPr>
        <w:pStyle w:val="20"/>
        <w:snapToGrid w:val="0"/>
        <w:spacing w:line="360" w:lineRule="auto"/>
        <w:ind w:firstLine="1125" w:firstLineChars="393"/>
        <w:rPr>
          <w:rFonts w:ascii="仿宋_GB2312" w:hAnsi="宋体" w:eastAsia="仿宋_GB2312"/>
          <w:b/>
          <w:bCs/>
          <w:color w:val="auto"/>
          <w:w w:val="95"/>
          <w:sz w:val="30"/>
          <w:szCs w:val="30"/>
        </w:rPr>
      </w:pPr>
    </w:p>
    <w:p w14:paraId="3ED71A34">
      <w:pPr>
        <w:pStyle w:val="20"/>
        <w:snapToGrid w:val="0"/>
        <w:spacing w:line="360" w:lineRule="auto"/>
        <w:ind w:firstLine="1125" w:firstLineChars="393"/>
        <w:rPr>
          <w:rFonts w:ascii="仿宋_GB2312" w:hAnsi="宋体" w:eastAsia="仿宋_GB2312"/>
          <w:b/>
          <w:bCs/>
          <w:color w:val="auto"/>
          <w:w w:val="95"/>
          <w:sz w:val="30"/>
          <w:szCs w:val="30"/>
        </w:rPr>
      </w:pPr>
    </w:p>
    <w:p w14:paraId="1F047DCA">
      <w:pPr>
        <w:pStyle w:val="20"/>
        <w:snapToGrid w:val="0"/>
        <w:spacing w:line="360" w:lineRule="auto"/>
        <w:ind w:firstLine="1125" w:firstLineChars="393"/>
        <w:rPr>
          <w:rFonts w:ascii="仿宋_GB2312" w:hAnsi="宋体" w:eastAsia="仿宋_GB2312"/>
          <w:b/>
          <w:bCs/>
          <w:color w:val="auto"/>
          <w:w w:val="95"/>
          <w:sz w:val="30"/>
          <w:szCs w:val="30"/>
        </w:rPr>
      </w:pPr>
    </w:p>
    <w:p w14:paraId="29F38835">
      <w:pPr>
        <w:pStyle w:val="20"/>
        <w:snapToGrid w:val="0"/>
        <w:spacing w:line="360" w:lineRule="auto"/>
        <w:ind w:firstLine="1125" w:firstLineChars="393"/>
        <w:rPr>
          <w:rFonts w:ascii="仿宋_GB2312" w:hAnsi="宋体" w:eastAsia="仿宋_GB2312"/>
          <w:b/>
          <w:bCs/>
          <w:color w:val="auto"/>
          <w:w w:val="95"/>
          <w:sz w:val="30"/>
          <w:szCs w:val="30"/>
        </w:rPr>
      </w:pPr>
    </w:p>
    <w:p w14:paraId="78AF5CD8">
      <w:pPr>
        <w:pStyle w:val="20"/>
        <w:snapToGrid w:val="0"/>
        <w:spacing w:line="360" w:lineRule="auto"/>
        <w:ind w:firstLine="1125" w:firstLineChars="393"/>
        <w:rPr>
          <w:rFonts w:ascii="仿宋_GB2312" w:hAnsi="宋体" w:eastAsia="仿宋_GB2312"/>
          <w:b/>
          <w:bCs/>
          <w:color w:val="auto"/>
          <w:w w:val="95"/>
          <w:sz w:val="30"/>
          <w:szCs w:val="30"/>
        </w:rPr>
      </w:pPr>
    </w:p>
    <w:p w14:paraId="5307B036">
      <w:pPr>
        <w:pStyle w:val="20"/>
        <w:snapToGrid w:val="0"/>
        <w:spacing w:line="360" w:lineRule="auto"/>
        <w:jc w:val="center"/>
        <w:rPr>
          <w:rFonts w:ascii="仿宋_GB2312" w:eastAsia="仿宋_GB2312"/>
          <w:color w:val="auto"/>
          <w:szCs w:val="20"/>
        </w:rPr>
      </w:pPr>
      <w:r>
        <w:rPr>
          <w:rFonts w:ascii="仿宋_GB2312" w:hAnsi="宋体" w:eastAsia="仿宋_GB2312"/>
          <w:b/>
          <w:bCs/>
          <w:color w:val="auto"/>
          <w:w w:val="95"/>
          <w:sz w:val="30"/>
          <w:szCs w:val="30"/>
        </w:rPr>
        <w:t>202</w:t>
      </w:r>
      <w:r>
        <w:rPr>
          <w:rFonts w:hint="eastAsia" w:ascii="仿宋_GB2312" w:hAnsi="宋体" w:eastAsia="仿宋_GB2312"/>
          <w:b/>
          <w:bCs/>
          <w:color w:val="auto"/>
          <w:w w:val="95"/>
          <w:sz w:val="30"/>
          <w:szCs w:val="30"/>
        </w:rPr>
        <w:t>5年</w:t>
      </w:r>
      <w:r>
        <w:rPr>
          <w:rFonts w:hint="eastAsia" w:ascii="仿宋_GB2312" w:hAnsi="宋体" w:eastAsia="仿宋_GB2312"/>
          <w:b/>
          <w:bCs/>
          <w:color w:val="auto"/>
          <w:w w:val="95"/>
          <w:sz w:val="30"/>
          <w:szCs w:val="30"/>
          <w:lang w:val="en-US" w:eastAsia="zh-CN"/>
        </w:rPr>
        <w:t>8</w:t>
      </w:r>
      <w:r>
        <w:rPr>
          <w:rFonts w:hint="eastAsia" w:ascii="仿宋_GB2312" w:hAnsi="宋体" w:eastAsia="仿宋_GB2312"/>
          <w:b/>
          <w:bCs/>
          <w:color w:val="auto"/>
          <w:w w:val="95"/>
          <w:sz w:val="30"/>
          <w:szCs w:val="30"/>
        </w:rPr>
        <w:t>月</w:t>
      </w:r>
    </w:p>
    <w:p w14:paraId="1655EB77">
      <w:pPr>
        <w:pStyle w:val="20"/>
        <w:spacing w:before="120" w:after="120" w:line="360" w:lineRule="auto"/>
        <w:jc w:val="center"/>
        <w:rPr>
          <w:rFonts w:ascii="仿宋_GB2312" w:hAnsi="宋体" w:eastAsia="仿宋_GB2312"/>
          <w:color w:val="auto"/>
        </w:rPr>
      </w:pPr>
    </w:p>
    <w:p w14:paraId="0D6C032D">
      <w:pPr>
        <w:pStyle w:val="20"/>
        <w:tabs>
          <w:tab w:val="left" w:pos="2385"/>
          <w:tab w:val="center" w:pos="4365"/>
        </w:tabs>
        <w:spacing w:before="120" w:after="120" w:line="360" w:lineRule="auto"/>
        <w:jc w:val="left"/>
        <w:rPr>
          <w:rFonts w:ascii="仿宋_GB2312" w:hAnsi="宋体" w:eastAsia="仿宋_GB2312"/>
          <w:color w:val="auto"/>
        </w:rPr>
      </w:pPr>
      <w:r>
        <w:rPr>
          <w:rFonts w:ascii="仿宋_GB2312" w:hAnsi="宋体" w:eastAsia="仿宋_GB2312"/>
          <w:color w:val="auto"/>
        </w:rPr>
        <w:tab/>
      </w:r>
      <w:r>
        <w:rPr>
          <w:rFonts w:ascii="仿宋_GB2312" w:hAnsi="宋体" w:eastAsia="仿宋_GB2312"/>
          <w:color w:val="auto"/>
        </w:rPr>
        <w:tab/>
      </w:r>
      <w:r>
        <w:rPr>
          <w:rFonts w:ascii="仿宋_GB2312" w:hAnsi="宋体" w:eastAsia="仿宋_GB2312"/>
          <w:color w:val="auto"/>
        </w:rPr>
        <w:br w:type="page"/>
      </w:r>
    </w:p>
    <w:p w14:paraId="2F784E96">
      <w:pPr>
        <w:spacing w:line="360" w:lineRule="auto"/>
        <w:jc w:val="center"/>
        <w:rPr>
          <w:rFonts w:ascii="宋体" w:hAnsi="宋体"/>
          <w:b/>
          <w:color w:val="auto"/>
          <w:sz w:val="44"/>
          <w:szCs w:val="44"/>
        </w:rPr>
      </w:pPr>
      <w:r>
        <w:rPr>
          <w:rFonts w:hint="eastAsia" w:ascii="宋体" w:hAnsi="宋体"/>
          <w:b/>
          <w:color w:val="auto"/>
          <w:sz w:val="44"/>
          <w:szCs w:val="44"/>
        </w:rPr>
        <w:t>目  录</w:t>
      </w:r>
    </w:p>
    <w:p w14:paraId="063F9165">
      <w:pPr>
        <w:spacing w:line="400" w:lineRule="exact"/>
        <w:jc w:val="center"/>
        <w:rPr>
          <w:rFonts w:ascii="宋体" w:hAnsi="宋体"/>
          <w:b/>
          <w:color w:val="auto"/>
          <w:sz w:val="44"/>
          <w:szCs w:val="44"/>
        </w:rPr>
      </w:pPr>
    </w:p>
    <w:p w14:paraId="784A2018">
      <w:pPr>
        <w:pStyle w:val="69"/>
        <w:tabs>
          <w:tab w:val="right" w:leader="dot" w:pos="8730"/>
          <w:tab w:val="clear" w:pos="8398"/>
        </w:tabs>
        <w:spacing w:line="480" w:lineRule="auto"/>
        <w:rPr>
          <w:color w:val="auto"/>
        </w:rPr>
      </w:pPr>
      <w:r>
        <w:rPr>
          <w:rFonts w:ascii="仿宋_GB2312" w:eastAsia="仿宋_GB2312"/>
          <w:b w:val="0"/>
          <w:color w:val="auto"/>
        </w:rPr>
        <w:fldChar w:fldCharType="begin"/>
      </w:r>
      <w:r>
        <w:rPr>
          <w:rFonts w:hint="eastAsia" w:ascii="仿宋_GB2312" w:eastAsia="仿宋_GB2312"/>
          <w:b w:val="0"/>
          <w:color w:val="auto"/>
        </w:rPr>
        <w:instrText xml:space="preserve">TOC \o "1-2" \h \z \u</w:instrText>
      </w:r>
      <w:r>
        <w:rPr>
          <w:rFonts w:ascii="仿宋_GB2312" w:eastAsia="仿宋_GB2312"/>
          <w:b w:val="0"/>
          <w:color w:val="auto"/>
        </w:rPr>
        <w:fldChar w:fldCharType="separate"/>
      </w:r>
      <w:r>
        <w:rPr>
          <w:color w:val="auto"/>
        </w:rPr>
        <w:fldChar w:fldCharType="begin"/>
      </w:r>
      <w:r>
        <w:rPr>
          <w:color w:val="auto"/>
        </w:rPr>
        <w:instrText xml:space="preserve"> HYPERLINK \l "_Toc26956" </w:instrText>
      </w:r>
      <w:r>
        <w:rPr>
          <w:color w:val="auto"/>
        </w:rPr>
        <w:fldChar w:fldCharType="separate"/>
      </w:r>
      <w:r>
        <w:rPr>
          <w:rFonts w:hint="eastAsia"/>
          <w:color w:val="auto"/>
        </w:rPr>
        <w:t>第一章  招标公告</w:t>
      </w:r>
      <w:r>
        <w:rPr>
          <w:color w:val="auto"/>
        </w:rPr>
        <w:tab/>
      </w:r>
      <w:r>
        <w:rPr>
          <w:color w:val="auto"/>
        </w:rPr>
        <w:fldChar w:fldCharType="begin"/>
      </w:r>
      <w:r>
        <w:rPr>
          <w:color w:val="auto"/>
        </w:rPr>
        <w:instrText xml:space="preserve"> PAGEREF _Toc26956 \h </w:instrText>
      </w:r>
      <w:r>
        <w:rPr>
          <w:color w:val="auto"/>
        </w:rPr>
        <w:fldChar w:fldCharType="separate"/>
      </w:r>
      <w:r>
        <w:rPr>
          <w:color w:val="auto"/>
        </w:rPr>
        <w:t>3</w:t>
      </w:r>
      <w:r>
        <w:rPr>
          <w:color w:val="auto"/>
        </w:rPr>
        <w:fldChar w:fldCharType="end"/>
      </w:r>
      <w:r>
        <w:rPr>
          <w:color w:val="auto"/>
        </w:rPr>
        <w:fldChar w:fldCharType="end"/>
      </w:r>
    </w:p>
    <w:p w14:paraId="43E8B50D">
      <w:pPr>
        <w:pStyle w:val="69"/>
        <w:tabs>
          <w:tab w:val="right" w:leader="dot" w:pos="8730"/>
          <w:tab w:val="clear" w:pos="8398"/>
        </w:tabs>
        <w:spacing w:line="480" w:lineRule="auto"/>
        <w:ind w:firstLine="241"/>
        <w:rPr>
          <w:color w:val="auto"/>
        </w:rPr>
      </w:pPr>
      <w:r>
        <w:rPr>
          <w:color w:val="auto"/>
        </w:rPr>
        <w:fldChar w:fldCharType="begin"/>
      </w:r>
      <w:r>
        <w:rPr>
          <w:color w:val="auto"/>
        </w:rPr>
        <w:instrText xml:space="preserve"> HYPERLINK \l "_Toc27979" </w:instrText>
      </w:r>
      <w:r>
        <w:rPr>
          <w:color w:val="auto"/>
        </w:rPr>
        <w:fldChar w:fldCharType="separate"/>
      </w:r>
      <w:r>
        <w:rPr>
          <w:rFonts w:hint="eastAsia"/>
          <w:color w:val="auto"/>
        </w:rPr>
        <w:t>第二章  采购</w:t>
      </w:r>
      <w:bookmarkStart w:id="0" w:name="_Hlt117186116"/>
      <w:bookmarkStart w:id="1" w:name="_Hlt117186117"/>
      <w:bookmarkStart w:id="2" w:name="_Hlt136533568"/>
      <w:r>
        <w:rPr>
          <w:rFonts w:hint="eastAsia"/>
          <w:color w:val="auto"/>
        </w:rPr>
        <w:t>需</w:t>
      </w:r>
      <w:bookmarkEnd w:id="0"/>
      <w:bookmarkEnd w:id="1"/>
      <w:bookmarkEnd w:id="2"/>
      <w:bookmarkStart w:id="3" w:name="_Hlt123804813"/>
      <w:bookmarkStart w:id="4" w:name="_Hlt160794483"/>
      <w:bookmarkStart w:id="5" w:name="_Hlt136881812"/>
      <w:bookmarkStart w:id="6" w:name="_Hlt160794482"/>
      <w:bookmarkStart w:id="7" w:name="_Hlt113464974"/>
      <w:bookmarkStart w:id="8" w:name="_Hlt137572974"/>
      <w:bookmarkStart w:id="9" w:name="_Hlt113464975"/>
      <w:bookmarkStart w:id="10" w:name="_Hlt136881813"/>
      <w:bookmarkStart w:id="11" w:name="_Hlt123804812"/>
      <w:r>
        <w:rPr>
          <w:rFonts w:hint="eastAsia"/>
          <w:color w:val="auto"/>
        </w:rPr>
        <w:t>求</w:t>
      </w:r>
      <w:bookmarkEnd w:id="3"/>
      <w:bookmarkEnd w:id="4"/>
      <w:bookmarkEnd w:id="5"/>
      <w:bookmarkEnd w:id="6"/>
      <w:bookmarkEnd w:id="7"/>
      <w:bookmarkEnd w:id="8"/>
      <w:bookmarkEnd w:id="9"/>
      <w:bookmarkEnd w:id="10"/>
      <w:bookmarkEnd w:id="11"/>
      <w:r>
        <w:rPr>
          <w:color w:val="auto"/>
        </w:rPr>
        <w:tab/>
      </w:r>
      <w:r>
        <w:rPr>
          <w:color w:val="auto"/>
        </w:rPr>
        <w:fldChar w:fldCharType="begin"/>
      </w:r>
      <w:r>
        <w:rPr>
          <w:color w:val="auto"/>
        </w:rPr>
        <w:instrText xml:space="preserve"> PAGEREF _Toc27979 \h </w:instrText>
      </w:r>
      <w:r>
        <w:rPr>
          <w:color w:val="auto"/>
        </w:rPr>
        <w:fldChar w:fldCharType="separate"/>
      </w:r>
      <w:r>
        <w:rPr>
          <w:color w:val="auto"/>
        </w:rPr>
        <w:t>6</w:t>
      </w:r>
      <w:r>
        <w:rPr>
          <w:color w:val="auto"/>
        </w:rPr>
        <w:fldChar w:fldCharType="end"/>
      </w:r>
      <w:r>
        <w:rPr>
          <w:color w:val="auto"/>
        </w:rPr>
        <w:fldChar w:fldCharType="end"/>
      </w:r>
    </w:p>
    <w:p w14:paraId="65B08D7C">
      <w:pPr>
        <w:pStyle w:val="69"/>
        <w:tabs>
          <w:tab w:val="right" w:leader="dot" w:pos="8730"/>
          <w:tab w:val="clear" w:pos="8398"/>
        </w:tabs>
        <w:spacing w:line="480" w:lineRule="auto"/>
        <w:ind w:firstLine="241"/>
        <w:rPr>
          <w:color w:val="auto"/>
        </w:rPr>
      </w:pPr>
      <w:r>
        <w:rPr>
          <w:color w:val="auto"/>
        </w:rPr>
        <w:fldChar w:fldCharType="begin"/>
      </w:r>
      <w:r>
        <w:rPr>
          <w:color w:val="auto"/>
        </w:rPr>
        <w:instrText xml:space="preserve"> HYPERLINK \l "_Toc25688" </w:instrText>
      </w:r>
      <w:r>
        <w:rPr>
          <w:color w:val="auto"/>
        </w:rPr>
        <w:fldChar w:fldCharType="separate"/>
      </w:r>
      <w:r>
        <w:rPr>
          <w:rFonts w:hint="eastAsia"/>
          <w:color w:val="auto"/>
        </w:rPr>
        <w:t>第三章  投标</w:t>
      </w:r>
      <w:bookmarkStart w:id="12" w:name="_Hlt141364352"/>
      <w:bookmarkStart w:id="13" w:name="_Hlt145676419"/>
      <w:bookmarkStart w:id="14" w:name="_Hlt145676418"/>
      <w:r>
        <w:rPr>
          <w:rFonts w:hint="eastAsia"/>
          <w:color w:val="auto"/>
        </w:rPr>
        <w:t>人</w:t>
      </w:r>
      <w:bookmarkEnd w:id="12"/>
      <w:bookmarkEnd w:id="13"/>
      <w:bookmarkEnd w:id="14"/>
      <w:bookmarkStart w:id="15" w:name="_Hlt144300658"/>
      <w:bookmarkStart w:id="16" w:name="_Hlt115422054"/>
      <w:bookmarkStart w:id="17" w:name="_Hlt144300659"/>
      <w:bookmarkStart w:id="18" w:name="_Hlt136530927"/>
      <w:r>
        <w:rPr>
          <w:rFonts w:hint="eastAsia"/>
          <w:color w:val="auto"/>
        </w:rPr>
        <w:t>须</w:t>
      </w:r>
      <w:bookmarkEnd w:id="15"/>
      <w:bookmarkEnd w:id="16"/>
      <w:bookmarkEnd w:id="17"/>
      <w:bookmarkEnd w:id="18"/>
      <w:r>
        <w:rPr>
          <w:rFonts w:hint="eastAsia"/>
          <w:color w:val="auto"/>
        </w:rPr>
        <w:t>知</w:t>
      </w:r>
      <w:r>
        <w:rPr>
          <w:color w:val="auto"/>
        </w:rPr>
        <w:tab/>
      </w:r>
      <w:r>
        <w:rPr>
          <w:color w:val="auto"/>
        </w:rPr>
        <w:fldChar w:fldCharType="begin"/>
      </w:r>
      <w:r>
        <w:rPr>
          <w:color w:val="auto"/>
        </w:rPr>
        <w:instrText xml:space="preserve"> PAGEREF _Toc25688 \h </w:instrText>
      </w:r>
      <w:r>
        <w:rPr>
          <w:color w:val="auto"/>
        </w:rPr>
        <w:fldChar w:fldCharType="separate"/>
      </w:r>
      <w:r>
        <w:rPr>
          <w:color w:val="auto"/>
        </w:rPr>
        <w:t>16</w:t>
      </w:r>
      <w:r>
        <w:rPr>
          <w:color w:val="auto"/>
        </w:rPr>
        <w:fldChar w:fldCharType="end"/>
      </w:r>
      <w:r>
        <w:rPr>
          <w:color w:val="auto"/>
        </w:rPr>
        <w:fldChar w:fldCharType="end"/>
      </w:r>
    </w:p>
    <w:p w14:paraId="201DF589">
      <w:pPr>
        <w:pStyle w:val="69"/>
        <w:tabs>
          <w:tab w:val="right" w:leader="dot" w:pos="8730"/>
          <w:tab w:val="clear" w:pos="8398"/>
        </w:tabs>
        <w:spacing w:line="480" w:lineRule="auto"/>
        <w:ind w:firstLine="241"/>
        <w:rPr>
          <w:color w:val="auto"/>
        </w:rPr>
      </w:pPr>
      <w:r>
        <w:rPr>
          <w:color w:val="auto"/>
        </w:rPr>
        <w:fldChar w:fldCharType="begin"/>
      </w:r>
      <w:r>
        <w:rPr>
          <w:color w:val="auto"/>
        </w:rPr>
        <w:instrText xml:space="preserve"> HYPERLINK \l "_Toc15687" </w:instrText>
      </w:r>
      <w:r>
        <w:rPr>
          <w:color w:val="auto"/>
        </w:rPr>
        <w:fldChar w:fldCharType="separate"/>
      </w:r>
      <w:r>
        <w:rPr>
          <w:rFonts w:hint="eastAsia"/>
          <w:color w:val="auto"/>
        </w:rPr>
        <w:t>第四章  评标方法及评标标准</w:t>
      </w:r>
      <w:r>
        <w:rPr>
          <w:color w:val="auto"/>
        </w:rPr>
        <w:tab/>
      </w:r>
      <w:r>
        <w:rPr>
          <w:color w:val="auto"/>
        </w:rPr>
        <w:fldChar w:fldCharType="begin"/>
      </w:r>
      <w:r>
        <w:rPr>
          <w:color w:val="auto"/>
        </w:rPr>
        <w:instrText xml:space="preserve"> PAGEREF _Toc15687 \h </w:instrText>
      </w:r>
      <w:r>
        <w:rPr>
          <w:color w:val="auto"/>
        </w:rPr>
        <w:fldChar w:fldCharType="separate"/>
      </w:r>
      <w:r>
        <w:rPr>
          <w:color w:val="auto"/>
        </w:rPr>
        <w:t>37</w:t>
      </w:r>
      <w:r>
        <w:rPr>
          <w:color w:val="auto"/>
        </w:rPr>
        <w:fldChar w:fldCharType="end"/>
      </w:r>
      <w:r>
        <w:rPr>
          <w:color w:val="auto"/>
        </w:rPr>
        <w:fldChar w:fldCharType="end"/>
      </w:r>
    </w:p>
    <w:p w14:paraId="026A44E8">
      <w:pPr>
        <w:pStyle w:val="69"/>
        <w:tabs>
          <w:tab w:val="right" w:leader="dot" w:pos="8730"/>
          <w:tab w:val="clear" w:pos="8398"/>
        </w:tabs>
        <w:spacing w:line="480" w:lineRule="auto"/>
        <w:ind w:firstLine="241"/>
        <w:rPr>
          <w:color w:val="auto"/>
        </w:rPr>
      </w:pPr>
      <w:r>
        <w:rPr>
          <w:color w:val="auto"/>
        </w:rPr>
        <w:fldChar w:fldCharType="begin"/>
      </w:r>
      <w:r>
        <w:rPr>
          <w:color w:val="auto"/>
        </w:rPr>
        <w:instrText xml:space="preserve"> HYPERLINK \l "_Toc25250" </w:instrText>
      </w:r>
      <w:r>
        <w:rPr>
          <w:color w:val="auto"/>
        </w:rPr>
        <w:fldChar w:fldCharType="separate"/>
      </w:r>
      <w:r>
        <w:rPr>
          <w:rFonts w:hint="eastAsia"/>
          <w:color w:val="auto"/>
        </w:rPr>
        <w:t>第五章  拟签订</w:t>
      </w:r>
      <w:bookmarkStart w:id="19" w:name="_Hlt144471908"/>
      <w:bookmarkStart w:id="20" w:name="_Hlt144201230"/>
      <w:bookmarkStart w:id="21" w:name="_Hlt144201231"/>
      <w:bookmarkStart w:id="22" w:name="_Hlt142670202"/>
      <w:bookmarkStart w:id="23" w:name="_Hlt144471907"/>
      <w:r>
        <w:rPr>
          <w:rFonts w:hint="eastAsia"/>
          <w:color w:val="auto"/>
        </w:rPr>
        <w:t>的</w:t>
      </w:r>
      <w:bookmarkEnd w:id="19"/>
      <w:bookmarkEnd w:id="20"/>
      <w:bookmarkEnd w:id="21"/>
      <w:bookmarkEnd w:id="22"/>
      <w:bookmarkEnd w:id="23"/>
      <w:bookmarkStart w:id="24" w:name="_Hlt135207597"/>
      <w:bookmarkStart w:id="25" w:name="_Hlt135207598"/>
      <w:r>
        <w:rPr>
          <w:rFonts w:hint="eastAsia"/>
          <w:color w:val="auto"/>
        </w:rPr>
        <w:t>合</w:t>
      </w:r>
      <w:bookmarkEnd w:id="24"/>
      <w:bookmarkEnd w:id="25"/>
      <w:bookmarkStart w:id="26" w:name="_Hlt144322969"/>
      <w:r>
        <w:rPr>
          <w:rFonts w:hint="eastAsia"/>
          <w:color w:val="auto"/>
        </w:rPr>
        <w:t>同</w:t>
      </w:r>
      <w:bookmarkEnd w:id="26"/>
      <w:r>
        <w:rPr>
          <w:rFonts w:hint="eastAsia"/>
          <w:color w:val="auto"/>
        </w:rPr>
        <w:t>文本</w:t>
      </w:r>
      <w:r>
        <w:rPr>
          <w:color w:val="auto"/>
        </w:rPr>
        <w:tab/>
      </w:r>
      <w:r>
        <w:rPr>
          <w:color w:val="auto"/>
        </w:rPr>
        <w:fldChar w:fldCharType="begin"/>
      </w:r>
      <w:r>
        <w:rPr>
          <w:color w:val="auto"/>
        </w:rPr>
        <w:instrText xml:space="preserve"> PAGEREF _Toc25250 \h </w:instrText>
      </w:r>
      <w:r>
        <w:rPr>
          <w:color w:val="auto"/>
        </w:rPr>
        <w:fldChar w:fldCharType="separate"/>
      </w:r>
      <w:r>
        <w:rPr>
          <w:color w:val="auto"/>
        </w:rPr>
        <w:t>48</w:t>
      </w:r>
      <w:r>
        <w:rPr>
          <w:color w:val="auto"/>
        </w:rPr>
        <w:fldChar w:fldCharType="end"/>
      </w:r>
      <w:r>
        <w:rPr>
          <w:color w:val="auto"/>
        </w:rPr>
        <w:fldChar w:fldCharType="end"/>
      </w:r>
    </w:p>
    <w:p w14:paraId="3C7748B1">
      <w:pPr>
        <w:pStyle w:val="69"/>
        <w:tabs>
          <w:tab w:val="right" w:leader="dot" w:pos="8730"/>
          <w:tab w:val="clear" w:pos="8398"/>
        </w:tabs>
        <w:spacing w:line="480" w:lineRule="auto"/>
        <w:ind w:firstLine="241"/>
        <w:rPr>
          <w:color w:val="auto"/>
        </w:rPr>
      </w:pPr>
      <w:r>
        <w:rPr>
          <w:color w:val="auto"/>
        </w:rPr>
        <w:fldChar w:fldCharType="begin"/>
      </w:r>
      <w:r>
        <w:rPr>
          <w:color w:val="auto"/>
        </w:rPr>
        <w:instrText xml:space="preserve"> HYPERLINK \l "_Toc25289" </w:instrText>
      </w:r>
      <w:r>
        <w:rPr>
          <w:color w:val="auto"/>
        </w:rPr>
        <w:fldChar w:fldCharType="separate"/>
      </w:r>
      <w:r>
        <w:rPr>
          <w:rFonts w:hint="eastAsia"/>
          <w:color w:val="auto"/>
        </w:rPr>
        <w:t>第六章　投标文件格式</w:t>
      </w:r>
      <w:r>
        <w:rPr>
          <w:color w:val="auto"/>
        </w:rPr>
        <w:tab/>
      </w:r>
      <w:r>
        <w:rPr>
          <w:color w:val="auto"/>
        </w:rPr>
        <w:fldChar w:fldCharType="begin"/>
      </w:r>
      <w:r>
        <w:rPr>
          <w:color w:val="auto"/>
        </w:rPr>
        <w:instrText xml:space="preserve"> PAGEREF _Toc25289 \h </w:instrText>
      </w:r>
      <w:r>
        <w:rPr>
          <w:color w:val="auto"/>
        </w:rPr>
        <w:fldChar w:fldCharType="separate"/>
      </w:r>
      <w:r>
        <w:rPr>
          <w:color w:val="auto"/>
        </w:rPr>
        <w:t>53</w:t>
      </w:r>
      <w:r>
        <w:rPr>
          <w:color w:val="auto"/>
        </w:rPr>
        <w:fldChar w:fldCharType="end"/>
      </w:r>
      <w:r>
        <w:rPr>
          <w:color w:val="auto"/>
        </w:rPr>
        <w:fldChar w:fldCharType="end"/>
      </w:r>
    </w:p>
    <w:p w14:paraId="627C1576">
      <w:pPr>
        <w:tabs>
          <w:tab w:val="right" w:leader="dot" w:pos="8789"/>
        </w:tabs>
        <w:snapToGrid w:val="0"/>
        <w:spacing w:line="480" w:lineRule="auto"/>
        <w:rPr>
          <w:rFonts w:ascii="仿宋_GB2312" w:hAnsi="宋体" w:eastAsia="仿宋_GB2312"/>
          <w:color w:val="auto"/>
          <w:sz w:val="24"/>
        </w:rPr>
      </w:pPr>
      <w:r>
        <w:rPr>
          <w:rFonts w:ascii="仿宋_GB2312" w:hAnsi="宋体" w:eastAsia="仿宋_GB2312"/>
          <w:color w:val="auto"/>
        </w:rPr>
        <w:fldChar w:fldCharType="end"/>
      </w:r>
    </w:p>
    <w:p w14:paraId="1F11BCC9">
      <w:pPr>
        <w:spacing w:beforeLines="50" w:line="480" w:lineRule="exact"/>
        <w:rPr>
          <w:rFonts w:ascii="仿宋_GB2312" w:hAnsi="宋体" w:eastAsia="仿宋_GB2312"/>
          <w:color w:val="auto"/>
          <w:sz w:val="30"/>
        </w:rPr>
      </w:pPr>
    </w:p>
    <w:p w14:paraId="3FA381C8">
      <w:pPr>
        <w:rPr>
          <w:color w:val="auto"/>
        </w:rPr>
      </w:pPr>
    </w:p>
    <w:p w14:paraId="2A751A43">
      <w:pPr>
        <w:spacing w:beforeLines="50" w:line="480" w:lineRule="exact"/>
        <w:rPr>
          <w:rFonts w:ascii="仿宋_GB2312" w:hAnsi="宋体" w:eastAsia="仿宋_GB2312"/>
          <w:color w:val="auto"/>
          <w:sz w:val="30"/>
        </w:rPr>
      </w:pPr>
    </w:p>
    <w:p w14:paraId="5A97B7EC">
      <w:pPr>
        <w:spacing w:beforeLines="50" w:line="480" w:lineRule="exact"/>
        <w:rPr>
          <w:rFonts w:ascii="仿宋_GB2312" w:hAnsi="宋体" w:eastAsia="仿宋_GB2312"/>
          <w:color w:val="auto"/>
          <w:sz w:val="30"/>
        </w:rPr>
      </w:pPr>
    </w:p>
    <w:p w14:paraId="539EAAE5">
      <w:pPr>
        <w:pStyle w:val="15"/>
        <w:rPr>
          <w:rFonts w:ascii="宋体" w:hAnsi="宋体" w:cs="宋体"/>
          <w:b/>
          <w:bCs/>
          <w:color w:val="auto"/>
        </w:rPr>
      </w:pPr>
      <w:bookmarkStart w:id="27" w:name="_Toc254970630"/>
      <w:bookmarkStart w:id="28" w:name="_Toc254970489"/>
    </w:p>
    <w:p w14:paraId="2EC3C1F8">
      <w:pPr>
        <w:pStyle w:val="3"/>
        <w:keepNext w:val="0"/>
        <w:keepLines w:val="0"/>
        <w:tabs>
          <w:tab w:val="left" w:pos="0"/>
          <w:tab w:val="left" w:pos="3165"/>
          <w:tab w:val="center" w:pos="4153"/>
        </w:tabs>
        <w:autoSpaceDE w:val="0"/>
        <w:autoSpaceDN w:val="0"/>
        <w:adjustRightInd w:val="0"/>
        <w:spacing w:before="0" w:after="0" w:line="360" w:lineRule="auto"/>
        <w:jc w:val="center"/>
        <w:rPr>
          <w:color w:val="auto"/>
        </w:rPr>
      </w:pPr>
      <w:r>
        <w:rPr>
          <w:rFonts w:ascii="宋体" w:hAnsi="宋体" w:cs="宋体"/>
          <w:b w:val="0"/>
          <w:bCs w:val="0"/>
          <w:color w:val="auto"/>
        </w:rPr>
        <w:br w:type="page"/>
      </w:r>
      <w:bookmarkStart w:id="29" w:name="_Toc26956"/>
      <w:r>
        <w:rPr>
          <w:rFonts w:hint="eastAsia"/>
          <w:color w:val="auto"/>
        </w:rPr>
        <w:t>第一章</w:t>
      </w:r>
      <w:bookmarkEnd w:id="27"/>
      <w:bookmarkEnd w:id="28"/>
      <w:bookmarkStart w:id="30" w:name="_Toc28359001"/>
      <w:bookmarkStart w:id="31" w:name="_Toc35393789"/>
      <w:r>
        <w:rPr>
          <w:rFonts w:hint="eastAsia"/>
          <w:color w:val="auto"/>
        </w:rPr>
        <w:t>招标公告</w:t>
      </w:r>
      <w:bookmarkEnd w:id="29"/>
      <w:bookmarkEnd w:id="30"/>
      <w:bookmarkEnd w:id="31"/>
    </w:p>
    <w:p w14:paraId="06680317">
      <w:pPr>
        <w:spacing w:line="360" w:lineRule="auto"/>
        <w:rPr>
          <w:rFonts w:ascii="宋体" w:hAnsi="宋体"/>
          <w:color w:val="auto"/>
          <w:szCs w:val="21"/>
        </w:rPr>
      </w:pPr>
    </w:p>
    <w:p w14:paraId="61AFA62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14:paraId="50CA6D7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2025年河池市农村公路路况自动化检测</w:t>
      </w:r>
      <w:r>
        <w:rPr>
          <w:rFonts w:hint="eastAsia" w:ascii="宋体" w:hAnsi="宋体"/>
          <w:color w:val="auto"/>
          <w:szCs w:val="21"/>
          <w:u w:val="none"/>
        </w:rPr>
        <w:t>项目</w:t>
      </w:r>
      <w:r>
        <w:rPr>
          <w:rFonts w:hint="eastAsia" w:ascii="宋体" w:hAnsi="宋体"/>
          <w:color w:val="auto"/>
          <w:szCs w:val="21"/>
        </w:rPr>
        <w:t>的潜在投标人应在广西政府采购云平台（https://www.gcy.zfcg.gxzf.gov.cn/）获取（下载）招标文件，并于</w:t>
      </w:r>
      <w:r>
        <w:rPr>
          <w:rFonts w:ascii="宋体" w:hAnsi="宋体"/>
          <w:color w:val="auto"/>
          <w:szCs w:val="21"/>
          <w:u w:val="single"/>
        </w:rPr>
        <w:t>2025年</w:t>
      </w:r>
      <w:r>
        <w:rPr>
          <w:rFonts w:hint="eastAsia" w:ascii="宋体" w:hAnsi="宋体"/>
          <w:bCs/>
          <w:color w:val="auto"/>
          <w:szCs w:val="21"/>
          <w:u w:val="single"/>
          <w:lang w:val="en-US" w:eastAsia="zh-CN"/>
        </w:rPr>
        <w:t>8</w:t>
      </w:r>
      <w:r>
        <w:rPr>
          <w:rFonts w:hint="eastAsia" w:ascii="宋体" w:hAnsi="宋体"/>
          <w:bCs/>
          <w:color w:val="auto"/>
          <w:szCs w:val="21"/>
          <w:u w:val="single"/>
        </w:rPr>
        <w:t>月</w:t>
      </w:r>
      <w:r>
        <w:rPr>
          <w:rFonts w:hint="eastAsia" w:ascii="宋体" w:hAnsi="宋体"/>
          <w:bCs/>
          <w:color w:val="auto"/>
          <w:szCs w:val="21"/>
          <w:u w:val="single"/>
          <w:lang w:val="en-US" w:eastAsia="zh-CN"/>
        </w:rPr>
        <w:t>25</w:t>
      </w:r>
      <w:r>
        <w:rPr>
          <w:rFonts w:hint="eastAsia" w:ascii="宋体" w:hAnsi="宋体"/>
          <w:bCs/>
          <w:color w:val="auto"/>
          <w:szCs w:val="21"/>
          <w:u w:val="single"/>
        </w:rPr>
        <w:t>日</w:t>
      </w:r>
      <w:r>
        <w:rPr>
          <w:rFonts w:hint="eastAsia" w:ascii="宋体" w:hAnsi="宋体"/>
          <w:bCs/>
          <w:color w:val="auto"/>
          <w:szCs w:val="21"/>
          <w:u w:val="single"/>
          <w:lang w:val="en-US" w:eastAsia="zh-CN"/>
        </w:rPr>
        <w:t>10</w:t>
      </w:r>
      <w:r>
        <w:rPr>
          <w:rFonts w:ascii="宋体" w:hAnsi="宋体"/>
          <w:bCs/>
          <w:color w:val="auto"/>
          <w:szCs w:val="21"/>
          <w:u w:val="single"/>
        </w:rPr>
        <w:t>时</w:t>
      </w:r>
      <w:r>
        <w:rPr>
          <w:rFonts w:hint="eastAsia" w:ascii="宋体" w:hAnsi="宋体"/>
          <w:bCs/>
          <w:color w:val="auto"/>
          <w:szCs w:val="21"/>
          <w:u w:val="single"/>
          <w:lang w:val="en-US" w:eastAsia="zh-CN"/>
        </w:rPr>
        <w:t>00</w:t>
      </w:r>
      <w:r>
        <w:rPr>
          <w:rFonts w:ascii="宋体" w:hAnsi="宋体"/>
          <w:bCs/>
          <w:color w:val="auto"/>
          <w:szCs w:val="21"/>
          <w:u w:val="single"/>
        </w:rPr>
        <w:t>分</w:t>
      </w:r>
      <w:r>
        <w:rPr>
          <w:rFonts w:hint="eastAsia" w:ascii="宋体" w:hAnsi="宋体"/>
          <w:bCs/>
          <w:color w:val="auto"/>
          <w:szCs w:val="21"/>
          <w:u w:val="single"/>
        </w:rPr>
        <w:t>（</w:t>
      </w:r>
      <w:r>
        <w:rPr>
          <w:rFonts w:hint="eastAsia" w:ascii="宋体" w:hAnsi="宋体"/>
          <w:bCs/>
          <w:color w:val="auto"/>
          <w:szCs w:val="21"/>
        </w:rPr>
        <w:t>北京时间）前按要求递交（上传）投标</w:t>
      </w:r>
      <w:r>
        <w:rPr>
          <w:rFonts w:ascii="宋体" w:hAnsi="宋体"/>
          <w:bCs/>
          <w:color w:val="auto"/>
          <w:szCs w:val="21"/>
        </w:rPr>
        <w:t>文件</w:t>
      </w:r>
      <w:r>
        <w:rPr>
          <w:rFonts w:hint="eastAsia" w:ascii="宋体" w:hAnsi="宋体"/>
          <w:color w:val="auto"/>
          <w:szCs w:val="21"/>
        </w:rPr>
        <w:t>。</w:t>
      </w:r>
    </w:p>
    <w:p w14:paraId="383B4FD3">
      <w:pPr>
        <w:spacing w:line="360" w:lineRule="auto"/>
        <w:rPr>
          <w:rFonts w:ascii="宋体" w:hAnsi="宋体"/>
          <w:color w:val="auto"/>
          <w:szCs w:val="21"/>
        </w:rPr>
      </w:pPr>
    </w:p>
    <w:p w14:paraId="5A1FA37B">
      <w:pPr>
        <w:spacing w:line="360" w:lineRule="auto"/>
        <w:rPr>
          <w:rFonts w:ascii="黑体" w:hAnsi="黑体" w:eastAsia="黑体"/>
          <w:b/>
          <w:bCs/>
          <w:color w:val="auto"/>
          <w:sz w:val="24"/>
        </w:rPr>
      </w:pPr>
      <w:bookmarkStart w:id="32" w:name="_Toc28359002"/>
      <w:bookmarkStart w:id="33" w:name="_Toc35393790"/>
      <w:bookmarkStart w:id="34" w:name="_Toc35393621"/>
      <w:bookmarkStart w:id="35" w:name="_Toc28359079"/>
      <w:bookmarkStart w:id="36" w:name="_Hlk24379207"/>
      <w:r>
        <w:rPr>
          <w:rFonts w:hint="eastAsia" w:ascii="黑体" w:hAnsi="黑体" w:eastAsia="黑体"/>
          <w:b/>
          <w:bCs/>
          <w:color w:val="auto"/>
          <w:sz w:val="24"/>
        </w:rPr>
        <w:t>一、项目基本情况</w:t>
      </w:r>
      <w:bookmarkEnd w:id="32"/>
      <w:bookmarkEnd w:id="33"/>
      <w:bookmarkEnd w:id="34"/>
      <w:bookmarkEnd w:id="35"/>
    </w:p>
    <w:bookmarkEnd w:id="36"/>
    <w:p w14:paraId="75C1567C">
      <w:pPr>
        <w:spacing w:line="360" w:lineRule="auto"/>
        <w:ind w:firstLine="420" w:firstLineChars="200"/>
        <w:rPr>
          <w:rFonts w:ascii="宋体" w:hAnsi="宋体"/>
          <w:color w:val="auto"/>
          <w:szCs w:val="21"/>
        </w:rPr>
      </w:pPr>
      <w:r>
        <w:rPr>
          <w:rFonts w:hint="eastAsia" w:ascii="宋体" w:hAnsi="宋体"/>
          <w:color w:val="auto"/>
          <w:szCs w:val="21"/>
        </w:rPr>
        <w:t>项目编号：HCZC2025-G3-990115-HSGS</w:t>
      </w:r>
    </w:p>
    <w:p w14:paraId="69F0F062">
      <w:pPr>
        <w:spacing w:line="360" w:lineRule="auto"/>
        <w:ind w:firstLine="420" w:firstLineChars="200"/>
        <w:rPr>
          <w:rFonts w:ascii="宋体" w:hAnsi="宋体"/>
          <w:strike/>
          <w:dstrike w:val="0"/>
          <w:color w:val="auto"/>
          <w:szCs w:val="21"/>
        </w:rPr>
      </w:pPr>
      <w:r>
        <w:rPr>
          <w:rFonts w:hint="eastAsia" w:ascii="宋体" w:hAnsi="宋体"/>
          <w:color w:val="auto"/>
          <w:szCs w:val="21"/>
        </w:rPr>
        <w:t>项目名称：2025年河池市农村公路路况自动化检测</w:t>
      </w:r>
    </w:p>
    <w:p w14:paraId="45108699">
      <w:pPr>
        <w:spacing w:line="360" w:lineRule="auto"/>
        <w:ind w:firstLine="420" w:firstLineChars="200"/>
        <w:rPr>
          <w:rFonts w:ascii="宋体" w:hAnsi="宋体"/>
          <w:color w:val="auto"/>
          <w:szCs w:val="21"/>
          <w:u w:val="none"/>
        </w:rPr>
      </w:pPr>
      <w:r>
        <w:rPr>
          <w:rFonts w:hint="eastAsia" w:ascii="宋体" w:hAnsi="宋体"/>
          <w:color w:val="auto"/>
          <w:szCs w:val="21"/>
        </w:rPr>
        <w:t>预算金额：</w:t>
      </w:r>
      <w:r>
        <w:rPr>
          <w:rFonts w:hint="eastAsia" w:ascii="宋体" w:hAnsi="宋体"/>
          <w:color w:val="auto"/>
          <w:szCs w:val="21"/>
          <w:u w:val="none"/>
          <w:lang w:val="en-US" w:eastAsia="zh-CN"/>
        </w:rPr>
        <w:t>380</w:t>
      </w:r>
      <w:r>
        <w:rPr>
          <w:rFonts w:hint="eastAsia" w:ascii="宋体" w:hAnsi="宋体"/>
          <w:color w:val="auto"/>
          <w:szCs w:val="21"/>
          <w:u w:val="none"/>
        </w:rPr>
        <w:t>万元</w:t>
      </w:r>
    </w:p>
    <w:p w14:paraId="3D90B407">
      <w:pPr>
        <w:spacing w:line="360" w:lineRule="auto"/>
        <w:ind w:firstLine="420" w:firstLineChars="200"/>
        <w:rPr>
          <w:rFonts w:ascii="宋体" w:hAnsi="宋体"/>
          <w:color w:val="auto"/>
          <w:szCs w:val="21"/>
        </w:rPr>
      </w:pPr>
      <w:r>
        <w:rPr>
          <w:rFonts w:hint="eastAsia" w:ascii="宋体" w:hAnsi="宋体"/>
          <w:color w:val="auto"/>
          <w:szCs w:val="21"/>
        </w:rPr>
        <w:t>最高限价：</w:t>
      </w:r>
      <w:r>
        <w:rPr>
          <w:rFonts w:hint="eastAsia" w:ascii="宋体" w:hAnsi="宋体"/>
          <w:color w:val="auto"/>
          <w:szCs w:val="21"/>
          <w:u w:val="none"/>
          <w:lang w:val="en-US" w:eastAsia="zh-CN"/>
        </w:rPr>
        <w:t>380</w:t>
      </w:r>
      <w:r>
        <w:rPr>
          <w:rFonts w:hint="eastAsia" w:ascii="宋体" w:hAnsi="宋体"/>
          <w:color w:val="auto"/>
          <w:szCs w:val="21"/>
          <w:u w:val="none"/>
        </w:rPr>
        <w:t>万元</w:t>
      </w:r>
    </w:p>
    <w:p w14:paraId="4BD8C7BC">
      <w:pPr>
        <w:spacing w:line="360" w:lineRule="auto"/>
        <w:ind w:firstLine="420" w:firstLineChars="200"/>
        <w:rPr>
          <w:rFonts w:hint="eastAsia" w:ascii="宋体" w:hAnsi="宋体"/>
          <w:color w:val="auto"/>
          <w:szCs w:val="21"/>
          <w:lang w:eastAsia="zh-CN"/>
        </w:rPr>
      </w:pPr>
      <w:r>
        <w:rPr>
          <w:rFonts w:hint="eastAsia" w:ascii="宋体" w:hAnsi="宋体"/>
          <w:color w:val="auto"/>
          <w:szCs w:val="21"/>
        </w:rPr>
        <w:t>采购需求：2025年河池市农村公路路况自动化检测</w:t>
      </w:r>
      <w:r>
        <w:rPr>
          <w:rFonts w:hint="eastAsia" w:ascii="宋体" w:hAnsi="宋体"/>
          <w:color w:val="auto"/>
          <w:szCs w:val="21"/>
          <w:lang w:val="en-US" w:eastAsia="zh-CN"/>
        </w:rPr>
        <w:t>1</w:t>
      </w:r>
      <w:r>
        <w:rPr>
          <w:rFonts w:hint="eastAsia" w:ascii="宋体" w:hAnsi="宋体"/>
          <w:color w:val="auto"/>
          <w:szCs w:val="21"/>
        </w:rPr>
        <w:t>项</w:t>
      </w:r>
      <w:r>
        <w:rPr>
          <w:rFonts w:hint="eastAsia" w:ascii="宋体" w:hAnsi="宋体"/>
          <w:color w:val="auto"/>
          <w:szCs w:val="21"/>
          <w:lang w:eastAsia="zh-CN"/>
        </w:rPr>
        <w:t>，</w:t>
      </w:r>
      <w:r>
        <w:rPr>
          <w:rFonts w:hint="eastAsia" w:ascii="宋体" w:hAnsi="宋体"/>
          <w:color w:val="auto"/>
          <w:szCs w:val="21"/>
          <w:lang w:val="en-US" w:eastAsia="zh-CN"/>
        </w:rPr>
        <w:t xml:space="preserve">如需进一步了解详细内容，详见 </w:t>
      </w:r>
    </w:p>
    <w:p w14:paraId="549B5446">
      <w:pPr>
        <w:spacing w:line="360" w:lineRule="auto"/>
        <w:rPr>
          <w:rFonts w:hint="eastAsia" w:ascii="宋体" w:hAnsi="宋体" w:eastAsia="宋体"/>
          <w:color w:val="auto"/>
          <w:szCs w:val="21"/>
          <w:lang w:eastAsia="zh-CN"/>
        </w:rPr>
      </w:pPr>
      <w:r>
        <w:rPr>
          <w:rFonts w:hint="eastAsia" w:ascii="宋体" w:hAnsi="宋体"/>
          <w:color w:val="auto"/>
          <w:szCs w:val="21"/>
          <w:lang w:val="en-US" w:eastAsia="zh-CN"/>
        </w:rPr>
        <w:t>招标文件。</w:t>
      </w:r>
    </w:p>
    <w:p w14:paraId="78F930E7">
      <w:pPr>
        <w:spacing w:line="360" w:lineRule="auto"/>
        <w:ind w:firstLine="420" w:firstLineChars="200"/>
        <w:rPr>
          <w:rFonts w:ascii="宋体" w:hAnsi="宋体"/>
          <w:color w:val="auto"/>
          <w:szCs w:val="21"/>
        </w:rPr>
      </w:pPr>
      <w:r>
        <w:rPr>
          <w:rFonts w:hint="eastAsia" w:ascii="宋体" w:hAnsi="宋体"/>
          <w:color w:val="auto"/>
          <w:szCs w:val="21"/>
        </w:rPr>
        <w:t>合同履行期限：</w:t>
      </w:r>
      <w:r>
        <w:rPr>
          <w:rFonts w:hint="eastAsia" w:ascii="宋体" w:hAnsi="宋体"/>
          <w:color w:val="auto"/>
          <w:szCs w:val="21"/>
          <w:highlight w:val="none"/>
          <w:lang w:val="en-US" w:eastAsia="zh-CN"/>
        </w:rPr>
        <w:t>自合同签订之日起至 2025年10月31日前提交检测报告</w:t>
      </w:r>
      <w:r>
        <w:rPr>
          <w:rFonts w:hint="eastAsia" w:ascii="宋体" w:hAnsi="宋体"/>
          <w:color w:val="auto"/>
          <w:szCs w:val="21"/>
          <w:highlight w:val="none"/>
        </w:rPr>
        <w:t>。</w:t>
      </w:r>
    </w:p>
    <w:p w14:paraId="243F3894">
      <w:pPr>
        <w:spacing w:line="360" w:lineRule="auto"/>
        <w:ind w:firstLine="420" w:firstLineChars="200"/>
        <w:rPr>
          <w:rFonts w:ascii="宋体" w:hAnsi="宋体"/>
          <w:b/>
          <w:color w:val="auto"/>
          <w:szCs w:val="21"/>
        </w:rPr>
      </w:pPr>
      <w:r>
        <w:rPr>
          <w:rFonts w:hint="eastAsia" w:ascii="宋体" w:hAnsi="宋体"/>
          <w:color w:val="auto"/>
          <w:szCs w:val="21"/>
        </w:rPr>
        <w:t>本项目（是</w:t>
      </w:r>
      <w:r>
        <w:rPr>
          <w:rFonts w:ascii="宋体" w:hAnsi="宋体"/>
          <w:color w:val="auto"/>
          <w:szCs w:val="21"/>
        </w:rPr>
        <w:t>/</w:t>
      </w:r>
      <w:r>
        <w:rPr>
          <w:rFonts w:ascii="宋体" w:hAnsi="宋体"/>
          <w:color w:val="auto"/>
          <w:szCs w:val="21"/>
        </w:rPr>
        <w:sym w:font="Wingdings" w:char="00FE"/>
      </w:r>
      <w:r>
        <w:rPr>
          <w:rFonts w:ascii="宋体" w:hAnsi="宋体"/>
          <w:b/>
          <w:color w:val="auto"/>
          <w:szCs w:val="21"/>
        </w:rPr>
        <w:t>否</w:t>
      </w:r>
      <w:r>
        <w:rPr>
          <w:rFonts w:hint="eastAsia" w:ascii="宋体" w:hAnsi="宋体"/>
          <w:color w:val="auto"/>
          <w:szCs w:val="21"/>
        </w:rPr>
        <w:t>）接受联合体投标。</w:t>
      </w:r>
      <w:r>
        <w:rPr>
          <w:rFonts w:hint="eastAsia" w:ascii="宋体" w:hAnsi="宋体"/>
          <w:b/>
          <w:color w:val="auto"/>
          <w:szCs w:val="21"/>
        </w:rPr>
        <w:t xml:space="preserve">  </w:t>
      </w:r>
    </w:p>
    <w:p w14:paraId="5DF0BB77">
      <w:pPr>
        <w:spacing w:line="360" w:lineRule="auto"/>
        <w:rPr>
          <w:rFonts w:ascii="黑体" w:hAnsi="黑体" w:eastAsia="黑体"/>
          <w:b/>
          <w:bCs/>
          <w:color w:val="auto"/>
          <w:sz w:val="24"/>
        </w:rPr>
      </w:pPr>
      <w:bookmarkStart w:id="37" w:name="_Toc35393622"/>
      <w:bookmarkStart w:id="38" w:name="_Toc35393791"/>
      <w:bookmarkStart w:id="39" w:name="_Toc28359003"/>
      <w:bookmarkStart w:id="40" w:name="_Toc28359080"/>
      <w:r>
        <w:rPr>
          <w:rFonts w:hint="eastAsia" w:ascii="黑体" w:hAnsi="黑体" w:eastAsia="黑体"/>
          <w:b/>
          <w:bCs/>
          <w:color w:val="auto"/>
          <w:sz w:val="24"/>
        </w:rPr>
        <w:t>二、申请人的资格要求：</w:t>
      </w:r>
      <w:bookmarkEnd w:id="37"/>
      <w:bookmarkEnd w:id="38"/>
      <w:bookmarkEnd w:id="39"/>
      <w:bookmarkEnd w:id="40"/>
    </w:p>
    <w:p w14:paraId="08D4C859">
      <w:pPr>
        <w:spacing w:line="360" w:lineRule="auto"/>
        <w:ind w:firstLine="420" w:firstLineChars="200"/>
        <w:rPr>
          <w:rFonts w:ascii="宋体" w:hAnsi="宋体"/>
          <w:color w:val="auto"/>
          <w:szCs w:val="21"/>
        </w:rPr>
      </w:pPr>
      <w:bookmarkStart w:id="41" w:name="_Hlk51746371"/>
      <w:bookmarkStart w:id="42" w:name="_Toc28359081"/>
      <w:bookmarkStart w:id="43" w:name="_Toc35393623"/>
      <w:bookmarkStart w:id="44" w:name="_Toc28359004"/>
      <w:bookmarkStart w:id="45" w:name="_Toc35393792"/>
      <w:r>
        <w:rPr>
          <w:rFonts w:hint="eastAsia" w:ascii="宋体" w:hAnsi="宋体"/>
          <w:color w:val="auto"/>
          <w:szCs w:val="21"/>
        </w:rPr>
        <w:t>1.满足《中华人民共和国政府采购法》第二十二条规定；</w:t>
      </w:r>
    </w:p>
    <w:p w14:paraId="0F19E66B">
      <w:pPr>
        <w:spacing w:line="360" w:lineRule="auto"/>
        <w:ind w:firstLine="420" w:firstLineChars="200"/>
        <w:rPr>
          <w:rFonts w:hint="eastAsia" w:ascii="宋体" w:hAnsi="宋体" w:eastAsia="宋体"/>
          <w:color w:val="auto"/>
          <w:szCs w:val="21"/>
          <w:lang w:val="en-US" w:eastAsia="zh-CN"/>
        </w:rPr>
      </w:pPr>
      <w:r>
        <w:rPr>
          <w:rFonts w:ascii="宋体" w:hAnsi="宋体"/>
          <w:color w:val="auto"/>
          <w:szCs w:val="21"/>
        </w:rPr>
        <w:t>2</w:t>
      </w:r>
      <w:r>
        <w:rPr>
          <w:rFonts w:hint="eastAsia" w:ascii="宋体" w:hAnsi="宋体"/>
          <w:color w:val="auto"/>
          <w:szCs w:val="21"/>
        </w:rPr>
        <w:t>.落实政府采购政策需满足的资格要求：</w:t>
      </w:r>
      <w:r>
        <w:rPr>
          <w:rFonts w:hint="eastAsia" w:ascii="宋体" w:hAnsi="宋体"/>
          <w:color w:val="auto"/>
          <w:szCs w:val="21"/>
          <w:lang w:val="en-US" w:eastAsia="zh-CN"/>
        </w:rPr>
        <w:t>无；</w:t>
      </w:r>
    </w:p>
    <w:p w14:paraId="6BD123FB">
      <w:pPr>
        <w:spacing w:line="360" w:lineRule="auto"/>
        <w:ind w:firstLine="420" w:firstLineChars="200"/>
        <w:rPr>
          <w:rFonts w:ascii="宋体" w:hAnsi="宋体"/>
          <w:color w:val="auto"/>
          <w:szCs w:val="21"/>
        </w:rPr>
      </w:pPr>
      <w:r>
        <w:rPr>
          <w:rFonts w:hint="eastAsia" w:ascii="宋体" w:hAnsi="宋体"/>
          <w:color w:val="auto"/>
          <w:szCs w:val="21"/>
        </w:rPr>
        <w:t>3.本项目的特定资格要求：</w:t>
      </w:r>
    </w:p>
    <w:p w14:paraId="1C5D2C0D">
      <w:pPr>
        <w:spacing w:line="360" w:lineRule="auto"/>
        <w:ind w:firstLine="420" w:firstLineChars="200"/>
        <w:rPr>
          <w:rFonts w:ascii="宋体" w:hAnsi="宋体"/>
          <w:color w:val="auto"/>
          <w:szCs w:val="21"/>
        </w:rPr>
      </w:pPr>
      <w:r>
        <w:rPr>
          <w:rFonts w:hint="eastAsia"/>
          <w:color w:val="auto"/>
          <w:szCs w:val="21"/>
          <w:lang w:val="en-US" w:eastAsia="zh-CN"/>
        </w:rPr>
        <w:t xml:space="preserve"> 投标人须</w:t>
      </w:r>
      <w:r>
        <w:rPr>
          <w:rFonts w:hint="eastAsia"/>
          <w:color w:val="auto"/>
          <w:szCs w:val="21"/>
          <w:highlight w:val="none"/>
        </w:rPr>
        <w:t>具备有效的公路水运工程试验检测机构等级证书（公路工程综合乙级</w:t>
      </w:r>
      <w:r>
        <w:rPr>
          <w:rFonts w:hint="eastAsia"/>
          <w:color w:val="auto"/>
          <w:szCs w:val="21"/>
          <w:highlight w:val="none"/>
          <w:lang w:val="en-US" w:eastAsia="zh-CN"/>
        </w:rPr>
        <w:t>或以上</w:t>
      </w:r>
      <w:r>
        <w:rPr>
          <w:rFonts w:hint="eastAsia"/>
          <w:color w:val="auto"/>
          <w:szCs w:val="21"/>
          <w:highlight w:val="none"/>
        </w:rPr>
        <w:t>）</w:t>
      </w:r>
      <w:r>
        <w:rPr>
          <w:rFonts w:hint="eastAsia"/>
          <w:color w:val="auto"/>
          <w:szCs w:val="21"/>
          <w:highlight w:val="none"/>
          <w:lang w:val="en-US" w:eastAsia="zh-CN"/>
        </w:rPr>
        <w:t>或</w:t>
      </w:r>
      <w:r>
        <w:rPr>
          <w:rFonts w:hint="eastAsia"/>
          <w:color w:val="auto"/>
          <w:szCs w:val="21"/>
          <w:highlight w:val="none"/>
        </w:rPr>
        <w:t>公路水运工程质量检测机构资质证书（公路工程乙级</w:t>
      </w:r>
      <w:r>
        <w:rPr>
          <w:rFonts w:hint="eastAsia"/>
          <w:color w:val="auto"/>
          <w:szCs w:val="21"/>
          <w:highlight w:val="none"/>
          <w:lang w:val="en-US" w:eastAsia="zh-CN"/>
        </w:rPr>
        <w:t>或以上</w:t>
      </w:r>
      <w:r>
        <w:rPr>
          <w:rFonts w:hint="eastAsia"/>
          <w:color w:val="auto"/>
          <w:szCs w:val="21"/>
          <w:highlight w:val="none"/>
        </w:rPr>
        <w:t>）</w:t>
      </w:r>
      <w:r>
        <w:rPr>
          <w:rFonts w:hint="eastAsia"/>
          <w:color w:val="auto"/>
          <w:szCs w:val="21"/>
          <w:lang w:val="en-US" w:eastAsia="zh-CN"/>
        </w:rPr>
        <w:t>，同时</w:t>
      </w:r>
      <w:r>
        <w:rPr>
          <w:rFonts w:hint="eastAsia"/>
          <w:color w:val="auto"/>
          <w:szCs w:val="21"/>
        </w:rPr>
        <w:t>具备有效的 CMA 计量认证合格证书（证书需涵盖本项目所涉及的所有检测参数）。</w:t>
      </w:r>
    </w:p>
    <w:bookmarkEnd w:id="41"/>
    <w:p w14:paraId="490EFBC8">
      <w:pPr>
        <w:spacing w:line="360" w:lineRule="auto"/>
        <w:rPr>
          <w:rFonts w:ascii="黑体" w:hAnsi="黑体" w:eastAsia="黑体"/>
          <w:b/>
          <w:bCs/>
          <w:color w:val="auto"/>
          <w:sz w:val="24"/>
        </w:rPr>
      </w:pPr>
      <w:r>
        <w:rPr>
          <w:rFonts w:hint="eastAsia" w:ascii="黑体" w:hAnsi="黑体" w:eastAsia="黑体"/>
          <w:b/>
          <w:bCs/>
          <w:color w:val="auto"/>
          <w:sz w:val="24"/>
        </w:rPr>
        <w:t>三、获取招标文件</w:t>
      </w:r>
      <w:bookmarkEnd w:id="42"/>
      <w:bookmarkEnd w:id="43"/>
      <w:bookmarkEnd w:id="44"/>
      <w:bookmarkEnd w:id="45"/>
    </w:p>
    <w:p w14:paraId="3B0EDA6A">
      <w:pPr>
        <w:spacing w:line="360" w:lineRule="auto"/>
        <w:ind w:firstLine="540"/>
        <w:rPr>
          <w:rFonts w:ascii="宋体" w:hAnsi="宋体" w:cs="宋体"/>
          <w:bCs/>
          <w:color w:val="auto"/>
          <w:kern w:val="0"/>
          <w:szCs w:val="21"/>
        </w:rPr>
      </w:pPr>
      <w:r>
        <w:rPr>
          <w:rFonts w:hint="eastAsia" w:ascii="宋体" w:hAnsi="宋体" w:cs="宋体"/>
          <w:bCs/>
          <w:color w:val="auto"/>
          <w:kern w:val="0"/>
          <w:szCs w:val="21"/>
        </w:rPr>
        <w:t>时间：</w:t>
      </w:r>
      <w:r>
        <w:rPr>
          <w:rFonts w:hint="eastAsia" w:ascii="宋体" w:hAnsi="宋体" w:cs="宋体"/>
          <w:bCs/>
          <w:color w:val="auto"/>
          <w:kern w:val="0"/>
          <w:szCs w:val="21"/>
          <w:u w:val="single"/>
        </w:rPr>
        <w:t>2025年</w:t>
      </w:r>
      <w:r>
        <w:rPr>
          <w:rFonts w:hint="eastAsia" w:ascii="宋体" w:hAnsi="宋体" w:cs="宋体"/>
          <w:bCs/>
          <w:color w:val="auto"/>
          <w:kern w:val="0"/>
          <w:szCs w:val="21"/>
          <w:u w:val="single"/>
          <w:lang w:val="en-US" w:eastAsia="zh-CN"/>
        </w:rPr>
        <w:t>8</w:t>
      </w:r>
      <w:r>
        <w:rPr>
          <w:rFonts w:hint="eastAsia" w:ascii="宋体" w:hAnsi="宋体" w:cs="宋体"/>
          <w:bCs/>
          <w:color w:val="auto"/>
          <w:kern w:val="0"/>
          <w:szCs w:val="21"/>
          <w:u w:val="single"/>
        </w:rPr>
        <w:t>月</w:t>
      </w:r>
      <w:r>
        <w:rPr>
          <w:rFonts w:hint="eastAsia" w:ascii="宋体" w:hAnsi="宋体" w:cs="宋体"/>
          <w:bCs/>
          <w:color w:val="auto"/>
          <w:kern w:val="0"/>
          <w:szCs w:val="21"/>
          <w:u w:val="single"/>
          <w:lang w:val="en-US" w:eastAsia="zh-CN"/>
        </w:rPr>
        <w:t>4</w:t>
      </w:r>
      <w:r>
        <w:rPr>
          <w:rFonts w:hint="eastAsia" w:ascii="宋体" w:hAnsi="宋体" w:cs="宋体"/>
          <w:bCs/>
          <w:color w:val="auto"/>
          <w:kern w:val="0"/>
          <w:szCs w:val="21"/>
          <w:u w:val="single"/>
        </w:rPr>
        <w:t>日</w:t>
      </w:r>
      <w:r>
        <w:rPr>
          <w:rFonts w:hint="eastAsia" w:ascii="宋体" w:hAnsi="宋体" w:cs="宋体"/>
          <w:bCs/>
          <w:color w:val="auto"/>
          <w:kern w:val="0"/>
          <w:szCs w:val="21"/>
        </w:rPr>
        <w:t>至</w:t>
      </w:r>
      <w:r>
        <w:rPr>
          <w:rFonts w:hint="eastAsia" w:ascii="宋体" w:hAnsi="宋体" w:cs="宋体"/>
          <w:bCs/>
          <w:color w:val="auto"/>
          <w:kern w:val="0"/>
          <w:szCs w:val="21"/>
          <w:u w:val="single"/>
        </w:rPr>
        <w:t>2025年</w:t>
      </w:r>
      <w:r>
        <w:rPr>
          <w:rFonts w:hint="eastAsia" w:ascii="宋体" w:hAnsi="宋体" w:cs="宋体"/>
          <w:bCs/>
          <w:color w:val="auto"/>
          <w:kern w:val="0"/>
          <w:szCs w:val="21"/>
          <w:u w:val="single"/>
          <w:lang w:val="en-US" w:eastAsia="zh-CN"/>
        </w:rPr>
        <w:t>8</w:t>
      </w:r>
      <w:r>
        <w:rPr>
          <w:rFonts w:hint="eastAsia" w:ascii="宋体" w:hAnsi="宋体" w:cs="宋体"/>
          <w:bCs/>
          <w:color w:val="auto"/>
          <w:kern w:val="0"/>
          <w:szCs w:val="21"/>
          <w:u w:val="single"/>
        </w:rPr>
        <w:t>月</w:t>
      </w:r>
      <w:r>
        <w:rPr>
          <w:rFonts w:hint="eastAsia" w:ascii="宋体" w:hAnsi="宋体" w:cs="宋体"/>
          <w:bCs/>
          <w:color w:val="auto"/>
          <w:kern w:val="0"/>
          <w:szCs w:val="21"/>
          <w:u w:val="single"/>
          <w:lang w:val="en-US" w:eastAsia="zh-CN"/>
        </w:rPr>
        <w:t>11</w:t>
      </w:r>
      <w:r>
        <w:rPr>
          <w:rFonts w:hint="eastAsia" w:ascii="宋体" w:hAnsi="宋体" w:cs="宋体"/>
          <w:bCs/>
          <w:color w:val="auto"/>
          <w:kern w:val="0"/>
          <w:szCs w:val="21"/>
          <w:u w:val="single"/>
        </w:rPr>
        <w:t>日</w:t>
      </w:r>
      <w:r>
        <w:rPr>
          <w:rFonts w:hint="eastAsia" w:ascii="宋体" w:hAnsi="宋体" w:cs="宋体"/>
          <w:bCs/>
          <w:color w:val="auto"/>
          <w:kern w:val="0"/>
          <w:szCs w:val="21"/>
        </w:rPr>
        <w:t>，每天上午</w:t>
      </w:r>
      <w:r>
        <w:rPr>
          <w:rFonts w:hint="eastAsia" w:ascii="宋体" w:hAnsi="宋体" w:cs="宋体"/>
          <w:bCs/>
          <w:color w:val="auto"/>
          <w:kern w:val="0"/>
          <w:szCs w:val="21"/>
          <w:u w:val="single"/>
        </w:rPr>
        <w:t>0:00至12:00，下午12:00至23:59</w:t>
      </w:r>
      <w:r>
        <w:rPr>
          <w:rFonts w:hint="eastAsia" w:ascii="宋体" w:hAnsi="宋体" w:cs="宋体"/>
          <w:bCs/>
          <w:color w:val="auto"/>
          <w:kern w:val="0"/>
          <w:szCs w:val="21"/>
        </w:rPr>
        <w:t>（北京时间）</w:t>
      </w:r>
    </w:p>
    <w:p w14:paraId="3C03E9A8">
      <w:pPr>
        <w:spacing w:line="360" w:lineRule="auto"/>
        <w:ind w:firstLine="540"/>
        <w:rPr>
          <w:rFonts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14:paraId="6F790953">
      <w:pPr>
        <w:spacing w:line="360" w:lineRule="auto"/>
        <w:ind w:firstLine="540"/>
        <w:rPr>
          <w:rFonts w:ascii="宋体" w:hAnsi="宋体" w:cs="宋体"/>
          <w:bCs/>
          <w:color w:val="auto"/>
          <w:kern w:val="0"/>
          <w:szCs w:val="21"/>
        </w:rPr>
      </w:pPr>
      <w:r>
        <w:rPr>
          <w:rFonts w:hint="eastAsia" w:ascii="宋体" w:hAnsi="宋体" w:cs="宋体"/>
          <w:bCs/>
          <w:color w:val="auto"/>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Pr>
          <w:rFonts w:hint="eastAsia" w:ascii="宋体" w:hAnsi="宋体"/>
          <w:color w:val="auto"/>
          <w:szCs w:val="21"/>
        </w:rPr>
        <w:t>电子投标文件制作需要基于广西政府采购云平台获取的招标文件编制，</w:t>
      </w:r>
      <w:r>
        <w:rPr>
          <w:rFonts w:hint="eastAsia" w:ascii="宋体" w:hAnsi="宋体" w:cs="宋体"/>
          <w:bCs/>
          <w:color w:val="auto"/>
          <w:kern w:val="0"/>
          <w:szCs w:val="21"/>
        </w:rPr>
        <w:t>通过其他方式获取招标文件的，将有可能导致供应商无法在</w:t>
      </w:r>
      <w:r>
        <w:rPr>
          <w:rFonts w:hint="eastAsia" w:ascii="宋体" w:hAnsi="宋体"/>
          <w:color w:val="auto"/>
          <w:szCs w:val="21"/>
        </w:rPr>
        <w:t>广西政府采购云平台</w:t>
      </w:r>
      <w:r>
        <w:rPr>
          <w:rFonts w:hint="eastAsia" w:ascii="宋体" w:hAnsi="宋体" w:cs="宋体"/>
          <w:bCs/>
          <w:color w:val="auto"/>
          <w:kern w:val="0"/>
          <w:szCs w:val="21"/>
        </w:rPr>
        <w:t>编制及上传投标文件。</w:t>
      </w:r>
    </w:p>
    <w:p w14:paraId="3B663733">
      <w:pPr>
        <w:spacing w:line="360" w:lineRule="auto"/>
        <w:ind w:firstLine="420" w:firstLineChars="200"/>
        <w:rPr>
          <w:rFonts w:ascii="宋体" w:hAnsi="宋体" w:cs="宋体"/>
          <w:color w:val="auto"/>
          <w:szCs w:val="21"/>
        </w:rPr>
      </w:pPr>
      <w:r>
        <w:rPr>
          <w:rFonts w:hint="eastAsia" w:ascii="宋体" w:hAnsi="宋体" w:cs="宋体"/>
          <w:bCs/>
          <w:color w:val="auto"/>
          <w:kern w:val="0"/>
          <w:szCs w:val="21"/>
        </w:rPr>
        <w:t>售价：</w:t>
      </w:r>
      <w:r>
        <w:rPr>
          <w:rFonts w:hint="eastAsia" w:ascii="宋体" w:hAnsi="宋体" w:cs="宋体"/>
          <w:color w:val="auto"/>
          <w:szCs w:val="21"/>
          <w:u w:val="single"/>
        </w:rPr>
        <w:t>0</w:t>
      </w:r>
      <w:r>
        <w:rPr>
          <w:rFonts w:hint="eastAsia" w:ascii="宋体" w:hAnsi="宋体" w:cs="宋体"/>
          <w:color w:val="auto"/>
          <w:szCs w:val="21"/>
        </w:rPr>
        <w:t>元。</w:t>
      </w:r>
    </w:p>
    <w:p w14:paraId="0BD15074">
      <w:pPr>
        <w:spacing w:line="360" w:lineRule="auto"/>
        <w:rPr>
          <w:rFonts w:ascii="黑体" w:hAnsi="黑体" w:eastAsia="黑体"/>
          <w:b/>
          <w:bCs/>
          <w:color w:val="auto"/>
          <w:sz w:val="24"/>
        </w:rPr>
      </w:pPr>
      <w:bookmarkStart w:id="46" w:name="_Toc28359082"/>
      <w:bookmarkStart w:id="47" w:name="_Toc28359005"/>
      <w:bookmarkStart w:id="48" w:name="_Toc35393624"/>
      <w:bookmarkStart w:id="49" w:name="_Toc35393793"/>
      <w:r>
        <w:rPr>
          <w:rFonts w:hint="eastAsia" w:ascii="黑体" w:hAnsi="黑体" w:eastAsia="黑体"/>
          <w:b/>
          <w:bCs/>
          <w:color w:val="auto"/>
          <w:sz w:val="24"/>
        </w:rPr>
        <w:t>四、提交投标文件</w:t>
      </w:r>
      <w:bookmarkEnd w:id="46"/>
      <w:bookmarkEnd w:id="47"/>
      <w:r>
        <w:rPr>
          <w:rFonts w:hint="eastAsia" w:ascii="黑体" w:hAnsi="黑体" w:eastAsia="黑体"/>
          <w:b/>
          <w:bCs/>
          <w:color w:val="auto"/>
          <w:sz w:val="24"/>
        </w:rPr>
        <w:t>截止时间、开标时间和地点</w:t>
      </w:r>
      <w:bookmarkEnd w:id="48"/>
      <w:bookmarkEnd w:id="49"/>
    </w:p>
    <w:p w14:paraId="53E1F918">
      <w:pPr>
        <w:spacing w:line="360" w:lineRule="auto"/>
        <w:ind w:firstLine="420" w:firstLineChars="200"/>
        <w:rPr>
          <w:rFonts w:ascii="宋体" w:hAnsi="宋体" w:cs="宋体"/>
          <w:color w:val="auto"/>
          <w:szCs w:val="21"/>
          <w:u w:val="single"/>
        </w:rPr>
      </w:pPr>
      <w:bookmarkStart w:id="50" w:name="_Toc28359007"/>
      <w:bookmarkStart w:id="51" w:name="_Toc35393794"/>
      <w:bookmarkStart w:id="52" w:name="_Toc35393625"/>
      <w:bookmarkStart w:id="53" w:name="_Toc28359084"/>
      <w:r>
        <w:rPr>
          <w:rFonts w:hint="eastAsia" w:ascii="宋体" w:hAnsi="宋体"/>
          <w:bCs/>
          <w:color w:val="auto"/>
          <w:szCs w:val="21"/>
          <w:u w:val="single"/>
        </w:rPr>
        <w:t>2025年</w:t>
      </w:r>
      <w:r>
        <w:rPr>
          <w:rFonts w:hint="eastAsia" w:ascii="宋体" w:hAnsi="宋体" w:cs="宋体"/>
          <w:bCs/>
          <w:color w:val="auto"/>
          <w:kern w:val="0"/>
          <w:szCs w:val="21"/>
          <w:u w:val="single"/>
          <w:lang w:val="en-US" w:eastAsia="zh-CN"/>
        </w:rPr>
        <w:t>8</w:t>
      </w:r>
      <w:r>
        <w:rPr>
          <w:rFonts w:hint="eastAsia" w:ascii="宋体" w:hAnsi="宋体" w:cs="宋体"/>
          <w:bCs/>
          <w:color w:val="auto"/>
          <w:kern w:val="0"/>
          <w:szCs w:val="21"/>
          <w:u w:val="single"/>
        </w:rPr>
        <w:t>月</w:t>
      </w:r>
      <w:r>
        <w:rPr>
          <w:rFonts w:hint="eastAsia" w:ascii="宋体" w:hAnsi="宋体" w:cs="宋体"/>
          <w:bCs/>
          <w:color w:val="auto"/>
          <w:kern w:val="0"/>
          <w:szCs w:val="21"/>
          <w:u w:val="single"/>
          <w:lang w:val="en-US" w:eastAsia="zh-CN"/>
        </w:rPr>
        <w:t>25</w:t>
      </w:r>
      <w:r>
        <w:rPr>
          <w:rFonts w:hint="eastAsia" w:ascii="宋体" w:hAnsi="宋体" w:cs="宋体"/>
          <w:bCs/>
          <w:color w:val="auto"/>
          <w:kern w:val="0"/>
          <w:szCs w:val="21"/>
          <w:u w:val="single"/>
        </w:rPr>
        <w:t>日</w:t>
      </w:r>
      <w:r>
        <w:rPr>
          <w:rFonts w:hint="eastAsia" w:ascii="宋体" w:hAnsi="宋体"/>
          <w:bCs/>
          <w:color w:val="auto"/>
          <w:szCs w:val="21"/>
          <w:u w:val="single"/>
          <w:lang w:val="en-US" w:eastAsia="zh-CN"/>
        </w:rPr>
        <w:t>10</w:t>
      </w:r>
      <w:r>
        <w:rPr>
          <w:rFonts w:hint="eastAsia" w:ascii="宋体" w:hAnsi="宋体"/>
          <w:bCs/>
          <w:color w:val="auto"/>
          <w:szCs w:val="21"/>
          <w:u w:val="single"/>
        </w:rPr>
        <w:t>时</w:t>
      </w:r>
      <w:r>
        <w:rPr>
          <w:rFonts w:hint="eastAsia" w:ascii="宋体" w:hAnsi="宋体"/>
          <w:bCs/>
          <w:color w:val="auto"/>
          <w:szCs w:val="21"/>
          <w:u w:val="single"/>
          <w:lang w:val="en-US" w:eastAsia="zh-CN"/>
        </w:rPr>
        <w:t>00</w:t>
      </w:r>
      <w:r>
        <w:rPr>
          <w:rFonts w:hint="eastAsia" w:ascii="宋体" w:hAnsi="宋体"/>
          <w:bCs/>
          <w:color w:val="auto"/>
          <w:szCs w:val="21"/>
          <w:u w:val="single"/>
        </w:rPr>
        <w:t>分</w:t>
      </w:r>
      <w:r>
        <w:rPr>
          <w:rFonts w:hint="eastAsia" w:ascii="宋体" w:hAnsi="宋体"/>
          <w:bCs/>
          <w:color w:val="auto"/>
          <w:szCs w:val="21"/>
        </w:rPr>
        <w:t>（北京时间）</w:t>
      </w:r>
    </w:p>
    <w:p w14:paraId="4EC19DE9">
      <w:pPr>
        <w:spacing w:line="360" w:lineRule="auto"/>
        <w:ind w:firstLine="420" w:firstLineChars="200"/>
        <w:rPr>
          <w:rFonts w:ascii="宋体" w:hAnsi="宋体"/>
          <w:color w:val="auto"/>
          <w:szCs w:val="21"/>
        </w:rPr>
      </w:pPr>
      <w:r>
        <w:rPr>
          <w:rFonts w:hint="eastAsia" w:ascii="宋体" w:hAnsi="宋体"/>
          <w:color w:val="auto"/>
          <w:szCs w:val="21"/>
        </w:rPr>
        <w:t>投标地点：广西政府采购云平台（https://www.gcy.zfcg.gxzf.gov.cn/）</w:t>
      </w:r>
    </w:p>
    <w:p w14:paraId="1DA6E807">
      <w:pPr>
        <w:spacing w:line="360" w:lineRule="auto"/>
        <w:ind w:firstLine="420" w:firstLineChars="200"/>
        <w:rPr>
          <w:rFonts w:ascii="宋体" w:hAnsi="宋体"/>
          <w:color w:val="auto"/>
          <w:szCs w:val="21"/>
        </w:rPr>
      </w:pPr>
      <w:r>
        <w:rPr>
          <w:rFonts w:hint="eastAsia" w:ascii="宋体" w:hAnsi="宋体"/>
          <w:color w:val="auto"/>
          <w:szCs w:val="21"/>
        </w:rPr>
        <w:t>开标地点：广西政府采购云平台电子开标大厅</w:t>
      </w:r>
    </w:p>
    <w:p w14:paraId="4339A5AD">
      <w:pPr>
        <w:spacing w:line="360" w:lineRule="auto"/>
        <w:rPr>
          <w:rFonts w:ascii="黑体" w:hAnsi="黑体" w:eastAsia="黑体"/>
          <w:b/>
          <w:bCs/>
          <w:color w:val="auto"/>
          <w:sz w:val="24"/>
        </w:rPr>
      </w:pPr>
      <w:r>
        <w:rPr>
          <w:rFonts w:hint="eastAsia" w:ascii="黑体" w:hAnsi="黑体" w:eastAsia="黑体"/>
          <w:b/>
          <w:bCs/>
          <w:color w:val="auto"/>
          <w:sz w:val="24"/>
        </w:rPr>
        <w:t>五、公告期限</w:t>
      </w:r>
      <w:bookmarkEnd w:id="50"/>
      <w:bookmarkEnd w:id="51"/>
      <w:bookmarkEnd w:id="52"/>
      <w:bookmarkEnd w:id="53"/>
    </w:p>
    <w:p w14:paraId="7BBEC78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494851D7">
      <w:pPr>
        <w:spacing w:line="360" w:lineRule="auto"/>
        <w:rPr>
          <w:rFonts w:ascii="黑体" w:hAnsi="黑体" w:eastAsia="黑体"/>
          <w:b/>
          <w:bCs/>
          <w:color w:val="auto"/>
          <w:sz w:val="24"/>
        </w:rPr>
      </w:pPr>
      <w:bookmarkStart w:id="54" w:name="_Toc35393626"/>
      <w:bookmarkStart w:id="55" w:name="_Toc35393795"/>
      <w:r>
        <w:rPr>
          <w:rFonts w:hint="eastAsia" w:ascii="黑体" w:hAnsi="黑体" w:eastAsia="黑体"/>
          <w:b/>
          <w:bCs/>
          <w:color w:val="auto"/>
          <w:sz w:val="24"/>
        </w:rPr>
        <w:t>六、其他补充事宜</w:t>
      </w:r>
      <w:bookmarkEnd w:id="54"/>
      <w:bookmarkEnd w:id="55"/>
    </w:p>
    <w:p w14:paraId="1BC7726C">
      <w:pPr>
        <w:spacing w:line="360" w:lineRule="auto"/>
        <w:ind w:firstLine="420" w:firstLineChars="200"/>
        <w:rPr>
          <w:rFonts w:ascii="宋体" w:hAnsi="宋体" w:cs="宋体"/>
          <w:color w:val="auto"/>
          <w:kern w:val="0"/>
          <w:szCs w:val="21"/>
        </w:rPr>
      </w:pPr>
      <w:bookmarkStart w:id="56" w:name="_Hlk37429595"/>
      <w:bookmarkStart w:id="57" w:name="_Hlk37429585"/>
      <w:bookmarkStart w:id="58" w:name="_Toc28359085"/>
      <w:bookmarkStart w:id="59" w:name="_Toc35393627"/>
      <w:bookmarkStart w:id="60" w:name="_Toc28359008"/>
      <w:bookmarkStart w:id="61" w:name="_Toc35393796"/>
      <w:r>
        <w:rPr>
          <w:rFonts w:hint="eastAsia" w:ascii="宋体" w:hAnsi="宋体" w:cs="宋体"/>
          <w:color w:val="auto"/>
          <w:kern w:val="0"/>
          <w:szCs w:val="21"/>
        </w:rPr>
        <w:t>1.网上查询地址</w:t>
      </w:r>
    </w:p>
    <w:p w14:paraId="02592B03">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中国政府采购网（http://www.ccgp.gov.cn）、广西壮族自治区政府采购网（http://zfcg.gxzf.gov.cn）、</w:t>
      </w:r>
      <w:r>
        <w:rPr>
          <w:rFonts w:hint="eastAsia" w:ascii="宋体" w:hAnsi="宋体" w:cs="宋体"/>
          <w:color w:val="auto"/>
          <w:kern w:val="0"/>
          <w:szCs w:val="21"/>
          <w:lang w:val="en-US" w:eastAsia="zh-CN"/>
        </w:rPr>
        <w:t>全国公共资源交易平台（广西·河池）（http://ggzy.jgswj.gxzf.gov.cn/hcggzy/）</w:t>
      </w:r>
    </w:p>
    <w:bookmarkEnd w:id="56"/>
    <w:bookmarkEnd w:id="57"/>
    <w:p w14:paraId="3ECF9F86">
      <w:pPr>
        <w:spacing w:line="360" w:lineRule="auto"/>
        <w:ind w:firstLine="424" w:firstLineChars="202"/>
        <w:rPr>
          <w:rFonts w:ascii="宋体" w:hAnsi="宋体" w:cs="宋体"/>
          <w:color w:val="auto"/>
          <w:kern w:val="0"/>
          <w:szCs w:val="21"/>
        </w:rPr>
      </w:pPr>
      <w:bookmarkStart w:id="62" w:name="_Hlk37429674"/>
      <w:r>
        <w:rPr>
          <w:rFonts w:hint="eastAsia" w:ascii="宋体" w:hAnsi="宋体"/>
          <w:color w:val="auto"/>
          <w:szCs w:val="21"/>
        </w:rPr>
        <w:t>2</w:t>
      </w:r>
      <w:r>
        <w:rPr>
          <w:rFonts w:ascii="宋体" w:hAnsi="宋体"/>
          <w:color w:val="auto"/>
          <w:szCs w:val="21"/>
        </w:rPr>
        <w:t>.</w:t>
      </w:r>
      <w:r>
        <w:rPr>
          <w:rFonts w:hint="eastAsia" w:ascii="宋体" w:hAnsi="宋体" w:cs="宋体"/>
          <w:color w:val="auto"/>
          <w:kern w:val="0"/>
          <w:szCs w:val="21"/>
        </w:rPr>
        <w:t>本项目需要落实的政府采购政策</w:t>
      </w:r>
    </w:p>
    <w:p w14:paraId="7F7ABEE8">
      <w:pPr>
        <w:spacing w:line="360" w:lineRule="auto"/>
        <w:ind w:firstLine="420" w:firstLineChars="200"/>
        <w:rPr>
          <w:rFonts w:hint="eastAsia" w:ascii="宋体" w:hAnsi="宋体" w:eastAsia="宋体" w:cs="宋体"/>
          <w:iCs/>
          <w:color w:val="auto"/>
          <w:kern w:val="0"/>
          <w:szCs w:val="21"/>
          <w:lang w:eastAsia="zh-CN"/>
        </w:rPr>
      </w:pPr>
      <w:r>
        <w:rPr>
          <w:rFonts w:hint="eastAsia" w:ascii="宋体" w:hAnsi="宋体" w:cs="宋体"/>
          <w:iCs/>
          <w:color w:val="auto"/>
          <w:kern w:val="0"/>
          <w:szCs w:val="21"/>
        </w:rPr>
        <w:t>（1）政府采购促进中小企业发展</w:t>
      </w:r>
      <w:r>
        <w:rPr>
          <w:color w:val="auto"/>
          <w:spacing w:val="9"/>
          <w:sz w:val="20"/>
          <w:szCs w:val="20"/>
        </w:rPr>
        <w:t>；本项目非专门面向中小企</w:t>
      </w:r>
      <w:r>
        <w:rPr>
          <w:color w:val="auto"/>
          <w:spacing w:val="8"/>
          <w:sz w:val="20"/>
          <w:szCs w:val="20"/>
        </w:rPr>
        <w:t>业采购</w:t>
      </w:r>
      <w:r>
        <w:rPr>
          <w:rFonts w:hint="eastAsia" w:ascii="宋体" w:hAnsi="宋体" w:cs="宋体"/>
          <w:iCs/>
          <w:color w:val="auto"/>
          <w:kern w:val="0"/>
          <w:szCs w:val="21"/>
          <w:lang w:eastAsia="zh-CN"/>
        </w:rPr>
        <w:t>。</w:t>
      </w:r>
    </w:p>
    <w:p w14:paraId="691B66D5">
      <w:pPr>
        <w:spacing w:line="360" w:lineRule="auto"/>
        <w:ind w:firstLine="420" w:firstLineChars="200"/>
        <w:rPr>
          <w:rFonts w:ascii="宋体" w:hAnsi="宋体" w:cs="宋体"/>
          <w:iCs/>
          <w:color w:val="auto"/>
          <w:kern w:val="0"/>
          <w:szCs w:val="21"/>
        </w:rPr>
      </w:pPr>
      <w:r>
        <w:rPr>
          <w:rFonts w:hint="eastAsia" w:ascii="宋体" w:hAnsi="宋体" w:cs="宋体"/>
          <w:iCs/>
          <w:color w:val="auto"/>
          <w:kern w:val="0"/>
          <w:szCs w:val="21"/>
        </w:rPr>
        <w:t>（2）政府采购支持采用本国产品的政策。</w:t>
      </w:r>
    </w:p>
    <w:p w14:paraId="79BD564F">
      <w:pPr>
        <w:spacing w:line="360" w:lineRule="auto"/>
        <w:ind w:firstLine="420" w:firstLineChars="200"/>
        <w:rPr>
          <w:rFonts w:ascii="宋体" w:hAnsi="宋体" w:cs="宋体"/>
          <w:iCs/>
          <w:color w:val="auto"/>
          <w:kern w:val="0"/>
          <w:szCs w:val="21"/>
        </w:rPr>
      </w:pPr>
      <w:r>
        <w:rPr>
          <w:rFonts w:hint="eastAsia" w:ascii="宋体" w:hAnsi="宋体" w:cs="宋体"/>
          <w:iCs/>
          <w:color w:val="auto"/>
          <w:kern w:val="0"/>
          <w:szCs w:val="21"/>
        </w:rPr>
        <w:t>（3）强制采购节能产品；优先采购节能产品、环境标志产品。</w:t>
      </w:r>
    </w:p>
    <w:p w14:paraId="262539BD">
      <w:pPr>
        <w:spacing w:line="360" w:lineRule="auto"/>
        <w:ind w:firstLine="420" w:firstLineChars="200"/>
        <w:rPr>
          <w:rFonts w:ascii="宋体" w:hAnsi="宋体" w:cs="宋体"/>
          <w:iCs/>
          <w:color w:val="auto"/>
          <w:kern w:val="0"/>
          <w:szCs w:val="21"/>
        </w:rPr>
      </w:pPr>
      <w:r>
        <w:rPr>
          <w:rFonts w:hint="eastAsia" w:ascii="宋体" w:hAnsi="宋体" w:cs="宋体"/>
          <w:iCs/>
          <w:color w:val="auto"/>
          <w:kern w:val="0"/>
          <w:szCs w:val="21"/>
        </w:rPr>
        <w:t>（4）政府采购促进残疾人就业政策。</w:t>
      </w:r>
    </w:p>
    <w:p w14:paraId="7336B762">
      <w:pPr>
        <w:spacing w:line="360" w:lineRule="auto"/>
        <w:ind w:firstLine="420" w:firstLineChars="200"/>
        <w:rPr>
          <w:rFonts w:ascii="宋体" w:hAnsi="宋体" w:cs="宋体"/>
          <w:iCs/>
          <w:color w:val="auto"/>
          <w:kern w:val="0"/>
          <w:szCs w:val="21"/>
        </w:rPr>
      </w:pPr>
      <w:r>
        <w:rPr>
          <w:rFonts w:hint="eastAsia" w:ascii="宋体" w:hAnsi="宋体" w:cs="宋体"/>
          <w:iCs/>
          <w:color w:val="auto"/>
          <w:kern w:val="0"/>
          <w:szCs w:val="21"/>
        </w:rPr>
        <w:t>（5）政府采购支持监狱企业发展。</w:t>
      </w:r>
    </w:p>
    <w:bookmarkEnd w:id="62"/>
    <w:p w14:paraId="3E592B46">
      <w:pPr>
        <w:widowControl/>
        <w:spacing w:line="360" w:lineRule="auto"/>
        <w:ind w:firstLine="422" w:firstLineChars="200"/>
        <w:jc w:val="left"/>
        <w:rPr>
          <w:rFonts w:ascii="宋体" w:hAnsi="宋体"/>
          <w:b/>
          <w:color w:val="auto"/>
          <w:szCs w:val="21"/>
        </w:rPr>
      </w:pPr>
      <w:r>
        <w:rPr>
          <w:rFonts w:hint="eastAsia" w:ascii="宋体" w:hAnsi="宋体" w:cs="宋体"/>
          <w:b/>
          <w:color w:val="auto"/>
          <w:kern w:val="0"/>
          <w:szCs w:val="21"/>
        </w:rPr>
        <w:t>3.投标人</w:t>
      </w:r>
      <w:r>
        <w:rPr>
          <w:rFonts w:hint="eastAsia" w:ascii="宋体" w:hAnsi="宋体"/>
          <w:b/>
          <w:color w:val="auto"/>
          <w:szCs w:val="21"/>
        </w:rPr>
        <w:t>投标注意事项</w:t>
      </w:r>
    </w:p>
    <w:p w14:paraId="35D47093">
      <w:pPr>
        <w:widowControl/>
        <w:spacing w:line="360" w:lineRule="auto"/>
        <w:ind w:firstLine="420" w:firstLineChars="200"/>
        <w:jc w:val="left"/>
        <w:rPr>
          <w:rFonts w:ascii="宋体" w:hAnsi="宋体"/>
          <w:color w:val="auto"/>
          <w:szCs w:val="21"/>
        </w:rPr>
      </w:pPr>
      <w:r>
        <w:rPr>
          <w:rFonts w:hint="eastAsia" w:ascii="宋体" w:hAnsi="宋体"/>
          <w:color w:val="auto"/>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Pr>
          <w:rFonts w:hint="eastAsia" w:ascii="宋体" w:hAnsi="宋体"/>
          <w:b/>
          <w:color w:val="auto"/>
          <w:szCs w:val="21"/>
        </w:rPr>
        <w:t>（</w:t>
      </w:r>
      <w:r>
        <w:rPr>
          <w:rFonts w:hint="eastAsia" w:ascii="宋体" w:hAnsi="宋体"/>
          <w:b/>
          <w:color w:val="auto"/>
          <w:szCs w:val="21"/>
          <w:u w:val="single"/>
        </w:rPr>
        <w:t>加密的电子投标文件是指</w:t>
      </w:r>
      <w:r>
        <w:rPr>
          <w:rFonts w:hint="eastAsia"/>
          <w:b/>
          <w:color w:val="auto"/>
          <w:u w:val="single"/>
        </w:rPr>
        <w:t>后缀名为“jm</w:t>
      </w:r>
      <w:r>
        <w:rPr>
          <w:b/>
          <w:color w:val="auto"/>
          <w:u w:val="single"/>
        </w:rPr>
        <w:t>bs</w:t>
      </w:r>
      <w:r>
        <w:rPr>
          <w:rFonts w:hint="eastAsia"/>
          <w:b/>
          <w:color w:val="auto"/>
          <w:u w:val="single"/>
        </w:rPr>
        <w:t>”的文件</w:t>
      </w:r>
      <w:r>
        <w:rPr>
          <w:rFonts w:hint="eastAsia" w:ascii="宋体" w:hAnsi="宋体"/>
          <w:b/>
          <w:color w:val="auto"/>
          <w:szCs w:val="21"/>
        </w:rPr>
        <w:t>）</w:t>
      </w:r>
      <w:r>
        <w:rPr>
          <w:rFonts w:hint="eastAsia" w:ascii="宋体" w:hAnsi="宋体"/>
          <w:color w:val="auto"/>
          <w:szCs w:val="21"/>
        </w:rPr>
        <w:t>，</w:t>
      </w:r>
      <w:r>
        <w:rPr>
          <w:rFonts w:hint="eastAsia" w:ascii="宋体" w:hAnsi="宋体"/>
          <w:b/>
          <w:color w:val="auto"/>
          <w:szCs w:val="21"/>
        </w:rPr>
        <w:t>投标人在广西政府采购云平台提交电子投标文件时，请填写参加远程开标活动经办人联系方式。</w:t>
      </w:r>
      <w:r>
        <w:rPr>
          <w:rFonts w:hint="eastAsia" w:ascii="宋体" w:hAnsi="宋体"/>
          <w:color w:val="auto"/>
          <w:szCs w:val="21"/>
        </w:rPr>
        <w:t>投标人登录广西政府采购云平台，依次进入“服务中心-项目采购-操作流程-电子招投标-</w:t>
      </w:r>
      <w:r>
        <w:rPr>
          <w:color w:val="auto"/>
        </w:rPr>
        <w:t>政府采购项目电子交易管理操作指南-供应商</w:t>
      </w:r>
      <w:r>
        <w:rPr>
          <w:rFonts w:hint="eastAsia" w:ascii="宋体" w:hAnsi="宋体"/>
          <w:color w:val="auto"/>
          <w:szCs w:val="21"/>
        </w:rPr>
        <w:t>”查看电子投标具体操作流程。</w:t>
      </w:r>
    </w:p>
    <w:p w14:paraId="011F21F4">
      <w:pPr>
        <w:widowControl/>
        <w:spacing w:line="360" w:lineRule="auto"/>
        <w:ind w:firstLine="420" w:firstLineChars="200"/>
        <w:jc w:val="left"/>
        <w:rPr>
          <w:rFonts w:ascii="宋体" w:hAnsi="宋体"/>
          <w:color w:val="auto"/>
          <w:szCs w:val="21"/>
        </w:rPr>
      </w:pPr>
      <w:r>
        <w:rPr>
          <w:rFonts w:hint="eastAsia" w:ascii="宋体" w:hAnsi="宋体"/>
          <w:color w:val="auto"/>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auto"/>
          <w:kern w:val="0"/>
          <w:szCs w:val="21"/>
        </w:rPr>
        <w:t>广西政府采购云平台，</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如在操作过程中遇到问题或者需要技术支持，请致电广西政府采购云平台客服热线：</w:t>
      </w:r>
      <w:r>
        <w:rPr>
          <w:rFonts w:hint="eastAsia" w:ascii="宋体" w:hAnsi="宋体" w:cs="宋体"/>
          <w:color w:val="auto"/>
          <w:kern w:val="0"/>
          <w:szCs w:val="21"/>
        </w:rPr>
        <w:t>95763</w:t>
      </w:r>
      <w:r>
        <w:rPr>
          <w:rFonts w:hint="eastAsia" w:ascii="宋体" w:hAnsi="宋体"/>
          <w:color w:val="auto"/>
          <w:szCs w:val="21"/>
        </w:rPr>
        <w:t>）。</w:t>
      </w:r>
    </w:p>
    <w:p w14:paraId="5B937185">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6EFC4419">
      <w:pPr>
        <w:spacing w:line="360" w:lineRule="auto"/>
        <w:ind w:firstLine="424" w:firstLineChars="202"/>
        <w:rPr>
          <w:rFonts w:ascii="宋体" w:hAnsi="宋体"/>
          <w:color w:val="auto"/>
          <w:szCs w:val="21"/>
        </w:rPr>
      </w:pPr>
      <w:r>
        <w:rPr>
          <w:rFonts w:hint="eastAsia" w:ascii="宋体" w:hAnsi="宋体"/>
          <w:color w:val="auto"/>
          <w:szCs w:val="21"/>
        </w:rPr>
        <w:t>注：</w:t>
      </w:r>
    </w:p>
    <w:p w14:paraId="556D3FBD">
      <w:pPr>
        <w:spacing w:line="360" w:lineRule="auto"/>
        <w:ind w:firstLine="424" w:firstLineChars="202"/>
        <w:rPr>
          <w:rFonts w:ascii="宋体" w:hAnsi="宋体"/>
          <w:color w:val="auto"/>
          <w:szCs w:val="21"/>
        </w:rPr>
      </w:pPr>
      <w:r>
        <w:rPr>
          <w:rFonts w:hint="eastAsia" w:ascii="宋体" w:hAnsi="宋体"/>
          <w:color w:val="auto"/>
          <w:szCs w:val="21"/>
        </w:rPr>
        <w:t>①为确保网上操作合法、有效和安全，请投标人确保在电子投标过程中能够对相关数据电文进行加密和使用电子签章，妥善保管C</w:t>
      </w:r>
      <w:r>
        <w:rPr>
          <w:rFonts w:ascii="宋体" w:hAnsi="宋体"/>
          <w:color w:val="auto"/>
          <w:szCs w:val="21"/>
        </w:rPr>
        <w:t>A</w:t>
      </w:r>
      <w:r>
        <w:rPr>
          <w:rFonts w:hint="eastAsia" w:ascii="宋体" w:hAnsi="宋体"/>
          <w:color w:val="auto"/>
          <w:szCs w:val="21"/>
        </w:rPr>
        <w:t>数字证书并使用有效的CA数字证书参与整个招标活动。</w:t>
      </w:r>
    </w:p>
    <w:p w14:paraId="7C3DA202">
      <w:pPr>
        <w:spacing w:line="360" w:lineRule="auto"/>
        <w:ind w:firstLine="424" w:firstLineChars="202"/>
        <w:rPr>
          <w:rFonts w:ascii="宋体" w:hAnsi="宋体"/>
          <w:bCs/>
          <w:color w:val="auto"/>
          <w:szCs w:val="21"/>
        </w:rPr>
      </w:pPr>
      <w:r>
        <w:rPr>
          <w:rFonts w:hint="eastAsia" w:ascii="宋体" w:hAnsi="宋体"/>
          <w:color w:val="auto"/>
          <w:szCs w:val="21"/>
        </w:rPr>
        <w:t>②</w:t>
      </w:r>
      <w:r>
        <w:rPr>
          <w:rFonts w:hint="eastAsia" w:ascii="宋体" w:hAnsi="宋体"/>
          <w:bCs/>
          <w:color w:val="auto"/>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699CF58F">
      <w:pPr>
        <w:widowControl/>
        <w:spacing w:line="360" w:lineRule="auto"/>
        <w:ind w:firstLine="422" w:firstLineChars="200"/>
        <w:jc w:val="left"/>
        <w:rPr>
          <w:rFonts w:hint="eastAsia" w:ascii="宋体" w:hAnsi="宋体" w:eastAsia="宋体" w:cs="宋体"/>
          <w:b/>
          <w:bCs w:val="0"/>
          <w:color w:val="auto"/>
          <w:kern w:val="0"/>
          <w:sz w:val="21"/>
          <w:szCs w:val="21"/>
        </w:rPr>
      </w:pPr>
      <w:r>
        <w:rPr>
          <w:rFonts w:hint="eastAsia" w:ascii="宋体" w:hAnsi="宋体" w:eastAsia="宋体" w:cs="宋体"/>
          <w:b/>
          <w:bCs w:val="0"/>
          <w:color w:val="auto"/>
          <w:kern w:val="0"/>
          <w:sz w:val="21"/>
          <w:szCs w:val="21"/>
          <w:lang w:val="en-US" w:eastAsia="zh-CN"/>
        </w:rPr>
        <w:t xml:space="preserve">4.监督部门 </w:t>
      </w:r>
    </w:p>
    <w:p w14:paraId="4E379C75">
      <w:pPr>
        <w:spacing w:line="360" w:lineRule="auto"/>
        <w:ind w:firstLine="424" w:firstLineChars="202"/>
        <w:rPr>
          <w:rFonts w:hint="eastAsia"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 xml:space="preserve">名称：河池市财政局政府采购监督管理科 </w:t>
      </w:r>
    </w:p>
    <w:p w14:paraId="3DB3FEA1">
      <w:pPr>
        <w:spacing w:line="360" w:lineRule="auto"/>
        <w:ind w:firstLine="424" w:firstLineChars="202"/>
        <w:rPr>
          <w:rFonts w:hint="eastAsia" w:ascii="黑体" w:hAnsi="黑体" w:eastAsia="黑体"/>
          <w:b/>
          <w:bCs/>
          <w:color w:val="auto"/>
          <w:sz w:val="24"/>
        </w:rPr>
      </w:pPr>
      <w:r>
        <w:rPr>
          <w:rFonts w:hint="eastAsia" w:ascii="宋体" w:hAnsi="宋体" w:eastAsia="宋体"/>
          <w:b w:val="0"/>
          <w:bCs w:val="0"/>
          <w:color w:val="auto"/>
          <w:sz w:val="21"/>
          <w:szCs w:val="21"/>
          <w:lang w:val="en-US" w:eastAsia="zh-CN"/>
        </w:rPr>
        <w:t>电话：0778—2270025。</w:t>
      </w:r>
    </w:p>
    <w:p w14:paraId="0C7BB9EB">
      <w:pPr>
        <w:spacing w:line="360" w:lineRule="auto"/>
        <w:rPr>
          <w:rFonts w:ascii="黑体" w:hAnsi="黑体" w:eastAsia="黑体"/>
          <w:b/>
          <w:bCs/>
          <w:color w:val="auto"/>
          <w:sz w:val="24"/>
        </w:rPr>
      </w:pPr>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58"/>
      <w:bookmarkEnd w:id="59"/>
      <w:bookmarkEnd w:id="60"/>
      <w:bookmarkEnd w:id="61"/>
    </w:p>
    <w:p w14:paraId="784645B1">
      <w:pPr>
        <w:spacing w:line="360" w:lineRule="auto"/>
        <w:ind w:firstLine="424" w:firstLineChars="202"/>
        <w:jc w:val="left"/>
        <w:rPr>
          <w:rFonts w:ascii="宋体" w:hAnsi="宋体"/>
          <w:color w:val="auto"/>
          <w:szCs w:val="21"/>
        </w:rPr>
      </w:pPr>
      <w:r>
        <w:rPr>
          <w:rFonts w:hint="eastAsia" w:ascii="宋体" w:hAnsi="宋体" w:cs="宋体"/>
          <w:color w:val="auto"/>
          <w:szCs w:val="21"/>
        </w:rPr>
        <w:t>1.采购人信息</w:t>
      </w:r>
    </w:p>
    <w:p w14:paraId="4AA1F005">
      <w:pPr>
        <w:spacing w:line="360" w:lineRule="auto"/>
        <w:ind w:firstLine="424" w:firstLineChars="202"/>
        <w:jc w:val="left"/>
        <w:rPr>
          <w:rFonts w:hint="eastAsia" w:ascii="宋体" w:hAnsi="宋体"/>
          <w:color w:val="auto"/>
          <w:szCs w:val="21"/>
          <w:lang w:val="en-US" w:eastAsia="zh-CN"/>
        </w:rPr>
      </w:pPr>
      <w:r>
        <w:rPr>
          <w:rFonts w:hint="eastAsia" w:ascii="宋体" w:hAnsi="宋体"/>
          <w:color w:val="auto"/>
          <w:szCs w:val="21"/>
        </w:rPr>
        <w:t>名称：</w:t>
      </w:r>
      <w:r>
        <w:rPr>
          <w:rFonts w:hint="eastAsia" w:ascii="宋体" w:hAnsi="宋体"/>
          <w:color w:val="auto"/>
          <w:szCs w:val="21"/>
          <w:lang w:val="en-US" w:eastAsia="zh-CN"/>
        </w:rPr>
        <w:t>河池市交通运输局</w:t>
      </w:r>
    </w:p>
    <w:p w14:paraId="157EE88F">
      <w:pPr>
        <w:spacing w:line="360" w:lineRule="auto"/>
        <w:ind w:firstLine="424" w:firstLineChars="202"/>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kern w:val="0"/>
          <w:sz w:val="21"/>
          <w:szCs w:val="21"/>
          <w:lang w:val="en-US" w:eastAsia="zh-CN" w:bidi="ar"/>
        </w:rPr>
        <w:t>河池市宜州区中山大道6号</w:t>
      </w:r>
    </w:p>
    <w:p w14:paraId="43971001">
      <w:pPr>
        <w:spacing w:line="360" w:lineRule="auto"/>
        <w:ind w:firstLine="424" w:firstLineChars="202"/>
        <w:jc w:val="left"/>
        <w:rPr>
          <w:rFonts w:hint="eastAsia" w:ascii="宋体" w:hAnsi="宋体"/>
          <w:color w:val="auto"/>
          <w:szCs w:val="21"/>
          <w:highlight w:val="none"/>
          <w:u w:val="none"/>
        </w:rPr>
      </w:pPr>
      <w:r>
        <w:rPr>
          <w:rFonts w:hint="eastAsia" w:ascii="宋体" w:hAnsi="宋体"/>
          <w:color w:val="auto"/>
          <w:szCs w:val="21"/>
        </w:rPr>
        <w:t>联系方式：</w:t>
      </w:r>
      <w:bookmarkStart w:id="63" w:name="_Toc28359009"/>
      <w:bookmarkStart w:id="64" w:name="_Toc28359086"/>
      <w:r>
        <w:rPr>
          <w:rFonts w:hint="eastAsia" w:ascii="宋体" w:hAnsi="宋体"/>
          <w:color w:val="auto"/>
          <w:szCs w:val="21"/>
          <w:u w:val="none"/>
          <w:lang w:val="en-US" w:eastAsia="zh-CN"/>
        </w:rPr>
        <w:t>李慈风</w:t>
      </w:r>
      <w:r>
        <w:rPr>
          <w:rFonts w:hint="eastAsia" w:ascii="宋体" w:hAnsi="宋体"/>
          <w:color w:val="auto"/>
          <w:szCs w:val="21"/>
          <w:u w:val="none"/>
        </w:rPr>
        <w:t>，</w:t>
      </w:r>
      <w:r>
        <w:rPr>
          <w:rFonts w:hint="eastAsia" w:ascii="宋体" w:hAnsi="宋体"/>
          <w:color w:val="auto"/>
          <w:szCs w:val="21"/>
          <w:highlight w:val="none"/>
          <w:u w:val="none"/>
        </w:rPr>
        <w:t>电话：</w:t>
      </w:r>
      <w:r>
        <w:rPr>
          <w:rFonts w:hint="eastAsia" w:ascii="宋体" w:hAnsi="宋体"/>
          <w:color w:val="auto"/>
          <w:szCs w:val="21"/>
          <w:highlight w:val="none"/>
          <w:u w:val="none"/>
          <w:lang w:val="en-US" w:eastAsia="zh-CN"/>
        </w:rPr>
        <w:t>0778-3589556</w:t>
      </w:r>
    </w:p>
    <w:p w14:paraId="0815A591">
      <w:pPr>
        <w:spacing w:line="360" w:lineRule="auto"/>
        <w:ind w:firstLine="424" w:firstLineChars="202"/>
        <w:jc w:val="left"/>
        <w:rPr>
          <w:rFonts w:ascii="宋体" w:hAnsi="宋体"/>
          <w:color w:val="auto"/>
          <w:szCs w:val="21"/>
        </w:rPr>
      </w:pPr>
      <w:r>
        <w:rPr>
          <w:rFonts w:hint="eastAsia" w:ascii="宋体" w:hAnsi="宋体" w:cs="宋体"/>
          <w:color w:val="auto"/>
          <w:szCs w:val="21"/>
        </w:rPr>
        <w:t>2.采购代理机构信息</w:t>
      </w:r>
      <w:bookmarkEnd w:id="63"/>
      <w:bookmarkEnd w:id="64"/>
    </w:p>
    <w:p w14:paraId="5A854BAC">
      <w:pPr>
        <w:spacing w:line="360" w:lineRule="auto"/>
        <w:ind w:firstLine="424" w:firstLineChars="202"/>
        <w:rPr>
          <w:rFonts w:ascii="宋体" w:hAnsi="宋体"/>
          <w:color w:val="auto"/>
          <w:szCs w:val="21"/>
        </w:rPr>
      </w:pPr>
      <w:r>
        <w:rPr>
          <w:rFonts w:hint="eastAsia" w:ascii="宋体" w:hAnsi="宋体"/>
          <w:color w:val="auto"/>
          <w:szCs w:val="21"/>
        </w:rPr>
        <w:t>名称：</w:t>
      </w:r>
      <w:r>
        <w:rPr>
          <w:rFonts w:hint="eastAsia" w:ascii="宋体" w:hAnsi="宋体"/>
          <w:color w:val="auto"/>
          <w:szCs w:val="21"/>
          <w:u w:val="none"/>
        </w:rPr>
        <w:t>广西</w:t>
      </w:r>
      <w:r>
        <w:rPr>
          <w:rFonts w:hint="eastAsia" w:ascii="宋体" w:hAnsi="宋体"/>
          <w:color w:val="auto"/>
          <w:szCs w:val="21"/>
          <w:u w:val="none"/>
          <w:lang w:val="en-US" w:eastAsia="zh-CN"/>
        </w:rPr>
        <w:t>合盛工程</w:t>
      </w:r>
      <w:r>
        <w:rPr>
          <w:rFonts w:hint="eastAsia" w:ascii="宋体" w:hAnsi="宋体"/>
          <w:color w:val="auto"/>
          <w:szCs w:val="21"/>
          <w:u w:val="none"/>
        </w:rPr>
        <w:t>咨询有限公司</w:t>
      </w:r>
    </w:p>
    <w:p w14:paraId="475299B1">
      <w:pPr>
        <w:spacing w:line="360" w:lineRule="auto"/>
        <w:ind w:firstLine="424" w:firstLineChars="202"/>
        <w:rPr>
          <w:rFonts w:hint="default" w:ascii="宋体" w:hAnsi="宋体" w:eastAsia="宋体"/>
          <w:color w:val="auto"/>
          <w:szCs w:val="21"/>
          <w:lang w:val="en-US" w:eastAsia="zh-CN"/>
        </w:rPr>
      </w:pPr>
      <w:r>
        <w:rPr>
          <w:rFonts w:hint="eastAsia" w:ascii="宋体" w:hAnsi="宋体"/>
          <w:color w:val="auto"/>
          <w:szCs w:val="21"/>
        </w:rPr>
        <w:t>地址：南宁市青秀区民族大道153号</w:t>
      </w:r>
      <w:r>
        <w:rPr>
          <w:rFonts w:hint="eastAsia" w:ascii="宋体" w:hAnsi="宋体"/>
          <w:color w:val="auto"/>
          <w:szCs w:val="21"/>
          <w:lang w:val="en-US" w:eastAsia="zh-CN"/>
        </w:rPr>
        <w:t>交通设计大厦22楼</w:t>
      </w:r>
    </w:p>
    <w:p w14:paraId="7B2DB04F">
      <w:pPr>
        <w:spacing w:line="360" w:lineRule="auto"/>
        <w:ind w:firstLine="424" w:firstLineChars="202"/>
        <w:rPr>
          <w:rFonts w:ascii="宋体" w:hAnsi="宋体"/>
          <w:color w:val="auto"/>
          <w:szCs w:val="21"/>
          <w:u w:val="single"/>
        </w:rPr>
      </w:pPr>
      <w:r>
        <w:rPr>
          <w:rFonts w:hint="eastAsia" w:ascii="宋体" w:hAnsi="宋体"/>
          <w:color w:val="auto"/>
          <w:szCs w:val="21"/>
        </w:rPr>
        <w:t>联系方式：</w:t>
      </w:r>
      <w:bookmarkStart w:id="65" w:name="_Toc28359010"/>
      <w:bookmarkStart w:id="66" w:name="_Toc28359087"/>
      <w:r>
        <w:rPr>
          <w:rFonts w:hint="eastAsia" w:ascii="宋体" w:hAnsi="宋体" w:cs="宋体"/>
          <w:color w:val="auto"/>
          <w:kern w:val="0"/>
          <w:szCs w:val="21"/>
        </w:rPr>
        <w:t>0771-3910043</w:t>
      </w:r>
    </w:p>
    <w:p w14:paraId="5A77E775">
      <w:pPr>
        <w:spacing w:line="360" w:lineRule="auto"/>
        <w:ind w:firstLine="424" w:firstLineChars="202"/>
        <w:rPr>
          <w:rFonts w:ascii="宋体" w:hAnsi="宋体"/>
          <w:color w:val="auto"/>
          <w:szCs w:val="21"/>
          <w:u w:val="single"/>
        </w:rPr>
      </w:pPr>
      <w:r>
        <w:rPr>
          <w:rFonts w:hint="eastAsia" w:ascii="宋体" w:hAnsi="宋体" w:cs="宋体"/>
          <w:color w:val="auto"/>
          <w:szCs w:val="21"/>
        </w:rPr>
        <w:t>3.项目</w:t>
      </w:r>
      <w:r>
        <w:rPr>
          <w:rFonts w:ascii="宋体" w:hAnsi="宋体" w:cs="宋体"/>
          <w:color w:val="auto"/>
          <w:szCs w:val="21"/>
        </w:rPr>
        <w:t>联系方式</w:t>
      </w:r>
      <w:bookmarkEnd w:id="65"/>
      <w:bookmarkEnd w:id="66"/>
    </w:p>
    <w:p w14:paraId="04EAC36E">
      <w:pPr>
        <w:pStyle w:val="20"/>
        <w:spacing w:line="360" w:lineRule="auto"/>
        <w:ind w:firstLine="424" w:firstLineChars="202"/>
        <w:rPr>
          <w:rFonts w:hint="eastAsia" w:hAnsi="宋体" w:eastAsia="宋体" w:cs="宋体"/>
          <w:color w:val="auto"/>
          <w:kern w:val="2"/>
          <w:sz w:val="21"/>
          <w:lang w:eastAsia="zh-CN"/>
        </w:rPr>
      </w:pPr>
      <w:r>
        <w:rPr>
          <w:rFonts w:hint="eastAsia" w:hAnsi="宋体"/>
          <w:color w:val="auto"/>
          <w:sz w:val="21"/>
        </w:rPr>
        <w:t>项</w:t>
      </w:r>
      <w:r>
        <w:rPr>
          <w:rFonts w:hint="eastAsia" w:hAnsi="宋体" w:cs="宋体"/>
          <w:color w:val="auto"/>
          <w:kern w:val="2"/>
          <w:sz w:val="21"/>
        </w:rPr>
        <w:t>目联系人：</w:t>
      </w:r>
      <w:r>
        <w:rPr>
          <w:rFonts w:hint="eastAsia" w:hAnsi="宋体" w:cs="宋体"/>
          <w:color w:val="auto"/>
          <w:kern w:val="2"/>
          <w:sz w:val="21"/>
          <w:u w:val="none"/>
          <w:lang w:val="en-US" w:eastAsia="zh-CN"/>
        </w:rPr>
        <w:t>周昌智</w:t>
      </w:r>
    </w:p>
    <w:p w14:paraId="5597AB30">
      <w:pPr>
        <w:spacing w:line="360" w:lineRule="auto"/>
        <w:ind w:firstLine="424" w:firstLineChars="202"/>
        <w:rPr>
          <w:rFonts w:ascii="宋体" w:hAnsi="宋体"/>
          <w:color w:val="auto"/>
          <w:szCs w:val="21"/>
          <w:u w:val="single"/>
        </w:rPr>
      </w:pPr>
      <w:r>
        <w:rPr>
          <w:rFonts w:hint="eastAsia" w:ascii="宋体" w:hAnsi="宋体"/>
          <w:color w:val="auto"/>
          <w:szCs w:val="21"/>
        </w:rPr>
        <w:t>电话：</w:t>
      </w:r>
      <w:r>
        <w:rPr>
          <w:rFonts w:hint="eastAsia" w:ascii="宋体" w:hAnsi="宋体" w:cs="宋体"/>
          <w:color w:val="auto"/>
          <w:kern w:val="0"/>
          <w:szCs w:val="21"/>
        </w:rPr>
        <w:t>0771-3910043</w:t>
      </w:r>
    </w:p>
    <w:p w14:paraId="100DA252">
      <w:pPr>
        <w:spacing w:line="360" w:lineRule="auto"/>
        <w:rPr>
          <w:rFonts w:ascii="宋体" w:hAnsi="宋体"/>
          <w:color w:val="auto"/>
          <w:szCs w:val="21"/>
        </w:rPr>
      </w:pPr>
    </w:p>
    <w:p w14:paraId="038E0962">
      <w:pPr>
        <w:pStyle w:val="3"/>
        <w:keepNext w:val="0"/>
        <w:keepLines w:val="0"/>
        <w:tabs>
          <w:tab w:val="left" w:pos="0"/>
          <w:tab w:val="left" w:pos="3165"/>
          <w:tab w:val="center" w:pos="4153"/>
        </w:tabs>
        <w:autoSpaceDE w:val="0"/>
        <w:autoSpaceDN w:val="0"/>
        <w:adjustRightInd w:val="0"/>
        <w:spacing w:before="0" w:after="0" w:line="360" w:lineRule="auto"/>
        <w:jc w:val="center"/>
        <w:rPr>
          <w:color w:val="auto"/>
        </w:rPr>
      </w:pPr>
      <w:r>
        <w:rPr>
          <w:rFonts w:ascii="仿宋_GB2312" w:hAnsi="宋体" w:eastAsia="仿宋_GB2312"/>
          <w:color w:val="auto"/>
          <w:sz w:val="24"/>
          <w:szCs w:val="20"/>
        </w:rPr>
        <w:br w:type="page"/>
      </w:r>
      <w:bookmarkStart w:id="67" w:name="_Toc27979"/>
      <w:r>
        <w:rPr>
          <w:rFonts w:hint="eastAsia"/>
          <w:color w:val="auto"/>
        </w:rPr>
        <w:t>第二章采购需求</w:t>
      </w:r>
      <w:bookmarkEnd w:id="67"/>
    </w:p>
    <w:p w14:paraId="6CE7667D">
      <w:pPr>
        <w:spacing w:line="360" w:lineRule="auto"/>
        <w:jc w:val="left"/>
        <w:rPr>
          <w:rFonts w:ascii="宋体" w:hAnsi="宋体" w:cs="宋体"/>
          <w:color w:val="auto"/>
          <w:szCs w:val="21"/>
        </w:rPr>
      </w:pPr>
      <w:bookmarkStart w:id="68" w:name="_Toc254970490"/>
      <w:bookmarkStart w:id="69" w:name="_Toc254970631"/>
    </w:p>
    <w:p w14:paraId="4414157E">
      <w:pPr>
        <w:spacing w:line="360" w:lineRule="auto"/>
        <w:jc w:val="left"/>
        <w:rPr>
          <w:rFonts w:ascii="宋体" w:hAnsi="宋体" w:cs="宋体"/>
          <w:color w:val="auto"/>
          <w:szCs w:val="21"/>
        </w:rPr>
      </w:pPr>
      <w:r>
        <w:rPr>
          <w:rFonts w:hint="eastAsia" w:ascii="宋体" w:hAnsi="宋体" w:cs="宋体"/>
          <w:color w:val="auto"/>
          <w:szCs w:val="21"/>
        </w:rPr>
        <w:t>说明：</w:t>
      </w:r>
    </w:p>
    <w:p w14:paraId="473E066F">
      <w:pPr>
        <w:spacing w:line="360" w:lineRule="auto"/>
        <w:ind w:firstLine="420" w:firstLineChars="200"/>
        <w:jc w:val="left"/>
        <w:rPr>
          <w:rFonts w:ascii="宋体" w:hAnsi="宋体"/>
          <w:color w:val="auto"/>
        </w:rPr>
      </w:pPr>
      <w:r>
        <w:rPr>
          <w:rFonts w:hint="eastAsia" w:ascii="宋体" w:hAnsi="宋体"/>
          <w:color w:val="auto"/>
        </w:rPr>
        <w:t>1.为落实政府采购政策需满足的要求</w:t>
      </w:r>
    </w:p>
    <w:p w14:paraId="36F4EDD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本招标文件所称中小企业必须符合《政府采购促进中小企业发展管理办法》（财库〔2020〕46号）的规定。</w:t>
      </w:r>
    </w:p>
    <w:p w14:paraId="490F5D18">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14:paraId="695C86EC">
      <w:pPr>
        <w:spacing w:line="360" w:lineRule="auto"/>
        <w:ind w:firstLine="426" w:firstLineChars="202"/>
        <w:jc w:val="left"/>
        <w:rPr>
          <w:rFonts w:ascii="宋体" w:hAnsi="宋体" w:cs="宋体"/>
          <w:b/>
          <w:color w:val="auto"/>
          <w:szCs w:val="21"/>
        </w:rPr>
      </w:pPr>
      <w:r>
        <w:rPr>
          <w:rFonts w:hint="eastAsia" w:ascii="宋体" w:hAnsi="宋体" w:cs="宋体"/>
          <w:b/>
          <w:color w:val="auto"/>
          <w:szCs w:val="21"/>
        </w:rPr>
        <w:t>（1）本项目凡标注“▲”的条款或要求不响应或不满足的，投标文件即作无效处理。</w:t>
      </w:r>
    </w:p>
    <w:p w14:paraId="19588A48">
      <w:pPr>
        <w:spacing w:line="360" w:lineRule="auto"/>
        <w:ind w:firstLine="426" w:firstLineChars="202"/>
        <w:jc w:val="left"/>
        <w:rPr>
          <w:rFonts w:ascii="宋体" w:hAnsi="宋体" w:cs="宋体"/>
          <w:b/>
          <w:color w:val="auto"/>
          <w:szCs w:val="21"/>
        </w:rPr>
      </w:pPr>
      <w:r>
        <w:rPr>
          <w:rFonts w:hint="eastAsia" w:ascii="宋体" w:hAnsi="宋体" w:cs="宋体"/>
          <w:b/>
          <w:color w:val="auto"/>
          <w:szCs w:val="21"/>
        </w:rPr>
        <w:t>（2）</w:t>
      </w:r>
      <w:r>
        <w:rPr>
          <w:rFonts w:hint="eastAsia" w:ascii="宋体" w:hAnsi="宋体" w:cs="宋体"/>
          <w:b/>
          <w:color w:val="auto"/>
          <w:szCs w:val="21"/>
          <w:u w:val="single"/>
        </w:rPr>
        <w:t>“技术要求及需求”中除已列明“如有请提供”外，其余未标注“▲”号的项目条款或技术要求及需求有负偏离（或未作响应）达1项（含）数以上的按投标无效处理</w:t>
      </w:r>
      <w:r>
        <w:rPr>
          <w:rFonts w:hint="eastAsia" w:ascii="宋体" w:hAnsi="宋体" w:cs="宋体"/>
          <w:b/>
          <w:color w:val="auto"/>
          <w:szCs w:val="21"/>
        </w:rPr>
        <w:t>。</w:t>
      </w:r>
    </w:p>
    <w:p w14:paraId="2933AF89">
      <w:pPr>
        <w:spacing w:line="360" w:lineRule="auto"/>
        <w:ind w:firstLine="424" w:firstLineChars="202"/>
        <w:jc w:val="left"/>
        <w:rPr>
          <w:rFonts w:ascii="宋体" w:hAnsi="宋体"/>
          <w:color w:val="auto"/>
        </w:rPr>
      </w:pPr>
      <w:r>
        <w:rPr>
          <w:rFonts w:ascii="宋体" w:hAnsi="宋体" w:cs="宋体"/>
          <w:color w:val="auto"/>
          <w:szCs w:val="21"/>
        </w:rPr>
        <w:t>3</w:t>
      </w:r>
      <w:r>
        <w:rPr>
          <w:rFonts w:hint="eastAsia" w:ascii="宋体" w:hAnsi="宋体" w:cs="宋体"/>
          <w:color w:val="auto"/>
          <w:szCs w:val="21"/>
        </w:rPr>
        <w:t>.投标人应根据自身实际情况如实响应招标文件</w:t>
      </w:r>
      <w:r>
        <w:rPr>
          <w:rFonts w:hint="eastAsia" w:ascii="宋体" w:hAnsi="宋体"/>
          <w:color w:val="auto"/>
          <w:szCs w:val="21"/>
        </w:rPr>
        <w:t>，</w:t>
      </w:r>
      <w:r>
        <w:rPr>
          <w:rFonts w:hint="eastAsia" w:ascii="宋体" w:hAnsi="宋体" w:cs="宋体"/>
          <w:color w:val="auto"/>
          <w:szCs w:val="21"/>
        </w:rPr>
        <w:t>对招标文件提出的要求和条件作出明确响应，</w:t>
      </w:r>
      <w:r>
        <w:rPr>
          <w:rFonts w:hint="eastAsia" w:ascii="宋体" w:hAnsi="宋体"/>
          <w:b/>
          <w:bCs/>
          <w:color w:val="auto"/>
          <w:szCs w:val="21"/>
        </w:rPr>
        <w:t>否则将作无效响应处理</w:t>
      </w:r>
      <w:r>
        <w:rPr>
          <w:rFonts w:hint="eastAsia" w:ascii="宋体" w:hAnsi="宋体"/>
          <w:color w:val="auto"/>
          <w:szCs w:val="21"/>
        </w:rPr>
        <w:t>。</w:t>
      </w:r>
      <w:r>
        <w:rPr>
          <w:rFonts w:hint="eastAsia"/>
          <w:color w:val="auto"/>
        </w:rPr>
        <w:t>对于重要技术条款或技术参数应当在投标文件中提供技术支持资料，技术支持资料以招标文件中规定的形式为准，</w:t>
      </w:r>
      <w:r>
        <w:rPr>
          <w:rFonts w:hint="eastAsia"/>
          <w:b/>
          <w:bCs/>
          <w:color w:val="auto"/>
        </w:rPr>
        <w:t>否则将视为无效技术支持资料</w:t>
      </w:r>
      <w:r>
        <w:rPr>
          <w:rFonts w:hint="eastAsia" w:ascii="宋体" w:hAnsi="宋体"/>
          <w:color w:val="auto"/>
        </w:rPr>
        <w:t>。</w:t>
      </w:r>
    </w:p>
    <w:p w14:paraId="34342083">
      <w:pPr>
        <w:spacing w:line="360" w:lineRule="auto"/>
        <w:ind w:firstLine="424" w:firstLineChars="202"/>
        <w:jc w:val="left"/>
        <w:rPr>
          <w:rFonts w:ascii="宋体" w:hAnsi="宋体"/>
          <w:color w:val="auto"/>
        </w:rPr>
      </w:pPr>
      <w:r>
        <w:rPr>
          <w:rFonts w:ascii="宋体" w:hAnsi="宋体" w:cs="宋体"/>
          <w:color w:val="auto"/>
          <w:szCs w:val="21"/>
        </w:rPr>
        <w:t>4.</w:t>
      </w:r>
      <w:r>
        <w:rPr>
          <w:rFonts w:hint="eastAsia" w:ascii="宋体" w:hAnsi="宋体"/>
          <w:color w:val="auto"/>
        </w:rPr>
        <w:t>投标人</w:t>
      </w:r>
      <w:r>
        <w:rPr>
          <w:rFonts w:ascii="宋体" w:hAnsi="宋体"/>
          <w:color w:val="auto"/>
        </w:rPr>
        <w:t>必须自行为其</w:t>
      </w:r>
      <w:r>
        <w:rPr>
          <w:rFonts w:hint="eastAsia" w:ascii="宋体" w:hAnsi="宋体"/>
          <w:color w:val="auto"/>
        </w:rPr>
        <w:t>投标</w:t>
      </w:r>
      <w:r>
        <w:rPr>
          <w:rFonts w:ascii="宋体" w:hAnsi="宋体"/>
          <w:color w:val="auto"/>
        </w:rPr>
        <w:t>产品侵犯</w:t>
      </w:r>
      <w:r>
        <w:rPr>
          <w:rFonts w:hint="eastAsia" w:ascii="宋体" w:hAnsi="宋体"/>
          <w:color w:val="auto"/>
        </w:rPr>
        <w:t>他人的知识产权或者专利成果的行为</w:t>
      </w:r>
      <w:r>
        <w:rPr>
          <w:rFonts w:ascii="宋体" w:hAnsi="宋体"/>
          <w:color w:val="auto"/>
        </w:rPr>
        <w:t>承担相应法律责任</w:t>
      </w:r>
      <w:r>
        <w:rPr>
          <w:rFonts w:hint="eastAsia" w:ascii="宋体" w:hAnsi="宋体"/>
          <w:color w:val="auto"/>
        </w:rPr>
        <w:t>。</w:t>
      </w:r>
    </w:p>
    <w:p w14:paraId="37D2F0EC">
      <w:pPr>
        <w:pStyle w:val="2"/>
        <w:ind w:firstLine="420" w:firstLine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.所属行业依照《中小企业划型标准规定》（工信部联企业〔2011〕300号）及《国民经济行业分类》（GB/T4754-2017）的有关规定执行。</w:t>
      </w:r>
    </w:p>
    <w:p w14:paraId="2D412FE6">
      <w:pPr>
        <w:spacing w:line="380" w:lineRule="exact"/>
        <w:ind w:firstLine="424" w:firstLineChars="202"/>
        <w:jc w:val="left"/>
        <w:rPr>
          <w:rFonts w:ascii="宋体" w:hAnsi="宋体"/>
          <w:color w:val="auto"/>
          <w:szCs w:val="21"/>
        </w:rPr>
      </w:pPr>
      <w:r>
        <w:rPr>
          <w:rFonts w:ascii="宋体" w:hAnsi="宋体"/>
          <w:color w:val="auto"/>
          <w:szCs w:val="21"/>
        </w:rPr>
        <w:t>6</w:t>
      </w:r>
      <w:r>
        <w:rPr>
          <w:rFonts w:hint="eastAsia" w:ascii="宋体" w:hAnsi="宋体"/>
          <w:color w:val="auto"/>
          <w:szCs w:val="21"/>
        </w:rPr>
        <w:t>.</w:t>
      </w:r>
      <w:r>
        <w:rPr>
          <w:rFonts w:hint="eastAsia" w:ascii="宋体" w:hAnsi="宋体"/>
          <w:b/>
          <w:color w:val="auto"/>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rPr>
        <w:t>。</w:t>
      </w:r>
    </w:p>
    <w:p w14:paraId="53B5BF9A">
      <w:pPr>
        <w:pStyle w:val="2"/>
        <w:ind w:firstLine="420" w:firstLineChars="200"/>
        <w:rPr>
          <w:rFonts w:ascii="宋体" w:hAnsi="宋体"/>
          <w:b/>
          <w:color w:val="auto"/>
          <w:kern w:val="2"/>
          <w:sz w:val="21"/>
          <w:szCs w:val="21"/>
          <w:highlight w:val="yellow"/>
          <w:u w:val="single"/>
        </w:rPr>
      </w:pPr>
      <w:r>
        <w:rPr>
          <w:rFonts w:ascii="宋体" w:hAnsi="宋体"/>
          <w:color w:val="auto"/>
          <w:kern w:val="2"/>
          <w:sz w:val="21"/>
          <w:szCs w:val="21"/>
          <w:highlight w:val="none"/>
        </w:rPr>
        <w:t>7</w:t>
      </w:r>
      <w:r>
        <w:rPr>
          <w:rFonts w:hint="eastAsia" w:ascii="宋体" w:hAnsi="宋体"/>
          <w:color w:val="auto"/>
          <w:kern w:val="2"/>
          <w:sz w:val="21"/>
          <w:szCs w:val="21"/>
          <w:highlight w:val="none"/>
        </w:rPr>
        <w:t>.</w:t>
      </w:r>
      <w:r>
        <w:rPr>
          <w:rFonts w:hint="eastAsia" w:ascii="宋体" w:hAnsi="宋体"/>
          <w:b/>
          <w:color w:val="auto"/>
          <w:kern w:val="2"/>
          <w:sz w:val="21"/>
          <w:szCs w:val="21"/>
          <w:highlight w:val="none"/>
          <w:u w:val="single"/>
        </w:rPr>
        <w:t>本项目采购需求表中要求提供的证明文件材料或承诺书，请在《技术要求偏离表》或《商务要求偏离表》中应答时，注明相关文件材料或承诺书放置的页码。</w:t>
      </w:r>
    </w:p>
    <w:p w14:paraId="50A1F3F9">
      <w:pPr>
        <w:spacing w:line="380" w:lineRule="exact"/>
        <w:ind w:firstLine="426" w:firstLineChars="202"/>
        <w:jc w:val="left"/>
        <w:rPr>
          <w:rFonts w:hint="eastAsia" w:ascii="宋体" w:hAnsi="宋体"/>
          <w:b/>
          <w:color w:val="auto"/>
          <w:szCs w:val="21"/>
          <w:u w:val="single"/>
        </w:rPr>
      </w:pPr>
      <w:r>
        <w:rPr>
          <w:rFonts w:hint="eastAsia" w:ascii="宋体" w:hAnsi="宋体"/>
          <w:b/>
          <w:color w:val="auto"/>
          <w:szCs w:val="21"/>
          <w:u w:val="single"/>
          <w:lang w:val="en-US" w:eastAsia="zh-CN"/>
        </w:rPr>
        <w:t>8.</w:t>
      </w:r>
      <w:r>
        <w:rPr>
          <w:rFonts w:hint="eastAsia" w:ascii="宋体" w:hAnsi="宋体"/>
          <w:b/>
          <w:color w:val="auto"/>
          <w:szCs w:val="21"/>
          <w:u w:val="single"/>
        </w:rPr>
        <w:t>采购预算：</w:t>
      </w:r>
      <w:r>
        <w:rPr>
          <w:rFonts w:hint="eastAsia" w:ascii="宋体" w:hAnsi="宋体"/>
          <w:b/>
          <w:color w:val="auto"/>
          <w:szCs w:val="21"/>
          <w:u w:val="single"/>
          <w:lang w:val="en-US" w:eastAsia="zh-CN"/>
        </w:rPr>
        <w:t>380</w:t>
      </w:r>
      <w:r>
        <w:rPr>
          <w:rFonts w:hint="eastAsia" w:ascii="宋体" w:hAnsi="宋体"/>
          <w:b/>
          <w:color w:val="auto"/>
          <w:szCs w:val="21"/>
          <w:u w:val="single"/>
        </w:rPr>
        <w:t xml:space="preserve">万元 </w:t>
      </w:r>
    </w:p>
    <w:tbl>
      <w:tblPr>
        <w:tblStyle w:val="37"/>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209"/>
        <w:gridCol w:w="709"/>
        <w:gridCol w:w="709"/>
        <w:gridCol w:w="5506"/>
      </w:tblGrid>
      <w:tr w14:paraId="3F9CB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vAlign w:val="center"/>
          </w:tcPr>
          <w:p w14:paraId="65C98A56">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序号</w:t>
            </w:r>
          </w:p>
        </w:tc>
        <w:tc>
          <w:tcPr>
            <w:tcW w:w="1209" w:type="dxa"/>
            <w:vAlign w:val="center"/>
          </w:tcPr>
          <w:p w14:paraId="5FEEA27F">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标的的名称</w:t>
            </w:r>
          </w:p>
        </w:tc>
        <w:tc>
          <w:tcPr>
            <w:tcW w:w="709" w:type="dxa"/>
            <w:vAlign w:val="center"/>
          </w:tcPr>
          <w:p w14:paraId="3C95B0BE">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数量及单位</w:t>
            </w:r>
          </w:p>
        </w:tc>
        <w:tc>
          <w:tcPr>
            <w:tcW w:w="709" w:type="dxa"/>
            <w:vAlign w:val="center"/>
          </w:tcPr>
          <w:p w14:paraId="5119A5CE">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所属</w:t>
            </w:r>
          </w:p>
          <w:p w14:paraId="64262B6F">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行业</w:t>
            </w:r>
          </w:p>
        </w:tc>
        <w:tc>
          <w:tcPr>
            <w:tcW w:w="5506" w:type="dxa"/>
            <w:vAlign w:val="center"/>
          </w:tcPr>
          <w:p w14:paraId="729B0B0A">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▲技术要求</w:t>
            </w:r>
          </w:p>
        </w:tc>
      </w:tr>
      <w:tr w14:paraId="37969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14:paraId="4B324F9C">
            <w:pPr>
              <w:tabs>
                <w:tab w:val="left" w:pos="180"/>
                <w:tab w:val="left" w:pos="1620"/>
              </w:tabs>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209" w:type="dxa"/>
            <w:vAlign w:val="center"/>
          </w:tcPr>
          <w:p w14:paraId="140172EC">
            <w:pPr>
              <w:widowControl/>
              <w:spacing w:line="360" w:lineRule="exact"/>
              <w:jc w:val="center"/>
              <w:rPr>
                <w:rFonts w:ascii="宋体" w:hAnsi="宋体" w:cs="宋体"/>
                <w:color w:val="auto"/>
                <w:kern w:val="0"/>
                <w:szCs w:val="21"/>
              </w:rPr>
            </w:pPr>
            <w:r>
              <w:rPr>
                <w:rFonts w:hint="eastAsia" w:ascii="宋体" w:hAnsi="宋体"/>
                <w:color w:val="auto"/>
                <w:szCs w:val="21"/>
              </w:rPr>
              <w:t>2025年河池市农村公路路况自动化检测</w:t>
            </w:r>
          </w:p>
        </w:tc>
        <w:tc>
          <w:tcPr>
            <w:tcW w:w="709" w:type="dxa"/>
            <w:vAlign w:val="center"/>
          </w:tcPr>
          <w:p w14:paraId="3ECE5DAA">
            <w:pPr>
              <w:spacing w:line="360" w:lineRule="exact"/>
              <w:jc w:val="center"/>
              <w:rPr>
                <w:rFonts w:ascii="宋体" w:hAnsi="宋体"/>
                <w:color w:val="auto"/>
                <w:szCs w:val="21"/>
              </w:rPr>
            </w:pPr>
            <w:r>
              <w:rPr>
                <w:rFonts w:hint="eastAsia" w:ascii="宋体" w:hAnsi="宋体"/>
                <w:color w:val="auto"/>
                <w:szCs w:val="21"/>
              </w:rPr>
              <w:t>1项</w:t>
            </w:r>
          </w:p>
        </w:tc>
        <w:tc>
          <w:tcPr>
            <w:tcW w:w="709" w:type="dxa"/>
            <w:vAlign w:val="center"/>
          </w:tcPr>
          <w:p w14:paraId="20E3DF0A">
            <w:pPr>
              <w:tabs>
                <w:tab w:val="left" w:pos="180"/>
                <w:tab w:val="left" w:pos="1620"/>
              </w:tabs>
              <w:spacing w:line="360" w:lineRule="exact"/>
              <w:jc w:val="center"/>
              <w:rPr>
                <w:rFonts w:ascii="宋体" w:hAnsi="宋体" w:cs="宋体"/>
                <w:color w:val="auto"/>
                <w:szCs w:val="21"/>
              </w:rPr>
            </w:pPr>
            <w:r>
              <w:rPr>
                <w:rFonts w:hint="eastAsia" w:ascii="宋体" w:hAnsi="宋体" w:cs="宋体"/>
                <w:color w:val="auto"/>
                <w:szCs w:val="21"/>
              </w:rPr>
              <w:t xml:space="preserve">其他未列明服务业 </w:t>
            </w:r>
          </w:p>
        </w:tc>
        <w:tc>
          <w:tcPr>
            <w:tcW w:w="5506" w:type="dxa"/>
            <w:vAlign w:val="center"/>
          </w:tcPr>
          <w:p w14:paraId="285EB863">
            <w:pPr>
              <w:spacing w:line="360" w:lineRule="exact"/>
              <w:ind w:firstLine="422" w:firstLineChars="200"/>
              <w:rPr>
                <w:rFonts w:hint="default" w:ascii="宋体" w:hAnsi="宋体" w:eastAsia="宋体" w:cs="宋体"/>
                <w:b/>
                <w:color w:val="auto"/>
                <w:szCs w:val="21"/>
                <w:lang w:val="en-US" w:eastAsia="zh-CN"/>
              </w:rPr>
            </w:pPr>
            <w:r>
              <w:rPr>
                <w:rFonts w:hint="eastAsia" w:ascii="宋体" w:hAnsi="宋体" w:cs="宋体"/>
                <w:b/>
                <w:color w:val="auto"/>
                <w:szCs w:val="21"/>
              </w:rPr>
              <w:t>一、</w:t>
            </w:r>
            <w:r>
              <w:rPr>
                <w:rFonts w:hint="eastAsia" w:ascii="宋体" w:hAnsi="宋体" w:cs="宋体"/>
                <w:b/>
                <w:color w:val="auto"/>
                <w:szCs w:val="21"/>
                <w:lang w:val="en-US" w:eastAsia="zh-CN"/>
              </w:rPr>
              <w:t>检测目的</w:t>
            </w:r>
          </w:p>
          <w:p w14:paraId="184DAC91">
            <w:pPr>
              <w:spacing w:line="360" w:lineRule="exact"/>
              <w:ind w:firstLine="420" w:firstLineChars="200"/>
              <w:rPr>
                <w:rFonts w:hint="default" w:ascii="宋体" w:hAnsi="宋体" w:cs="宋体"/>
                <w:b/>
                <w:color w:val="auto"/>
                <w:szCs w:val="21"/>
                <w:lang w:val="en-US"/>
              </w:rPr>
            </w:pPr>
            <w:r>
              <w:rPr>
                <w:rFonts w:hint="eastAsia" w:ascii="宋体" w:hAnsi="宋体" w:cs="宋体"/>
                <w:b w:val="0"/>
                <w:bCs/>
                <w:color w:val="auto"/>
                <w:szCs w:val="21"/>
                <w:lang w:val="en-US" w:eastAsia="zh-CN"/>
              </w:rPr>
              <w:t>2025年政府还贷二级公路取消收费后补助资金项目（农村公路路况自动化检测）检测里程19000 公里，总检测比例100.00%，为掌握河池市农村公路的实际路况，核定路况指标，为农村公路养护决策提供依据。</w:t>
            </w:r>
          </w:p>
          <w:p w14:paraId="763E1FD4">
            <w:pPr>
              <w:spacing w:line="360" w:lineRule="exact"/>
              <w:ind w:firstLine="422" w:firstLineChars="200"/>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二</w:t>
            </w:r>
            <w:r>
              <w:rPr>
                <w:rFonts w:hint="eastAsia" w:ascii="宋体" w:hAnsi="宋体" w:cs="宋体"/>
                <w:b/>
                <w:color w:val="auto"/>
                <w:szCs w:val="21"/>
              </w:rPr>
              <w:t>、</w:t>
            </w:r>
            <w:r>
              <w:rPr>
                <w:rFonts w:hint="eastAsia" w:ascii="宋体" w:hAnsi="宋体" w:cs="宋体"/>
                <w:b/>
                <w:color w:val="auto"/>
                <w:szCs w:val="21"/>
                <w:lang w:val="en-US" w:eastAsia="zh-CN"/>
              </w:rPr>
              <w:t>检测依据</w:t>
            </w:r>
          </w:p>
          <w:p w14:paraId="516FABE7">
            <w:pPr>
              <w:spacing w:line="360" w:lineRule="exact"/>
              <w:ind w:firstLine="420" w:firstLineChars="200"/>
              <w:rPr>
                <w:rFonts w:ascii="宋体" w:hAnsi="宋体" w:cs="宋体"/>
                <w:color w:val="auto"/>
                <w:szCs w:val="21"/>
              </w:rPr>
            </w:pPr>
            <w:r>
              <w:rPr>
                <w:rFonts w:hint="eastAsia" w:ascii="宋体" w:hAnsi="宋体" w:cs="宋体"/>
                <w:color w:val="auto"/>
                <w:szCs w:val="21"/>
              </w:rPr>
              <w:t>本项目的试验检测须达到国家和行业关于公路水运工程检测要求，并符合下列检测标准、规范、试验方法。凡是不注日期的引用文件，其最新版本（包括所有修改单）适用于本文件。</w:t>
            </w:r>
          </w:p>
          <w:p w14:paraId="7A62E774">
            <w:pPr>
              <w:spacing w:line="360" w:lineRule="exact"/>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《公路技术状况评定标准》；</w:t>
            </w:r>
          </w:p>
          <w:p w14:paraId="18158BAE">
            <w:pPr>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《农村公路养护技术规范》；</w:t>
            </w:r>
          </w:p>
          <w:p w14:paraId="42CC1023">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《公路沥青路面养护技术规范》；</w:t>
            </w:r>
          </w:p>
          <w:p w14:paraId="1D307B97">
            <w:pPr>
              <w:spacing w:line="360" w:lineRule="exact"/>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w:t>
            </w:r>
            <w:r>
              <w:rPr>
                <w:rFonts w:hint="eastAsia" w:ascii="宋体" w:hAnsi="宋体" w:cs="宋体"/>
                <w:color w:val="auto"/>
                <w:szCs w:val="21"/>
              </w:rPr>
              <w:t>《公路水泥混凝土路面养护技术规范》；</w:t>
            </w:r>
          </w:p>
          <w:p w14:paraId="52463C57">
            <w:pPr>
              <w:spacing w:line="36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《公路路基路面现场测试规程》；</w:t>
            </w:r>
          </w:p>
          <w:p w14:paraId="17FF7B2B">
            <w:pPr>
              <w:spacing w:line="360" w:lineRule="exact"/>
              <w:ind w:firstLine="420" w:firstLineChars="200"/>
              <w:rPr>
                <w:rFonts w:ascii="宋体" w:hAnsi="宋体" w:cs="宋体"/>
                <w:color w:val="auto"/>
                <w:szCs w:val="21"/>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《公路桥梁技术状况评定标准》；</w:t>
            </w:r>
          </w:p>
          <w:p w14:paraId="04863996">
            <w:pPr>
              <w:spacing w:line="360" w:lineRule="exact"/>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《农村公路技术状况评定标准》；</w:t>
            </w:r>
          </w:p>
          <w:p w14:paraId="39B7B082">
            <w:pPr>
              <w:spacing w:line="360" w:lineRule="exact"/>
              <w:ind w:firstLine="420" w:firstLineChars="200"/>
              <w:rPr>
                <w:rFonts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《公路隧道养护技术规范》；</w:t>
            </w:r>
          </w:p>
          <w:p w14:paraId="7459E1B5">
            <w:pPr>
              <w:spacing w:line="360" w:lineRule="exact"/>
              <w:ind w:firstLine="420" w:firstLineChars="200"/>
              <w:rPr>
                <w:rFonts w:ascii="宋体" w:hAnsi="宋体" w:cs="宋体"/>
                <w:color w:val="auto"/>
                <w:szCs w:val="21"/>
              </w:rPr>
            </w:pPr>
            <w:r>
              <w:rPr>
                <w:rFonts w:hint="eastAsia" w:ascii="宋体" w:hAnsi="宋体" w:cs="宋体"/>
                <w:color w:val="auto"/>
                <w:szCs w:val="21"/>
              </w:rPr>
              <w:t>9</w:t>
            </w:r>
            <w:r>
              <w:rPr>
                <w:rFonts w:ascii="宋体" w:hAnsi="宋体" w:cs="宋体"/>
                <w:color w:val="auto"/>
                <w:szCs w:val="21"/>
              </w:rPr>
              <w:t>.</w:t>
            </w:r>
            <w:r>
              <w:rPr>
                <w:rFonts w:hint="eastAsia" w:ascii="宋体" w:hAnsi="宋体" w:cs="宋体"/>
                <w:color w:val="auto"/>
                <w:szCs w:val="21"/>
              </w:rPr>
              <w:t>主管部门相关的发文等。</w:t>
            </w:r>
          </w:p>
          <w:p w14:paraId="069483EA">
            <w:pPr>
              <w:spacing w:line="360" w:lineRule="exact"/>
              <w:ind w:firstLine="422" w:firstLineChars="200"/>
              <w:rPr>
                <w:rFonts w:ascii="宋体" w:hAnsi="宋体" w:cs="宋体"/>
                <w:color w:val="auto"/>
                <w:szCs w:val="21"/>
              </w:rPr>
            </w:pPr>
            <w:r>
              <w:rPr>
                <w:rFonts w:hint="eastAsia" w:ascii="宋体" w:hAnsi="宋体" w:cs="宋体"/>
                <w:b/>
                <w:color w:val="auto"/>
                <w:szCs w:val="21"/>
                <w:lang w:val="en-US" w:eastAsia="zh-CN"/>
              </w:rPr>
              <w:t>三</w:t>
            </w:r>
            <w:r>
              <w:rPr>
                <w:rFonts w:hint="eastAsia" w:ascii="宋体" w:hAnsi="宋体" w:cs="宋体"/>
                <w:b/>
                <w:color w:val="auto"/>
                <w:szCs w:val="21"/>
              </w:rPr>
              <w:t>、检测项目和内容及数量</w:t>
            </w:r>
            <w:r>
              <w:rPr>
                <w:rFonts w:hint="eastAsia" w:ascii="宋体" w:hAnsi="宋体" w:cs="宋体"/>
                <w:color w:val="auto"/>
                <w:szCs w:val="21"/>
              </w:rPr>
              <w:t>（见本章附件1、及附</w:t>
            </w:r>
            <w:r>
              <w:rPr>
                <w:rFonts w:hint="eastAsia" w:ascii="宋体" w:hAnsi="宋体" w:cs="宋体"/>
                <w:color w:val="auto"/>
                <w:szCs w:val="21"/>
                <w:lang w:val="en-US" w:eastAsia="zh-CN"/>
              </w:rPr>
              <w:t>件</w:t>
            </w: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w:t>
            </w:r>
          </w:p>
          <w:p w14:paraId="28F25CB9">
            <w:pPr>
              <w:spacing w:line="360" w:lineRule="exact"/>
              <w:ind w:firstLine="422" w:firstLineChars="200"/>
              <w:rPr>
                <w:rFonts w:ascii="宋体" w:hAnsi="宋体" w:cs="宋体"/>
                <w:b/>
                <w:color w:val="auto"/>
                <w:szCs w:val="21"/>
              </w:rPr>
            </w:pPr>
            <w:r>
              <w:rPr>
                <w:rFonts w:hint="eastAsia" w:ascii="宋体" w:hAnsi="宋体" w:cs="宋体"/>
                <w:b/>
                <w:color w:val="auto"/>
                <w:szCs w:val="21"/>
                <w:lang w:val="en-US" w:eastAsia="zh-CN"/>
              </w:rPr>
              <w:t>四</w:t>
            </w:r>
            <w:r>
              <w:rPr>
                <w:rFonts w:hint="eastAsia" w:ascii="宋体" w:hAnsi="宋体" w:cs="宋体"/>
                <w:b/>
                <w:color w:val="auto"/>
                <w:szCs w:val="21"/>
              </w:rPr>
              <w:t>、实施人员数量</w:t>
            </w:r>
          </w:p>
          <w:p w14:paraId="22ED9410">
            <w:pPr>
              <w:spacing w:line="360" w:lineRule="exact"/>
              <w:ind w:firstLine="420" w:firstLineChars="200"/>
              <w:rPr>
                <w:rFonts w:ascii="宋体" w:hAnsi="宋体" w:cs="宋体"/>
                <w:color w:val="auto"/>
                <w:szCs w:val="21"/>
              </w:rPr>
            </w:pPr>
            <w:r>
              <w:rPr>
                <w:rFonts w:hint="eastAsia" w:ascii="宋体" w:hAnsi="宋体" w:cs="宋体"/>
                <w:color w:val="auto"/>
                <w:szCs w:val="21"/>
              </w:rPr>
              <w:t>根据本项目实际情况，确定拟投入本项目实施人员最低数量要求（见下表）。根据现场情况，为保障工程进度、质量等需要，如采购人在项目实施过程中认为现阶段项目实施人员不能满足工程检测需求时，有权要求试验检测单位（中标供应商）增加项目实施人员，试验检测单位（中标供应商）须接受采购人要求。项目实施人员最低数量要求表：</w:t>
            </w:r>
          </w:p>
          <w:tbl>
            <w:tblPr>
              <w:tblStyle w:val="37"/>
              <w:tblW w:w="4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883"/>
              <w:gridCol w:w="2460"/>
            </w:tblGrid>
            <w:tr w14:paraId="57F7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1128" w:type="dxa"/>
                  <w:vMerge w:val="restart"/>
                  <w:vAlign w:val="center"/>
                </w:tcPr>
                <w:p w14:paraId="5BD340B4">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3343" w:type="dxa"/>
                  <w:gridSpan w:val="2"/>
                  <w:vAlign w:val="center"/>
                </w:tcPr>
                <w:p w14:paraId="665870F1">
                  <w:pPr>
                    <w:spacing w:line="360" w:lineRule="exact"/>
                    <w:ind w:left="-69" w:right="-10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最低资格要求</w:t>
                  </w:r>
                </w:p>
              </w:tc>
            </w:tr>
            <w:tr w14:paraId="2EB3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1128" w:type="dxa"/>
                  <w:vMerge w:val="continue"/>
                  <w:vAlign w:val="center"/>
                </w:tcPr>
                <w:p w14:paraId="57B5D3A8">
                  <w:pPr>
                    <w:spacing w:line="360" w:lineRule="exact"/>
                    <w:ind w:left="-69" w:right="-100"/>
                    <w:jc w:val="center"/>
                    <w:rPr>
                      <w:rFonts w:ascii="宋体" w:hAnsi="宋体" w:cs="宋体"/>
                      <w:color w:val="auto"/>
                      <w:szCs w:val="21"/>
                      <w:highlight w:val="none"/>
                    </w:rPr>
                  </w:pPr>
                </w:p>
              </w:tc>
              <w:tc>
                <w:tcPr>
                  <w:tcW w:w="883" w:type="dxa"/>
                  <w:vAlign w:val="center"/>
                </w:tcPr>
                <w:p w14:paraId="1F8C5B03">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人员</w:t>
                  </w:r>
                </w:p>
                <w:p w14:paraId="62D55BB2">
                  <w:pPr>
                    <w:spacing w:line="360" w:lineRule="exact"/>
                    <w:ind w:left="-69" w:leftChars="0" w:right="-100" w:rightChars="0"/>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2460" w:type="dxa"/>
                  <w:vAlign w:val="center"/>
                </w:tcPr>
                <w:p w14:paraId="5EC590A3">
                  <w:pPr>
                    <w:spacing w:line="360" w:lineRule="exact"/>
                    <w:ind w:left="-69" w:leftChars="0" w:right="-100" w:rightChars="0"/>
                    <w:jc w:val="center"/>
                    <w:rPr>
                      <w:rFonts w:hint="eastAsia" w:ascii="宋体" w:hAnsi="宋体" w:cs="宋体"/>
                      <w:color w:val="auto"/>
                      <w:szCs w:val="21"/>
                      <w:highlight w:val="none"/>
                    </w:rPr>
                  </w:pPr>
                  <w:r>
                    <w:rPr>
                      <w:rFonts w:hint="eastAsia" w:ascii="宋体" w:hAnsi="宋体" w:cs="宋体"/>
                      <w:color w:val="auto"/>
                      <w:szCs w:val="21"/>
                      <w:highlight w:val="none"/>
                    </w:rPr>
                    <w:t>持证要求</w:t>
                  </w:r>
                </w:p>
              </w:tc>
            </w:tr>
            <w:tr w14:paraId="19EA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exact"/>
                <w:jc w:val="center"/>
              </w:trPr>
              <w:tc>
                <w:tcPr>
                  <w:tcW w:w="1128" w:type="dxa"/>
                  <w:vAlign w:val="center"/>
                </w:tcPr>
                <w:p w14:paraId="7DAED66A">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83" w:type="dxa"/>
                  <w:vAlign w:val="center"/>
                </w:tcPr>
                <w:p w14:paraId="27038748">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1</w:t>
                  </w:r>
                </w:p>
              </w:tc>
              <w:tc>
                <w:tcPr>
                  <w:tcW w:w="2460" w:type="dxa"/>
                  <w:vAlign w:val="center"/>
                </w:tcPr>
                <w:p w14:paraId="3EDFE58B">
                  <w:pPr>
                    <w:spacing w:line="360" w:lineRule="exact"/>
                    <w:ind w:left="-101" w:leftChars="-48" w:right="-100"/>
                    <w:rPr>
                      <w:rFonts w:ascii="宋体" w:hAnsi="宋体" w:cs="宋体"/>
                      <w:color w:val="auto"/>
                      <w:szCs w:val="21"/>
                      <w:highlight w:val="none"/>
                    </w:rPr>
                  </w:pPr>
                  <w:r>
                    <w:rPr>
                      <w:rFonts w:hint="eastAsia" w:ascii="宋体" w:hAnsi="宋体" w:cs="宋体"/>
                      <w:color w:val="auto"/>
                      <w:szCs w:val="21"/>
                      <w:highlight w:val="none"/>
                    </w:rPr>
                    <w:t>持有交通运输部门颁发的试验检测工程师证书(公路</w:t>
                  </w:r>
                  <w:r>
                    <w:rPr>
                      <w:rFonts w:hint="eastAsia" w:ascii="宋体" w:hAnsi="宋体" w:cs="宋体"/>
                      <w:color w:val="auto"/>
                      <w:szCs w:val="21"/>
                      <w:highlight w:val="none"/>
                      <w:lang w:eastAsia="zh-CN"/>
                    </w:rPr>
                    <w:t>或道路</w:t>
                  </w:r>
                  <w:r>
                    <w:rPr>
                      <w:rFonts w:hint="eastAsia" w:ascii="宋体" w:hAnsi="宋体" w:cs="宋体"/>
                      <w:color w:val="auto"/>
                      <w:szCs w:val="21"/>
                      <w:highlight w:val="none"/>
                    </w:rPr>
                    <w:t>专业)或交通运输部职业资格中心颁发的公路水运工程试验检测师证书（道路工程）资格证书。</w:t>
                  </w:r>
                </w:p>
              </w:tc>
            </w:tr>
            <w:tr w14:paraId="64A8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128" w:type="dxa"/>
                  <w:vAlign w:val="center"/>
                </w:tcPr>
                <w:p w14:paraId="6F1B769F">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项目技术负责人</w:t>
                  </w:r>
                </w:p>
              </w:tc>
              <w:tc>
                <w:tcPr>
                  <w:tcW w:w="883" w:type="dxa"/>
                  <w:vAlign w:val="center"/>
                </w:tcPr>
                <w:p w14:paraId="1A685D50">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1</w:t>
                  </w:r>
                </w:p>
              </w:tc>
              <w:tc>
                <w:tcPr>
                  <w:tcW w:w="2460" w:type="dxa"/>
                  <w:vAlign w:val="center"/>
                </w:tcPr>
                <w:p w14:paraId="55A0589D">
                  <w:pPr>
                    <w:spacing w:line="360" w:lineRule="exact"/>
                    <w:ind w:left="-101" w:leftChars="-48" w:right="-100"/>
                    <w:rPr>
                      <w:rFonts w:ascii="宋体" w:hAnsi="宋体" w:cs="宋体"/>
                      <w:color w:val="auto"/>
                      <w:szCs w:val="21"/>
                      <w:highlight w:val="none"/>
                    </w:rPr>
                  </w:pPr>
                  <w:r>
                    <w:rPr>
                      <w:rFonts w:hint="eastAsia" w:ascii="宋体" w:hAnsi="宋体" w:cs="宋体"/>
                      <w:color w:val="auto"/>
                      <w:szCs w:val="21"/>
                      <w:highlight w:val="none"/>
                    </w:rPr>
                    <w:t>持有交通运输部门颁发的试验检测工程师证书(公路</w:t>
                  </w:r>
                  <w:r>
                    <w:rPr>
                      <w:rFonts w:hint="eastAsia" w:ascii="宋体" w:hAnsi="宋体" w:cs="宋体"/>
                      <w:color w:val="auto"/>
                      <w:szCs w:val="21"/>
                      <w:highlight w:val="none"/>
                      <w:lang w:eastAsia="zh-CN"/>
                    </w:rPr>
                    <w:t>或道路</w:t>
                  </w:r>
                  <w:r>
                    <w:rPr>
                      <w:rFonts w:hint="eastAsia" w:ascii="宋体" w:hAnsi="宋体" w:cs="宋体"/>
                      <w:color w:val="auto"/>
                      <w:szCs w:val="21"/>
                      <w:highlight w:val="none"/>
                    </w:rPr>
                    <w:t>专业)或交通运输部职业资格中心颁发的公路水运工程试验检测师证书（道路工程）资格证书。</w:t>
                  </w:r>
                </w:p>
              </w:tc>
            </w:tr>
            <w:tr w14:paraId="4729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28" w:type="dxa"/>
                  <w:vAlign w:val="center"/>
                </w:tcPr>
                <w:p w14:paraId="3FA258E1">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检测工程师</w:t>
                  </w:r>
                </w:p>
              </w:tc>
              <w:tc>
                <w:tcPr>
                  <w:tcW w:w="883" w:type="dxa"/>
                  <w:vAlign w:val="center"/>
                </w:tcPr>
                <w:p w14:paraId="49E88819">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5</w:t>
                  </w:r>
                </w:p>
              </w:tc>
              <w:tc>
                <w:tcPr>
                  <w:tcW w:w="2460" w:type="dxa"/>
                  <w:vAlign w:val="center"/>
                </w:tcPr>
                <w:p w14:paraId="0EF7D838">
                  <w:pPr>
                    <w:spacing w:line="360" w:lineRule="exact"/>
                    <w:ind w:left="-101" w:leftChars="-48" w:right="-100"/>
                    <w:rPr>
                      <w:rFonts w:ascii="宋体" w:hAnsi="宋体" w:cs="宋体"/>
                      <w:color w:val="auto"/>
                      <w:szCs w:val="21"/>
                      <w:highlight w:val="none"/>
                    </w:rPr>
                  </w:pPr>
                  <w:r>
                    <w:rPr>
                      <w:rFonts w:hint="eastAsia" w:ascii="宋体" w:hAnsi="宋体" w:cs="宋体"/>
                      <w:color w:val="auto"/>
                      <w:szCs w:val="21"/>
                      <w:highlight w:val="none"/>
                    </w:rPr>
                    <w:t>持有交通运输部门颁发的试验检测工程师证书(公路</w:t>
                  </w:r>
                  <w:r>
                    <w:rPr>
                      <w:rFonts w:hint="eastAsia" w:ascii="宋体" w:hAnsi="宋体" w:cs="宋体"/>
                      <w:color w:val="auto"/>
                      <w:szCs w:val="21"/>
                      <w:highlight w:val="none"/>
                      <w:lang w:eastAsia="zh-CN"/>
                    </w:rPr>
                    <w:t>或道路</w:t>
                  </w:r>
                  <w:r>
                    <w:rPr>
                      <w:rFonts w:hint="eastAsia" w:ascii="宋体" w:hAnsi="宋体" w:cs="宋体"/>
                      <w:color w:val="auto"/>
                      <w:szCs w:val="21"/>
                      <w:highlight w:val="none"/>
                    </w:rPr>
                    <w:t>专业)或交通运输部职业资格中心颁发的公路水运工程试验检测师证书（道路工程）资格证书。。</w:t>
                  </w:r>
                </w:p>
              </w:tc>
            </w:tr>
            <w:tr w14:paraId="5BED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28" w:type="dxa"/>
                  <w:vAlign w:val="center"/>
                </w:tcPr>
                <w:p w14:paraId="2C30D39D">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试验检测员</w:t>
                  </w:r>
                </w:p>
              </w:tc>
              <w:tc>
                <w:tcPr>
                  <w:tcW w:w="883" w:type="dxa"/>
                  <w:vAlign w:val="center"/>
                </w:tcPr>
                <w:p w14:paraId="59B253FB">
                  <w:pPr>
                    <w:spacing w:line="360" w:lineRule="exact"/>
                    <w:ind w:left="-69" w:right="-100"/>
                    <w:jc w:val="center"/>
                    <w:rPr>
                      <w:rFonts w:ascii="宋体" w:hAnsi="宋体" w:cs="宋体"/>
                      <w:color w:val="auto"/>
                      <w:szCs w:val="21"/>
                      <w:highlight w:val="none"/>
                    </w:rPr>
                  </w:pPr>
                  <w:r>
                    <w:rPr>
                      <w:rFonts w:hint="eastAsia" w:ascii="宋体" w:hAnsi="宋体" w:cs="宋体"/>
                      <w:color w:val="auto"/>
                      <w:szCs w:val="21"/>
                      <w:highlight w:val="none"/>
                    </w:rPr>
                    <w:t>5</w:t>
                  </w:r>
                </w:p>
              </w:tc>
              <w:tc>
                <w:tcPr>
                  <w:tcW w:w="2460" w:type="dxa"/>
                  <w:vAlign w:val="center"/>
                </w:tcPr>
                <w:p w14:paraId="0A4DCCBA">
                  <w:pPr>
                    <w:spacing w:line="360" w:lineRule="exact"/>
                    <w:ind w:left="-101" w:leftChars="-48" w:right="-100"/>
                    <w:rPr>
                      <w:rFonts w:ascii="宋体" w:hAnsi="宋体" w:cs="宋体"/>
                      <w:color w:val="auto"/>
                      <w:szCs w:val="21"/>
                      <w:highlight w:val="none"/>
                    </w:rPr>
                  </w:pPr>
                  <w:r>
                    <w:rPr>
                      <w:rFonts w:hint="eastAsia" w:ascii="宋体" w:hAnsi="宋体" w:cs="宋体"/>
                      <w:color w:val="auto"/>
                      <w:szCs w:val="21"/>
                      <w:highlight w:val="none"/>
                    </w:rPr>
                    <w:t>持有交通运输部门颁发的试验检测</w:t>
                  </w:r>
                  <w:r>
                    <w:rPr>
                      <w:rFonts w:hint="eastAsia" w:ascii="宋体" w:hAnsi="宋体" w:cs="宋体"/>
                      <w:color w:val="auto"/>
                      <w:szCs w:val="21"/>
                      <w:highlight w:val="none"/>
                      <w:lang w:eastAsia="zh-CN"/>
                    </w:rPr>
                    <w:t>员</w:t>
                  </w:r>
                  <w:r>
                    <w:rPr>
                      <w:rFonts w:hint="eastAsia" w:ascii="宋体" w:hAnsi="宋体" w:cs="宋体"/>
                      <w:color w:val="auto"/>
                      <w:szCs w:val="21"/>
                      <w:highlight w:val="none"/>
                    </w:rPr>
                    <w:t>证书(公路</w:t>
                  </w:r>
                  <w:r>
                    <w:rPr>
                      <w:rFonts w:hint="eastAsia" w:ascii="宋体" w:hAnsi="宋体" w:cs="宋体"/>
                      <w:color w:val="auto"/>
                      <w:szCs w:val="21"/>
                      <w:highlight w:val="none"/>
                      <w:lang w:eastAsia="zh-CN"/>
                    </w:rPr>
                    <w:t>或道路</w:t>
                  </w:r>
                  <w:r>
                    <w:rPr>
                      <w:rFonts w:hint="eastAsia" w:ascii="宋体" w:hAnsi="宋体" w:cs="宋体"/>
                      <w:color w:val="auto"/>
                      <w:szCs w:val="21"/>
                      <w:highlight w:val="none"/>
                    </w:rPr>
                    <w:t>专业)</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试验检测工程师证书(公路</w:t>
                  </w:r>
                  <w:r>
                    <w:rPr>
                      <w:rFonts w:hint="eastAsia" w:ascii="宋体" w:hAnsi="宋体" w:cs="宋体"/>
                      <w:color w:val="auto"/>
                      <w:szCs w:val="21"/>
                      <w:highlight w:val="none"/>
                      <w:lang w:eastAsia="zh-CN"/>
                    </w:rPr>
                    <w:t>或道路</w:t>
                  </w:r>
                  <w:r>
                    <w:rPr>
                      <w:rFonts w:hint="eastAsia" w:ascii="宋体" w:hAnsi="宋体" w:cs="宋体"/>
                      <w:color w:val="auto"/>
                      <w:szCs w:val="21"/>
                      <w:highlight w:val="none"/>
                    </w:rPr>
                    <w:t>专业)或交通运输部职业资格中心颁发的公路水运工程助理试验检测师资格证书（道路工程）</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公路水运工程试验检测师证书（道路工程）。</w:t>
                  </w:r>
                </w:p>
              </w:tc>
            </w:tr>
          </w:tbl>
          <w:p w14:paraId="6BDF24F5">
            <w:pPr>
              <w:spacing w:line="360" w:lineRule="exact"/>
              <w:rPr>
                <w:rFonts w:ascii="宋体" w:hAnsi="宋体" w:cs="宋体"/>
                <w:b/>
                <w:color w:val="auto"/>
                <w:szCs w:val="21"/>
              </w:rPr>
            </w:pPr>
            <w:r>
              <w:rPr>
                <w:rFonts w:hint="eastAsia" w:ascii="宋体" w:hAnsi="宋体" w:cs="宋体"/>
                <w:b/>
                <w:color w:val="auto"/>
                <w:szCs w:val="21"/>
              </w:rPr>
              <w:t xml:space="preserve">注： </w:t>
            </w:r>
          </w:p>
          <w:p w14:paraId="4A9ADBF0">
            <w:pPr>
              <w:spacing w:line="360" w:lineRule="exact"/>
              <w:rPr>
                <w:rFonts w:ascii="宋体" w:hAnsi="宋体" w:cs="宋体"/>
                <w:b/>
                <w:color w:val="auto"/>
                <w:szCs w:val="21"/>
              </w:rPr>
            </w:pPr>
            <w:r>
              <w:rPr>
                <w:rFonts w:hint="eastAsia" w:ascii="宋体" w:hAnsi="宋体" w:cs="宋体"/>
                <w:b/>
                <w:color w:val="auto"/>
                <w:szCs w:val="21"/>
              </w:rPr>
              <w:t>1.所有从事现场试验检测人员要求身体状况必须能满足工地现场工作需要。</w:t>
            </w:r>
          </w:p>
          <w:p w14:paraId="18CD69F6">
            <w:pPr>
              <w:spacing w:line="360" w:lineRule="exact"/>
              <w:rPr>
                <w:rFonts w:ascii="宋体" w:hAnsi="宋体" w:cs="宋体"/>
                <w:b/>
                <w:color w:val="auto"/>
                <w:szCs w:val="21"/>
              </w:rPr>
            </w:pPr>
            <w:r>
              <w:rPr>
                <w:rFonts w:hint="eastAsia" w:ascii="宋体" w:hAnsi="宋体" w:cs="宋体"/>
                <w:b/>
                <w:color w:val="auto"/>
                <w:szCs w:val="21"/>
              </w:rPr>
              <w:t>2.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Pr>
                <w:rFonts w:ascii="宋体" w:hAnsi="宋体" w:cs="宋体"/>
                <w:b/>
                <w:color w:val="auto"/>
                <w:szCs w:val="21"/>
              </w:rPr>
              <w:t>2025年</w:t>
            </w:r>
            <w:r>
              <w:rPr>
                <w:rFonts w:hint="eastAsia" w:ascii="宋体" w:hAnsi="宋体" w:cs="宋体"/>
                <w:b/>
                <w:color w:val="auto"/>
                <w:szCs w:val="21"/>
                <w:lang w:val="en-US" w:eastAsia="zh-CN"/>
              </w:rPr>
              <w:t>4</w:t>
            </w:r>
            <w:r>
              <w:rPr>
                <w:rFonts w:hint="eastAsia" w:ascii="宋体" w:hAnsi="宋体" w:cs="宋体"/>
                <w:b/>
                <w:color w:val="auto"/>
                <w:szCs w:val="21"/>
              </w:rPr>
              <w:t>月至</w:t>
            </w:r>
            <w:r>
              <w:rPr>
                <w:rFonts w:ascii="宋体" w:hAnsi="宋体" w:cs="宋体"/>
                <w:b/>
                <w:color w:val="auto"/>
                <w:szCs w:val="21"/>
              </w:rPr>
              <w:t>2025年</w:t>
            </w:r>
            <w:r>
              <w:rPr>
                <w:rFonts w:hint="eastAsia" w:ascii="宋体" w:hAnsi="宋体" w:cs="宋体"/>
                <w:b/>
                <w:color w:val="auto"/>
                <w:szCs w:val="21"/>
                <w:lang w:val="en-US" w:eastAsia="zh-CN"/>
              </w:rPr>
              <w:t>6</w:t>
            </w:r>
            <w:r>
              <w:rPr>
                <w:rFonts w:ascii="宋体" w:hAnsi="宋体" w:cs="宋体"/>
                <w:b/>
                <w:color w:val="auto"/>
                <w:szCs w:val="21"/>
              </w:rPr>
              <w:t>月）内至少一个月为其缴纳的社保</w:t>
            </w:r>
            <w:r>
              <w:rPr>
                <w:rFonts w:hint="eastAsia" w:ascii="宋体" w:hAnsi="宋体" w:cs="宋体"/>
                <w:b/>
                <w:color w:val="auto"/>
                <w:szCs w:val="21"/>
              </w:rPr>
              <w:t>（至少缴纳养老保险）相关证明扫描件。</w:t>
            </w:r>
          </w:p>
          <w:p w14:paraId="448A4B53">
            <w:pPr>
              <w:spacing w:line="360" w:lineRule="exact"/>
              <w:ind w:firstLine="422" w:firstLineChars="200"/>
              <w:rPr>
                <w:rFonts w:ascii="宋体" w:hAnsi="宋体" w:cs="宋体"/>
                <w:b/>
                <w:color w:val="auto"/>
                <w:szCs w:val="21"/>
              </w:rPr>
            </w:pPr>
            <w:r>
              <w:rPr>
                <w:rFonts w:hint="eastAsia" w:ascii="宋体" w:hAnsi="宋体" w:cs="宋体"/>
                <w:b/>
                <w:color w:val="auto"/>
                <w:szCs w:val="21"/>
                <w:lang w:val="en-US" w:eastAsia="zh-CN"/>
              </w:rPr>
              <w:t>五</w:t>
            </w:r>
            <w:r>
              <w:rPr>
                <w:rFonts w:hint="eastAsia" w:ascii="宋体" w:hAnsi="宋体" w:cs="宋体"/>
                <w:b/>
                <w:color w:val="auto"/>
                <w:szCs w:val="21"/>
              </w:rPr>
              <w:t>、检测成果要求</w:t>
            </w:r>
          </w:p>
          <w:p w14:paraId="4E935909">
            <w:pPr>
              <w:spacing w:line="360" w:lineRule="exact"/>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报送路面技术状况检测数据包含但不限于：原始检测数据、评定结果、检测评定报告以及数据处理软件（能够加载读取路面图像、平整度数据、景观图像和空间定位信息等）。</w:t>
            </w:r>
          </w:p>
          <w:p w14:paraId="5B068F5C">
            <w:pPr>
              <w:spacing w:line="360" w:lineRule="exact"/>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原始路面技术状况检测检测数据包含路面损坏图像、路面破损数据、路面纵断面高程数据、国际平整度指数数据、道路景观图像、空间定位信息等，一级公路还应包含沥青路面车辙深度数据、路面跳车数据、路面磨损数据。</w:t>
            </w:r>
          </w:p>
          <w:p w14:paraId="7F0698EE">
            <w:pPr>
              <w:spacing w:line="360" w:lineRule="exact"/>
              <w:ind w:firstLine="420" w:firstLineChars="200"/>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w:t>
            </w:r>
            <w:r>
              <w:rPr>
                <w:rFonts w:hint="eastAsia" w:ascii="宋体" w:hAnsi="宋体" w:cs="宋体"/>
                <w:color w:val="auto"/>
                <w:szCs w:val="21"/>
              </w:rPr>
              <w:t>路面技术状况检测评定结果包含以公里路段单元评定的路面技术状况评定指数PQI及分项指标等。</w:t>
            </w:r>
          </w:p>
          <w:p w14:paraId="615E2272">
            <w:pPr>
              <w:spacing w:line="360" w:lineRule="exact"/>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ascii="宋体" w:hAnsi="宋体" w:cs="宋体"/>
                <w:color w:val="auto"/>
                <w:szCs w:val="21"/>
              </w:rPr>
              <w:t>.</w:t>
            </w:r>
            <w:r>
              <w:rPr>
                <w:rFonts w:hint="eastAsia" w:ascii="宋体" w:hAnsi="宋体" w:cs="宋体"/>
                <w:color w:val="auto"/>
                <w:szCs w:val="21"/>
              </w:rPr>
              <w:t>检测评定报告应包含但不限于以下内容：项目概况、检测技术、检测过程及指标统计，养护管理及技术状况方面存在的主要问题总结；技术现状总体评价；相应的养护规划和政策建议等及采购人后续提出的其他有关需求。</w:t>
            </w:r>
          </w:p>
          <w:p w14:paraId="36CF6288">
            <w:pPr>
              <w:spacing w:line="360" w:lineRule="exact"/>
              <w:ind w:firstLine="422" w:firstLineChars="200"/>
              <w:rPr>
                <w:rFonts w:ascii="宋体" w:hAnsi="宋体" w:cs="宋体"/>
                <w:b/>
                <w:color w:val="auto"/>
                <w:szCs w:val="21"/>
              </w:rPr>
            </w:pPr>
            <w:r>
              <w:rPr>
                <w:rFonts w:hint="eastAsia" w:ascii="宋体" w:hAnsi="宋体" w:cs="宋体"/>
                <w:b/>
                <w:color w:val="auto"/>
                <w:szCs w:val="21"/>
                <w:lang w:val="en-US" w:eastAsia="zh-CN"/>
              </w:rPr>
              <w:t>六</w:t>
            </w:r>
            <w:r>
              <w:rPr>
                <w:rFonts w:hint="eastAsia" w:ascii="宋体" w:hAnsi="宋体" w:cs="宋体"/>
                <w:b/>
                <w:color w:val="auto"/>
                <w:szCs w:val="21"/>
              </w:rPr>
              <w:t>、检测要求</w:t>
            </w:r>
          </w:p>
          <w:p w14:paraId="357F4B64">
            <w:pPr>
              <w:spacing w:line="360" w:lineRule="exact"/>
              <w:ind w:firstLine="420" w:firstLineChars="200"/>
              <w:rPr>
                <w:rFonts w:hint="eastAsia" w:ascii="宋体" w:hAnsi="宋体" w:cs="宋体"/>
                <w:b/>
                <w:color w:val="auto"/>
                <w:szCs w:val="21"/>
              </w:rPr>
            </w:pPr>
            <w:r>
              <w:rPr>
                <w:rFonts w:hint="eastAsia" w:ascii="宋体" w:hAnsi="宋体" w:cs="宋体"/>
                <w:color w:val="auto"/>
                <w:szCs w:val="21"/>
              </w:rPr>
              <w:t>检测单位（中标供应商）应按照现行的《公路技术状况评定标准》；《公路桥梁技术状况评定标准》；《农村公路养护技术规范》；</w:t>
            </w:r>
            <w:r>
              <w:rPr>
                <w:rFonts w:hint="eastAsia" w:ascii="宋体" w:hAnsi="宋体" w:cs="宋体"/>
                <w:color w:val="auto"/>
                <w:szCs w:val="21"/>
                <w:lang w:val="en-US" w:eastAsia="zh-CN"/>
              </w:rPr>
              <w:t>《公路沥青路面养护技术规范》；《公路水泥混凝土路面养护技术规范》；</w:t>
            </w:r>
            <w:r>
              <w:rPr>
                <w:rFonts w:hint="eastAsia" w:ascii="宋体" w:hAnsi="宋体" w:cs="宋体"/>
                <w:color w:val="auto"/>
                <w:szCs w:val="21"/>
              </w:rPr>
              <w:t>《公路路面技术状况自动化检测规程》；《农村公路技术状况评定标准》；</w:t>
            </w:r>
            <w:r>
              <w:rPr>
                <w:rFonts w:hint="eastAsia" w:ascii="宋体" w:hAnsi="宋体" w:cs="宋体"/>
                <w:color w:val="auto"/>
                <w:szCs w:val="21"/>
                <w:highlight w:val="none"/>
              </w:rPr>
              <w:t>《公路隧道养护技术规范》</w:t>
            </w:r>
            <w:r>
              <w:rPr>
                <w:rFonts w:hint="eastAsia" w:ascii="宋体" w:hAnsi="宋体" w:cs="宋体"/>
                <w:color w:val="auto"/>
                <w:szCs w:val="21"/>
              </w:rPr>
              <w:t>等规范标准开展检测工作，严格遵守工作纪律。中标供应商须对检测结果的真实、可靠、保密负责，不得向第三方泄露检测结果。</w:t>
            </w:r>
          </w:p>
          <w:p w14:paraId="065DCD58">
            <w:pPr>
              <w:spacing w:line="360" w:lineRule="exact"/>
              <w:ind w:firstLine="422" w:firstLineChars="200"/>
              <w:rPr>
                <w:rFonts w:hint="eastAsia" w:ascii="宋体" w:hAnsi="宋体" w:cs="宋体"/>
                <w:b/>
                <w:color w:val="auto"/>
                <w:szCs w:val="21"/>
                <w:lang w:val="en-US" w:eastAsia="zh-CN"/>
              </w:rPr>
            </w:pPr>
            <w:r>
              <w:rPr>
                <w:rFonts w:hint="eastAsia" w:ascii="宋体" w:hAnsi="宋体" w:cs="宋体"/>
                <w:b/>
                <w:color w:val="auto"/>
                <w:szCs w:val="21"/>
                <w:lang w:val="en-US" w:eastAsia="zh-CN"/>
              </w:rPr>
              <w:t xml:space="preserve">七、检测设备要求 </w:t>
            </w:r>
          </w:p>
          <w:p w14:paraId="32F7D208">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1.拟投入本项目的路况检测设备最低数量要求为：1 台多功能路况快速检测设备（自有或者租赁），设备功能： </w:t>
            </w:r>
          </w:p>
          <w:p w14:paraId="0880C776">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1）能快速检测道路平整度IRI，国际平整度指标（IRI）、平整度标准差（σ）、行驶质量指数（RQI）、可兼容（CPMS）路面质量管理系统，可对路面进行快速自动检测与现场计算机数据分析与评价。 </w:t>
            </w:r>
          </w:p>
          <w:p w14:paraId="3D9B28C8">
            <w:pPr>
              <w:spacing w:line="36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2）路面破损指数 PCI 进行检测，系统对路面进行自动图像采集、存储分析和处理破损数据。多功能路况快速检测设备要符合现行《多功能路况快速检测设备》（GB/T 26764-2024）标准。</w:t>
            </w:r>
          </w:p>
          <w:p w14:paraId="665840FF">
            <w:pPr>
              <w:spacing w:line="360" w:lineRule="exact"/>
              <w:ind w:firstLine="422" w:firstLineChars="200"/>
              <w:rPr>
                <w:rFonts w:ascii="宋体" w:hAnsi="宋体" w:cs="宋体"/>
                <w:b/>
                <w:color w:val="auto"/>
                <w:szCs w:val="21"/>
              </w:rPr>
            </w:pPr>
            <w:r>
              <w:rPr>
                <w:rFonts w:hint="eastAsia" w:ascii="宋体" w:hAnsi="宋体" w:cs="宋体"/>
                <w:b/>
                <w:color w:val="auto"/>
                <w:szCs w:val="21"/>
                <w:lang w:val="en-US" w:eastAsia="zh-CN"/>
              </w:rPr>
              <w:t>八</w:t>
            </w:r>
            <w:r>
              <w:rPr>
                <w:rFonts w:hint="eastAsia" w:ascii="宋体" w:hAnsi="宋体" w:cs="宋体"/>
                <w:b/>
                <w:color w:val="auto"/>
                <w:szCs w:val="21"/>
              </w:rPr>
              <w:t>、安全作业要求</w:t>
            </w:r>
          </w:p>
          <w:p w14:paraId="7D102CDC">
            <w:pPr>
              <w:spacing w:line="360" w:lineRule="exact"/>
              <w:ind w:firstLine="420" w:firstLineChars="200"/>
              <w:rPr>
                <w:rFonts w:ascii="宋体" w:hAnsi="宋体" w:cs="宋体"/>
                <w:color w:val="auto"/>
                <w:szCs w:val="21"/>
              </w:rPr>
            </w:pPr>
            <w:r>
              <w:rPr>
                <w:rFonts w:hint="eastAsia" w:ascii="宋体" w:hAnsi="宋体" w:cs="宋体"/>
                <w:color w:val="auto"/>
                <w:szCs w:val="21"/>
              </w:rPr>
              <w:t>检测单位（中标供应商）应按照现行的《中华人民共和国安全生产法》、《中华人民共和国道路交通安全法》、《公路安全保护条例》、《公路临时性交通标志》（GB/T28651）等相关法律法规、规范做好涉路作业区布设，配备满足检测安全作业的安全设备、设施、机具、标志、标牌和作业人员安全作业所需的工作防护用品。</w:t>
            </w:r>
          </w:p>
        </w:tc>
      </w:tr>
      <w:tr w14:paraId="5FE8D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tcPr>
          <w:p w14:paraId="2EAF572A">
            <w:pPr>
              <w:spacing w:line="360" w:lineRule="exact"/>
              <w:rPr>
                <w:rFonts w:ascii="宋体" w:hAnsi="宋体"/>
                <w:color w:val="auto"/>
                <w:szCs w:val="21"/>
              </w:rPr>
            </w:pPr>
            <w:r>
              <w:rPr>
                <w:rFonts w:hint="eastAsia" w:ascii="宋体" w:hAnsi="宋体"/>
                <w:b/>
                <w:color w:val="auto"/>
                <w:szCs w:val="21"/>
              </w:rPr>
              <w:t>一、商务要求</w:t>
            </w:r>
          </w:p>
        </w:tc>
      </w:tr>
      <w:tr w14:paraId="4302A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03BD5820">
            <w:pPr>
              <w:snapToGrid w:val="0"/>
              <w:spacing w:line="360" w:lineRule="exact"/>
              <w:jc w:val="center"/>
              <w:rPr>
                <w:rFonts w:ascii="宋体" w:hAnsi="宋体" w:cs="宋体"/>
                <w:color w:val="auto"/>
                <w:szCs w:val="21"/>
              </w:rPr>
            </w:pPr>
            <w:r>
              <w:rPr>
                <w:rFonts w:hint="eastAsia" w:ascii="宋体" w:hAnsi="宋体" w:cs="宋体"/>
                <w:color w:val="auto"/>
                <w:szCs w:val="21"/>
              </w:rPr>
              <w:t>▲项目完成期限及项目地点</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6EF7A7E2">
            <w:pPr>
              <w:snapToGrid w:val="0"/>
              <w:spacing w:line="360" w:lineRule="exact"/>
              <w:jc w:val="left"/>
              <w:rPr>
                <w:rFonts w:ascii="宋体" w:hAnsi="宋体" w:cs="宋体"/>
                <w:color w:val="auto"/>
                <w:szCs w:val="21"/>
                <w:highlight w:val="none"/>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项目完成期限：</w:t>
            </w:r>
            <w:r>
              <w:rPr>
                <w:rFonts w:hint="eastAsia" w:ascii="宋体" w:hAnsi="宋体" w:cs="宋体"/>
                <w:color w:val="auto"/>
                <w:szCs w:val="21"/>
                <w:highlight w:val="none"/>
                <w:lang w:val="en-US" w:eastAsia="zh-CN"/>
              </w:rPr>
              <w:t>自合同签订之日起至2025年10月31日前提交检测报告</w:t>
            </w:r>
            <w:r>
              <w:rPr>
                <w:rFonts w:hint="eastAsia" w:ascii="宋体" w:hAnsi="宋体" w:cs="宋体"/>
                <w:color w:val="auto"/>
                <w:szCs w:val="21"/>
                <w:highlight w:val="none"/>
              </w:rPr>
              <w:t>。</w:t>
            </w:r>
          </w:p>
          <w:p w14:paraId="52685981">
            <w:pPr>
              <w:snapToGrid w:val="0"/>
              <w:spacing w:line="360" w:lineRule="exact"/>
              <w:jc w:val="left"/>
              <w:rPr>
                <w:rFonts w:ascii="宋体" w:hAnsi="宋体" w:cs="宋体"/>
                <w:color w:val="auto"/>
                <w:szCs w:val="21"/>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项目地点：</w:t>
            </w:r>
            <w:r>
              <w:rPr>
                <w:rFonts w:hint="eastAsia" w:ascii="宋体" w:hAnsi="宋体" w:cs="宋体"/>
                <w:color w:val="auto"/>
                <w:szCs w:val="21"/>
                <w:highlight w:val="none"/>
                <w:lang w:val="en-US" w:eastAsia="zh-CN"/>
              </w:rPr>
              <w:t>河池市境</w:t>
            </w:r>
            <w:r>
              <w:rPr>
                <w:rFonts w:hint="eastAsia" w:ascii="宋体" w:hAnsi="宋体" w:cs="宋体"/>
                <w:color w:val="auto"/>
                <w:szCs w:val="21"/>
                <w:highlight w:val="none"/>
              </w:rPr>
              <w:t>内采购人指定地点。</w:t>
            </w:r>
          </w:p>
        </w:tc>
      </w:tr>
      <w:tr w14:paraId="34F18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78C1A861">
            <w:pPr>
              <w:snapToGrid w:val="0"/>
              <w:spacing w:line="360" w:lineRule="exact"/>
              <w:jc w:val="center"/>
              <w:rPr>
                <w:rFonts w:ascii="宋体" w:hAnsi="宋体" w:cs="宋体"/>
                <w:color w:val="auto"/>
                <w:kern w:val="0"/>
                <w:szCs w:val="21"/>
              </w:rPr>
            </w:pPr>
            <w:r>
              <w:rPr>
                <w:rFonts w:hint="eastAsia" w:ascii="宋体" w:hAnsi="宋体" w:cs="宋体"/>
                <w:color w:val="auto"/>
                <w:szCs w:val="21"/>
              </w:rPr>
              <w:t>▲付款方式</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1F9FC7FB">
            <w:pPr>
              <w:snapToGrid w:val="0"/>
              <w:spacing w:line="360" w:lineRule="exact"/>
              <w:jc w:val="left"/>
              <w:rPr>
                <w:rFonts w:ascii="宋体" w:hAnsi="宋体" w:cs="宋体"/>
                <w:color w:val="auto"/>
                <w:szCs w:val="21"/>
              </w:rPr>
            </w:pPr>
            <w:r>
              <w:rPr>
                <w:rFonts w:hint="eastAsia" w:ascii="宋体" w:hAnsi="宋体" w:cs="宋体"/>
                <w:color w:val="auto"/>
                <w:kern w:val="0"/>
                <w:szCs w:val="21"/>
                <w:highlight w:val="none"/>
                <w:lang w:val="zh-CN" w:eastAsia="zh-CN"/>
              </w:rPr>
              <w:t>自合同签订且中标供应商设备进场后，中标供应商递交请款报告并开具正式发票给采购人，采购人应于10个工作日内发请款函至财政部门，申请支付合同金额的50%预付款给中标供应商。余下50%，待中标供应商出具检测报告并经采购人验收合格后，中标供应商开具正式发票给甲方，甲方应于10个工作日内发请款函至财政部门申请拨付</w:t>
            </w:r>
            <w:r>
              <w:rPr>
                <w:rFonts w:hint="eastAsia" w:ascii="宋体" w:hAnsi="宋体" w:cs="宋体"/>
                <w:color w:val="auto"/>
                <w:kern w:val="0"/>
                <w:szCs w:val="21"/>
                <w:highlight w:val="none"/>
                <w:lang w:val="zh-CN"/>
              </w:rPr>
              <w:t>。</w:t>
            </w:r>
          </w:p>
        </w:tc>
      </w:tr>
      <w:tr w14:paraId="3E358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54DED451">
            <w:pPr>
              <w:spacing w:line="360" w:lineRule="exact"/>
              <w:jc w:val="center"/>
              <w:rPr>
                <w:rFonts w:ascii="宋体" w:hAnsi="宋体" w:cs="宋体"/>
                <w:b/>
                <w:color w:val="auto"/>
                <w:szCs w:val="21"/>
              </w:rPr>
            </w:pPr>
            <w:r>
              <w:rPr>
                <w:rFonts w:hint="eastAsia" w:ascii="宋体" w:hAnsi="宋体" w:cs="宋体"/>
                <w:color w:val="auto"/>
                <w:szCs w:val="21"/>
              </w:rPr>
              <w:t>后续服务</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0768E97D">
            <w:pPr>
              <w:spacing w:line="360" w:lineRule="exact"/>
              <w:rPr>
                <w:rFonts w:ascii="宋体" w:hAnsi="宋体" w:cs="宋体"/>
                <w:b/>
                <w:color w:val="auto"/>
                <w:szCs w:val="21"/>
              </w:rPr>
            </w:pPr>
            <w:r>
              <w:rPr>
                <w:rFonts w:hint="eastAsia" w:ascii="宋体" w:hAnsi="宋体" w:cs="宋体"/>
                <w:color w:val="auto"/>
                <w:szCs w:val="21"/>
              </w:rPr>
              <w:t>提交检测成果后的1年内（从提交之日起算），处理问题响应时间：接到采购人处理问题通知后4小时内到达采购人指定现场，并在8小时内处理好常规性问题。</w:t>
            </w:r>
          </w:p>
        </w:tc>
      </w:tr>
      <w:tr w14:paraId="10557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0279536F">
            <w:pPr>
              <w:snapToGrid w:val="0"/>
              <w:spacing w:line="360" w:lineRule="exact"/>
              <w:jc w:val="center"/>
              <w:rPr>
                <w:rFonts w:ascii="宋体" w:hAnsi="宋体" w:cs="宋体"/>
                <w:color w:val="auto"/>
                <w:szCs w:val="21"/>
              </w:rPr>
            </w:pPr>
            <w:r>
              <w:rPr>
                <w:rFonts w:hint="eastAsia" w:ascii="宋体" w:hAnsi="宋体" w:cs="宋体"/>
                <w:color w:val="auto"/>
                <w:szCs w:val="21"/>
              </w:rPr>
              <w:t>其它要求</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61EF32E9">
            <w:pPr>
              <w:snapToGrid w:val="0"/>
              <w:spacing w:line="360" w:lineRule="exact"/>
              <w:ind w:firstLine="420" w:firstLineChars="200"/>
              <w:outlineLvl w:val="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zh-CN"/>
              </w:rPr>
              <w:t>1</w:t>
            </w:r>
            <w:r>
              <w:rPr>
                <w:rFonts w:ascii="宋体" w:hAnsi="宋体" w:cs="宋体"/>
                <w:color w:val="auto"/>
                <w:kern w:val="0"/>
                <w:szCs w:val="21"/>
                <w:lang w:val="zh-CN"/>
              </w:rPr>
              <w:t>.</w:t>
            </w:r>
            <w:r>
              <w:rPr>
                <w:rFonts w:hint="eastAsia" w:ascii="宋体" w:hAnsi="宋体" w:cs="宋体"/>
                <w:color w:val="auto"/>
                <w:kern w:val="0"/>
                <w:szCs w:val="21"/>
                <w:lang w:val="zh-CN"/>
              </w:rPr>
              <w:t>投标报价：本项目采用总承包报价，包含完成本项目所有工作任务（出具成果文件）；报价具体包括检测费用、设备费用、安全措施费、劳务、管理、交通工具、交通费用、维护、保险、利润、税金、验收与政策性文件规定及合同包含的所有风险、责任等各项应有的费用。</w:t>
            </w:r>
          </w:p>
          <w:p w14:paraId="7458DA86">
            <w:pPr>
              <w:snapToGrid w:val="0"/>
              <w:spacing w:line="360" w:lineRule="exact"/>
              <w:ind w:firstLine="420" w:firstLineChars="200"/>
              <w:outlineLvl w:val="0"/>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w:t>
            </w:r>
            <w:r>
              <w:rPr>
                <w:rFonts w:hint="eastAsia" w:ascii="宋体" w:hAnsi="宋体" w:cs="宋体"/>
                <w:color w:val="auto"/>
                <w:kern w:val="0"/>
                <w:szCs w:val="21"/>
              </w:rPr>
              <w:t>投标供应商须在投标文件里提供详细针对本项目的服务组织方案，内容包括但不限于：①实施方案、②项目的理解、技术建议可行性及路面检测评价方案、③工作和组织实施方案、④项目质量和安全保障方案、⑤服务承诺方案，结尾落款处须由法定代表人或委托代理人签字并加盖供应商盖章，否则投标无效。</w:t>
            </w:r>
          </w:p>
          <w:p w14:paraId="246462AA">
            <w:pPr>
              <w:snapToGrid w:val="0"/>
              <w:spacing w:line="360" w:lineRule="exact"/>
              <w:ind w:firstLine="420" w:firstLineChars="200"/>
              <w:outlineLvl w:val="0"/>
              <w:rPr>
                <w:rFonts w:ascii="宋体" w:hAnsi="宋体" w:cs="宋体"/>
                <w:color w:val="auto"/>
                <w:kern w:val="0"/>
                <w:szCs w:val="21"/>
              </w:rPr>
            </w:pPr>
            <w:r>
              <w:rPr>
                <w:rFonts w:hint="eastAsia" w:ascii="宋体" w:hAnsi="宋体" w:cs="宋体"/>
                <w:color w:val="auto"/>
                <w:kern w:val="0"/>
                <w:szCs w:val="21"/>
                <w:lang w:val="en-US" w:eastAsia="zh-CN"/>
              </w:rPr>
              <w:t>3</w:t>
            </w:r>
            <w:r>
              <w:rPr>
                <w:rFonts w:ascii="宋体" w:hAnsi="宋体" w:cs="宋体"/>
                <w:color w:val="auto"/>
                <w:kern w:val="0"/>
                <w:szCs w:val="21"/>
              </w:rPr>
              <w:t>.</w:t>
            </w:r>
            <w:r>
              <w:rPr>
                <w:rFonts w:hint="eastAsia" w:ascii="宋体" w:hAnsi="宋体" w:cs="宋体"/>
                <w:color w:val="auto"/>
                <w:kern w:val="0"/>
                <w:szCs w:val="21"/>
              </w:rPr>
              <w:t>中标供应商在本项目检测过程中，要严格遵守工作纪律，不得与受检单位互相宴请。</w:t>
            </w:r>
          </w:p>
          <w:p w14:paraId="1DA9B811">
            <w:pPr>
              <w:snapToGrid w:val="0"/>
              <w:spacing w:line="360" w:lineRule="exact"/>
              <w:ind w:firstLine="420" w:firstLineChars="200"/>
              <w:outlineLvl w:val="0"/>
              <w:rPr>
                <w:rFonts w:ascii="宋体" w:hAnsi="宋体" w:cs="宋体"/>
                <w:color w:val="auto"/>
                <w:kern w:val="0"/>
                <w:szCs w:val="21"/>
              </w:rPr>
            </w:pPr>
            <w:r>
              <w:rPr>
                <w:rFonts w:hint="eastAsia" w:ascii="宋体" w:hAnsi="宋体" w:cs="宋体"/>
                <w:color w:val="auto"/>
                <w:kern w:val="0"/>
                <w:szCs w:val="21"/>
                <w:lang w:val="en-US" w:eastAsia="zh-CN"/>
              </w:rPr>
              <w:t>4</w:t>
            </w:r>
            <w:r>
              <w:rPr>
                <w:rFonts w:ascii="宋体" w:hAnsi="宋体" w:cs="宋体"/>
                <w:color w:val="auto"/>
                <w:kern w:val="0"/>
                <w:szCs w:val="21"/>
              </w:rPr>
              <w:t>.</w:t>
            </w:r>
            <w:r>
              <w:rPr>
                <w:rFonts w:hint="eastAsia" w:ascii="宋体" w:hAnsi="宋体" w:cs="宋体"/>
                <w:color w:val="auto"/>
                <w:kern w:val="0"/>
                <w:szCs w:val="21"/>
              </w:rPr>
              <w:t>中标供应商应遵守“诚信、公正、精业、进取”的原则，做好各类资料的整理、归集工作，技术材料装订成册，在项目验收时移交给采购人。</w:t>
            </w:r>
          </w:p>
        </w:tc>
      </w:tr>
      <w:tr w14:paraId="10B39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77A93797">
            <w:pPr>
              <w:spacing w:line="360" w:lineRule="exact"/>
              <w:rPr>
                <w:rFonts w:ascii="宋体" w:hAnsi="宋体"/>
                <w:color w:val="auto"/>
                <w:szCs w:val="21"/>
              </w:rPr>
            </w:pPr>
            <w:r>
              <w:rPr>
                <w:rFonts w:hint="eastAsia" w:ascii="宋体" w:hAnsi="宋体"/>
                <w:b/>
                <w:bCs/>
                <w:color w:val="auto"/>
                <w:szCs w:val="21"/>
              </w:rPr>
              <w:t>二、与实现项目目标相关的其他要求</w:t>
            </w:r>
          </w:p>
        </w:tc>
      </w:tr>
      <w:tr w14:paraId="65C4C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01198A31">
            <w:pPr>
              <w:spacing w:line="360" w:lineRule="exact"/>
              <w:rPr>
                <w:rFonts w:ascii="宋体" w:hAnsi="宋体"/>
                <w:b/>
                <w:color w:val="auto"/>
                <w:szCs w:val="21"/>
              </w:rPr>
            </w:pPr>
            <w:r>
              <w:rPr>
                <w:rFonts w:hint="eastAsia" w:ascii="宋体" w:hAnsi="宋体"/>
                <w:b/>
                <w:color w:val="auto"/>
                <w:szCs w:val="21"/>
              </w:rPr>
              <w:t>（一）供应商的履约能力要求</w:t>
            </w:r>
          </w:p>
        </w:tc>
      </w:tr>
      <w:tr w14:paraId="2374B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1BCAEFD5">
            <w:pPr>
              <w:spacing w:line="360" w:lineRule="exact"/>
              <w:rPr>
                <w:rFonts w:ascii="宋体" w:hAnsi="宋体"/>
                <w:color w:val="auto"/>
                <w:szCs w:val="21"/>
              </w:rPr>
            </w:pPr>
            <w:r>
              <w:rPr>
                <w:rFonts w:hint="eastAsia" w:ascii="宋体" w:hAnsi="宋体"/>
                <w:color w:val="auto"/>
                <w:szCs w:val="21"/>
              </w:rPr>
              <w:t>政策性加分条件</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6407EEAB">
            <w:pPr>
              <w:spacing w:line="360" w:lineRule="exact"/>
              <w:rPr>
                <w:rFonts w:ascii="宋体" w:hAnsi="宋体"/>
                <w:color w:val="auto"/>
                <w:szCs w:val="21"/>
              </w:rPr>
            </w:pPr>
            <w:r>
              <w:rPr>
                <w:rFonts w:hint="eastAsia" w:ascii="宋体" w:hAnsi="宋体"/>
                <w:color w:val="auto"/>
                <w:szCs w:val="21"/>
              </w:rPr>
              <w:t>见本</w:t>
            </w:r>
            <w:r>
              <w:rPr>
                <w:rFonts w:hint="eastAsia" w:ascii="宋体" w:hAnsi="宋体"/>
                <w:color w:val="auto"/>
                <w:szCs w:val="21"/>
                <w:lang w:val="en-US" w:eastAsia="zh-CN"/>
              </w:rPr>
              <w:t>招标</w:t>
            </w:r>
            <w:r>
              <w:rPr>
                <w:rFonts w:hint="eastAsia" w:ascii="宋体" w:hAnsi="宋体"/>
                <w:color w:val="auto"/>
                <w:szCs w:val="21"/>
              </w:rPr>
              <w:t>文件第四章“评审程序、评审方法和评审标准”。</w:t>
            </w:r>
          </w:p>
        </w:tc>
      </w:tr>
      <w:tr w14:paraId="7C89C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05B540E1">
            <w:pPr>
              <w:spacing w:line="360" w:lineRule="exact"/>
              <w:ind w:left="-69" w:leftChars="-33"/>
              <w:rPr>
                <w:rFonts w:ascii="宋体" w:hAnsi="宋体"/>
                <w:color w:val="auto"/>
                <w:szCs w:val="21"/>
              </w:rPr>
            </w:pPr>
            <w:r>
              <w:rPr>
                <w:rFonts w:hint="eastAsia" w:ascii="宋体" w:hAnsi="宋体"/>
                <w:color w:val="auto"/>
                <w:szCs w:val="21"/>
              </w:rPr>
              <w:t>质量管理体系要求</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70427F8F">
            <w:pPr>
              <w:spacing w:line="360" w:lineRule="exact"/>
              <w:rPr>
                <w:rFonts w:ascii="宋体" w:hAnsi="宋体"/>
                <w:color w:val="auto"/>
                <w:szCs w:val="21"/>
              </w:rPr>
            </w:pPr>
            <w:r>
              <w:rPr>
                <w:rFonts w:hint="eastAsia" w:ascii="宋体" w:hAnsi="宋体"/>
                <w:color w:val="auto"/>
                <w:szCs w:val="21"/>
              </w:rPr>
              <w:t>如有，请于投标文件中自行提供。</w:t>
            </w:r>
          </w:p>
        </w:tc>
      </w:tr>
      <w:tr w14:paraId="15E30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35CFC99D">
            <w:pPr>
              <w:spacing w:line="360" w:lineRule="exact"/>
              <w:rPr>
                <w:rFonts w:ascii="宋体" w:hAnsi="宋体"/>
                <w:color w:val="auto"/>
                <w:szCs w:val="21"/>
              </w:rPr>
            </w:pPr>
            <w:r>
              <w:rPr>
                <w:rFonts w:hint="eastAsia" w:ascii="宋体" w:hAnsi="宋体"/>
                <w:color w:val="auto"/>
                <w:szCs w:val="21"/>
              </w:rPr>
              <w:t>业绩要求</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3149AF22">
            <w:pPr>
              <w:spacing w:line="360" w:lineRule="exact"/>
              <w:rPr>
                <w:rFonts w:ascii="宋体" w:hAnsi="宋体"/>
                <w:color w:val="auto"/>
                <w:szCs w:val="21"/>
              </w:rPr>
            </w:pPr>
            <w:r>
              <w:rPr>
                <w:rFonts w:hint="eastAsia" w:ascii="宋体" w:hAnsi="宋体"/>
                <w:color w:val="auto"/>
                <w:szCs w:val="21"/>
              </w:rPr>
              <w:t>如有，请于投标文件中自行提供。</w:t>
            </w:r>
          </w:p>
        </w:tc>
      </w:tr>
      <w:tr w14:paraId="0523F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721B6A71">
            <w:pPr>
              <w:tabs>
                <w:tab w:val="left" w:pos="180"/>
                <w:tab w:val="left" w:pos="1620"/>
              </w:tabs>
              <w:spacing w:line="360" w:lineRule="exact"/>
              <w:rPr>
                <w:rFonts w:ascii="宋体" w:hAnsi="宋体" w:cs="宋体"/>
                <w:bCs/>
                <w:color w:val="auto"/>
                <w:szCs w:val="21"/>
              </w:rPr>
            </w:pPr>
            <w:r>
              <w:rPr>
                <w:rFonts w:hint="eastAsia" w:ascii="宋体" w:hAnsi="宋体"/>
                <w:b/>
                <w:color w:val="auto"/>
                <w:szCs w:val="21"/>
              </w:rPr>
              <w:t>（二）验收标准</w:t>
            </w:r>
          </w:p>
        </w:tc>
      </w:tr>
      <w:tr w14:paraId="05EB0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6516500C">
            <w:pPr>
              <w:spacing w:line="36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提供的服务内容与采购合同一致；项目完成经采购人确认后提交完善的竣工文档。</w:t>
            </w:r>
          </w:p>
          <w:p w14:paraId="0E491552">
            <w:pPr>
              <w:spacing w:line="360" w:lineRule="exact"/>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验收过程中所产生的一切费用均由中标供应商承担。报价时应考虑相关费用。</w:t>
            </w:r>
          </w:p>
        </w:tc>
      </w:tr>
      <w:tr w14:paraId="4F4CD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0A12082F">
            <w:pPr>
              <w:spacing w:line="360" w:lineRule="exact"/>
              <w:rPr>
                <w:rFonts w:ascii="宋体" w:hAnsi="宋体"/>
                <w:color w:val="auto"/>
                <w:szCs w:val="21"/>
              </w:rPr>
            </w:pPr>
            <w:r>
              <w:rPr>
                <w:rFonts w:hint="eastAsia" w:ascii="宋体" w:hAnsi="宋体"/>
                <w:b/>
                <w:color w:val="auto"/>
                <w:szCs w:val="21"/>
              </w:rPr>
              <w:t>（三）其他</w:t>
            </w:r>
          </w:p>
        </w:tc>
      </w:tr>
      <w:tr w14:paraId="72351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3EB3F6A3">
            <w:pPr>
              <w:spacing w:line="360" w:lineRule="exact"/>
              <w:jc w:val="center"/>
              <w:rPr>
                <w:rFonts w:ascii="宋体" w:hAnsi="宋体"/>
                <w:color w:val="auto"/>
                <w:szCs w:val="21"/>
              </w:rPr>
            </w:pPr>
            <w:r>
              <w:rPr>
                <w:rFonts w:hint="eastAsia" w:ascii="宋体" w:hAnsi="宋体" w:cs="宋体"/>
                <w:color w:val="auto"/>
                <w:szCs w:val="21"/>
              </w:rPr>
              <w:t>服务实施方案</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7F10CBAC">
            <w:pPr>
              <w:spacing w:line="360" w:lineRule="exact"/>
              <w:ind w:left="-69"/>
              <w:rPr>
                <w:rFonts w:ascii="宋体" w:hAnsi="宋体"/>
                <w:bCs/>
                <w:color w:val="auto"/>
                <w:szCs w:val="21"/>
              </w:rPr>
            </w:pPr>
            <w:r>
              <w:rPr>
                <w:rFonts w:hint="eastAsia" w:ascii="宋体" w:hAnsi="宋体"/>
                <w:bCs/>
                <w:color w:val="auto"/>
                <w:szCs w:val="21"/>
              </w:rPr>
              <w:t>1.</w:t>
            </w:r>
            <w:r>
              <w:rPr>
                <w:rFonts w:hint="eastAsia" w:ascii="宋体" w:hAnsi="宋体"/>
                <w:bCs/>
                <w:color w:val="auto"/>
                <w:szCs w:val="21"/>
                <w:lang w:val="en-US" w:eastAsia="zh-CN"/>
              </w:rPr>
              <w:t>投标人</w:t>
            </w:r>
            <w:r>
              <w:rPr>
                <w:rFonts w:hint="eastAsia" w:ascii="宋体" w:hAnsi="宋体"/>
                <w:bCs/>
                <w:color w:val="auto"/>
                <w:szCs w:val="21"/>
              </w:rPr>
              <w:t>根据自身情况，结合项目服务需求及评标办法（见</w:t>
            </w:r>
            <w:r>
              <w:rPr>
                <w:rFonts w:hint="eastAsia" w:ascii="宋体" w:hAnsi="宋体"/>
                <w:bCs/>
                <w:color w:val="auto"/>
                <w:szCs w:val="21"/>
                <w:lang w:val="en-US" w:eastAsia="zh-CN"/>
              </w:rPr>
              <w:t>招标</w:t>
            </w:r>
            <w:r>
              <w:rPr>
                <w:rFonts w:hint="eastAsia" w:ascii="宋体" w:hAnsi="宋体"/>
                <w:bCs/>
                <w:color w:val="auto"/>
                <w:szCs w:val="21"/>
              </w:rPr>
              <w:t>文件第四章）。</w:t>
            </w:r>
          </w:p>
          <w:p w14:paraId="344785F3">
            <w:pPr>
              <w:spacing w:line="360" w:lineRule="exact"/>
              <w:ind w:left="-69"/>
              <w:rPr>
                <w:rFonts w:ascii="宋体" w:hAnsi="宋体"/>
                <w:bCs/>
                <w:color w:val="auto"/>
                <w:szCs w:val="21"/>
              </w:rPr>
            </w:pPr>
            <w:r>
              <w:rPr>
                <w:rFonts w:ascii="宋体" w:hAnsi="宋体"/>
                <w:bCs/>
                <w:color w:val="auto"/>
                <w:szCs w:val="21"/>
              </w:rPr>
              <w:t>2.</w:t>
            </w:r>
            <w:r>
              <w:rPr>
                <w:rFonts w:hint="eastAsia" w:ascii="宋体" w:hAnsi="宋体"/>
                <w:bCs/>
                <w:color w:val="auto"/>
                <w:szCs w:val="21"/>
                <w:lang w:val="en-US" w:eastAsia="zh-CN"/>
              </w:rPr>
              <w:t>投标人</w:t>
            </w:r>
            <w:r>
              <w:rPr>
                <w:rFonts w:hint="eastAsia" w:ascii="宋体" w:hAnsi="宋体"/>
                <w:bCs/>
                <w:color w:val="auto"/>
                <w:szCs w:val="21"/>
              </w:rPr>
              <w:t>结合本项目技术服务需求及要求配置技术人员。</w:t>
            </w:r>
          </w:p>
          <w:p w14:paraId="6C11324A">
            <w:pPr>
              <w:spacing w:line="360" w:lineRule="exact"/>
              <w:ind w:left="-69"/>
              <w:rPr>
                <w:rFonts w:ascii="宋体" w:hAnsi="宋体"/>
                <w:color w:val="auto"/>
                <w:szCs w:val="21"/>
              </w:rPr>
            </w:pPr>
            <w:r>
              <w:rPr>
                <w:rFonts w:ascii="宋体" w:hAnsi="宋体"/>
                <w:color w:val="auto"/>
                <w:szCs w:val="21"/>
              </w:rPr>
              <w:t>3.</w:t>
            </w:r>
            <w:r>
              <w:rPr>
                <w:rFonts w:hint="eastAsia" w:ascii="宋体" w:hAnsi="宋体"/>
                <w:color w:val="auto"/>
                <w:szCs w:val="21"/>
              </w:rPr>
              <w:t>如有，请提供履约能力相关证明或业绩证明。</w:t>
            </w:r>
          </w:p>
          <w:p w14:paraId="1B61EE26">
            <w:pPr>
              <w:spacing w:line="360" w:lineRule="exact"/>
              <w:ind w:left="-69"/>
              <w:rPr>
                <w:rFonts w:ascii="宋体" w:hAnsi="宋体"/>
                <w:bCs/>
                <w:color w:val="auto"/>
                <w:szCs w:val="21"/>
              </w:rPr>
            </w:pPr>
            <w:r>
              <w:rPr>
                <w:rFonts w:hint="eastAsia" w:ascii="宋体" w:hAnsi="宋体"/>
                <w:bCs/>
                <w:color w:val="auto"/>
                <w:szCs w:val="21"/>
              </w:rPr>
              <w:t>4.项目服务方案由</w:t>
            </w:r>
            <w:r>
              <w:rPr>
                <w:rFonts w:hint="eastAsia" w:ascii="宋体" w:hAnsi="宋体"/>
                <w:bCs/>
                <w:color w:val="auto"/>
                <w:szCs w:val="21"/>
                <w:lang w:val="en-US" w:eastAsia="zh-CN"/>
              </w:rPr>
              <w:t>投标人</w:t>
            </w:r>
            <w:r>
              <w:rPr>
                <w:rFonts w:hint="eastAsia" w:ascii="宋体" w:hAnsi="宋体"/>
                <w:bCs/>
                <w:color w:val="auto"/>
                <w:szCs w:val="21"/>
              </w:rPr>
              <w:t>根据自身能力提供方案及承诺，对于以虚假承诺谋取中标的供应商将自行承担后果，其违法行为将报监督管理部门处理。</w:t>
            </w:r>
          </w:p>
        </w:tc>
      </w:tr>
      <w:tr w14:paraId="49007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gridSpan w:val="2"/>
            <w:tcBorders>
              <w:top w:val="single" w:color="auto" w:sz="4" w:space="0"/>
              <w:left w:val="single" w:color="auto" w:sz="4" w:space="0"/>
              <w:bottom w:val="single" w:color="auto" w:sz="4" w:space="0"/>
              <w:right w:val="single" w:color="auto" w:sz="4" w:space="0"/>
            </w:tcBorders>
            <w:vAlign w:val="center"/>
          </w:tcPr>
          <w:p w14:paraId="6ACBF670">
            <w:pPr>
              <w:spacing w:line="360" w:lineRule="exact"/>
              <w:jc w:val="center"/>
              <w:rPr>
                <w:rFonts w:ascii="宋体" w:hAnsi="宋体"/>
                <w:color w:val="auto"/>
                <w:szCs w:val="21"/>
              </w:rPr>
            </w:pPr>
            <w:r>
              <w:rPr>
                <w:rFonts w:hint="eastAsia" w:ascii="宋体" w:hAnsi="宋体"/>
                <w:color w:val="auto"/>
                <w:szCs w:val="21"/>
              </w:rPr>
              <w:t>▲最高限价</w:t>
            </w:r>
          </w:p>
        </w:tc>
        <w:tc>
          <w:tcPr>
            <w:tcW w:w="6924" w:type="dxa"/>
            <w:gridSpan w:val="3"/>
            <w:tcBorders>
              <w:top w:val="single" w:color="auto" w:sz="4" w:space="0"/>
              <w:left w:val="single" w:color="auto" w:sz="4" w:space="0"/>
              <w:bottom w:val="single" w:color="auto" w:sz="4" w:space="0"/>
              <w:right w:val="single" w:color="auto" w:sz="4" w:space="0"/>
            </w:tcBorders>
            <w:vAlign w:val="center"/>
          </w:tcPr>
          <w:p w14:paraId="086A3D97">
            <w:pPr>
              <w:spacing w:line="360" w:lineRule="exact"/>
              <w:ind w:left="-69"/>
              <w:rPr>
                <w:rFonts w:ascii="宋体" w:hAnsi="宋体"/>
                <w:b/>
                <w:color w:val="auto"/>
                <w:szCs w:val="21"/>
              </w:rPr>
            </w:pPr>
            <w:r>
              <w:rPr>
                <w:rFonts w:hint="eastAsia" w:ascii="宋体" w:hAnsi="宋体"/>
                <w:b/>
                <w:color w:val="auto"/>
                <w:szCs w:val="21"/>
                <w:u w:val="single"/>
              </w:rPr>
              <w:t>以采购预算金额为最高限价，</w:t>
            </w:r>
            <w:r>
              <w:rPr>
                <w:rFonts w:hint="eastAsia" w:ascii="宋体" w:hAnsi="宋体"/>
                <w:b/>
                <w:color w:val="auto"/>
                <w:szCs w:val="21"/>
                <w:u w:val="single"/>
                <w:lang w:val="en-US" w:eastAsia="zh-CN"/>
              </w:rPr>
              <w:t>投标人</w:t>
            </w:r>
            <w:r>
              <w:rPr>
                <w:rFonts w:hint="eastAsia" w:ascii="宋体" w:hAnsi="宋体"/>
                <w:b/>
                <w:color w:val="auto"/>
                <w:szCs w:val="21"/>
                <w:u w:val="single"/>
              </w:rPr>
              <w:t>投标报价超最高限价的作无效响应处理。</w:t>
            </w:r>
          </w:p>
        </w:tc>
      </w:tr>
    </w:tbl>
    <w:p w14:paraId="05A533FC">
      <w:pPr>
        <w:widowControl/>
        <w:jc w:val="left"/>
        <w:rPr>
          <w:rFonts w:ascii="黑体" w:hAnsi="黑体" w:eastAsia="黑体" w:cs="黑体"/>
          <w:color w:val="auto"/>
          <w:sz w:val="32"/>
          <w:szCs w:val="32"/>
        </w:rPr>
      </w:pPr>
    </w:p>
    <w:p w14:paraId="13EECABB">
      <w:pPr>
        <w:widowControl/>
        <w:jc w:val="left"/>
        <w:rPr>
          <w:rFonts w:ascii="黑体" w:hAnsi="黑体" w:eastAsia="黑体" w:cs="黑体"/>
          <w:color w:val="auto"/>
          <w:sz w:val="32"/>
          <w:szCs w:val="32"/>
        </w:rPr>
      </w:pPr>
    </w:p>
    <w:p w14:paraId="62D56978">
      <w:pPr>
        <w:widowControl/>
        <w:jc w:val="left"/>
        <w:rPr>
          <w:rFonts w:ascii="黑体" w:hAnsi="黑体" w:eastAsia="黑体" w:cs="黑体"/>
          <w:color w:val="auto"/>
          <w:sz w:val="32"/>
          <w:szCs w:val="32"/>
        </w:rPr>
      </w:pPr>
    </w:p>
    <w:p w14:paraId="164CACFB">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14:paraId="67DAEDE5">
      <w:pPr>
        <w:spacing w:before="130" w:line="212" w:lineRule="auto"/>
        <w:ind w:left="602"/>
        <w:rPr>
          <w:rFonts w:ascii="宋体" w:hAnsi="宋体" w:eastAsia="宋体" w:cs="宋体"/>
          <w:color w:val="auto"/>
          <w:sz w:val="28"/>
          <w:szCs w:val="28"/>
        </w:rPr>
      </w:pPr>
      <w:r>
        <w:rPr>
          <w:rFonts w:ascii="宋体" w:hAnsi="宋体" w:eastAsia="宋体" w:cs="宋体"/>
          <w:b/>
          <w:bCs/>
          <w:color w:val="auto"/>
          <w:spacing w:val="-19"/>
          <w:sz w:val="28"/>
          <w:szCs w:val="28"/>
        </w:rPr>
        <w:t>附件</w:t>
      </w:r>
      <w:r>
        <w:rPr>
          <w:rFonts w:ascii="宋体" w:hAnsi="宋体" w:eastAsia="宋体" w:cs="宋体"/>
          <w:color w:val="auto"/>
          <w:spacing w:val="-36"/>
          <w:sz w:val="28"/>
          <w:szCs w:val="28"/>
        </w:rPr>
        <w:t xml:space="preserve"> </w:t>
      </w:r>
      <w:r>
        <w:rPr>
          <w:rFonts w:ascii="宋体" w:hAnsi="宋体" w:eastAsia="宋体" w:cs="宋体"/>
          <w:b/>
          <w:bCs/>
          <w:color w:val="auto"/>
          <w:spacing w:val="-19"/>
          <w:sz w:val="28"/>
          <w:szCs w:val="28"/>
        </w:rPr>
        <w:t>1：</w:t>
      </w:r>
    </w:p>
    <w:tbl>
      <w:tblPr>
        <w:tblStyle w:val="109"/>
        <w:tblW w:w="8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1106"/>
        <w:gridCol w:w="992"/>
        <w:gridCol w:w="980"/>
        <w:gridCol w:w="1009"/>
        <w:gridCol w:w="941"/>
        <w:gridCol w:w="1291"/>
        <w:gridCol w:w="1204"/>
      </w:tblGrid>
      <w:tr w14:paraId="1B0A6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746" w:type="dxa"/>
            <w:gridSpan w:val="8"/>
            <w:vAlign w:val="top"/>
          </w:tcPr>
          <w:p w14:paraId="2334584F">
            <w:pPr>
              <w:spacing w:before="254" w:line="221" w:lineRule="auto"/>
              <w:ind w:left="412"/>
              <w:rPr>
                <w:rFonts w:ascii="仿宋" w:hAnsi="仿宋" w:eastAsia="仿宋" w:cs="仿宋"/>
                <w:color w:val="auto"/>
                <w:sz w:val="28"/>
                <w:szCs w:val="28"/>
              </w:rPr>
            </w:pPr>
            <w:r>
              <w:rPr>
                <w:rFonts w:hint="eastAsia" w:ascii="仿宋" w:hAnsi="仿宋" w:eastAsia="仿宋" w:cs="仿宋"/>
                <w:b/>
                <w:bCs/>
                <w:color w:val="auto"/>
                <w:spacing w:val="-3"/>
                <w:sz w:val="28"/>
                <w:szCs w:val="28"/>
              </w:rPr>
              <w:t>2025年河池市农村公路路况自动化检测</w:t>
            </w:r>
            <w:r>
              <w:rPr>
                <w:rFonts w:ascii="仿宋" w:hAnsi="仿宋" w:eastAsia="仿宋" w:cs="仿宋"/>
                <w:b/>
                <w:bCs/>
                <w:color w:val="auto"/>
                <w:spacing w:val="-3"/>
                <w:sz w:val="28"/>
                <w:szCs w:val="28"/>
              </w:rPr>
              <w:t>管养里程（公里</w:t>
            </w:r>
            <w:r>
              <w:rPr>
                <w:rFonts w:ascii="仿宋" w:hAnsi="仿宋" w:eastAsia="仿宋" w:cs="仿宋"/>
                <w:b/>
                <w:bCs/>
                <w:color w:val="auto"/>
                <w:spacing w:val="-4"/>
                <w:sz w:val="28"/>
                <w:szCs w:val="28"/>
              </w:rPr>
              <w:t>）统计表</w:t>
            </w:r>
          </w:p>
        </w:tc>
      </w:tr>
      <w:tr w14:paraId="3149C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223" w:type="dxa"/>
            <w:vAlign w:val="top"/>
          </w:tcPr>
          <w:p w14:paraId="5FD291BA">
            <w:pPr>
              <w:pStyle w:val="158"/>
              <w:spacing w:line="247" w:lineRule="auto"/>
              <w:rPr>
                <w:color w:val="auto"/>
              </w:rPr>
            </w:pPr>
          </w:p>
          <w:p w14:paraId="2F139E7C">
            <w:pPr>
              <w:spacing w:before="65" w:line="233" w:lineRule="auto"/>
              <w:ind w:left="197"/>
              <w:rPr>
                <w:rFonts w:ascii="宋体" w:hAnsi="宋体" w:eastAsia="宋体" w:cs="宋体"/>
                <w:color w:val="auto"/>
                <w:sz w:val="20"/>
                <w:szCs w:val="20"/>
              </w:rPr>
            </w:pPr>
            <w:r>
              <w:rPr>
                <w:rFonts w:ascii="宋体" w:hAnsi="宋体" w:eastAsia="宋体" w:cs="宋体"/>
                <w:color w:val="auto"/>
                <w:spacing w:val="4"/>
                <w:sz w:val="20"/>
                <w:szCs w:val="20"/>
              </w:rPr>
              <w:t>县（区）</w:t>
            </w:r>
          </w:p>
        </w:tc>
        <w:tc>
          <w:tcPr>
            <w:tcW w:w="1106" w:type="dxa"/>
            <w:vAlign w:val="top"/>
          </w:tcPr>
          <w:p w14:paraId="7BB92907">
            <w:pPr>
              <w:pStyle w:val="158"/>
              <w:spacing w:line="247" w:lineRule="auto"/>
              <w:rPr>
                <w:color w:val="auto"/>
              </w:rPr>
            </w:pPr>
          </w:p>
          <w:p w14:paraId="2CEFAB3E">
            <w:pPr>
              <w:spacing w:before="65" w:line="233" w:lineRule="auto"/>
              <w:ind w:left="346"/>
              <w:rPr>
                <w:rFonts w:ascii="宋体" w:hAnsi="宋体" w:eastAsia="宋体" w:cs="宋体"/>
                <w:color w:val="auto"/>
                <w:sz w:val="20"/>
                <w:szCs w:val="20"/>
              </w:rPr>
            </w:pPr>
            <w:r>
              <w:rPr>
                <w:rFonts w:ascii="宋体" w:hAnsi="宋体" w:eastAsia="宋体" w:cs="宋体"/>
                <w:color w:val="auto"/>
                <w:spacing w:val="4"/>
                <w:sz w:val="20"/>
                <w:szCs w:val="20"/>
              </w:rPr>
              <w:t>县道</w:t>
            </w:r>
          </w:p>
        </w:tc>
        <w:tc>
          <w:tcPr>
            <w:tcW w:w="992" w:type="dxa"/>
            <w:vAlign w:val="top"/>
          </w:tcPr>
          <w:p w14:paraId="63935728">
            <w:pPr>
              <w:pStyle w:val="158"/>
              <w:spacing w:line="247" w:lineRule="auto"/>
              <w:rPr>
                <w:color w:val="auto"/>
              </w:rPr>
            </w:pPr>
          </w:p>
          <w:p w14:paraId="37CDA8D1">
            <w:pPr>
              <w:spacing w:before="65" w:line="231" w:lineRule="auto"/>
              <w:ind w:left="300"/>
              <w:rPr>
                <w:rFonts w:ascii="宋体" w:hAnsi="宋体" w:eastAsia="宋体" w:cs="宋体"/>
                <w:color w:val="auto"/>
                <w:sz w:val="20"/>
                <w:szCs w:val="20"/>
              </w:rPr>
            </w:pPr>
            <w:r>
              <w:rPr>
                <w:rFonts w:ascii="宋体" w:hAnsi="宋体" w:eastAsia="宋体" w:cs="宋体"/>
                <w:color w:val="auto"/>
                <w:sz w:val="20"/>
                <w:szCs w:val="20"/>
              </w:rPr>
              <w:t>乡道</w:t>
            </w:r>
          </w:p>
        </w:tc>
        <w:tc>
          <w:tcPr>
            <w:tcW w:w="980" w:type="dxa"/>
            <w:vAlign w:val="top"/>
          </w:tcPr>
          <w:p w14:paraId="61F07D82">
            <w:pPr>
              <w:pStyle w:val="158"/>
              <w:spacing w:line="247" w:lineRule="auto"/>
              <w:rPr>
                <w:color w:val="auto"/>
              </w:rPr>
            </w:pPr>
          </w:p>
          <w:p w14:paraId="2837A966">
            <w:pPr>
              <w:spacing w:before="65" w:line="228" w:lineRule="auto"/>
              <w:ind w:left="286"/>
              <w:rPr>
                <w:rFonts w:ascii="宋体" w:hAnsi="宋体" w:eastAsia="宋体" w:cs="宋体"/>
                <w:color w:val="auto"/>
                <w:sz w:val="20"/>
                <w:szCs w:val="20"/>
              </w:rPr>
            </w:pPr>
            <w:r>
              <w:rPr>
                <w:rFonts w:ascii="宋体" w:hAnsi="宋体" w:eastAsia="宋体" w:cs="宋体"/>
                <w:color w:val="auto"/>
                <w:spacing w:val="4"/>
                <w:sz w:val="20"/>
                <w:szCs w:val="20"/>
              </w:rPr>
              <w:t>村道</w:t>
            </w:r>
          </w:p>
        </w:tc>
        <w:tc>
          <w:tcPr>
            <w:tcW w:w="1009" w:type="dxa"/>
            <w:vAlign w:val="top"/>
          </w:tcPr>
          <w:p w14:paraId="782DCB0E">
            <w:pPr>
              <w:spacing w:before="40" w:line="228" w:lineRule="auto"/>
              <w:ind w:left="169"/>
              <w:rPr>
                <w:rFonts w:ascii="宋体" w:hAnsi="宋体" w:eastAsia="宋体" w:cs="宋体"/>
                <w:color w:val="auto"/>
                <w:sz w:val="20"/>
                <w:szCs w:val="20"/>
              </w:rPr>
            </w:pPr>
            <w:r>
              <w:rPr>
                <w:rFonts w:ascii="宋体" w:hAnsi="宋体" w:eastAsia="宋体" w:cs="宋体"/>
                <w:color w:val="auto"/>
                <w:spacing w:val="6"/>
                <w:sz w:val="20"/>
                <w:szCs w:val="20"/>
              </w:rPr>
              <w:t>检测里</w:t>
            </w:r>
          </w:p>
          <w:p w14:paraId="311882CD">
            <w:pPr>
              <w:spacing w:before="23" w:line="239" w:lineRule="auto"/>
              <w:ind w:left="276" w:right="162" w:hanging="108"/>
              <w:rPr>
                <w:rFonts w:ascii="宋体" w:hAnsi="宋体" w:eastAsia="宋体" w:cs="宋体"/>
                <w:color w:val="auto"/>
                <w:sz w:val="20"/>
                <w:szCs w:val="20"/>
              </w:rPr>
            </w:pPr>
            <w:r>
              <w:rPr>
                <w:rFonts w:ascii="宋体" w:hAnsi="宋体" w:eastAsia="宋体" w:cs="宋体"/>
                <w:color w:val="auto"/>
                <w:spacing w:val="7"/>
                <w:sz w:val="20"/>
                <w:szCs w:val="20"/>
              </w:rPr>
              <w:t>程（公</w:t>
            </w:r>
            <w:r>
              <w:rPr>
                <w:rFonts w:ascii="宋体" w:hAnsi="宋体" w:eastAsia="宋体" w:cs="宋体"/>
                <w:color w:val="auto"/>
                <w:sz w:val="20"/>
                <w:szCs w:val="20"/>
              </w:rPr>
              <w:t xml:space="preserve"> </w:t>
            </w:r>
            <w:r>
              <w:rPr>
                <w:rFonts w:ascii="宋体" w:hAnsi="宋体" w:eastAsia="宋体" w:cs="宋体"/>
                <w:color w:val="auto"/>
                <w:spacing w:val="-1"/>
                <w:sz w:val="20"/>
                <w:szCs w:val="20"/>
              </w:rPr>
              <w:t>里）</w:t>
            </w:r>
          </w:p>
        </w:tc>
        <w:tc>
          <w:tcPr>
            <w:tcW w:w="941" w:type="dxa"/>
            <w:vAlign w:val="top"/>
          </w:tcPr>
          <w:p w14:paraId="60D9CC17">
            <w:pPr>
              <w:spacing w:before="178" w:line="252" w:lineRule="auto"/>
              <w:ind w:left="136" w:right="18" w:firstLine="51"/>
              <w:rPr>
                <w:rFonts w:ascii="宋体" w:hAnsi="宋体" w:eastAsia="宋体" w:cs="宋体"/>
                <w:color w:val="auto"/>
                <w:sz w:val="20"/>
                <w:szCs w:val="20"/>
              </w:rPr>
            </w:pPr>
            <w:r>
              <w:rPr>
                <w:rFonts w:ascii="宋体" w:hAnsi="宋体" w:eastAsia="宋体" w:cs="宋体"/>
                <w:color w:val="auto"/>
                <w:spacing w:val="6"/>
                <w:sz w:val="20"/>
                <w:szCs w:val="20"/>
              </w:rPr>
              <w:t>总检测</w:t>
            </w:r>
            <w:r>
              <w:rPr>
                <w:rFonts w:ascii="宋体" w:hAnsi="宋体" w:eastAsia="宋体" w:cs="宋体"/>
                <w:color w:val="auto"/>
                <w:sz w:val="20"/>
                <w:szCs w:val="20"/>
              </w:rPr>
              <w:t xml:space="preserve">  </w:t>
            </w:r>
            <w:r>
              <w:rPr>
                <w:rFonts w:ascii="宋体" w:hAnsi="宋体" w:eastAsia="宋体" w:cs="宋体"/>
                <w:color w:val="auto"/>
                <w:spacing w:val="-14"/>
                <w:sz w:val="20"/>
                <w:szCs w:val="20"/>
              </w:rPr>
              <w:t>比例（%）</w:t>
            </w:r>
          </w:p>
        </w:tc>
        <w:tc>
          <w:tcPr>
            <w:tcW w:w="1291" w:type="dxa"/>
            <w:vAlign w:val="top"/>
          </w:tcPr>
          <w:p w14:paraId="3D684A54">
            <w:pPr>
              <w:spacing w:before="177" w:line="228" w:lineRule="auto"/>
              <w:ind w:left="127"/>
              <w:rPr>
                <w:rFonts w:ascii="宋体" w:hAnsi="宋体" w:eastAsia="宋体" w:cs="宋体"/>
                <w:color w:val="auto"/>
                <w:sz w:val="20"/>
                <w:szCs w:val="20"/>
              </w:rPr>
            </w:pPr>
            <w:r>
              <w:rPr>
                <w:rFonts w:ascii="宋体" w:hAnsi="宋体" w:eastAsia="宋体" w:cs="宋体"/>
                <w:color w:val="auto"/>
                <w:spacing w:val="8"/>
                <w:sz w:val="20"/>
                <w:szCs w:val="20"/>
              </w:rPr>
              <w:t>检测项目和</w:t>
            </w:r>
          </w:p>
          <w:p w14:paraId="187565E7">
            <w:pPr>
              <w:spacing w:before="24" w:line="228" w:lineRule="auto"/>
              <w:ind w:left="153"/>
              <w:rPr>
                <w:rFonts w:ascii="宋体" w:hAnsi="宋体" w:eastAsia="宋体" w:cs="宋体"/>
                <w:color w:val="auto"/>
                <w:sz w:val="20"/>
                <w:szCs w:val="20"/>
              </w:rPr>
            </w:pPr>
            <w:r>
              <w:rPr>
                <w:rFonts w:ascii="宋体" w:hAnsi="宋体" w:eastAsia="宋体" w:cs="宋体"/>
                <w:color w:val="auto"/>
                <w:spacing w:val="3"/>
                <w:sz w:val="20"/>
                <w:szCs w:val="20"/>
              </w:rPr>
              <w:t>内容及数量</w:t>
            </w:r>
          </w:p>
        </w:tc>
        <w:tc>
          <w:tcPr>
            <w:tcW w:w="1204" w:type="dxa"/>
            <w:vAlign w:val="top"/>
          </w:tcPr>
          <w:p w14:paraId="4F5E1B4F">
            <w:pPr>
              <w:pStyle w:val="158"/>
              <w:spacing w:line="247" w:lineRule="auto"/>
              <w:rPr>
                <w:color w:val="auto"/>
              </w:rPr>
            </w:pPr>
          </w:p>
          <w:p w14:paraId="07D347F5">
            <w:pPr>
              <w:spacing w:before="65" w:line="230" w:lineRule="auto"/>
              <w:ind w:left="399"/>
              <w:rPr>
                <w:rFonts w:ascii="宋体" w:hAnsi="宋体" w:eastAsia="宋体" w:cs="宋体"/>
                <w:color w:val="auto"/>
                <w:sz w:val="20"/>
                <w:szCs w:val="20"/>
              </w:rPr>
            </w:pPr>
            <w:r>
              <w:rPr>
                <w:rFonts w:ascii="宋体" w:hAnsi="宋体" w:eastAsia="宋体" w:cs="宋体"/>
                <w:color w:val="auto"/>
                <w:spacing w:val="3"/>
                <w:sz w:val="20"/>
                <w:szCs w:val="20"/>
              </w:rPr>
              <w:t>备注</w:t>
            </w:r>
          </w:p>
        </w:tc>
      </w:tr>
      <w:tr w14:paraId="19441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23" w:type="dxa"/>
            <w:vAlign w:val="top"/>
          </w:tcPr>
          <w:p w14:paraId="056930F0">
            <w:pPr>
              <w:pStyle w:val="158"/>
              <w:spacing w:line="248" w:lineRule="auto"/>
              <w:rPr>
                <w:color w:val="auto"/>
              </w:rPr>
            </w:pPr>
          </w:p>
          <w:p w14:paraId="5EDD6280">
            <w:pPr>
              <w:spacing w:before="65" w:line="228" w:lineRule="auto"/>
              <w:ind w:left="198"/>
              <w:rPr>
                <w:rFonts w:ascii="宋体" w:hAnsi="宋体" w:eastAsia="宋体" w:cs="宋体"/>
                <w:color w:val="auto"/>
                <w:sz w:val="20"/>
                <w:szCs w:val="20"/>
              </w:rPr>
            </w:pPr>
            <w:r>
              <w:rPr>
                <w:rFonts w:ascii="宋体" w:hAnsi="宋体" w:eastAsia="宋体" w:cs="宋体"/>
                <w:color w:val="auto"/>
                <w:spacing w:val="6"/>
                <w:sz w:val="20"/>
                <w:szCs w:val="20"/>
              </w:rPr>
              <w:t>金城江区</w:t>
            </w:r>
          </w:p>
        </w:tc>
        <w:tc>
          <w:tcPr>
            <w:tcW w:w="1106" w:type="dxa"/>
            <w:vAlign w:val="top"/>
          </w:tcPr>
          <w:p w14:paraId="4E180FC2">
            <w:pPr>
              <w:pStyle w:val="158"/>
              <w:spacing w:line="248" w:lineRule="auto"/>
              <w:rPr>
                <w:color w:val="auto"/>
              </w:rPr>
            </w:pPr>
          </w:p>
          <w:p w14:paraId="22A5D318">
            <w:pPr>
              <w:spacing w:before="65" w:line="269" w:lineRule="exact"/>
              <w:ind w:left="401"/>
              <w:rPr>
                <w:rFonts w:ascii="宋体" w:hAnsi="宋体" w:eastAsia="宋体" w:cs="宋体"/>
                <w:color w:val="auto"/>
                <w:sz w:val="20"/>
                <w:szCs w:val="20"/>
              </w:rPr>
            </w:pPr>
            <w:r>
              <w:rPr>
                <w:rFonts w:ascii="宋体" w:hAnsi="宋体" w:eastAsia="宋体" w:cs="宋体"/>
                <w:color w:val="auto"/>
                <w:spacing w:val="1"/>
                <w:position w:val="1"/>
                <w:sz w:val="20"/>
                <w:szCs w:val="20"/>
              </w:rPr>
              <w:t>252</w:t>
            </w:r>
          </w:p>
        </w:tc>
        <w:tc>
          <w:tcPr>
            <w:tcW w:w="992" w:type="dxa"/>
            <w:vAlign w:val="top"/>
          </w:tcPr>
          <w:p w14:paraId="0CA29101">
            <w:pPr>
              <w:pStyle w:val="158"/>
              <w:spacing w:line="248" w:lineRule="auto"/>
              <w:rPr>
                <w:color w:val="auto"/>
              </w:rPr>
            </w:pPr>
          </w:p>
          <w:p w14:paraId="2D4B9A37">
            <w:pPr>
              <w:spacing w:before="65" w:line="269" w:lineRule="exact"/>
              <w:ind w:left="359"/>
              <w:rPr>
                <w:rFonts w:ascii="宋体" w:hAnsi="宋体" w:eastAsia="宋体" w:cs="宋体"/>
                <w:color w:val="auto"/>
                <w:sz w:val="20"/>
                <w:szCs w:val="20"/>
              </w:rPr>
            </w:pPr>
            <w:r>
              <w:rPr>
                <w:rFonts w:ascii="宋体" w:hAnsi="宋体" w:eastAsia="宋体" w:cs="宋体"/>
                <w:color w:val="auto"/>
                <w:spacing w:val="-3"/>
                <w:position w:val="1"/>
                <w:sz w:val="20"/>
                <w:szCs w:val="20"/>
              </w:rPr>
              <w:t>153</w:t>
            </w:r>
          </w:p>
        </w:tc>
        <w:tc>
          <w:tcPr>
            <w:tcW w:w="980" w:type="dxa"/>
            <w:vAlign w:val="top"/>
          </w:tcPr>
          <w:p w14:paraId="3846C0D3">
            <w:pPr>
              <w:pStyle w:val="158"/>
              <w:spacing w:line="248" w:lineRule="auto"/>
              <w:rPr>
                <w:color w:val="auto"/>
              </w:rPr>
            </w:pPr>
          </w:p>
          <w:p w14:paraId="675571F1">
            <w:pPr>
              <w:spacing w:before="65" w:line="269" w:lineRule="exact"/>
              <w:ind w:left="337"/>
              <w:rPr>
                <w:rFonts w:hint="default" w:ascii="宋体" w:hAnsi="宋体" w:eastAsia="宋体" w:cs="宋体"/>
                <w:color w:val="auto"/>
                <w:sz w:val="20"/>
                <w:szCs w:val="20"/>
                <w:lang w:val="en-US" w:eastAsia="zh-CN"/>
              </w:rPr>
            </w:pPr>
            <w:r>
              <w:rPr>
                <w:rFonts w:hint="eastAsia" w:ascii="宋体" w:hAnsi="宋体" w:eastAsia="宋体" w:cs="宋体"/>
                <w:color w:val="auto"/>
                <w:spacing w:val="2"/>
                <w:position w:val="1"/>
                <w:sz w:val="20"/>
                <w:szCs w:val="20"/>
                <w:lang w:val="en-US" w:eastAsia="zh-CN"/>
              </w:rPr>
              <w:t>497</w:t>
            </w:r>
          </w:p>
        </w:tc>
        <w:tc>
          <w:tcPr>
            <w:tcW w:w="1009" w:type="dxa"/>
            <w:vMerge w:val="restart"/>
            <w:tcBorders>
              <w:bottom w:val="nil"/>
            </w:tcBorders>
            <w:vAlign w:val="top"/>
          </w:tcPr>
          <w:p w14:paraId="44E25710">
            <w:pPr>
              <w:pStyle w:val="158"/>
              <w:spacing w:line="243" w:lineRule="auto"/>
              <w:rPr>
                <w:color w:val="auto"/>
              </w:rPr>
            </w:pPr>
          </w:p>
          <w:p w14:paraId="057B6122">
            <w:pPr>
              <w:pStyle w:val="158"/>
              <w:spacing w:line="243" w:lineRule="auto"/>
              <w:rPr>
                <w:color w:val="auto"/>
              </w:rPr>
            </w:pPr>
          </w:p>
          <w:p w14:paraId="6A25335B">
            <w:pPr>
              <w:pStyle w:val="158"/>
              <w:spacing w:line="243" w:lineRule="auto"/>
              <w:rPr>
                <w:color w:val="auto"/>
              </w:rPr>
            </w:pPr>
          </w:p>
          <w:p w14:paraId="76855BE1">
            <w:pPr>
              <w:pStyle w:val="158"/>
              <w:spacing w:line="243" w:lineRule="auto"/>
              <w:rPr>
                <w:color w:val="auto"/>
              </w:rPr>
            </w:pPr>
          </w:p>
          <w:p w14:paraId="03F70117">
            <w:pPr>
              <w:pStyle w:val="158"/>
              <w:spacing w:line="243" w:lineRule="auto"/>
              <w:rPr>
                <w:color w:val="auto"/>
              </w:rPr>
            </w:pPr>
          </w:p>
          <w:p w14:paraId="1002C229">
            <w:pPr>
              <w:pStyle w:val="158"/>
              <w:spacing w:line="243" w:lineRule="auto"/>
              <w:rPr>
                <w:color w:val="auto"/>
              </w:rPr>
            </w:pPr>
          </w:p>
          <w:p w14:paraId="16625C31">
            <w:pPr>
              <w:pStyle w:val="158"/>
              <w:spacing w:line="243" w:lineRule="auto"/>
              <w:rPr>
                <w:color w:val="auto"/>
              </w:rPr>
            </w:pPr>
          </w:p>
          <w:p w14:paraId="7A2AE782">
            <w:pPr>
              <w:pStyle w:val="158"/>
              <w:spacing w:line="243" w:lineRule="auto"/>
              <w:rPr>
                <w:color w:val="auto"/>
              </w:rPr>
            </w:pPr>
          </w:p>
          <w:p w14:paraId="64358E9C">
            <w:pPr>
              <w:pStyle w:val="158"/>
              <w:spacing w:line="244" w:lineRule="auto"/>
              <w:rPr>
                <w:color w:val="auto"/>
              </w:rPr>
            </w:pPr>
          </w:p>
          <w:p w14:paraId="612AE624">
            <w:pPr>
              <w:pStyle w:val="158"/>
              <w:spacing w:line="244" w:lineRule="auto"/>
              <w:rPr>
                <w:color w:val="auto"/>
              </w:rPr>
            </w:pPr>
          </w:p>
          <w:p w14:paraId="16BE5F5A">
            <w:pPr>
              <w:pStyle w:val="158"/>
              <w:spacing w:line="244" w:lineRule="auto"/>
              <w:rPr>
                <w:color w:val="auto"/>
              </w:rPr>
            </w:pPr>
          </w:p>
          <w:p w14:paraId="16F3934C">
            <w:pPr>
              <w:pStyle w:val="158"/>
              <w:spacing w:line="244" w:lineRule="auto"/>
              <w:rPr>
                <w:color w:val="auto"/>
              </w:rPr>
            </w:pPr>
          </w:p>
          <w:p w14:paraId="2B80379D">
            <w:pPr>
              <w:pStyle w:val="158"/>
              <w:spacing w:line="244" w:lineRule="auto"/>
              <w:rPr>
                <w:color w:val="auto"/>
              </w:rPr>
            </w:pPr>
          </w:p>
          <w:p w14:paraId="36E1E40D">
            <w:pPr>
              <w:pStyle w:val="158"/>
              <w:spacing w:line="244" w:lineRule="auto"/>
              <w:rPr>
                <w:color w:val="auto"/>
              </w:rPr>
            </w:pPr>
          </w:p>
          <w:p w14:paraId="58653A72">
            <w:pPr>
              <w:pStyle w:val="158"/>
              <w:spacing w:line="244" w:lineRule="auto"/>
              <w:rPr>
                <w:color w:val="auto"/>
              </w:rPr>
            </w:pPr>
          </w:p>
          <w:p w14:paraId="51259782">
            <w:pPr>
              <w:pStyle w:val="158"/>
              <w:spacing w:line="244" w:lineRule="auto"/>
              <w:rPr>
                <w:color w:val="auto"/>
              </w:rPr>
            </w:pPr>
          </w:p>
          <w:p w14:paraId="612686A2">
            <w:pPr>
              <w:pStyle w:val="158"/>
              <w:spacing w:line="244" w:lineRule="auto"/>
              <w:rPr>
                <w:color w:val="auto"/>
              </w:rPr>
            </w:pPr>
          </w:p>
          <w:p w14:paraId="08B497A5">
            <w:pPr>
              <w:pStyle w:val="158"/>
              <w:spacing w:line="244" w:lineRule="auto"/>
              <w:rPr>
                <w:color w:val="auto"/>
              </w:rPr>
            </w:pPr>
          </w:p>
          <w:p w14:paraId="33E358B1">
            <w:pPr>
              <w:spacing w:before="65" w:line="253" w:lineRule="auto"/>
              <w:ind w:left="281" w:right="214" w:hanging="43"/>
              <w:rPr>
                <w:rFonts w:ascii="宋体" w:hAnsi="宋体" w:eastAsia="宋体" w:cs="宋体"/>
                <w:color w:val="auto"/>
                <w:sz w:val="20"/>
                <w:szCs w:val="20"/>
              </w:rPr>
            </w:pPr>
            <w:r>
              <w:rPr>
                <w:rFonts w:hint="eastAsia" w:ascii="宋体" w:hAnsi="宋体" w:cs="宋体"/>
                <w:strike w:val="0"/>
                <w:dstrike w:val="0"/>
                <w:color w:val="auto"/>
                <w:sz w:val="20"/>
                <w:szCs w:val="20"/>
                <w:lang w:val="en-US" w:eastAsia="zh-CN"/>
              </w:rPr>
              <w:t>19000</w:t>
            </w:r>
            <w:r>
              <w:rPr>
                <w:rFonts w:ascii="宋体" w:hAnsi="宋体" w:eastAsia="宋体" w:cs="宋体"/>
                <w:color w:val="auto"/>
                <w:spacing w:val="1"/>
                <w:sz w:val="20"/>
                <w:szCs w:val="20"/>
              </w:rPr>
              <w:t>公里</w:t>
            </w:r>
          </w:p>
        </w:tc>
        <w:tc>
          <w:tcPr>
            <w:tcW w:w="941" w:type="dxa"/>
            <w:vMerge w:val="restart"/>
            <w:tcBorders>
              <w:bottom w:val="nil"/>
            </w:tcBorders>
            <w:vAlign w:val="top"/>
          </w:tcPr>
          <w:p w14:paraId="76E24430">
            <w:pPr>
              <w:pStyle w:val="158"/>
              <w:spacing w:line="250" w:lineRule="auto"/>
              <w:rPr>
                <w:color w:val="auto"/>
              </w:rPr>
            </w:pPr>
          </w:p>
          <w:p w14:paraId="127BEE17">
            <w:pPr>
              <w:pStyle w:val="158"/>
              <w:spacing w:line="251" w:lineRule="auto"/>
              <w:rPr>
                <w:color w:val="auto"/>
              </w:rPr>
            </w:pPr>
          </w:p>
          <w:p w14:paraId="63D32555">
            <w:pPr>
              <w:pStyle w:val="158"/>
              <w:spacing w:line="251" w:lineRule="auto"/>
              <w:rPr>
                <w:color w:val="auto"/>
              </w:rPr>
            </w:pPr>
          </w:p>
          <w:p w14:paraId="28C0C760">
            <w:pPr>
              <w:pStyle w:val="158"/>
              <w:spacing w:line="251" w:lineRule="auto"/>
              <w:rPr>
                <w:color w:val="auto"/>
              </w:rPr>
            </w:pPr>
          </w:p>
          <w:p w14:paraId="3C059FEE">
            <w:pPr>
              <w:pStyle w:val="158"/>
              <w:spacing w:line="251" w:lineRule="auto"/>
              <w:rPr>
                <w:color w:val="auto"/>
              </w:rPr>
            </w:pPr>
          </w:p>
          <w:p w14:paraId="6CCFAFFA">
            <w:pPr>
              <w:pStyle w:val="158"/>
              <w:spacing w:line="251" w:lineRule="auto"/>
              <w:rPr>
                <w:color w:val="auto"/>
              </w:rPr>
            </w:pPr>
          </w:p>
          <w:p w14:paraId="7B9195A2">
            <w:pPr>
              <w:pStyle w:val="158"/>
              <w:spacing w:line="251" w:lineRule="auto"/>
              <w:rPr>
                <w:color w:val="auto"/>
              </w:rPr>
            </w:pPr>
          </w:p>
          <w:p w14:paraId="582A6B63">
            <w:pPr>
              <w:pStyle w:val="158"/>
              <w:spacing w:line="251" w:lineRule="auto"/>
              <w:rPr>
                <w:color w:val="auto"/>
              </w:rPr>
            </w:pPr>
          </w:p>
          <w:p w14:paraId="23870E4B">
            <w:pPr>
              <w:pStyle w:val="158"/>
              <w:spacing w:line="251" w:lineRule="auto"/>
              <w:rPr>
                <w:color w:val="auto"/>
              </w:rPr>
            </w:pPr>
          </w:p>
          <w:p w14:paraId="02C3043F">
            <w:pPr>
              <w:pStyle w:val="158"/>
              <w:spacing w:line="251" w:lineRule="auto"/>
              <w:rPr>
                <w:color w:val="auto"/>
              </w:rPr>
            </w:pPr>
          </w:p>
          <w:p w14:paraId="582FEFEE">
            <w:pPr>
              <w:pStyle w:val="158"/>
              <w:spacing w:line="251" w:lineRule="auto"/>
              <w:rPr>
                <w:color w:val="auto"/>
              </w:rPr>
            </w:pPr>
          </w:p>
          <w:p w14:paraId="5782F0CB">
            <w:pPr>
              <w:pStyle w:val="158"/>
              <w:spacing w:line="251" w:lineRule="auto"/>
              <w:rPr>
                <w:color w:val="auto"/>
              </w:rPr>
            </w:pPr>
          </w:p>
          <w:p w14:paraId="44FC6F89">
            <w:pPr>
              <w:pStyle w:val="158"/>
              <w:spacing w:line="251" w:lineRule="auto"/>
              <w:rPr>
                <w:color w:val="auto"/>
              </w:rPr>
            </w:pPr>
          </w:p>
          <w:p w14:paraId="7BB429BB">
            <w:pPr>
              <w:pStyle w:val="158"/>
              <w:spacing w:line="251" w:lineRule="auto"/>
              <w:rPr>
                <w:color w:val="auto"/>
              </w:rPr>
            </w:pPr>
          </w:p>
          <w:p w14:paraId="6833DCA3">
            <w:pPr>
              <w:pStyle w:val="158"/>
              <w:spacing w:line="251" w:lineRule="auto"/>
              <w:rPr>
                <w:color w:val="auto"/>
              </w:rPr>
            </w:pPr>
          </w:p>
          <w:p w14:paraId="7453C3FD">
            <w:pPr>
              <w:pStyle w:val="158"/>
              <w:spacing w:line="251" w:lineRule="auto"/>
              <w:rPr>
                <w:color w:val="auto"/>
              </w:rPr>
            </w:pPr>
          </w:p>
          <w:p w14:paraId="463B6609">
            <w:pPr>
              <w:pStyle w:val="158"/>
              <w:spacing w:line="251" w:lineRule="auto"/>
              <w:rPr>
                <w:color w:val="auto"/>
              </w:rPr>
            </w:pPr>
          </w:p>
          <w:p w14:paraId="2CD7D399">
            <w:pPr>
              <w:pStyle w:val="158"/>
              <w:spacing w:line="251" w:lineRule="auto"/>
              <w:rPr>
                <w:color w:val="auto"/>
              </w:rPr>
            </w:pPr>
          </w:p>
          <w:p w14:paraId="58820AC8">
            <w:pPr>
              <w:spacing w:before="66" w:line="268" w:lineRule="exact"/>
              <w:ind w:left="186"/>
              <w:rPr>
                <w:rFonts w:ascii="宋体" w:hAnsi="宋体" w:eastAsia="宋体" w:cs="宋体"/>
                <w:color w:val="auto"/>
                <w:sz w:val="20"/>
                <w:szCs w:val="20"/>
              </w:rPr>
            </w:pPr>
            <w:r>
              <w:rPr>
                <w:rFonts w:hint="eastAsia" w:ascii="宋体" w:hAnsi="宋体" w:eastAsia="宋体" w:cs="宋体"/>
                <w:color w:val="auto"/>
                <w:spacing w:val="3"/>
                <w:position w:val="1"/>
                <w:sz w:val="20"/>
                <w:szCs w:val="20"/>
                <w:lang w:val="en-US" w:eastAsia="zh-CN"/>
              </w:rPr>
              <w:t>100</w:t>
            </w:r>
            <w:r>
              <w:rPr>
                <w:rFonts w:ascii="宋体" w:hAnsi="宋体" w:eastAsia="宋体" w:cs="宋体"/>
                <w:color w:val="auto"/>
                <w:spacing w:val="3"/>
                <w:position w:val="1"/>
                <w:sz w:val="20"/>
                <w:szCs w:val="20"/>
              </w:rPr>
              <w:t>%</w:t>
            </w:r>
          </w:p>
        </w:tc>
        <w:tc>
          <w:tcPr>
            <w:tcW w:w="1291" w:type="dxa"/>
            <w:vMerge w:val="restart"/>
            <w:tcBorders>
              <w:bottom w:val="nil"/>
            </w:tcBorders>
            <w:vAlign w:val="top"/>
          </w:tcPr>
          <w:p w14:paraId="69A23BE1">
            <w:pPr>
              <w:pStyle w:val="158"/>
              <w:spacing w:line="243" w:lineRule="auto"/>
              <w:rPr>
                <w:color w:val="auto"/>
              </w:rPr>
            </w:pPr>
          </w:p>
          <w:p w14:paraId="3B9F92CD">
            <w:pPr>
              <w:pStyle w:val="158"/>
              <w:spacing w:line="243" w:lineRule="auto"/>
              <w:rPr>
                <w:color w:val="auto"/>
              </w:rPr>
            </w:pPr>
          </w:p>
          <w:p w14:paraId="2F8AF35F">
            <w:pPr>
              <w:pStyle w:val="158"/>
              <w:spacing w:line="243" w:lineRule="auto"/>
              <w:rPr>
                <w:color w:val="auto"/>
              </w:rPr>
            </w:pPr>
          </w:p>
          <w:p w14:paraId="1FFD54A8">
            <w:pPr>
              <w:pStyle w:val="158"/>
              <w:spacing w:line="243" w:lineRule="auto"/>
              <w:rPr>
                <w:color w:val="auto"/>
              </w:rPr>
            </w:pPr>
          </w:p>
          <w:p w14:paraId="46C86D83">
            <w:pPr>
              <w:pStyle w:val="158"/>
              <w:spacing w:line="243" w:lineRule="auto"/>
              <w:rPr>
                <w:color w:val="auto"/>
              </w:rPr>
            </w:pPr>
          </w:p>
          <w:p w14:paraId="35A4A749">
            <w:pPr>
              <w:pStyle w:val="158"/>
              <w:spacing w:line="243" w:lineRule="auto"/>
              <w:rPr>
                <w:color w:val="auto"/>
              </w:rPr>
            </w:pPr>
          </w:p>
          <w:p w14:paraId="7DDEC43B">
            <w:pPr>
              <w:pStyle w:val="158"/>
              <w:spacing w:line="243" w:lineRule="auto"/>
              <w:rPr>
                <w:color w:val="auto"/>
              </w:rPr>
            </w:pPr>
          </w:p>
          <w:p w14:paraId="34947EC5">
            <w:pPr>
              <w:pStyle w:val="158"/>
              <w:spacing w:line="243" w:lineRule="auto"/>
              <w:rPr>
                <w:color w:val="auto"/>
              </w:rPr>
            </w:pPr>
          </w:p>
          <w:p w14:paraId="64E9082C">
            <w:pPr>
              <w:pStyle w:val="158"/>
              <w:spacing w:line="244" w:lineRule="auto"/>
              <w:rPr>
                <w:color w:val="auto"/>
              </w:rPr>
            </w:pPr>
          </w:p>
          <w:p w14:paraId="74E593D0">
            <w:pPr>
              <w:pStyle w:val="158"/>
              <w:spacing w:line="244" w:lineRule="auto"/>
              <w:rPr>
                <w:color w:val="auto"/>
              </w:rPr>
            </w:pPr>
          </w:p>
          <w:p w14:paraId="19315E88">
            <w:pPr>
              <w:pStyle w:val="158"/>
              <w:spacing w:line="244" w:lineRule="auto"/>
              <w:rPr>
                <w:color w:val="auto"/>
              </w:rPr>
            </w:pPr>
          </w:p>
          <w:p w14:paraId="676EED0B">
            <w:pPr>
              <w:pStyle w:val="158"/>
              <w:spacing w:line="244" w:lineRule="auto"/>
              <w:rPr>
                <w:color w:val="auto"/>
              </w:rPr>
            </w:pPr>
          </w:p>
          <w:p w14:paraId="3A1FD9D8">
            <w:pPr>
              <w:pStyle w:val="158"/>
              <w:spacing w:line="244" w:lineRule="auto"/>
              <w:rPr>
                <w:color w:val="auto"/>
              </w:rPr>
            </w:pPr>
          </w:p>
          <w:p w14:paraId="79D599F4">
            <w:pPr>
              <w:pStyle w:val="158"/>
              <w:spacing w:line="244" w:lineRule="auto"/>
              <w:rPr>
                <w:color w:val="auto"/>
              </w:rPr>
            </w:pPr>
          </w:p>
          <w:p w14:paraId="0E938053">
            <w:pPr>
              <w:pStyle w:val="158"/>
              <w:spacing w:line="244" w:lineRule="auto"/>
              <w:rPr>
                <w:color w:val="auto"/>
              </w:rPr>
            </w:pPr>
          </w:p>
          <w:p w14:paraId="334D001B">
            <w:pPr>
              <w:pStyle w:val="158"/>
              <w:spacing w:line="244" w:lineRule="auto"/>
              <w:rPr>
                <w:color w:val="auto"/>
              </w:rPr>
            </w:pPr>
          </w:p>
          <w:p w14:paraId="6A80721B">
            <w:pPr>
              <w:pStyle w:val="158"/>
              <w:spacing w:line="244" w:lineRule="auto"/>
              <w:rPr>
                <w:color w:val="auto"/>
              </w:rPr>
            </w:pPr>
          </w:p>
          <w:p w14:paraId="141A8899">
            <w:pPr>
              <w:pStyle w:val="158"/>
              <w:spacing w:line="244" w:lineRule="auto"/>
              <w:rPr>
                <w:color w:val="auto"/>
              </w:rPr>
            </w:pPr>
          </w:p>
          <w:p w14:paraId="60EDFF3A">
            <w:pPr>
              <w:spacing w:before="65" w:line="228" w:lineRule="auto"/>
              <w:ind w:left="235"/>
              <w:rPr>
                <w:rFonts w:ascii="宋体" w:hAnsi="宋体" w:eastAsia="宋体" w:cs="宋体"/>
                <w:color w:val="auto"/>
                <w:sz w:val="20"/>
                <w:szCs w:val="20"/>
              </w:rPr>
            </w:pPr>
            <w:r>
              <w:rPr>
                <w:rFonts w:ascii="宋体" w:hAnsi="宋体" w:eastAsia="宋体" w:cs="宋体"/>
                <w:color w:val="auto"/>
                <w:spacing w:val="6"/>
                <w:sz w:val="20"/>
                <w:szCs w:val="20"/>
              </w:rPr>
              <w:t>详见附件</w:t>
            </w:r>
          </w:p>
          <w:p w14:paraId="6D49B47D">
            <w:pPr>
              <w:spacing w:before="24" w:line="271" w:lineRule="exact"/>
              <w:ind w:left="510"/>
              <w:rPr>
                <w:rFonts w:ascii="宋体" w:hAnsi="宋体" w:eastAsia="宋体" w:cs="宋体"/>
                <w:color w:val="auto"/>
                <w:sz w:val="20"/>
                <w:szCs w:val="20"/>
              </w:rPr>
            </w:pPr>
            <w:r>
              <w:rPr>
                <w:rFonts w:ascii="宋体" w:hAnsi="宋体" w:eastAsia="宋体" w:cs="宋体"/>
                <w:color w:val="auto"/>
                <w:spacing w:val="-3"/>
                <w:position w:val="1"/>
                <w:sz w:val="20"/>
                <w:szCs w:val="20"/>
              </w:rPr>
              <w:t>1-1</w:t>
            </w:r>
          </w:p>
        </w:tc>
        <w:tc>
          <w:tcPr>
            <w:tcW w:w="1204" w:type="dxa"/>
            <w:vMerge w:val="restart"/>
            <w:tcBorders>
              <w:bottom w:val="nil"/>
            </w:tcBorders>
            <w:vAlign w:val="top"/>
          </w:tcPr>
          <w:p w14:paraId="45BFC1DC">
            <w:pPr>
              <w:pStyle w:val="158"/>
              <w:rPr>
                <w:color w:val="auto"/>
              </w:rPr>
            </w:pPr>
          </w:p>
        </w:tc>
      </w:tr>
      <w:tr w14:paraId="5660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23" w:type="dxa"/>
            <w:vAlign w:val="top"/>
          </w:tcPr>
          <w:p w14:paraId="01FEE3E2">
            <w:pPr>
              <w:pStyle w:val="158"/>
              <w:spacing w:line="247" w:lineRule="auto"/>
              <w:rPr>
                <w:color w:val="auto"/>
              </w:rPr>
            </w:pPr>
          </w:p>
          <w:p w14:paraId="2E407B8A">
            <w:pPr>
              <w:spacing w:before="65" w:line="228" w:lineRule="auto"/>
              <w:ind w:left="306"/>
              <w:rPr>
                <w:rFonts w:ascii="宋体" w:hAnsi="宋体" w:eastAsia="宋体" w:cs="宋体"/>
                <w:color w:val="auto"/>
                <w:sz w:val="20"/>
                <w:szCs w:val="20"/>
              </w:rPr>
            </w:pPr>
            <w:r>
              <w:rPr>
                <w:rFonts w:ascii="宋体" w:hAnsi="宋体" w:eastAsia="宋体" w:cs="宋体"/>
                <w:color w:val="auto"/>
                <w:spacing w:val="5"/>
                <w:sz w:val="20"/>
                <w:szCs w:val="20"/>
              </w:rPr>
              <w:t>宜州区</w:t>
            </w:r>
          </w:p>
        </w:tc>
        <w:tc>
          <w:tcPr>
            <w:tcW w:w="1106" w:type="dxa"/>
            <w:vAlign w:val="top"/>
          </w:tcPr>
          <w:p w14:paraId="43B31401">
            <w:pPr>
              <w:pStyle w:val="158"/>
              <w:spacing w:line="248" w:lineRule="auto"/>
              <w:rPr>
                <w:color w:val="auto"/>
              </w:rPr>
            </w:pPr>
          </w:p>
          <w:p w14:paraId="52190CEB">
            <w:pPr>
              <w:spacing w:before="65" w:line="269" w:lineRule="exact"/>
              <w:ind w:left="401"/>
              <w:rPr>
                <w:rFonts w:ascii="宋体" w:hAnsi="宋体" w:eastAsia="宋体" w:cs="宋体"/>
                <w:color w:val="auto"/>
                <w:sz w:val="20"/>
                <w:szCs w:val="20"/>
              </w:rPr>
            </w:pPr>
            <w:r>
              <w:rPr>
                <w:rFonts w:ascii="宋体" w:hAnsi="宋体" w:eastAsia="宋体" w:cs="宋体"/>
                <w:color w:val="auto"/>
                <w:spacing w:val="1"/>
                <w:position w:val="1"/>
                <w:sz w:val="20"/>
                <w:szCs w:val="20"/>
              </w:rPr>
              <w:t>298</w:t>
            </w:r>
          </w:p>
        </w:tc>
        <w:tc>
          <w:tcPr>
            <w:tcW w:w="992" w:type="dxa"/>
            <w:vAlign w:val="top"/>
          </w:tcPr>
          <w:p w14:paraId="2CEDDDBB">
            <w:pPr>
              <w:pStyle w:val="158"/>
              <w:spacing w:line="248" w:lineRule="auto"/>
              <w:rPr>
                <w:color w:val="auto"/>
              </w:rPr>
            </w:pPr>
          </w:p>
          <w:p w14:paraId="783346CB">
            <w:pPr>
              <w:spacing w:before="65" w:line="269" w:lineRule="exact"/>
              <w:ind w:left="359"/>
              <w:rPr>
                <w:rFonts w:ascii="宋体" w:hAnsi="宋体" w:eastAsia="宋体" w:cs="宋体"/>
                <w:color w:val="auto"/>
                <w:sz w:val="20"/>
                <w:szCs w:val="20"/>
              </w:rPr>
            </w:pPr>
            <w:r>
              <w:rPr>
                <w:rFonts w:ascii="宋体" w:hAnsi="宋体" w:eastAsia="宋体" w:cs="宋体"/>
                <w:color w:val="auto"/>
                <w:spacing w:val="-3"/>
                <w:position w:val="1"/>
                <w:sz w:val="20"/>
                <w:szCs w:val="20"/>
              </w:rPr>
              <w:t>187</w:t>
            </w:r>
          </w:p>
        </w:tc>
        <w:tc>
          <w:tcPr>
            <w:tcW w:w="980" w:type="dxa"/>
            <w:vAlign w:val="top"/>
          </w:tcPr>
          <w:p w14:paraId="2BF1933B">
            <w:pPr>
              <w:pStyle w:val="158"/>
              <w:spacing w:line="248" w:lineRule="auto"/>
              <w:rPr>
                <w:color w:val="auto"/>
              </w:rPr>
            </w:pPr>
          </w:p>
          <w:p w14:paraId="49FAF2C4">
            <w:pPr>
              <w:spacing w:before="65" w:line="269" w:lineRule="exact"/>
              <w:ind w:left="301"/>
              <w:rPr>
                <w:rFonts w:hint="default" w:ascii="宋体" w:hAnsi="宋体" w:eastAsia="宋体" w:cs="宋体"/>
                <w:color w:val="auto"/>
                <w:sz w:val="20"/>
                <w:szCs w:val="20"/>
                <w:lang w:val="en-US" w:eastAsia="zh-CN"/>
              </w:rPr>
            </w:pPr>
            <w:r>
              <w:rPr>
                <w:rFonts w:hint="eastAsia" w:ascii="宋体" w:hAnsi="宋体" w:eastAsia="宋体" w:cs="宋体"/>
                <w:color w:val="auto"/>
                <w:spacing w:val="-1"/>
                <w:position w:val="1"/>
                <w:sz w:val="20"/>
                <w:szCs w:val="20"/>
                <w:lang w:val="en-US" w:eastAsia="zh-CN"/>
              </w:rPr>
              <w:t>1329</w:t>
            </w:r>
          </w:p>
        </w:tc>
        <w:tc>
          <w:tcPr>
            <w:tcW w:w="1009" w:type="dxa"/>
            <w:vMerge w:val="continue"/>
            <w:tcBorders>
              <w:top w:val="nil"/>
              <w:bottom w:val="nil"/>
            </w:tcBorders>
            <w:vAlign w:val="top"/>
          </w:tcPr>
          <w:p w14:paraId="37E0417C">
            <w:pPr>
              <w:pStyle w:val="158"/>
              <w:rPr>
                <w:color w:val="auto"/>
              </w:rPr>
            </w:pPr>
          </w:p>
        </w:tc>
        <w:tc>
          <w:tcPr>
            <w:tcW w:w="941" w:type="dxa"/>
            <w:vMerge w:val="continue"/>
            <w:tcBorders>
              <w:top w:val="nil"/>
              <w:bottom w:val="nil"/>
            </w:tcBorders>
            <w:vAlign w:val="top"/>
          </w:tcPr>
          <w:p w14:paraId="140DDCDB">
            <w:pPr>
              <w:pStyle w:val="158"/>
              <w:rPr>
                <w:color w:val="auto"/>
              </w:rPr>
            </w:pPr>
          </w:p>
        </w:tc>
        <w:tc>
          <w:tcPr>
            <w:tcW w:w="1291" w:type="dxa"/>
            <w:vMerge w:val="continue"/>
            <w:tcBorders>
              <w:top w:val="nil"/>
              <w:bottom w:val="nil"/>
            </w:tcBorders>
            <w:vAlign w:val="top"/>
          </w:tcPr>
          <w:p w14:paraId="2B568370">
            <w:pPr>
              <w:pStyle w:val="158"/>
              <w:rPr>
                <w:color w:val="auto"/>
              </w:rPr>
            </w:pPr>
          </w:p>
        </w:tc>
        <w:tc>
          <w:tcPr>
            <w:tcW w:w="1204" w:type="dxa"/>
            <w:vMerge w:val="continue"/>
            <w:tcBorders>
              <w:top w:val="nil"/>
              <w:bottom w:val="nil"/>
            </w:tcBorders>
            <w:vAlign w:val="top"/>
          </w:tcPr>
          <w:p w14:paraId="28E93BCE">
            <w:pPr>
              <w:pStyle w:val="158"/>
              <w:rPr>
                <w:color w:val="auto"/>
              </w:rPr>
            </w:pPr>
          </w:p>
        </w:tc>
      </w:tr>
      <w:tr w14:paraId="5AEFA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23" w:type="dxa"/>
            <w:vAlign w:val="top"/>
          </w:tcPr>
          <w:p w14:paraId="07E70181">
            <w:pPr>
              <w:spacing w:before="178" w:line="228" w:lineRule="auto"/>
              <w:ind w:left="19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罗城仫佬</w:t>
            </w:r>
          </w:p>
          <w:p w14:paraId="77C44A4A">
            <w:pPr>
              <w:spacing w:before="26" w:line="229" w:lineRule="auto"/>
              <w:ind w:left="19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族自治县</w:t>
            </w:r>
          </w:p>
        </w:tc>
        <w:tc>
          <w:tcPr>
            <w:tcW w:w="1106" w:type="dxa"/>
            <w:vAlign w:val="top"/>
          </w:tcPr>
          <w:p w14:paraId="4B081830">
            <w:pPr>
              <w:pStyle w:val="158"/>
              <w:spacing w:line="247" w:lineRule="auto"/>
              <w:rPr>
                <w:color w:val="auto"/>
              </w:rPr>
            </w:pPr>
          </w:p>
          <w:p w14:paraId="16116C18">
            <w:pPr>
              <w:spacing w:before="65" w:line="270" w:lineRule="exact"/>
              <w:ind w:left="414"/>
              <w:rPr>
                <w:rFonts w:ascii="宋体" w:hAnsi="宋体" w:eastAsia="宋体" w:cs="宋体"/>
                <w:color w:val="auto"/>
                <w:sz w:val="20"/>
                <w:szCs w:val="20"/>
              </w:rPr>
            </w:pPr>
            <w:r>
              <w:rPr>
                <w:rFonts w:ascii="宋体" w:hAnsi="宋体" w:eastAsia="宋体" w:cs="宋体"/>
                <w:color w:val="auto"/>
                <w:spacing w:val="-3"/>
                <w:position w:val="1"/>
                <w:sz w:val="20"/>
                <w:szCs w:val="20"/>
              </w:rPr>
              <w:t>115</w:t>
            </w:r>
          </w:p>
        </w:tc>
        <w:tc>
          <w:tcPr>
            <w:tcW w:w="992" w:type="dxa"/>
            <w:vAlign w:val="top"/>
          </w:tcPr>
          <w:p w14:paraId="5E4224E8">
            <w:pPr>
              <w:pStyle w:val="158"/>
              <w:spacing w:line="247" w:lineRule="auto"/>
              <w:rPr>
                <w:color w:val="auto"/>
              </w:rPr>
            </w:pPr>
          </w:p>
          <w:p w14:paraId="660A799E">
            <w:pPr>
              <w:spacing w:before="65" w:line="270" w:lineRule="exact"/>
              <w:ind w:left="359"/>
              <w:rPr>
                <w:rFonts w:hint="default" w:ascii="宋体" w:hAnsi="宋体" w:eastAsia="宋体" w:cs="宋体"/>
                <w:color w:val="auto"/>
                <w:sz w:val="20"/>
                <w:szCs w:val="20"/>
                <w:lang w:val="en-US" w:eastAsia="zh-CN"/>
              </w:rPr>
            </w:pPr>
            <w:r>
              <w:rPr>
                <w:rFonts w:ascii="宋体" w:hAnsi="宋体" w:eastAsia="宋体" w:cs="宋体"/>
                <w:color w:val="auto"/>
                <w:spacing w:val="-3"/>
                <w:position w:val="1"/>
                <w:sz w:val="20"/>
                <w:szCs w:val="20"/>
              </w:rPr>
              <w:t>1</w:t>
            </w:r>
            <w:r>
              <w:rPr>
                <w:rFonts w:hint="eastAsia" w:ascii="宋体" w:hAnsi="宋体" w:eastAsia="宋体" w:cs="宋体"/>
                <w:color w:val="auto"/>
                <w:spacing w:val="-3"/>
                <w:position w:val="1"/>
                <w:sz w:val="20"/>
                <w:szCs w:val="20"/>
                <w:lang w:val="en-US" w:eastAsia="zh-CN"/>
              </w:rPr>
              <w:t>41</w:t>
            </w:r>
          </w:p>
        </w:tc>
        <w:tc>
          <w:tcPr>
            <w:tcW w:w="980" w:type="dxa"/>
            <w:vAlign w:val="top"/>
          </w:tcPr>
          <w:p w14:paraId="01B05B46">
            <w:pPr>
              <w:pStyle w:val="158"/>
              <w:spacing w:line="247" w:lineRule="auto"/>
              <w:rPr>
                <w:color w:val="auto"/>
              </w:rPr>
            </w:pPr>
          </w:p>
          <w:p w14:paraId="10A8440F">
            <w:pPr>
              <w:spacing w:before="65" w:line="270" w:lineRule="exact"/>
              <w:ind w:left="301"/>
              <w:rPr>
                <w:rFonts w:hint="default" w:ascii="宋体" w:hAnsi="宋体" w:eastAsia="宋体" w:cs="宋体"/>
                <w:color w:val="auto"/>
                <w:sz w:val="20"/>
                <w:szCs w:val="20"/>
                <w:lang w:val="en-US" w:eastAsia="zh-CN"/>
              </w:rPr>
            </w:pPr>
            <w:r>
              <w:rPr>
                <w:rFonts w:ascii="宋体" w:hAnsi="宋体" w:eastAsia="宋体" w:cs="宋体"/>
                <w:color w:val="auto"/>
                <w:spacing w:val="-1"/>
                <w:position w:val="1"/>
                <w:sz w:val="20"/>
                <w:szCs w:val="20"/>
              </w:rPr>
              <w:t>12</w:t>
            </w:r>
            <w:r>
              <w:rPr>
                <w:rFonts w:hint="eastAsia" w:ascii="宋体" w:hAnsi="宋体" w:eastAsia="宋体" w:cs="宋体"/>
                <w:color w:val="auto"/>
                <w:spacing w:val="-1"/>
                <w:position w:val="1"/>
                <w:sz w:val="20"/>
                <w:szCs w:val="20"/>
                <w:lang w:val="en-US" w:eastAsia="zh-CN"/>
              </w:rPr>
              <w:t>18</w:t>
            </w:r>
          </w:p>
        </w:tc>
        <w:tc>
          <w:tcPr>
            <w:tcW w:w="1009" w:type="dxa"/>
            <w:vMerge w:val="continue"/>
            <w:tcBorders>
              <w:top w:val="nil"/>
              <w:bottom w:val="nil"/>
            </w:tcBorders>
            <w:vAlign w:val="top"/>
          </w:tcPr>
          <w:p w14:paraId="5C6417D8">
            <w:pPr>
              <w:pStyle w:val="158"/>
              <w:rPr>
                <w:color w:val="auto"/>
              </w:rPr>
            </w:pPr>
          </w:p>
        </w:tc>
        <w:tc>
          <w:tcPr>
            <w:tcW w:w="941" w:type="dxa"/>
            <w:vMerge w:val="continue"/>
            <w:tcBorders>
              <w:top w:val="nil"/>
              <w:bottom w:val="nil"/>
            </w:tcBorders>
            <w:vAlign w:val="top"/>
          </w:tcPr>
          <w:p w14:paraId="2FD99CD3">
            <w:pPr>
              <w:pStyle w:val="158"/>
              <w:rPr>
                <w:color w:val="auto"/>
              </w:rPr>
            </w:pPr>
          </w:p>
        </w:tc>
        <w:tc>
          <w:tcPr>
            <w:tcW w:w="1291" w:type="dxa"/>
            <w:vMerge w:val="continue"/>
            <w:tcBorders>
              <w:top w:val="nil"/>
              <w:bottom w:val="nil"/>
            </w:tcBorders>
            <w:vAlign w:val="top"/>
          </w:tcPr>
          <w:p w14:paraId="515BC831">
            <w:pPr>
              <w:pStyle w:val="158"/>
              <w:rPr>
                <w:color w:val="auto"/>
              </w:rPr>
            </w:pPr>
          </w:p>
        </w:tc>
        <w:tc>
          <w:tcPr>
            <w:tcW w:w="1204" w:type="dxa"/>
            <w:vMerge w:val="continue"/>
            <w:tcBorders>
              <w:top w:val="nil"/>
              <w:bottom w:val="nil"/>
            </w:tcBorders>
            <w:vAlign w:val="top"/>
          </w:tcPr>
          <w:p w14:paraId="1A6431AB">
            <w:pPr>
              <w:pStyle w:val="158"/>
              <w:rPr>
                <w:color w:val="auto"/>
              </w:rPr>
            </w:pPr>
          </w:p>
        </w:tc>
      </w:tr>
      <w:tr w14:paraId="4B244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223" w:type="dxa"/>
            <w:vAlign w:val="top"/>
          </w:tcPr>
          <w:p w14:paraId="019747B0">
            <w:pPr>
              <w:spacing w:before="177" w:line="231" w:lineRule="auto"/>
              <w:ind w:left="19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环江毛南</w:t>
            </w:r>
          </w:p>
          <w:p w14:paraId="22A54BF7">
            <w:pPr>
              <w:spacing w:before="23" w:line="229" w:lineRule="auto"/>
              <w:ind w:left="19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族自治县</w:t>
            </w:r>
          </w:p>
        </w:tc>
        <w:tc>
          <w:tcPr>
            <w:tcW w:w="1106" w:type="dxa"/>
            <w:vAlign w:val="top"/>
          </w:tcPr>
          <w:p w14:paraId="66B46445">
            <w:pPr>
              <w:pStyle w:val="158"/>
              <w:spacing w:line="247" w:lineRule="auto"/>
              <w:rPr>
                <w:color w:val="auto"/>
              </w:rPr>
            </w:pPr>
          </w:p>
          <w:p w14:paraId="2F251F52">
            <w:pPr>
              <w:spacing w:before="65" w:line="271" w:lineRule="exact"/>
              <w:ind w:left="414"/>
              <w:rPr>
                <w:rFonts w:ascii="宋体" w:hAnsi="宋体" w:eastAsia="宋体" w:cs="宋体"/>
                <w:color w:val="auto"/>
                <w:sz w:val="20"/>
                <w:szCs w:val="20"/>
              </w:rPr>
            </w:pPr>
            <w:r>
              <w:rPr>
                <w:rFonts w:ascii="宋体" w:hAnsi="宋体" w:eastAsia="宋体" w:cs="宋体"/>
                <w:color w:val="auto"/>
                <w:spacing w:val="-3"/>
                <w:position w:val="1"/>
                <w:sz w:val="20"/>
                <w:szCs w:val="20"/>
              </w:rPr>
              <w:t>141</w:t>
            </w:r>
          </w:p>
        </w:tc>
        <w:tc>
          <w:tcPr>
            <w:tcW w:w="992" w:type="dxa"/>
            <w:vAlign w:val="top"/>
          </w:tcPr>
          <w:p w14:paraId="7F17BCAC">
            <w:pPr>
              <w:pStyle w:val="158"/>
              <w:spacing w:line="247" w:lineRule="auto"/>
              <w:rPr>
                <w:color w:val="auto"/>
              </w:rPr>
            </w:pPr>
          </w:p>
          <w:p w14:paraId="0B0D6867">
            <w:pPr>
              <w:spacing w:before="65" w:line="271" w:lineRule="exact"/>
              <w:ind w:left="346"/>
              <w:rPr>
                <w:rFonts w:hint="default" w:ascii="宋体" w:hAnsi="宋体" w:eastAsia="宋体" w:cs="宋体"/>
                <w:color w:val="auto"/>
                <w:sz w:val="20"/>
                <w:szCs w:val="20"/>
                <w:lang w:val="en-US" w:eastAsia="zh-CN"/>
              </w:rPr>
            </w:pPr>
            <w:r>
              <w:rPr>
                <w:rFonts w:ascii="宋体" w:hAnsi="宋体" w:eastAsia="宋体" w:cs="宋体"/>
                <w:color w:val="auto"/>
                <w:spacing w:val="1"/>
                <w:position w:val="1"/>
                <w:sz w:val="20"/>
                <w:szCs w:val="20"/>
              </w:rPr>
              <w:t>2</w:t>
            </w:r>
            <w:r>
              <w:rPr>
                <w:rFonts w:hint="eastAsia" w:ascii="宋体" w:hAnsi="宋体" w:eastAsia="宋体" w:cs="宋体"/>
                <w:color w:val="auto"/>
                <w:spacing w:val="1"/>
                <w:position w:val="1"/>
                <w:sz w:val="20"/>
                <w:szCs w:val="20"/>
                <w:lang w:val="en-US" w:eastAsia="zh-CN"/>
              </w:rPr>
              <w:t>21</w:t>
            </w:r>
          </w:p>
        </w:tc>
        <w:tc>
          <w:tcPr>
            <w:tcW w:w="980" w:type="dxa"/>
            <w:vAlign w:val="top"/>
          </w:tcPr>
          <w:p w14:paraId="560537E3">
            <w:pPr>
              <w:pStyle w:val="158"/>
              <w:spacing w:line="247" w:lineRule="auto"/>
              <w:rPr>
                <w:color w:val="auto"/>
              </w:rPr>
            </w:pPr>
          </w:p>
          <w:p w14:paraId="4616A4CC">
            <w:pPr>
              <w:spacing w:before="65" w:line="270" w:lineRule="exact"/>
              <w:ind w:left="301"/>
              <w:rPr>
                <w:rFonts w:hint="default" w:ascii="宋体" w:hAnsi="宋体" w:eastAsia="宋体" w:cs="宋体"/>
                <w:color w:val="auto"/>
                <w:sz w:val="20"/>
                <w:szCs w:val="20"/>
                <w:lang w:val="en-US" w:eastAsia="zh-CN"/>
              </w:rPr>
            </w:pPr>
            <w:r>
              <w:rPr>
                <w:rFonts w:ascii="宋体" w:hAnsi="宋体" w:eastAsia="宋体" w:cs="宋体"/>
                <w:color w:val="auto"/>
                <w:spacing w:val="-1"/>
                <w:position w:val="1"/>
                <w:sz w:val="20"/>
                <w:szCs w:val="20"/>
              </w:rPr>
              <w:t>12</w:t>
            </w:r>
            <w:r>
              <w:rPr>
                <w:rFonts w:hint="eastAsia" w:ascii="宋体" w:hAnsi="宋体" w:eastAsia="宋体" w:cs="宋体"/>
                <w:color w:val="auto"/>
                <w:spacing w:val="-1"/>
                <w:position w:val="1"/>
                <w:sz w:val="20"/>
                <w:szCs w:val="20"/>
                <w:lang w:val="en-US" w:eastAsia="zh-CN"/>
              </w:rPr>
              <w:t>95</w:t>
            </w:r>
          </w:p>
        </w:tc>
        <w:tc>
          <w:tcPr>
            <w:tcW w:w="1009" w:type="dxa"/>
            <w:vMerge w:val="continue"/>
            <w:tcBorders>
              <w:top w:val="nil"/>
              <w:bottom w:val="nil"/>
            </w:tcBorders>
            <w:vAlign w:val="top"/>
          </w:tcPr>
          <w:p w14:paraId="1F5776C3">
            <w:pPr>
              <w:pStyle w:val="158"/>
              <w:rPr>
                <w:color w:val="auto"/>
              </w:rPr>
            </w:pPr>
          </w:p>
        </w:tc>
        <w:tc>
          <w:tcPr>
            <w:tcW w:w="941" w:type="dxa"/>
            <w:vMerge w:val="continue"/>
            <w:tcBorders>
              <w:top w:val="nil"/>
              <w:bottom w:val="nil"/>
            </w:tcBorders>
            <w:vAlign w:val="top"/>
          </w:tcPr>
          <w:p w14:paraId="6DE81240">
            <w:pPr>
              <w:pStyle w:val="158"/>
              <w:rPr>
                <w:color w:val="auto"/>
              </w:rPr>
            </w:pPr>
          </w:p>
        </w:tc>
        <w:tc>
          <w:tcPr>
            <w:tcW w:w="1291" w:type="dxa"/>
            <w:vMerge w:val="continue"/>
            <w:tcBorders>
              <w:top w:val="nil"/>
              <w:bottom w:val="nil"/>
            </w:tcBorders>
            <w:vAlign w:val="top"/>
          </w:tcPr>
          <w:p w14:paraId="145DD42E">
            <w:pPr>
              <w:pStyle w:val="158"/>
              <w:rPr>
                <w:color w:val="auto"/>
              </w:rPr>
            </w:pPr>
          </w:p>
        </w:tc>
        <w:tc>
          <w:tcPr>
            <w:tcW w:w="1204" w:type="dxa"/>
            <w:vMerge w:val="continue"/>
            <w:tcBorders>
              <w:top w:val="nil"/>
              <w:bottom w:val="nil"/>
            </w:tcBorders>
            <w:vAlign w:val="top"/>
          </w:tcPr>
          <w:p w14:paraId="4677D329">
            <w:pPr>
              <w:pStyle w:val="158"/>
              <w:rPr>
                <w:color w:val="auto"/>
              </w:rPr>
            </w:pPr>
          </w:p>
        </w:tc>
      </w:tr>
      <w:tr w14:paraId="3857E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23" w:type="dxa"/>
            <w:vAlign w:val="top"/>
          </w:tcPr>
          <w:p w14:paraId="1E028A1D">
            <w:pPr>
              <w:pStyle w:val="158"/>
              <w:spacing w:line="248" w:lineRule="auto"/>
              <w:rPr>
                <w:color w:val="auto"/>
              </w:rPr>
            </w:pPr>
          </w:p>
          <w:p w14:paraId="50350B8E">
            <w:pPr>
              <w:spacing w:before="65" w:line="230" w:lineRule="auto"/>
              <w:ind w:left="304"/>
              <w:rPr>
                <w:rFonts w:ascii="宋体" w:hAnsi="宋体" w:eastAsia="宋体" w:cs="宋体"/>
                <w:color w:val="auto"/>
                <w:sz w:val="20"/>
                <w:szCs w:val="20"/>
              </w:rPr>
            </w:pPr>
            <w:r>
              <w:rPr>
                <w:rFonts w:ascii="宋体" w:hAnsi="宋体" w:eastAsia="宋体" w:cs="宋体"/>
                <w:color w:val="auto"/>
                <w:spacing w:val="6"/>
                <w:sz w:val="20"/>
                <w:szCs w:val="20"/>
              </w:rPr>
              <w:t>南丹县</w:t>
            </w:r>
          </w:p>
        </w:tc>
        <w:tc>
          <w:tcPr>
            <w:tcW w:w="1106" w:type="dxa"/>
            <w:vAlign w:val="top"/>
          </w:tcPr>
          <w:p w14:paraId="4F67C20B">
            <w:pPr>
              <w:pStyle w:val="158"/>
              <w:spacing w:line="248" w:lineRule="auto"/>
              <w:rPr>
                <w:color w:val="auto"/>
              </w:rPr>
            </w:pPr>
          </w:p>
          <w:p w14:paraId="06119CFC">
            <w:pPr>
              <w:spacing w:before="65" w:line="269" w:lineRule="exact"/>
              <w:ind w:left="401"/>
              <w:rPr>
                <w:rFonts w:ascii="宋体" w:hAnsi="宋体" w:eastAsia="宋体" w:cs="宋体"/>
                <w:color w:val="auto"/>
                <w:sz w:val="20"/>
                <w:szCs w:val="20"/>
              </w:rPr>
            </w:pPr>
            <w:r>
              <w:rPr>
                <w:rFonts w:ascii="宋体" w:hAnsi="宋体" w:eastAsia="宋体" w:cs="宋体"/>
                <w:color w:val="auto"/>
                <w:spacing w:val="1"/>
                <w:position w:val="1"/>
                <w:sz w:val="20"/>
                <w:szCs w:val="20"/>
              </w:rPr>
              <w:t>200</w:t>
            </w:r>
          </w:p>
        </w:tc>
        <w:tc>
          <w:tcPr>
            <w:tcW w:w="992" w:type="dxa"/>
            <w:vAlign w:val="top"/>
          </w:tcPr>
          <w:p w14:paraId="3D087F8A">
            <w:pPr>
              <w:pStyle w:val="158"/>
              <w:spacing w:line="248" w:lineRule="auto"/>
              <w:rPr>
                <w:color w:val="auto"/>
              </w:rPr>
            </w:pPr>
          </w:p>
          <w:p w14:paraId="7E95FD01">
            <w:pPr>
              <w:spacing w:before="65" w:line="269" w:lineRule="exact"/>
              <w:ind w:left="359"/>
              <w:rPr>
                <w:rFonts w:ascii="宋体" w:hAnsi="宋体" w:eastAsia="宋体" w:cs="宋体"/>
                <w:color w:val="auto"/>
                <w:sz w:val="20"/>
                <w:szCs w:val="20"/>
              </w:rPr>
            </w:pPr>
            <w:r>
              <w:rPr>
                <w:rFonts w:ascii="宋体" w:hAnsi="宋体" w:eastAsia="宋体" w:cs="宋体"/>
                <w:color w:val="auto"/>
                <w:spacing w:val="-3"/>
                <w:position w:val="1"/>
                <w:sz w:val="20"/>
                <w:szCs w:val="20"/>
              </w:rPr>
              <w:t>139</w:t>
            </w:r>
          </w:p>
        </w:tc>
        <w:tc>
          <w:tcPr>
            <w:tcW w:w="980" w:type="dxa"/>
            <w:vAlign w:val="top"/>
          </w:tcPr>
          <w:p w14:paraId="2F451E05">
            <w:pPr>
              <w:pStyle w:val="158"/>
              <w:spacing w:line="248" w:lineRule="auto"/>
              <w:rPr>
                <w:color w:val="auto"/>
              </w:rPr>
            </w:pPr>
          </w:p>
          <w:p w14:paraId="2BDEF262">
            <w:pPr>
              <w:spacing w:before="65" w:line="269" w:lineRule="exact"/>
              <w:ind w:left="339"/>
              <w:rPr>
                <w:rFonts w:hint="default" w:ascii="宋体" w:hAnsi="宋体" w:eastAsia="宋体" w:cs="宋体"/>
                <w:color w:val="auto"/>
                <w:sz w:val="20"/>
                <w:szCs w:val="20"/>
                <w:lang w:val="en-US" w:eastAsia="zh-CN"/>
              </w:rPr>
            </w:pPr>
            <w:r>
              <w:rPr>
                <w:rFonts w:hint="eastAsia" w:ascii="宋体" w:hAnsi="宋体" w:eastAsia="宋体" w:cs="宋体"/>
                <w:color w:val="auto"/>
                <w:spacing w:val="2"/>
                <w:position w:val="1"/>
                <w:sz w:val="20"/>
                <w:szCs w:val="20"/>
                <w:lang w:val="en-US" w:eastAsia="zh-CN"/>
              </w:rPr>
              <w:t>1033</w:t>
            </w:r>
          </w:p>
        </w:tc>
        <w:tc>
          <w:tcPr>
            <w:tcW w:w="1009" w:type="dxa"/>
            <w:vMerge w:val="continue"/>
            <w:tcBorders>
              <w:top w:val="nil"/>
              <w:bottom w:val="nil"/>
            </w:tcBorders>
            <w:vAlign w:val="top"/>
          </w:tcPr>
          <w:p w14:paraId="61E6D535">
            <w:pPr>
              <w:pStyle w:val="158"/>
              <w:rPr>
                <w:color w:val="auto"/>
              </w:rPr>
            </w:pPr>
          </w:p>
        </w:tc>
        <w:tc>
          <w:tcPr>
            <w:tcW w:w="941" w:type="dxa"/>
            <w:vMerge w:val="continue"/>
            <w:tcBorders>
              <w:top w:val="nil"/>
              <w:bottom w:val="nil"/>
            </w:tcBorders>
            <w:vAlign w:val="top"/>
          </w:tcPr>
          <w:p w14:paraId="4F45FD66">
            <w:pPr>
              <w:pStyle w:val="158"/>
              <w:rPr>
                <w:color w:val="auto"/>
              </w:rPr>
            </w:pPr>
          </w:p>
        </w:tc>
        <w:tc>
          <w:tcPr>
            <w:tcW w:w="1291" w:type="dxa"/>
            <w:vMerge w:val="continue"/>
            <w:tcBorders>
              <w:top w:val="nil"/>
              <w:bottom w:val="nil"/>
            </w:tcBorders>
            <w:vAlign w:val="top"/>
          </w:tcPr>
          <w:p w14:paraId="24F6A764">
            <w:pPr>
              <w:pStyle w:val="158"/>
              <w:rPr>
                <w:color w:val="auto"/>
              </w:rPr>
            </w:pPr>
          </w:p>
        </w:tc>
        <w:tc>
          <w:tcPr>
            <w:tcW w:w="1204" w:type="dxa"/>
            <w:vMerge w:val="continue"/>
            <w:tcBorders>
              <w:top w:val="nil"/>
              <w:bottom w:val="nil"/>
            </w:tcBorders>
            <w:vAlign w:val="top"/>
          </w:tcPr>
          <w:p w14:paraId="2A97E32A">
            <w:pPr>
              <w:pStyle w:val="158"/>
              <w:rPr>
                <w:color w:val="auto"/>
              </w:rPr>
            </w:pPr>
          </w:p>
        </w:tc>
      </w:tr>
      <w:tr w14:paraId="2642F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23" w:type="dxa"/>
            <w:vAlign w:val="top"/>
          </w:tcPr>
          <w:p w14:paraId="38EEFD6C">
            <w:pPr>
              <w:pStyle w:val="158"/>
              <w:spacing w:line="248" w:lineRule="auto"/>
              <w:rPr>
                <w:color w:val="auto"/>
              </w:rPr>
            </w:pPr>
          </w:p>
          <w:p w14:paraId="63C74A2C">
            <w:pPr>
              <w:spacing w:before="65" w:line="229" w:lineRule="auto"/>
              <w:ind w:left="306"/>
              <w:rPr>
                <w:rFonts w:ascii="宋体" w:hAnsi="宋体" w:eastAsia="宋体" w:cs="宋体"/>
                <w:color w:val="auto"/>
                <w:sz w:val="20"/>
                <w:szCs w:val="20"/>
              </w:rPr>
            </w:pPr>
            <w:r>
              <w:rPr>
                <w:rFonts w:ascii="宋体" w:hAnsi="宋体" w:eastAsia="宋体" w:cs="宋体"/>
                <w:color w:val="auto"/>
                <w:spacing w:val="5"/>
                <w:sz w:val="20"/>
                <w:szCs w:val="20"/>
              </w:rPr>
              <w:t>天峨县</w:t>
            </w:r>
          </w:p>
        </w:tc>
        <w:tc>
          <w:tcPr>
            <w:tcW w:w="1106" w:type="dxa"/>
            <w:vAlign w:val="top"/>
          </w:tcPr>
          <w:p w14:paraId="28973FFE">
            <w:pPr>
              <w:pStyle w:val="158"/>
              <w:spacing w:line="248" w:lineRule="auto"/>
              <w:rPr>
                <w:color w:val="auto"/>
              </w:rPr>
            </w:pPr>
          </w:p>
          <w:p w14:paraId="6BE19327">
            <w:pPr>
              <w:spacing w:before="65" w:line="269" w:lineRule="exact"/>
              <w:ind w:left="414"/>
              <w:rPr>
                <w:rFonts w:ascii="宋体" w:hAnsi="宋体" w:eastAsia="宋体" w:cs="宋体"/>
                <w:color w:val="auto"/>
                <w:sz w:val="20"/>
                <w:szCs w:val="20"/>
              </w:rPr>
            </w:pPr>
            <w:r>
              <w:rPr>
                <w:rFonts w:ascii="宋体" w:hAnsi="宋体" w:eastAsia="宋体" w:cs="宋体"/>
                <w:color w:val="auto"/>
                <w:spacing w:val="-3"/>
                <w:position w:val="1"/>
                <w:sz w:val="20"/>
                <w:szCs w:val="20"/>
              </w:rPr>
              <w:t>123</w:t>
            </w:r>
          </w:p>
        </w:tc>
        <w:tc>
          <w:tcPr>
            <w:tcW w:w="992" w:type="dxa"/>
            <w:vAlign w:val="top"/>
          </w:tcPr>
          <w:p w14:paraId="365AE638">
            <w:pPr>
              <w:pStyle w:val="158"/>
              <w:spacing w:line="248" w:lineRule="auto"/>
              <w:rPr>
                <w:color w:val="auto"/>
              </w:rPr>
            </w:pPr>
          </w:p>
          <w:p w14:paraId="59D53542">
            <w:pPr>
              <w:spacing w:before="65" w:line="269" w:lineRule="exact"/>
              <w:ind w:left="359"/>
              <w:rPr>
                <w:rFonts w:hint="eastAsia" w:ascii="宋体" w:hAnsi="宋体" w:eastAsia="宋体" w:cs="宋体"/>
                <w:color w:val="auto"/>
                <w:sz w:val="20"/>
                <w:szCs w:val="20"/>
                <w:lang w:eastAsia="zh-CN"/>
              </w:rPr>
            </w:pPr>
            <w:r>
              <w:rPr>
                <w:rFonts w:ascii="宋体" w:hAnsi="宋体" w:eastAsia="宋体" w:cs="宋体"/>
                <w:color w:val="auto"/>
                <w:spacing w:val="-3"/>
                <w:position w:val="1"/>
                <w:sz w:val="20"/>
                <w:szCs w:val="20"/>
              </w:rPr>
              <w:t>19</w:t>
            </w:r>
            <w:r>
              <w:rPr>
                <w:rFonts w:hint="eastAsia" w:ascii="宋体" w:hAnsi="宋体" w:eastAsia="宋体" w:cs="宋体"/>
                <w:color w:val="auto"/>
                <w:spacing w:val="-3"/>
                <w:position w:val="1"/>
                <w:sz w:val="20"/>
                <w:szCs w:val="20"/>
                <w:lang w:val="en-US" w:eastAsia="zh-CN"/>
              </w:rPr>
              <w:t>8</w:t>
            </w:r>
          </w:p>
        </w:tc>
        <w:tc>
          <w:tcPr>
            <w:tcW w:w="980" w:type="dxa"/>
            <w:vAlign w:val="top"/>
          </w:tcPr>
          <w:p w14:paraId="52C9724E">
            <w:pPr>
              <w:pStyle w:val="158"/>
              <w:spacing w:line="248" w:lineRule="auto"/>
              <w:rPr>
                <w:color w:val="auto"/>
              </w:rPr>
            </w:pPr>
          </w:p>
          <w:p w14:paraId="0F281FFC">
            <w:pPr>
              <w:spacing w:before="65" w:line="269" w:lineRule="exact"/>
              <w:ind w:left="301"/>
              <w:rPr>
                <w:rFonts w:hint="default" w:ascii="宋体" w:hAnsi="宋体" w:eastAsia="宋体" w:cs="宋体"/>
                <w:color w:val="auto"/>
                <w:sz w:val="20"/>
                <w:szCs w:val="20"/>
                <w:lang w:val="en-US" w:eastAsia="zh-CN"/>
              </w:rPr>
            </w:pPr>
            <w:r>
              <w:rPr>
                <w:rFonts w:hint="eastAsia" w:ascii="宋体" w:hAnsi="宋体" w:eastAsia="宋体" w:cs="宋体"/>
                <w:color w:val="auto"/>
                <w:spacing w:val="-1"/>
                <w:position w:val="1"/>
                <w:sz w:val="20"/>
                <w:szCs w:val="20"/>
                <w:lang w:val="en-US" w:eastAsia="zh-CN"/>
              </w:rPr>
              <w:t>2059</w:t>
            </w:r>
          </w:p>
        </w:tc>
        <w:tc>
          <w:tcPr>
            <w:tcW w:w="1009" w:type="dxa"/>
            <w:vMerge w:val="continue"/>
            <w:tcBorders>
              <w:top w:val="nil"/>
              <w:bottom w:val="nil"/>
            </w:tcBorders>
            <w:vAlign w:val="top"/>
          </w:tcPr>
          <w:p w14:paraId="4A41C0C4">
            <w:pPr>
              <w:pStyle w:val="158"/>
              <w:rPr>
                <w:color w:val="auto"/>
              </w:rPr>
            </w:pPr>
          </w:p>
        </w:tc>
        <w:tc>
          <w:tcPr>
            <w:tcW w:w="941" w:type="dxa"/>
            <w:vMerge w:val="continue"/>
            <w:tcBorders>
              <w:top w:val="nil"/>
              <w:bottom w:val="nil"/>
            </w:tcBorders>
            <w:vAlign w:val="top"/>
          </w:tcPr>
          <w:p w14:paraId="43FFFC65">
            <w:pPr>
              <w:pStyle w:val="158"/>
              <w:rPr>
                <w:color w:val="auto"/>
              </w:rPr>
            </w:pPr>
          </w:p>
        </w:tc>
        <w:tc>
          <w:tcPr>
            <w:tcW w:w="1291" w:type="dxa"/>
            <w:vMerge w:val="continue"/>
            <w:tcBorders>
              <w:top w:val="nil"/>
              <w:bottom w:val="nil"/>
            </w:tcBorders>
            <w:vAlign w:val="top"/>
          </w:tcPr>
          <w:p w14:paraId="55D0A66E">
            <w:pPr>
              <w:pStyle w:val="158"/>
              <w:rPr>
                <w:color w:val="auto"/>
              </w:rPr>
            </w:pPr>
          </w:p>
        </w:tc>
        <w:tc>
          <w:tcPr>
            <w:tcW w:w="1204" w:type="dxa"/>
            <w:vMerge w:val="continue"/>
            <w:tcBorders>
              <w:top w:val="nil"/>
              <w:bottom w:val="nil"/>
            </w:tcBorders>
            <w:vAlign w:val="top"/>
          </w:tcPr>
          <w:p w14:paraId="70DBC8B7">
            <w:pPr>
              <w:pStyle w:val="158"/>
              <w:rPr>
                <w:color w:val="auto"/>
              </w:rPr>
            </w:pPr>
          </w:p>
        </w:tc>
      </w:tr>
      <w:tr w14:paraId="62336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23" w:type="dxa"/>
            <w:vAlign w:val="top"/>
          </w:tcPr>
          <w:p w14:paraId="2FD21B05">
            <w:pPr>
              <w:pStyle w:val="158"/>
              <w:spacing w:line="248" w:lineRule="auto"/>
              <w:rPr>
                <w:color w:val="auto"/>
              </w:rPr>
            </w:pPr>
          </w:p>
          <w:p w14:paraId="561D8AAD">
            <w:pPr>
              <w:spacing w:before="65" w:line="232" w:lineRule="auto"/>
              <w:ind w:left="302"/>
              <w:rPr>
                <w:rFonts w:ascii="宋体" w:hAnsi="宋体" w:eastAsia="宋体" w:cs="宋体"/>
                <w:color w:val="auto"/>
                <w:sz w:val="20"/>
                <w:szCs w:val="20"/>
              </w:rPr>
            </w:pPr>
            <w:r>
              <w:rPr>
                <w:rFonts w:ascii="宋体" w:hAnsi="宋体" w:eastAsia="宋体" w:cs="宋体"/>
                <w:color w:val="auto"/>
                <w:spacing w:val="6"/>
                <w:sz w:val="20"/>
                <w:szCs w:val="20"/>
              </w:rPr>
              <w:t>凤山县</w:t>
            </w:r>
          </w:p>
        </w:tc>
        <w:tc>
          <w:tcPr>
            <w:tcW w:w="1106" w:type="dxa"/>
            <w:vAlign w:val="top"/>
          </w:tcPr>
          <w:p w14:paraId="70A0215C">
            <w:pPr>
              <w:pStyle w:val="158"/>
              <w:spacing w:line="248" w:lineRule="auto"/>
              <w:rPr>
                <w:color w:val="auto"/>
              </w:rPr>
            </w:pPr>
          </w:p>
          <w:p w14:paraId="5D39A23B">
            <w:pPr>
              <w:spacing w:before="65" w:line="269" w:lineRule="exact"/>
              <w:ind w:left="414"/>
              <w:rPr>
                <w:rFonts w:ascii="宋体" w:hAnsi="宋体" w:eastAsia="宋体" w:cs="宋体"/>
                <w:color w:val="auto"/>
                <w:sz w:val="20"/>
                <w:szCs w:val="20"/>
              </w:rPr>
            </w:pPr>
            <w:r>
              <w:rPr>
                <w:rFonts w:ascii="宋体" w:hAnsi="宋体" w:eastAsia="宋体" w:cs="宋体"/>
                <w:color w:val="auto"/>
                <w:spacing w:val="-3"/>
                <w:position w:val="1"/>
                <w:sz w:val="20"/>
                <w:szCs w:val="20"/>
              </w:rPr>
              <w:t>171</w:t>
            </w:r>
          </w:p>
        </w:tc>
        <w:tc>
          <w:tcPr>
            <w:tcW w:w="992" w:type="dxa"/>
            <w:vAlign w:val="top"/>
          </w:tcPr>
          <w:p w14:paraId="677CE3C0">
            <w:pPr>
              <w:pStyle w:val="158"/>
              <w:spacing w:line="248" w:lineRule="auto"/>
              <w:rPr>
                <w:color w:val="auto"/>
              </w:rPr>
            </w:pPr>
          </w:p>
          <w:p w14:paraId="7B692BBD">
            <w:pPr>
              <w:spacing w:before="65" w:line="269" w:lineRule="exact"/>
              <w:ind w:left="348"/>
              <w:rPr>
                <w:rFonts w:ascii="宋体" w:hAnsi="宋体" w:eastAsia="宋体" w:cs="宋体"/>
                <w:color w:val="auto"/>
                <w:sz w:val="20"/>
                <w:szCs w:val="20"/>
              </w:rPr>
            </w:pPr>
            <w:r>
              <w:rPr>
                <w:rFonts w:ascii="宋体" w:hAnsi="宋体" w:eastAsia="宋体" w:cs="宋体"/>
                <w:color w:val="auto"/>
                <w:spacing w:val="1"/>
                <w:position w:val="1"/>
                <w:sz w:val="20"/>
                <w:szCs w:val="20"/>
              </w:rPr>
              <w:t>330</w:t>
            </w:r>
          </w:p>
        </w:tc>
        <w:tc>
          <w:tcPr>
            <w:tcW w:w="980" w:type="dxa"/>
            <w:vAlign w:val="top"/>
          </w:tcPr>
          <w:p w14:paraId="4EF8C65C">
            <w:pPr>
              <w:pStyle w:val="158"/>
              <w:spacing w:line="248" w:lineRule="auto"/>
              <w:rPr>
                <w:color w:val="auto"/>
              </w:rPr>
            </w:pPr>
          </w:p>
          <w:p w14:paraId="39333850">
            <w:pPr>
              <w:spacing w:before="65" w:line="269" w:lineRule="exact"/>
              <w:ind w:left="301"/>
              <w:rPr>
                <w:rFonts w:hint="default" w:ascii="宋体" w:hAnsi="宋体" w:eastAsia="宋体" w:cs="宋体"/>
                <w:color w:val="auto"/>
                <w:sz w:val="20"/>
                <w:szCs w:val="20"/>
                <w:lang w:val="en-US" w:eastAsia="zh-CN"/>
              </w:rPr>
            </w:pPr>
            <w:r>
              <w:rPr>
                <w:rFonts w:ascii="宋体" w:hAnsi="宋体" w:eastAsia="宋体" w:cs="宋体"/>
                <w:color w:val="auto"/>
                <w:spacing w:val="-1"/>
                <w:position w:val="1"/>
                <w:sz w:val="20"/>
                <w:szCs w:val="20"/>
              </w:rPr>
              <w:t>1</w:t>
            </w:r>
            <w:r>
              <w:rPr>
                <w:rFonts w:hint="eastAsia" w:ascii="宋体" w:hAnsi="宋体" w:eastAsia="宋体" w:cs="宋体"/>
                <w:color w:val="auto"/>
                <w:spacing w:val="-1"/>
                <w:position w:val="1"/>
                <w:sz w:val="20"/>
                <w:szCs w:val="20"/>
                <w:lang w:val="en-US" w:eastAsia="zh-CN"/>
              </w:rPr>
              <w:t>589</w:t>
            </w:r>
          </w:p>
        </w:tc>
        <w:tc>
          <w:tcPr>
            <w:tcW w:w="1009" w:type="dxa"/>
            <w:vMerge w:val="continue"/>
            <w:tcBorders>
              <w:top w:val="nil"/>
              <w:bottom w:val="nil"/>
            </w:tcBorders>
            <w:vAlign w:val="top"/>
          </w:tcPr>
          <w:p w14:paraId="4DB38CF2">
            <w:pPr>
              <w:pStyle w:val="158"/>
              <w:rPr>
                <w:color w:val="auto"/>
              </w:rPr>
            </w:pPr>
          </w:p>
        </w:tc>
        <w:tc>
          <w:tcPr>
            <w:tcW w:w="941" w:type="dxa"/>
            <w:vMerge w:val="continue"/>
            <w:tcBorders>
              <w:top w:val="nil"/>
              <w:bottom w:val="nil"/>
            </w:tcBorders>
            <w:vAlign w:val="top"/>
          </w:tcPr>
          <w:p w14:paraId="46860FC8">
            <w:pPr>
              <w:pStyle w:val="158"/>
              <w:rPr>
                <w:color w:val="auto"/>
              </w:rPr>
            </w:pPr>
          </w:p>
        </w:tc>
        <w:tc>
          <w:tcPr>
            <w:tcW w:w="1291" w:type="dxa"/>
            <w:vMerge w:val="continue"/>
            <w:tcBorders>
              <w:top w:val="nil"/>
              <w:bottom w:val="nil"/>
            </w:tcBorders>
            <w:vAlign w:val="top"/>
          </w:tcPr>
          <w:p w14:paraId="3FB726FA">
            <w:pPr>
              <w:pStyle w:val="158"/>
              <w:rPr>
                <w:color w:val="auto"/>
              </w:rPr>
            </w:pPr>
          </w:p>
        </w:tc>
        <w:tc>
          <w:tcPr>
            <w:tcW w:w="1204" w:type="dxa"/>
            <w:vMerge w:val="continue"/>
            <w:tcBorders>
              <w:top w:val="nil"/>
              <w:bottom w:val="nil"/>
            </w:tcBorders>
            <w:vAlign w:val="top"/>
          </w:tcPr>
          <w:p w14:paraId="15D8DD38">
            <w:pPr>
              <w:pStyle w:val="158"/>
              <w:rPr>
                <w:color w:val="auto"/>
              </w:rPr>
            </w:pPr>
          </w:p>
        </w:tc>
      </w:tr>
      <w:tr w14:paraId="2FF08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223" w:type="dxa"/>
            <w:vAlign w:val="top"/>
          </w:tcPr>
          <w:p w14:paraId="6C208DB2">
            <w:pPr>
              <w:pStyle w:val="158"/>
              <w:spacing w:line="248" w:lineRule="auto"/>
              <w:rPr>
                <w:color w:val="auto"/>
              </w:rPr>
            </w:pPr>
          </w:p>
          <w:p w14:paraId="1803688C">
            <w:pPr>
              <w:spacing w:before="65" w:line="228" w:lineRule="auto"/>
              <w:ind w:left="309"/>
              <w:rPr>
                <w:rFonts w:ascii="宋体" w:hAnsi="宋体" w:eastAsia="宋体" w:cs="宋体"/>
                <w:color w:val="auto"/>
                <w:sz w:val="20"/>
                <w:szCs w:val="20"/>
              </w:rPr>
            </w:pPr>
            <w:r>
              <w:rPr>
                <w:rFonts w:ascii="宋体" w:hAnsi="宋体" w:eastAsia="宋体" w:cs="宋体"/>
                <w:color w:val="auto"/>
                <w:spacing w:val="4"/>
                <w:sz w:val="20"/>
                <w:szCs w:val="20"/>
              </w:rPr>
              <w:t>东兰县</w:t>
            </w:r>
          </w:p>
        </w:tc>
        <w:tc>
          <w:tcPr>
            <w:tcW w:w="1106" w:type="dxa"/>
            <w:vAlign w:val="top"/>
          </w:tcPr>
          <w:p w14:paraId="092E17AD">
            <w:pPr>
              <w:pStyle w:val="158"/>
              <w:spacing w:line="247" w:lineRule="auto"/>
              <w:rPr>
                <w:color w:val="auto"/>
              </w:rPr>
            </w:pPr>
          </w:p>
          <w:p w14:paraId="7397B260">
            <w:pPr>
              <w:spacing w:before="65" w:line="270" w:lineRule="exact"/>
              <w:ind w:left="401"/>
              <w:rPr>
                <w:rFonts w:ascii="宋体" w:hAnsi="宋体" w:eastAsia="宋体" w:cs="宋体"/>
                <w:color w:val="auto"/>
                <w:sz w:val="20"/>
                <w:szCs w:val="20"/>
              </w:rPr>
            </w:pPr>
            <w:r>
              <w:rPr>
                <w:rFonts w:ascii="宋体" w:hAnsi="宋体" w:eastAsia="宋体" w:cs="宋体"/>
                <w:color w:val="auto"/>
                <w:spacing w:val="1"/>
                <w:position w:val="1"/>
                <w:sz w:val="20"/>
                <w:szCs w:val="20"/>
              </w:rPr>
              <w:t>228</w:t>
            </w:r>
          </w:p>
        </w:tc>
        <w:tc>
          <w:tcPr>
            <w:tcW w:w="992" w:type="dxa"/>
            <w:vAlign w:val="top"/>
          </w:tcPr>
          <w:p w14:paraId="734D1203">
            <w:pPr>
              <w:pStyle w:val="158"/>
              <w:spacing w:line="247" w:lineRule="auto"/>
              <w:rPr>
                <w:color w:val="auto"/>
              </w:rPr>
            </w:pPr>
          </w:p>
          <w:p w14:paraId="4EA217AA">
            <w:pPr>
              <w:spacing w:before="65" w:line="270" w:lineRule="exact"/>
              <w:ind w:left="345"/>
              <w:rPr>
                <w:rFonts w:hint="eastAsia" w:ascii="宋体" w:hAnsi="宋体" w:eastAsia="宋体" w:cs="宋体"/>
                <w:color w:val="auto"/>
                <w:sz w:val="20"/>
                <w:szCs w:val="20"/>
                <w:lang w:eastAsia="zh-CN"/>
              </w:rPr>
            </w:pPr>
            <w:r>
              <w:rPr>
                <w:rFonts w:ascii="宋体" w:hAnsi="宋体" w:eastAsia="宋体" w:cs="宋体"/>
                <w:color w:val="auto"/>
                <w:spacing w:val="1"/>
                <w:position w:val="1"/>
                <w:sz w:val="20"/>
                <w:szCs w:val="20"/>
              </w:rPr>
              <w:t>61</w:t>
            </w:r>
            <w:r>
              <w:rPr>
                <w:rFonts w:hint="eastAsia" w:ascii="宋体" w:hAnsi="宋体" w:eastAsia="宋体" w:cs="宋体"/>
                <w:color w:val="auto"/>
                <w:spacing w:val="1"/>
                <w:position w:val="1"/>
                <w:sz w:val="20"/>
                <w:szCs w:val="20"/>
                <w:lang w:val="en-US" w:eastAsia="zh-CN"/>
              </w:rPr>
              <w:t>2</w:t>
            </w:r>
          </w:p>
        </w:tc>
        <w:tc>
          <w:tcPr>
            <w:tcW w:w="980" w:type="dxa"/>
            <w:vAlign w:val="top"/>
          </w:tcPr>
          <w:p w14:paraId="64EE66EC">
            <w:pPr>
              <w:pStyle w:val="158"/>
              <w:spacing w:line="247" w:lineRule="auto"/>
              <w:rPr>
                <w:color w:val="auto"/>
              </w:rPr>
            </w:pPr>
          </w:p>
          <w:p w14:paraId="4D669403">
            <w:pPr>
              <w:spacing w:before="65" w:line="270" w:lineRule="exact"/>
              <w:ind w:left="301"/>
              <w:rPr>
                <w:rFonts w:hint="default" w:ascii="宋体" w:hAnsi="宋体" w:eastAsia="宋体" w:cs="宋体"/>
                <w:color w:val="auto"/>
                <w:sz w:val="20"/>
                <w:szCs w:val="20"/>
                <w:lang w:val="en-US" w:eastAsia="zh-CN"/>
              </w:rPr>
            </w:pPr>
            <w:r>
              <w:rPr>
                <w:rFonts w:ascii="宋体" w:hAnsi="宋体" w:eastAsia="宋体" w:cs="宋体"/>
                <w:color w:val="auto"/>
                <w:spacing w:val="-1"/>
                <w:position w:val="1"/>
                <w:sz w:val="20"/>
                <w:szCs w:val="20"/>
              </w:rPr>
              <w:t>12</w:t>
            </w:r>
            <w:r>
              <w:rPr>
                <w:rFonts w:hint="eastAsia" w:ascii="宋体" w:hAnsi="宋体" w:eastAsia="宋体" w:cs="宋体"/>
                <w:color w:val="auto"/>
                <w:spacing w:val="-1"/>
                <w:position w:val="1"/>
                <w:sz w:val="20"/>
                <w:szCs w:val="20"/>
                <w:lang w:val="en-US" w:eastAsia="zh-CN"/>
              </w:rPr>
              <w:t>98</w:t>
            </w:r>
          </w:p>
        </w:tc>
        <w:tc>
          <w:tcPr>
            <w:tcW w:w="1009" w:type="dxa"/>
            <w:vMerge w:val="continue"/>
            <w:tcBorders>
              <w:top w:val="nil"/>
              <w:bottom w:val="nil"/>
            </w:tcBorders>
            <w:vAlign w:val="top"/>
          </w:tcPr>
          <w:p w14:paraId="0B2056C6">
            <w:pPr>
              <w:pStyle w:val="158"/>
              <w:rPr>
                <w:color w:val="auto"/>
              </w:rPr>
            </w:pPr>
          </w:p>
        </w:tc>
        <w:tc>
          <w:tcPr>
            <w:tcW w:w="941" w:type="dxa"/>
            <w:vMerge w:val="continue"/>
            <w:tcBorders>
              <w:top w:val="nil"/>
              <w:bottom w:val="nil"/>
            </w:tcBorders>
            <w:vAlign w:val="top"/>
          </w:tcPr>
          <w:p w14:paraId="76522DE9">
            <w:pPr>
              <w:pStyle w:val="158"/>
              <w:rPr>
                <w:color w:val="auto"/>
              </w:rPr>
            </w:pPr>
          </w:p>
        </w:tc>
        <w:tc>
          <w:tcPr>
            <w:tcW w:w="1291" w:type="dxa"/>
            <w:vMerge w:val="continue"/>
            <w:tcBorders>
              <w:top w:val="nil"/>
              <w:bottom w:val="nil"/>
            </w:tcBorders>
            <w:vAlign w:val="top"/>
          </w:tcPr>
          <w:p w14:paraId="2BE84199">
            <w:pPr>
              <w:pStyle w:val="158"/>
              <w:rPr>
                <w:color w:val="auto"/>
              </w:rPr>
            </w:pPr>
          </w:p>
        </w:tc>
        <w:tc>
          <w:tcPr>
            <w:tcW w:w="1204" w:type="dxa"/>
            <w:vMerge w:val="continue"/>
            <w:tcBorders>
              <w:top w:val="nil"/>
              <w:bottom w:val="nil"/>
            </w:tcBorders>
            <w:vAlign w:val="top"/>
          </w:tcPr>
          <w:p w14:paraId="6BF87A4D">
            <w:pPr>
              <w:pStyle w:val="158"/>
              <w:rPr>
                <w:color w:val="auto"/>
              </w:rPr>
            </w:pPr>
          </w:p>
        </w:tc>
      </w:tr>
      <w:tr w14:paraId="4A5CF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223" w:type="dxa"/>
            <w:vAlign w:val="top"/>
          </w:tcPr>
          <w:p w14:paraId="31818BCB">
            <w:pPr>
              <w:spacing w:before="201" w:line="229" w:lineRule="auto"/>
              <w:ind w:left="218"/>
              <w:rPr>
                <w:rFonts w:ascii="宋体" w:hAnsi="宋体" w:eastAsia="宋体" w:cs="宋体"/>
                <w:color w:val="auto"/>
                <w:sz w:val="20"/>
                <w:szCs w:val="20"/>
              </w:rPr>
            </w:pPr>
            <w:r>
              <w:rPr>
                <w:rFonts w:ascii="宋体" w:hAnsi="宋体" w:eastAsia="宋体" w:cs="宋体"/>
                <w:color w:val="auto"/>
                <w:spacing w:val="1"/>
                <w:sz w:val="20"/>
                <w:szCs w:val="20"/>
              </w:rPr>
              <w:t>巴马瑶族</w:t>
            </w:r>
          </w:p>
          <w:p w14:paraId="359B4B1C">
            <w:pPr>
              <w:spacing w:before="23" w:line="229" w:lineRule="auto"/>
              <w:ind w:left="336"/>
              <w:rPr>
                <w:rFonts w:ascii="宋体" w:hAnsi="宋体" w:eastAsia="宋体" w:cs="宋体"/>
                <w:color w:val="auto"/>
                <w:sz w:val="20"/>
                <w:szCs w:val="20"/>
              </w:rPr>
            </w:pPr>
            <w:r>
              <w:rPr>
                <w:rFonts w:ascii="宋体" w:hAnsi="宋体" w:eastAsia="宋体" w:cs="宋体"/>
                <w:color w:val="auto"/>
                <w:spacing w:val="-5"/>
                <w:sz w:val="20"/>
                <w:szCs w:val="20"/>
              </w:rPr>
              <w:t>自治县</w:t>
            </w:r>
          </w:p>
        </w:tc>
        <w:tc>
          <w:tcPr>
            <w:tcW w:w="1106" w:type="dxa"/>
            <w:vAlign w:val="top"/>
          </w:tcPr>
          <w:p w14:paraId="76557210">
            <w:pPr>
              <w:pStyle w:val="158"/>
              <w:spacing w:line="269" w:lineRule="auto"/>
              <w:rPr>
                <w:color w:val="auto"/>
              </w:rPr>
            </w:pPr>
          </w:p>
          <w:p w14:paraId="456B22F4">
            <w:pPr>
              <w:spacing w:before="65" w:line="269" w:lineRule="exact"/>
              <w:ind w:left="414"/>
              <w:rPr>
                <w:rFonts w:ascii="宋体" w:hAnsi="宋体" w:eastAsia="宋体" w:cs="宋体"/>
                <w:color w:val="auto"/>
                <w:sz w:val="20"/>
                <w:szCs w:val="20"/>
              </w:rPr>
            </w:pPr>
            <w:r>
              <w:rPr>
                <w:rFonts w:ascii="宋体" w:hAnsi="宋体" w:eastAsia="宋体" w:cs="宋体"/>
                <w:color w:val="auto"/>
                <w:spacing w:val="-3"/>
                <w:position w:val="1"/>
                <w:sz w:val="20"/>
                <w:szCs w:val="20"/>
              </w:rPr>
              <w:t>156</w:t>
            </w:r>
          </w:p>
        </w:tc>
        <w:tc>
          <w:tcPr>
            <w:tcW w:w="992" w:type="dxa"/>
            <w:vAlign w:val="top"/>
          </w:tcPr>
          <w:p w14:paraId="15B2DB84">
            <w:pPr>
              <w:pStyle w:val="158"/>
              <w:spacing w:line="269" w:lineRule="auto"/>
              <w:rPr>
                <w:color w:val="auto"/>
              </w:rPr>
            </w:pPr>
          </w:p>
          <w:p w14:paraId="70E0F224">
            <w:pPr>
              <w:spacing w:before="65" w:line="269" w:lineRule="exact"/>
              <w:ind w:left="348"/>
              <w:rPr>
                <w:rFonts w:ascii="宋体" w:hAnsi="宋体" w:eastAsia="宋体" w:cs="宋体"/>
                <w:color w:val="auto"/>
                <w:sz w:val="20"/>
                <w:szCs w:val="20"/>
              </w:rPr>
            </w:pPr>
            <w:r>
              <w:rPr>
                <w:rFonts w:ascii="宋体" w:hAnsi="宋体" w:eastAsia="宋体" w:cs="宋体"/>
                <w:color w:val="auto"/>
                <w:spacing w:val="1"/>
                <w:position w:val="1"/>
                <w:sz w:val="20"/>
                <w:szCs w:val="20"/>
              </w:rPr>
              <w:t>543</w:t>
            </w:r>
          </w:p>
        </w:tc>
        <w:tc>
          <w:tcPr>
            <w:tcW w:w="980" w:type="dxa"/>
            <w:vAlign w:val="top"/>
          </w:tcPr>
          <w:p w14:paraId="07F4D522">
            <w:pPr>
              <w:pStyle w:val="158"/>
              <w:spacing w:line="269" w:lineRule="auto"/>
              <w:rPr>
                <w:color w:val="auto"/>
              </w:rPr>
            </w:pPr>
          </w:p>
          <w:p w14:paraId="6953E3B3">
            <w:pPr>
              <w:spacing w:before="65" w:line="269" w:lineRule="exact"/>
              <w:ind w:left="342"/>
              <w:rPr>
                <w:rFonts w:hint="default" w:ascii="宋体" w:hAnsi="宋体" w:eastAsia="宋体" w:cs="宋体"/>
                <w:color w:val="auto"/>
                <w:sz w:val="20"/>
                <w:szCs w:val="20"/>
                <w:lang w:val="en-US" w:eastAsia="zh-CN"/>
              </w:rPr>
            </w:pPr>
            <w:r>
              <w:rPr>
                <w:rFonts w:ascii="宋体" w:hAnsi="宋体" w:eastAsia="宋体" w:cs="宋体"/>
                <w:color w:val="auto"/>
                <w:spacing w:val="1"/>
                <w:position w:val="1"/>
                <w:sz w:val="20"/>
                <w:szCs w:val="20"/>
              </w:rPr>
              <w:t>3</w:t>
            </w:r>
            <w:r>
              <w:rPr>
                <w:rFonts w:hint="eastAsia" w:ascii="宋体" w:hAnsi="宋体" w:eastAsia="宋体" w:cs="宋体"/>
                <w:color w:val="auto"/>
                <w:spacing w:val="1"/>
                <w:position w:val="1"/>
                <w:sz w:val="20"/>
                <w:szCs w:val="20"/>
                <w:lang w:val="en-US" w:eastAsia="zh-CN"/>
              </w:rPr>
              <w:t>70</w:t>
            </w:r>
          </w:p>
        </w:tc>
        <w:tc>
          <w:tcPr>
            <w:tcW w:w="1009" w:type="dxa"/>
            <w:vMerge w:val="continue"/>
            <w:tcBorders>
              <w:top w:val="nil"/>
              <w:bottom w:val="nil"/>
            </w:tcBorders>
            <w:vAlign w:val="top"/>
          </w:tcPr>
          <w:p w14:paraId="32A5EB60">
            <w:pPr>
              <w:pStyle w:val="158"/>
              <w:rPr>
                <w:color w:val="auto"/>
              </w:rPr>
            </w:pPr>
          </w:p>
        </w:tc>
        <w:tc>
          <w:tcPr>
            <w:tcW w:w="941" w:type="dxa"/>
            <w:vMerge w:val="continue"/>
            <w:tcBorders>
              <w:top w:val="nil"/>
              <w:bottom w:val="nil"/>
            </w:tcBorders>
            <w:vAlign w:val="top"/>
          </w:tcPr>
          <w:p w14:paraId="33585BF3">
            <w:pPr>
              <w:pStyle w:val="158"/>
              <w:rPr>
                <w:color w:val="auto"/>
              </w:rPr>
            </w:pPr>
          </w:p>
        </w:tc>
        <w:tc>
          <w:tcPr>
            <w:tcW w:w="1291" w:type="dxa"/>
            <w:vMerge w:val="continue"/>
            <w:tcBorders>
              <w:top w:val="nil"/>
              <w:bottom w:val="nil"/>
            </w:tcBorders>
            <w:vAlign w:val="top"/>
          </w:tcPr>
          <w:p w14:paraId="0967F288">
            <w:pPr>
              <w:pStyle w:val="158"/>
              <w:rPr>
                <w:color w:val="auto"/>
              </w:rPr>
            </w:pPr>
          </w:p>
        </w:tc>
        <w:tc>
          <w:tcPr>
            <w:tcW w:w="1204" w:type="dxa"/>
            <w:vMerge w:val="continue"/>
            <w:tcBorders>
              <w:top w:val="nil"/>
              <w:bottom w:val="nil"/>
            </w:tcBorders>
            <w:vAlign w:val="top"/>
          </w:tcPr>
          <w:p w14:paraId="3D4295EA">
            <w:pPr>
              <w:pStyle w:val="158"/>
              <w:rPr>
                <w:color w:val="auto"/>
              </w:rPr>
            </w:pPr>
          </w:p>
        </w:tc>
      </w:tr>
      <w:tr w14:paraId="4062E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223" w:type="dxa"/>
            <w:vAlign w:val="top"/>
          </w:tcPr>
          <w:p w14:paraId="2C0F8097">
            <w:pPr>
              <w:spacing w:before="202" w:line="228" w:lineRule="auto"/>
              <w:ind w:left="199"/>
              <w:rPr>
                <w:rFonts w:ascii="宋体" w:hAnsi="宋体" w:eastAsia="宋体" w:cs="宋体"/>
                <w:color w:val="auto"/>
                <w:sz w:val="20"/>
                <w:szCs w:val="20"/>
              </w:rPr>
            </w:pPr>
            <w:r>
              <w:rPr>
                <w:rFonts w:ascii="宋体" w:hAnsi="宋体" w:eastAsia="宋体" w:cs="宋体"/>
                <w:color w:val="auto"/>
                <w:spacing w:val="6"/>
                <w:sz w:val="20"/>
                <w:szCs w:val="20"/>
              </w:rPr>
              <w:t>都安瑶族</w:t>
            </w:r>
          </w:p>
          <w:p w14:paraId="6C0C118D">
            <w:pPr>
              <w:spacing w:before="23" w:line="229" w:lineRule="auto"/>
              <w:ind w:left="336"/>
              <w:rPr>
                <w:rFonts w:ascii="宋体" w:hAnsi="宋体" w:eastAsia="宋体" w:cs="宋体"/>
                <w:color w:val="auto"/>
                <w:sz w:val="20"/>
                <w:szCs w:val="20"/>
              </w:rPr>
            </w:pPr>
            <w:r>
              <w:rPr>
                <w:rFonts w:ascii="宋体" w:hAnsi="宋体" w:eastAsia="宋体" w:cs="宋体"/>
                <w:color w:val="auto"/>
                <w:spacing w:val="-5"/>
                <w:sz w:val="20"/>
                <w:szCs w:val="20"/>
              </w:rPr>
              <w:t>自治县</w:t>
            </w:r>
          </w:p>
        </w:tc>
        <w:tc>
          <w:tcPr>
            <w:tcW w:w="1106" w:type="dxa"/>
            <w:vAlign w:val="top"/>
          </w:tcPr>
          <w:p w14:paraId="2322E6B4">
            <w:pPr>
              <w:pStyle w:val="158"/>
              <w:spacing w:line="270" w:lineRule="auto"/>
              <w:rPr>
                <w:color w:val="auto"/>
              </w:rPr>
            </w:pPr>
          </w:p>
          <w:p w14:paraId="6049EF0E">
            <w:pPr>
              <w:spacing w:before="65" w:line="269" w:lineRule="exact"/>
              <w:ind w:left="403"/>
              <w:rPr>
                <w:rFonts w:ascii="宋体" w:hAnsi="宋体" w:eastAsia="宋体" w:cs="宋体"/>
                <w:color w:val="auto"/>
                <w:sz w:val="20"/>
                <w:szCs w:val="20"/>
              </w:rPr>
            </w:pPr>
            <w:r>
              <w:rPr>
                <w:rFonts w:ascii="宋体" w:hAnsi="宋体" w:eastAsia="宋体" w:cs="宋体"/>
                <w:color w:val="auto"/>
                <w:spacing w:val="1"/>
                <w:position w:val="1"/>
                <w:sz w:val="20"/>
                <w:szCs w:val="20"/>
              </w:rPr>
              <w:t>387</w:t>
            </w:r>
          </w:p>
        </w:tc>
        <w:tc>
          <w:tcPr>
            <w:tcW w:w="992" w:type="dxa"/>
            <w:vAlign w:val="top"/>
          </w:tcPr>
          <w:p w14:paraId="108190FD">
            <w:pPr>
              <w:pStyle w:val="158"/>
              <w:spacing w:line="270" w:lineRule="auto"/>
              <w:rPr>
                <w:color w:val="auto"/>
              </w:rPr>
            </w:pPr>
          </w:p>
          <w:p w14:paraId="32EC0AC2">
            <w:pPr>
              <w:spacing w:before="65" w:line="269" w:lineRule="exact"/>
              <w:ind w:left="346"/>
              <w:rPr>
                <w:rFonts w:ascii="宋体" w:hAnsi="宋体" w:eastAsia="宋体" w:cs="宋体"/>
                <w:color w:val="auto"/>
                <w:sz w:val="20"/>
                <w:szCs w:val="20"/>
              </w:rPr>
            </w:pPr>
            <w:r>
              <w:rPr>
                <w:rFonts w:ascii="宋体" w:hAnsi="宋体" w:eastAsia="宋体" w:cs="宋体"/>
                <w:color w:val="auto"/>
                <w:spacing w:val="1"/>
                <w:position w:val="1"/>
                <w:sz w:val="20"/>
                <w:szCs w:val="20"/>
              </w:rPr>
              <w:t>236</w:t>
            </w:r>
          </w:p>
        </w:tc>
        <w:tc>
          <w:tcPr>
            <w:tcW w:w="980" w:type="dxa"/>
            <w:vAlign w:val="top"/>
          </w:tcPr>
          <w:p w14:paraId="570C11B0">
            <w:pPr>
              <w:pStyle w:val="158"/>
              <w:spacing w:line="270" w:lineRule="auto"/>
              <w:rPr>
                <w:color w:val="auto"/>
              </w:rPr>
            </w:pPr>
          </w:p>
          <w:p w14:paraId="2C68232F">
            <w:pPr>
              <w:spacing w:before="65" w:line="269" w:lineRule="exact"/>
              <w:ind w:left="289"/>
              <w:rPr>
                <w:rFonts w:hint="default" w:ascii="宋体" w:hAnsi="宋体" w:eastAsia="宋体" w:cs="宋体"/>
                <w:color w:val="auto"/>
                <w:sz w:val="20"/>
                <w:szCs w:val="20"/>
                <w:lang w:val="en-US" w:eastAsia="zh-CN"/>
              </w:rPr>
            </w:pPr>
            <w:r>
              <w:rPr>
                <w:rFonts w:ascii="宋体" w:hAnsi="宋体" w:eastAsia="宋体" w:cs="宋体"/>
                <w:color w:val="auto"/>
                <w:spacing w:val="2"/>
                <w:position w:val="1"/>
                <w:sz w:val="20"/>
                <w:szCs w:val="20"/>
              </w:rPr>
              <w:t>30</w:t>
            </w:r>
            <w:r>
              <w:rPr>
                <w:rFonts w:hint="eastAsia" w:ascii="宋体" w:hAnsi="宋体" w:eastAsia="宋体" w:cs="宋体"/>
                <w:color w:val="auto"/>
                <w:spacing w:val="2"/>
                <w:position w:val="1"/>
                <w:sz w:val="20"/>
                <w:szCs w:val="20"/>
                <w:lang w:val="en-US" w:eastAsia="zh-CN"/>
              </w:rPr>
              <w:t>79</w:t>
            </w:r>
          </w:p>
        </w:tc>
        <w:tc>
          <w:tcPr>
            <w:tcW w:w="1009" w:type="dxa"/>
            <w:vMerge w:val="continue"/>
            <w:tcBorders>
              <w:top w:val="nil"/>
              <w:bottom w:val="nil"/>
            </w:tcBorders>
            <w:vAlign w:val="top"/>
          </w:tcPr>
          <w:p w14:paraId="1E5C25AE">
            <w:pPr>
              <w:pStyle w:val="158"/>
              <w:rPr>
                <w:color w:val="auto"/>
              </w:rPr>
            </w:pPr>
          </w:p>
        </w:tc>
        <w:tc>
          <w:tcPr>
            <w:tcW w:w="941" w:type="dxa"/>
            <w:vMerge w:val="continue"/>
            <w:tcBorders>
              <w:top w:val="nil"/>
              <w:bottom w:val="nil"/>
            </w:tcBorders>
            <w:vAlign w:val="top"/>
          </w:tcPr>
          <w:p w14:paraId="3F4DAA5D">
            <w:pPr>
              <w:pStyle w:val="158"/>
              <w:rPr>
                <w:color w:val="auto"/>
              </w:rPr>
            </w:pPr>
          </w:p>
        </w:tc>
        <w:tc>
          <w:tcPr>
            <w:tcW w:w="1291" w:type="dxa"/>
            <w:vMerge w:val="continue"/>
            <w:tcBorders>
              <w:top w:val="nil"/>
              <w:bottom w:val="nil"/>
            </w:tcBorders>
            <w:vAlign w:val="top"/>
          </w:tcPr>
          <w:p w14:paraId="207F9E99">
            <w:pPr>
              <w:pStyle w:val="158"/>
              <w:rPr>
                <w:color w:val="auto"/>
              </w:rPr>
            </w:pPr>
          </w:p>
        </w:tc>
        <w:tc>
          <w:tcPr>
            <w:tcW w:w="1204" w:type="dxa"/>
            <w:vMerge w:val="continue"/>
            <w:tcBorders>
              <w:top w:val="nil"/>
              <w:bottom w:val="nil"/>
            </w:tcBorders>
            <w:vAlign w:val="top"/>
          </w:tcPr>
          <w:p w14:paraId="429D2D7B">
            <w:pPr>
              <w:pStyle w:val="158"/>
              <w:rPr>
                <w:color w:val="auto"/>
              </w:rPr>
            </w:pPr>
          </w:p>
        </w:tc>
      </w:tr>
      <w:tr w14:paraId="038B5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223" w:type="dxa"/>
            <w:vAlign w:val="top"/>
          </w:tcPr>
          <w:p w14:paraId="6CC28771">
            <w:pPr>
              <w:spacing w:before="201" w:line="229" w:lineRule="auto"/>
              <w:ind w:left="0" w:right="0" w:firstLine="0"/>
              <w:jc w:val="center"/>
              <w:rPr>
                <w:rFonts w:ascii="宋体" w:hAnsi="宋体" w:eastAsia="宋体" w:cs="宋体"/>
                <w:color w:val="auto"/>
                <w:spacing w:val="1"/>
                <w:sz w:val="20"/>
                <w:szCs w:val="20"/>
              </w:rPr>
            </w:pPr>
            <w:r>
              <w:rPr>
                <w:rFonts w:ascii="宋体" w:hAnsi="宋体" w:eastAsia="宋体" w:cs="宋体"/>
                <w:color w:val="auto"/>
                <w:spacing w:val="1"/>
                <w:sz w:val="20"/>
                <w:szCs w:val="20"/>
              </w:rPr>
              <w:t>大化瑶族自</w:t>
            </w:r>
          </w:p>
          <w:p w14:paraId="31AD1FAD">
            <w:pPr>
              <w:spacing w:before="201" w:line="229" w:lineRule="auto"/>
              <w:ind w:left="0" w:right="0" w:firstLine="0"/>
              <w:jc w:val="center"/>
              <w:rPr>
                <w:rFonts w:ascii="宋体" w:hAnsi="宋体" w:eastAsia="宋体" w:cs="宋体"/>
                <w:color w:val="auto"/>
                <w:sz w:val="20"/>
                <w:szCs w:val="20"/>
              </w:rPr>
            </w:pPr>
            <w:r>
              <w:rPr>
                <w:rFonts w:ascii="宋体" w:hAnsi="宋体" w:eastAsia="宋体" w:cs="宋体"/>
                <w:color w:val="auto"/>
                <w:spacing w:val="1"/>
                <w:sz w:val="20"/>
                <w:szCs w:val="20"/>
              </w:rPr>
              <w:t>治县</w:t>
            </w:r>
          </w:p>
        </w:tc>
        <w:tc>
          <w:tcPr>
            <w:tcW w:w="1106" w:type="dxa"/>
            <w:vAlign w:val="top"/>
          </w:tcPr>
          <w:p w14:paraId="4F92C868">
            <w:pPr>
              <w:pStyle w:val="158"/>
              <w:spacing w:line="280" w:lineRule="auto"/>
              <w:rPr>
                <w:color w:val="auto"/>
              </w:rPr>
            </w:pPr>
          </w:p>
          <w:p w14:paraId="722211AE">
            <w:pPr>
              <w:spacing w:before="65" w:line="270" w:lineRule="exact"/>
              <w:ind w:left="403"/>
              <w:rPr>
                <w:rFonts w:ascii="宋体" w:hAnsi="宋体" w:eastAsia="宋体" w:cs="宋体"/>
                <w:color w:val="auto"/>
                <w:sz w:val="20"/>
                <w:szCs w:val="20"/>
              </w:rPr>
            </w:pPr>
            <w:r>
              <w:rPr>
                <w:rFonts w:ascii="宋体" w:hAnsi="宋体" w:eastAsia="宋体" w:cs="宋体"/>
                <w:color w:val="auto"/>
                <w:spacing w:val="1"/>
                <w:position w:val="1"/>
                <w:sz w:val="20"/>
                <w:szCs w:val="20"/>
              </w:rPr>
              <w:t>327</w:t>
            </w:r>
          </w:p>
        </w:tc>
        <w:tc>
          <w:tcPr>
            <w:tcW w:w="992" w:type="dxa"/>
            <w:vAlign w:val="top"/>
          </w:tcPr>
          <w:p w14:paraId="532D56AE">
            <w:pPr>
              <w:pStyle w:val="158"/>
              <w:spacing w:line="280" w:lineRule="auto"/>
              <w:rPr>
                <w:color w:val="auto"/>
              </w:rPr>
            </w:pPr>
          </w:p>
          <w:p w14:paraId="186999B4">
            <w:pPr>
              <w:spacing w:before="65" w:line="270" w:lineRule="exact"/>
              <w:ind w:left="401"/>
              <w:rPr>
                <w:rFonts w:hint="default" w:ascii="宋体" w:hAnsi="宋体" w:eastAsia="宋体" w:cs="宋体"/>
                <w:color w:val="auto"/>
                <w:sz w:val="20"/>
                <w:szCs w:val="20"/>
                <w:lang w:val="en-US" w:eastAsia="zh-CN"/>
              </w:rPr>
            </w:pPr>
            <w:r>
              <w:rPr>
                <w:rFonts w:hint="eastAsia" w:ascii="宋体" w:hAnsi="宋体" w:eastAsia="宋体" w:cs="宋体"/>
                <w:color w:val="auto"/>
                <w:spacing w:val="-2"/>
                <w:position w:val="1"/>
                <w:sz w:val="20"/>
                <w:szCs w:val="20"/>
                <w:lang w:val="en-US" w:eastAsia="zh-CN"/>
              </w:rPr>
              <w:t>86</w:t>
            </w:r>
          </w:p>
        </w:tc>
        <w:tc>
          <w:tcPr>
            <w:tcW w:w="980" w:type="dxa"/>
            <w:vAlign w:val="top"/>
          </w:tcPr>
          <w:p w14:paraId="30DE4315">
            <w:pPr>
              <w:pStyle w:val="158"/>
              <w:spacing w:line="280" w:lineRule="auto"/>
              <w:rPr>
                <w:color w:val="auto"/>
              </w:rPr>
            </w:pPr>
          </w:p>
          <w:p w14:paraId="25D25F30">
            <w:pPr>
              <w:spacing w:before="65" w:line="270" w:lineRule="exact"/>
              <w:ind w:left="301"/>
              <w:rPr>
                <w:rFonts w:hint="default" w:ascii="宋体" w:hAnsi="宋体" w:eastAsia="宋体" w:cs="宋体"/>
                <w:color w:val="auto"/>
                <w:sz w:val="20"/>
                <w:szCs w:val="20"/>
                <w:lang w:val="en-US" w:eastAsia="zh-CN"/>
              </w:rPr>
            </w:pPr>
            <w:r>
              <w:rPr>
                <w:rFonts w:ascii="宋体" w:hAnsi="宋体" w:eastAsia="宋体" w:cs="宋体"/>
                <w:color w:val="auto"/>
                <w:spacing w:val="-1"/>
                <w:position w:val="1"/>
                <w:sz w:val="20"/>
                <w:szCs w:val="20"/>
              </w:rPr>
              <w:t>1</w:t>
            </w:r>
            <w:r>
              <w:rPr>
                <w:rFonts w:hint="eastAsia" w:ascii="宋体" w:hAnsi="宋体" w:eastAsia="宋体" w:cs="宋体"/>
                <w:color w:val="auto"/>
                <w:spacing w:val="-1"/>
                <w:position w:val="1"/>
                <w:sz w:val="20"/>
                <w:szCs w:val="20"/>
                <w:lang w:val="en-US" w:eastAsia="zh-CN"/>
              </w:rPr>
              <w:t>575</w:t>
            </w:r>
          </w:p>
        </w:tc>
        <w:tc>
          <w:tcPr>
            <w:tcW w:w="1009" w:type="dxa"/>
            <w:vMerge w:val="continue"/>
            <w:tcBorders>
              <w:top w:val="nil"/>
            </w:tcBorders>
            <w:vAlign w:val="top"/>
          </w:tcPr>
          <w:p w14:paraId="23FC61B6">
            <w:pPr>
              <w:pStyle w:val="158"/>
              <w:rPr>
                <w:color w:val="auto"/>
              </w:rPr>
            </w:pPr>
          </w:p>
        </w:tc>
        <w:tc>
          <w:tcPr>
            <w:tcW w:w="941" w:type="dxa"/>
            <w:vMerge w:val="continue"/>
            <w:tcBorders>
              <w:top w:val="nil"/>
            </w:tcBorders>
            <w:vAlign w:val="top"/>
          </w:tcPr>
          <w:p w14:paraId="0E6B968C">
            <w:pPr>
              <w:pStyle w:val="158"/>
              <w:rPr>
                <w:color w:val="auto"/>
              </w:rPr>
            </w:pPr>
          </w:p>
        </w:tc>
        <w:tc>
          <w:tcPr>
            <w:tcW w:w="1291" w:type="dxa"/>
            <w:vMerge w:val="continue"/>
            <w:tcBorders>
              <w:top w:val="nil"/>
            </w:tcBorders>
            <w:vAlign w:val="top"/>
          </w:tcPr>
          <w:p w14:paraId="7ED043F4">
            <w:pPr>
              <w:pStyle w:val="158"/>
              <w:rPr>
                <w:color w:val="auto"/>
              </w:rPr>
            </w:pPr>
          </w:p>
        </w:tc>
        <w:tc>
          <w:tcPr>
            <w:tcW w:w="1204" w:type="dxa"/>
            <w:vMerge w:val="continue"/>
            <w:tcBorders>
              <w:top w:val="nil"/>
            </w:tcBorders>
            <w:vAlign w:val="top"/>
          </w:tcPr>
          <w:p w14:paraId="60BB008F">
            <w:pPr>
              <w:pStyle w:val="158"/>
              <w:rPr>
                <w:color w:val="auto"/>
              </w:rPr>
            </w:pPr>
          </w:p>
        </w:tc>
      </w:tr>
    </w:tbl>
    <w:p w14:paraId="3B47E91C">
      <w:pPr>
        <w:widowControl/>
        <w:jc w:val="left"/>
        <w:rPr>
          <w:rFonts w:hint="eastAsia" w:ascii="黑体" w:hAnsi="黑体" w:eastAsia="黑体" w:cs="黑体"/>
          <w:color w:val="auto"/>
          <w:sz w:val="32"/>
          <w:szCs w:val="32"/>
        </w:rPr>
      </w:pPr>
    </w:p>
    <w:p w14:paraId="0B4DF0BC">
      <w:pPr>
        <w:rPr>
          <w:rFonts w:ascii="宋体" w:hAnsi="宋体" w:eastAsia="宋体" w:cs="宋体"/>
          <w:b/>
          <w:bCs/>
          <w:color w:val="auto"/>
          <w:spacing w:val="-19"/>
          <w:sz w:val="28"/>
          <w:szCs w:val="28"/>
        </w:rPr>
      </w:pPr>
      <w:r>
        <w:rPr>
          <w:rFonts w:ascii="宋体" w:hAnsi="宋体" w:eastAsia="宋体" w:cs="宋体"/>
          <w:b/>
          <w:bCs/>
          <w:color w:val="auto"/>
          <w:spacing w:val="-19"/>
          <w:sz w:val="28"/>
          <w:szCs w:val="28"/>
        </w:rPr>
        <w:br w:type="page"/>
      </w:r>
    </w:p>
    <w:p w14:paraId="746E9921">
      <w:pPr>
        <w:spacing w:before="130" w:line="212" w:lineRule="auto"/>
        <w:rPr>
          <w:rFonts w:hint="eastAsia" w:ascii="宋体" w:hAnsi="宋体" w:eastAsia="宋体" w:cs="宋体"/>
          <w:b/>
          <w:bCs/>
          <w:color w:val="auto"/>
          <w:spacing w:val="-19"/>
          <w:sz w:val="28"/>
          <w:szCs w:val="28"/>
          <w:lang w:eastAsia="zh-CN"/>
        </w:rPr>
      </w:pPr>
      <w:r>
        <w:rPr>
          <w:rFonts w:ascii="宋体" w:hAnsi="宋体" w:eastAsia="宋体" w:cs="宋体"/>
          <w:b/>
          <w:bCs/>
          <w:color w:val="auto"/>
          <w:spacing w:val="-19"/>
          <w:sz w:val="28"/>
          <w:szCs w:val="28"/>
        </w:rPr>
        <w:t>附件1-1</w:t>
      </w:r>
      <w:r>
        <w:rPr>
          <w:rFonts w:hint="eastAsia" w:ascii="宋体" w:hAnsi="宋体" w:cs="宋体"/>
          <w:b/>
          <w:bCs/>
          <w:color w:val="auto"/>
          <w:spacing w:val="-19"/>
          <w:sz w:val="28"/>
          <w:szCs w:val="28"/>
          <w:lang w:eastAsia="zh-CN"/>
        </w:rPr>
        <w:t>：</w:t>
      </w:r>
    </w:p>
    <w:p w14:paraId="48BB9B0E">
      <w:pPr>
        <w:spacing w:line="428" w:lineRule="exact"/>
        <w:ind w:left="-69"/>
        <w:jc w:val="center"/>
        <w:rPr>
          <w:rFonts w:ascii="宋体" w:hAnsi="宋体"/>
          <w:b/>
          <w:color w:val="auto"/>
          <w:sz w:val="30"/>
          <w:szCs w:val="30"/>
        </w:rPr>
      </w:pPr>
      <w:r>
        <w:rPr>
          <w:rFonts w:hint="eastAsia" w:ascii="宋体" w:hAnsi="宋体"/>
          <w:b/>
          <w:color w:val="auto"/>
          <w:sz w:val="30"/>
          <w:szCs w:val="30"/>
        </w:rPr>
        <w:t>检测项目和内容及数量</w:t>
      </w:r>
    </w:p>
    <w:tbl>
      <w:tblPr>
        <w:tblStyle w:val="3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875"/>
        <w:gridCol w:w="2122"/>
        <w:gridCol w:w="996"/>
        <w:gridCol w:w="1393"/>
        <w:gridCol w:w="1396"/>
      </w:tblGrid>
      <w:tr w14:paraId="7986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06CB8CD3">
            <w:pPr>
              <w:widowControl/>
              <w:jc w:val="center"/>
              <w:rPr>
                <w:rFonts w:ascii="宋体" w:hAnsi="宋体" w:cs="宋体"/>
                <w:color w:val="auto"/>
                <w:szCs w:val="21"/>
              </w:rPr>
            </w:pPr>
            <w:r>
              <w:rPr>
                <w:rFonts w:hint="eastAsia" w:ascii="宋体" w:hAnsi="宋体" w:cs="宋体"/>
                <w:color w:val="auto"/>
                <w:szCs w:val="21"/>
              </w:rPr>
              <w:t>序号</w:t>
            </w:r>
          </w:p>
        </w:tc>
        <w:tc>
          <w:tcPr>
            <w:tcW w:w="1875" w:type="dxa"/>
            <w:vAlign w:val="center"/>
          </w:tcPr>
          <w:p w14:paraId="489FEA9A">
            <w:pPr>
              <w:widowControl/>
              <w:jc w:val="center"/>
              <w:rPr>
                <w:rFonts w:ascii="宋体" w:hAnsi="宋体" w:cs="宋体"/>
                <w:color w:val="auto"/>
                <w:szCs w:val="21"/>
              </w:rPr>
            </w:pPr>
            <w:r>
              <w:rPr>
                <w:rFonts w:hint="eastAsia" w:ascii="宋体" w:hAnsi="宋体" w:cs="宋体"/>
                <w:color w:val="auto"/>
                <w:szCs w:val="21"/>
              </w:rPr>
              <w:t>检测项目</w:t>
            </w:r>
          </w:p>
        </w:tc>
        <w:tc>
          <w:tcPr>
            <w:tcW w:w="2122" w:type="dxa"/>
            <w:vAlign w:val="center"/>
          </w:tcPr>
          <w:p w14:paraId="12C0C36B">
            <w:pPr>
              <w:widowControl/>
              <w:jc w:val="center"/>
              <w:rPr>
                <w:rFonts w:ascii="宋体" w:hAnsi="宋体" w:cs="宋体"/>
                <w:color w:val="auto"/>
                <w:szCs w:val="21"/>
              </w:rPr>
            </w:pPr>
            <w:r>
              <w:rPr>
                <w:rFonts w:hint="eastAsia" w:ascii="宋体" w:hAnsi="宋体" w:cs="宋体"/>
                <w:color w:val="auto"/>
                <w:szCs w:val="21"/>
              </w:rPr>
              <w:t>检测内容</w:t>
            </w:r>
          </w:p>
        </w:tc>
        <w:tc>
          <w:tcPr>
            <w:tcW w:w="996" w:type="dxa"/>
            <w:vAlign w:val="center"/>
          </w:tcPr>
          <w:p w14:paraId="72BF93E9">
            <w:pPr>
              <w:widowControl/>
              <w:jc w:val="center"/>
              <w:rPr>
                <w:rFonts w:ascii="宋体" w:hAnsi="宋体" w:cs="宋体"/>
                <w:color w:val="auto"/>
                <w:szCs w:val="21"/>
              </w:rPr>
            </w:pPr>
            <w:r>
              <w:rPr>
                <w:rFonts w:hint="eastAsia" w:ascii="宋体" w:hAnsi="宋体" w:cs="宋体"/>
                <w:color w:val="auto"/>
                <w:szCs w:val="21"/>
              </w:rPr>
              <w:t>单位</w:t>
            </w:r>
          </w:p>
        </w:tc>
        <w:tc>
          <w:tcPr>
            <w:tcW w:w="1393" w:type="dxa"/>
            <w:vAlign w:val="center"/>
          </w:tcPr>
          <w:p w14:paraId="63BF7A96">
            <w:pPr>
              <w:widowControl/>
              <w:jc w:val="center"/>
              <w:rPr>
                <w:rFonts w:ascii="宋体" w:hAnsi="宋体" w:cs="宋体"/>
                <w:color w:val="auto"/>
                <w:szCs w:val="21"/>
              </w:rPr>
            </w:pPr>
            <w:r>
              <w:rPr>
                <w:rFonts w:hint="eastAsia" w:ascii="宋体" w:hAnsi="宋体" w:cs="宋体"/>
                <w:color w:val="auto"/>
                <w:szCs w:val="21"/>
              </w:rPr>
              <w:t>数量</w:t>
            </w:r>
          </w:p>
        </w:tc>
        <w:tc>
          <w:tcPr>
            <w:tcW w:w="1396" w:type="dxa"/>
            <w:vAlign w:val="center"/>
          </w:tcPr>
          <w:p w14:paraId="642B8FCB">
            <w:pPr>
              <w:widowControl/>
              <w:jc w:val="center"/>
              <w:rPr>
                <w:rFonts w:ascii="宋体" w:hAnsi="宋体" w:cs="宋体"/>
                <w:color w:val="auto"/>
                <w:szCs w:val="21"/>
              </w:rPr>
            </w:pPr>
            <w:r>
              <w:rPr>
                <w:rFonts w:hint="eastAsia" w:ascii="宋体" w:hAnsi="宋体" w:cs="宋体"/>
                <w:color w:val="auto"/>
                <w:szCs w:val="21"/>
              </w:rPr>
              <w:t>抽查范围、抽查地点</w:t>
            </w:r>
          </w:p>
        </w:tc>
      </w:tr>
      <w:tr w14:paraId="17F1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2F773F97">
            <w:pPr>
              <w:adjustRightInd w:val="0"/>
              <w:snapToGrid w:val="0"/>
              <w:jc w:val="center"/>
              <w:rPr>
                <w:rFonts w:ascii="宋体" w:hAnsi="宋体" w:cs="宋体"/>
                <w:color w:val="auto"/>
                <w:szCs w:val="21"/>
              </w:rPr>
            </w:pPr>
            <w:r>
              <w:rPr>
                <w:rFonts w:hint="eastAsia" w:ascii="宋体" w:hAnsi="宋体" w:cs="宋体"/>
                <w:color w:val="auto"/>
                <w:szCs w:val="21"/>
              </w:rPr>
              <w:t>1</w:t>
            </w:r>
          </w:p>
        </w:tc>
        <w:tc>
          <w:tcPr>
            <w:tcW w:w="1875" w:type="dxa"/>
            <w:vAlign w:val="center"/>
          </w:tcPr>
          <w:p w14:paraId="38666E29">
            <w:pPr>
              <w:adjustRightInd w:val="0"/>
              <w:snapToGrid w:val="0"/>
              <w:jc w:val="center"/>
              <w:rPr>
                <w:rFonts w:ascii="宋体" w:hAnsi="宋体" w:cs="宋体"/>
                <w:color w:val="auto"/>
                <w:szCs w:val="21"/>
              </w:rPr>
            </w:pPr>
            <w:r>
              <w:rPr>
                <w:rFonts w:hint="eastAsia" w:ascii="宋体" w:hAnsi="宋体" w:cs="宋体"/>
                <w:color w:val="auto"/>
                <w:szCs w:val="21"/>
              </w:rPr>
              <w:t>路线长度</w:t>
            </w:r>
          </w:p>
        </w:tc>
        <w:tc>
          <w:tcPr>
            <w:tcW w:w="2122" w:type="dxa"/>
            <w:vAlign w:val="center"/>
          </w:tcPr>
          <w:p w14:paraId="5416527E">
            <w:pPr>
              <w:adjustRightInd w:val="0"/>
              <w:snapToGrid w:val="0"/>
              <w:jc w:val="center"/>
              <w:rPr>
                <w:rFonts w:ascii="宋体" w:hAnsi="宋体" w:cs="宋体"/>
                <w:color w:val="auto"/>
                <w:szCs w:val="21"/>
              </w:rPr>
            </w:pPr>
            <w:r>
              <w:rPr>
                <w:rFonts w:hint="eastAsia" w:ascii="宋体" w:hAnsi="宋体" w:cs="宋体"/>
                <w:color w:val="auto"/>
                <w:szCs w:val="21"/>
              </w:rPr>
              <w:t>路线长度</w:t>
            </w:r>
          </w:p>
        </w:tc>
        <w:tc>
          <w:tcPr>
            <w:tcW w:w="996" w:type="dxa"/>
            <w:vAlign w:val="center"/>
          </w:tcPr>
          <w:p w14:paraId="2FB7F63F">
            <w:pPr>
              <w:adjustRightInd w:val="0"/>
              <w:snapToGrid w:val="0"/>
              <w:jc w:val="center"/>
              <w:rPr>
                <w:rFonts w:ascii="宋体" w:hAnsi="宋体" w:cs="宋体"/>
                <w:color w:val="auto"/>
                <w:szCs w:val="21"/>
              </w:rPr>
            </w:pPr>
            <w:r>
              <w:rPr>
                <w:rFonts w:hint="eastAsia" w:ascii="宋体" w:hAnsi="宋体" w:cs="宋体"/>
                <w:color w:val="auto"/>
                <w:szCs w:val="21"/>
              </w:rPr>
              <w:t>Km</w:t>
            </w:r>
          </w:p>
        </w:tc>
        <w:tc>
          <w:tcPr>
            <w:tcW w:w="1393" w:type="dxa"/>
            <w:vAlign w:val="center"/>
          </w:tcPr>
          <w:p w14:paraId="7948F784">
            <w:pPr>
              <w:adjustRightInd w:val="0"/>
              <w:snapToGrid w:val="0"/>
              <w:jc w:val="center"/>
              <w:rPr>
                <w:rFonts w:ascii="宋体" w:hAnsi="宋体" w:cs="宋体"/>
                <w:color w:val="auto"/>
                <w:szCs w:val="21"/>
              </w:rPr>
            </w:pPr>
            <w:r>
              <w:rPr>
                <w:rFonts w:hint="eastAsia" w:ascii="宋体" w:hAnsi="宋体" w:cs="宋体"/>
                <w:color w:val="auto"/>
                <w:szCs w:val="21"/>
              </w:rPr>
              <w:t>每线路</w:t>
            </w:r>
          </w:p>
        </w:tc>
        <w:tc>
          <w:tcPr>
            <w:tcW w:w="1396" w:type="dxa"/>
            <w:vMerge w:val="restart"/>
            <w:vAlign w:val="center"/>
          </w:tcPr>
          <w:p w14:paraId="29FFED12">
            <w:pPr>
              <w:adjustRightInd w:val="0"/>
              <w:snapToGrid w:val="0"/>
              <w:jc w:val="center"/>
              <w:rPr>
                <w:rFonts w:ascii="宋体" w:hAnsi="宋体" w:cs="宋体"/>
                <w:color w:val="auto"/>
                <w:szCs w:val="21"/>
              </w:rPr>
            </w:pPr>
            <w:r>
              <w:rPr>
                <w:rFonts w:hint="eastAsia" w:ascii="宋体" w:hAnsi="宋体" w:cs="宋体"/>
                <w:color w:val="auto"/>
                <w:szCs w:val="21"/>
              </w:rPr>
              <w:t>检测线路</w:t>
            </w:r>
          </w:p>
        </w:tc>
      </w:tr>
      <w:tr w14:paraId="3405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1DD5F18E">
            <w:pPr>
              <w:adjustRightInd w:val="0"/>
              <w:snapToGrid w:val="0"/>
              <w:jc w:val="center"/>
              <w:rPr>
                <w:rFonts w:ascii="宋体" w:hAnsi="宋体" w:cs="宋体"/>
                <w:color w:val="auto"/>
                <w:szCs w:val="21"/>
              </w:rPr>
            </w:pPr>
            <w:r>
              <w:rPr>
                <w:rFonts w:hint="eastAsia" w:ascii="宋体" w:hAnsi="宋体" w:cs="宋体"/>
                <w:color w:val="auto"/>
                <w:szCs w:val="21"/>
              </w:rPr>
              <w:t>2</w:t>
            </w:r>
          </w:p>
        </w:tc>
        <w:tc>
          <w:tcPr>
            <w:tcW w:w="1875" w:type="dxa"/>
            <w:vAlign w:val="center"/>
          </w:tcPr>
          <w:p w14:paraId="69DBE2CC">
            <w:pPr>
              <w:adjustRightInd w:val="0"/>
              <w:snapToGrid w:val="0"/>
              <w:jc w:val="center"/>
              <w:rPr>
                <w:rFonts w:ascii="宋体" w:hAnsi="宋体" w:cs="宋体"/>
                <w:color w:val="auto"/>
                <w:szCs w:val="21"/>
              </w:rPr>
            </w:pPr>
            <w:r>
              <w:rPr>
                <w:rFonts w:hint="eastAsia" w:ascii="宋体" w:hAnsi="宋体" w:cs="宋体"/>
                <w:color w:val="auto"/>
                <w:szCs w:val="21"/>
              </w:rPr>
              <w:t>路面类型</w:t>
            </w:r>
          </w:p>
        </w:tc>
        <w:tc>
          <w:tcPr>
            <w:tcW w:w="2122" w:type="dxa"/>
            <w:vAlign w:val="center"/>
          </w:tcPr>
          <w:p w14:paraId="5F96112A">
            <w:pPr>
              <w:adjustRightInd w:val="0"/>
              <w:snapToGrid w:val="0"/>
              <w:jc w:val="center"/>
              <w:rPr>
                <w:rFonts w:ascii="宋体" w:hAnsi="宋体" w:cs="宋体"/>
                <w:color w:val="auto"/>
                <w:szCs w:val="21"/>
              </w:rPr>
            </w:pPr>
            <w:r>
              <w:rPr>
                <w:rFonts w:hint="eastAsia" w:ascii="宋体" w:hAnsi="宋体" w:cs="宋体"/>
                <w:color w:val="auto"/>
                <w:szCs w:val="21"/>
              </w:rPr>
              <w:t>不同路面类型区间</w:t>
            </w:r>
          </w:p>
        </w:tc>
        <w:tc>
          <w:tcPr>
            <w:tcW w:w="996" w:type="dxa"/>
            <w:vAlign w:val="center"/>
          </w:tcPr>
          <w:p w14:paraId="2FB15901">
            <w:pPr>
              <w:adjustRightInd w:val="0"/>
              <w:snapToGrid w:val="0"/>
              <w:jc w:val="center"/>
              <w:rPr>
                <w:rFonts w:ascii="宋体" w:hAnsi="宋体" w:cs="宋体"/>
                <w:color w:val="auto"/>
                <w:szCs w:val="21"/>
              </w:rPr>
            </w:pPr>
            <w:r>
              <w:rPr>
                <w:rFonts w:hint="eastAsia" w:ascii="宋体" w:hAnsi="宋体" w:cs="宋体"/>
                <w:color w:val="auto"/>
                <w:szCs w:val="21"/>
              </w:rPr>
              <w:t>Km</w:t>
            </w:r>
          </w:p>
        </w:tc>
        <w:tc>
          <w:tcPr>
            <w:tcW w:w="1393" w:type="dxa"/>
            <w:vAlign w:val="center"/>
          </w:tcPr>
          <w:p w14:paraId="26416826">
            <w:pPr>
              <w:adjustRightInd w:val="0"/>
              <w:snapToGrid w:val="0"/>
              <w:jc w:val="center"/>
              <w:rPr>
                <w:rFonts w:ascii="宋体" w:hAnsi="宋体" w:cs="宋体"/>
                <w:color w:val="auto"/>
                <w:szCs w:val="21"/>
              </w:rPr>
            </w:pPr>
            <w:r>
              <w:rPr>
                <w:rFonts w:hint="eastAsia" w:ascii="宋体" w:hAnsi="宋体" w:cs="宋体"/>
                <w:color w:val="auto"/>
                <w:szCs w:val="21"/>
              </w:rPr>
              <w:t>每线路</w:t>
            </w:r>
          </w:p>
        </w:tc>
        <w:tc>
          <w:tcPr>
            <w:tcW w:w="1396" w:type="dxa"/>
            <w:vMerge w:val="continue"/>
            <w:vAlign w:val="center"/>
          </w:tcPr>
          <w:p w14:paraId="2560B0E1">
            <w:pPr>
              <w:adjustRightInd w:val="0"/>
              <w:snapToGrid w:val="0"/>
              <w:jc w:val="center"/>
              <w:rPr>
                <w:rFonts w:ascii="宋体" w:hAnsi="宋体" w:cs="宋体"/>
                <w:color w:val="auto"/>
                <w:szCs w:val="21"/>
              </w:rPr>
            </w:pPr>
          </w:p>
        </w:tc>
      </w:tr>
      <w:tr w14:paraId="62AF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0D12E72E">
            <w:pPr>
              <w:adjustRightInd w:val="0"/>
              <w:snapToGrid w:val="0"/>
              <w:jc w:val="center"/>
              <w:rPr>
                <w:rFonts w:ascii="宋体" w:hAnsi="宋体" w:cs="宋体"/>
                <w:color w:val="auto"/>
                <w:szCs w:val="21"/>
              </w:rPr>
            </w:pPr>
            <w:r>
              <w:rPr>
                <w:rFonts w:hint="eastAsia" w:ascii="宋体" w:hAnsi="宋体" w:cs="宋体"/>
                <w:color w:val="auto"/>
                <w:szCs w:val="21"/>
              </w:rPr>
              <w:t>3</w:t>
            </w:r>
          </w:p>
        </w:tc>
        <w:tc>
          <w:tcPr>
            <w:tcW w:w="1875" w:type="dxa"/>
            <w:vAlign w:val="center"/>
          </w:tcPr>
          <w:p w14:paraId="57B6290F">
            <w:pPr>
              <w:adjustRightInd w:val="0"/>
              <w:snapToGrid w:val="0"/>
              <w:jc w:val="center"/>
              <w:rPr>
                <w:rFonts w:ascii="宋体" w:hAnsi="宋体" w:cs="宋体"/>
                <w:color w:val="auto"/>
                <w:szCs w:val="21"/>
              </w:rPr>
            </w:pPr>
            <w:r>
              <w:rPr>
                <w:rFonts w:hint="eastAsia" w:ascii="宋体" w:hAnsi="宋体" w:cs="宋体"/>
                <w:color w:val="auto"/>
                <w:szCs w:val="21"/>
              </w:rPr>
              <w:t>破损率DR</w:t>
            </w:r>
          </w:p>
        </w:tc>
        <w:tc>
          <w:tcPr>
            <w:tcW w:w="2122" w:type="dxa"/>
            <w:vAlign w:val="center"/>
          </w:tcPr>
          <w:p w14:paraId="3D63E020">
            <w:pPr>
              <w:adjustRightInd w:val="0"/>
              <w:snapToGrid w:val="0"/>
              <w:jc w:val="center"/>
              <w:rPr>
                <w:rFonts w:ascii="宋体" w:hAnsi="宋体" w:cs="宋体"/>
                <w:color w:val="auto"/>
                <w:szCs w:val="21"/>
              </w:rPr>
            </w:pPr>
            <w:r>
              <w:rPr>
                <w:rFonts w:hint="eastAsia" w:ascii="宋体" w:hAnsi="宋体" w:cs="宋体"/>
                <w:color w:val="auto"/>
                <w:szCs w:val="21"/>
              </w:rPr>
              <w:t>破损率</w:t>
            </w:r>
          </w:p>
        </w:tc>
        <w:tc>
          <w:tcPr>
            <w:tcW w:w="996" w:type="dxa"/>
            <w:vAlign w:val="center"/>
          </w:tcPr>
          <w:p w14:paraId="5C4AB1CC">
            <w:pPr>
              <w:adjustRightInd w:val="0"/>
              <w:snapToGrid w:val="0"/>
              <w:jc w:val="center"/>
              <w:rPr>
                <w:rFonts w:ascii="宋体" w:hAnsi="宋体" w:cs="宋体"/>
                <w:color w:val="auto"/>
                <w:szCs w:val="21"/>
              </w:rPr>
            </w:pPr>
            <w:r>
              <w:rPr>
                <w:rFonts w:hint="eastAsia" w:ascii="宋体" w:hAnsi="宋体" w:cs="宋体"/>
                <w:color w:val="auto"/>
                <w:szCs w:val="21"/>
              </w:rPr>
              <w:t>%</w:t>
            </w:r>
          </w:p>
        </w:tc>
        <w:tc>
          <w:tcPr>
            <w:tcW w:w="1393" w:type="dxa"/>
            <w:vAlign w:val="center"/>
          </w:tcPr>
          <w:p w14:paraId="6332F859">
            <w:pPr>
              <w:adjustRightInd w:val="0"/>
              <w:snapToGrid w:val="0"/>
              <w:jc w:val="center"/>
              <w:rPr>
                <w:rFonts w:ascii="宋体" w:hAnsi="宋体" w:cs="宋体"/>
                <w:color w:val="auto"/>
                <w:szCs w:val="21"/>
              </w:rPr>
            </w:pPr>
            <w:r>
              <w:rPr>
                <w:rFonts w:hint="eastAsia" w:ascii="宋体" w:hAnsi="宋体" w:cs="宋体"/>
                <w:color w:val="auto"/>
                <w:szCs w:val="21"/>
              </w:rPr>
              <w:t>每10米统计</w:t>
            </w:r>
          </w:p>
        </w:tc>
        <w:tc>
          <w:tcPr>
            <w:tcW w:w="1396" w:type="dxa"/>
            <w:vMerge w:val="continue"/>
            <w:vAlign w:val="center"/>
          </w:tcPr>
          <w:p w14:paraId="10413C15">
            <w:pPr>
              <w:adjustRightInd w:val="0"/>
              <w:snapToGrid w:val="0"/>
              <w:jc w:val="center"/>
              <w:rPr>
                <w:rFonts w:ascii="宋体" w:hAnsi="宋体" w:cs="宋体"/>
                <w:color w:val="auto"/>
                <w:szCs w:val="21"/>
              </w:rPr>
            </w:pPr>
          </w:p>
        </w:tc>
      </w:tr>
      <w:tr w14:paraId="6E43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1D879E20">
            <w:pPr>
              <w:adjustRightInd w:val="0"/>
              <w:snapToGrid w:val="0"/>
              <w:jc w:val="center"/>
              <w:rPr>
                <w:rFonts w:ascii="宋体" w:hAnsi="宋体" w:cs="宋体"/>
                <w:color w:val="auto"/>
                <w:szCs w:val="21"/>
              </w:rPr>
            </w:pPr>
            <w:r>
              <w:rPr>
                <w:rFonts w:hint="eastAsia" w:ascii="宋体" w:hAnsi="宋体" w:cs="宋体"/>
                <w:color w:val="auto"/>
                <w:szCs w:val="21"/>
              </w:rPr>
              <w:t>4</w:t>
            </w:r>
          </w:p>
        </w:tc>
        <w:tc>
          <w:tcPr>
            <w:tcW w:w="1875" w:type="dxa"/>
            <w:vAlign w:val="center"/>
          </w:tcPr>
          <w:p w14:paraId="683AB9CE">
            <w:pPr>
              <w:adjustRightInd w:val="0"/>
              <w:snapToGrid w:val="0"/>
              <w:jc w:val="center"/>
              <w:rPr>
                <w:rFonts w:ascii="宋体" w:hAnsi="宋体" w:cs="宋体"/>
                <w:color w:val="auto"/>
                <w:szCs w:val="21"/>
              </w:rPr>
            </w:pPr>
            <w:r>
              <w:rPr>
                <w:rFonts w:hint="eastAsia" w:ascii="宋体" w:hAnsi="宋体" w:cs="宋体"/>
                <w:color w:val="auto"/>
                <w:szCs w:val="21"/>
              </w:rPr>
              <w:t>道路平整度IRI</w:t>
            </w:r>
          </w:p>
        </w:tc>
        <w:tc>
          <w:tcPr>
            <w:tcW w:w="2122" w:type="dxa"/>
            <w:vAlign w:val="center"/>
          </w:tcPr>
          <w:p w14:paraId="597F30C9">
            <w:pPr>
              <w:adjustRightInd w:val="0"/>
              <w:snapToGrid w:val="0"/>
              <w:jc w:val="center"/>
              <w:rPr>
                <w:rFonts w:ascii="宋体" w:hAnsi="宋体" w:cs="宋体"/>
                <w:color w:val="auto"/>
                <w:szCs w:val="21"/>
              </w:rPr>
            </w:pPr>
            <w:r>
              <w:rPr>
                <w:rFonts w:hint="eastAsia" w:ascii="宋体" w:hAnsi="宋体" w:cs="宋体"/>
                <w:color w:val="auto"/>
                <w:szCs w:val="21"/>
              </w:rPr>
              <w:t>平整度</w:t>
            </w:r>
          </w:p>
        </w:tc>
        <w:tc>
          <w:tcPr>
            <w:tcW w:w="996" w:type="dxa"/>
            <w:vAlign w:val="center"/>
          </w:tcPr>
          <w:p w14:paraId="6C789784">
            <w:pPr>
              <w:adjustRightInd w:val="0"/>
              <w:snapToGrid w:val="0"/>
              <w:jc w:val="center"/>
              <w:rPr>
                <w:rFonts w:ascii="宋体" w:hAnsi="宋体" w:cs="宋体"/>
                <w:color w:val="auto"/>
                <w:szCs w:val="21"/>
              </w:rPr>
            </w:pPr>
            <w:r>
              <w:rPr>
                <w:rFonts w:hint="eastAsia" w:ascii="宋体" w:hAnsi="宋体" w:cs="宋体"/>
                <w:color w:val="auto"/>
                <w:szCs w:val="21"/>
              </w:rPr>
              <w:t>国际平整度指数</w:t>
            </w:r>
          </w:p>
        </w:tc>
        <w:tc>
          <w:tcPr>
            <w:tcW w:w="1393" w:type="dxa"/>
            <w:vAlign w:val="center"/>
          </w:tcPr>
          <w:p w14:paraId="6FA0FDF4">
            <w:pPr>
              <w:adjustRightInd w:val="0"/>
              <w:snapToGrid w:val="0"/>
              <w:jc w:val="center"/>
              <w:rPr>
                <w:rFonts w:ascii="宋体" w:hAnsi="宋体" w:cs="宋体"/>
                <w:color w:val="auto"/>
                <w:szCs w:val="21"/>
              </w:rPr>
            </w:pPr>
            <w:r>
              <w:rPr>
                <w:rFonts w:hint="eastAsia" w:ascii="宋体" w:hAnsi="宋体" w:cs="宋体"/>
                <w:color w:val="auto"/>
                <w:szCs w:val="21"/>
              </w:rPr>
              <w:t>每10米统计</w:t>
            </w:r>
          </w:p>
        </w:tc>
        <w:tc>
          <w:tcPr>
            <w:tcW w:w="1396" w:type="dxa"/>
            <w:vMerge w:val="continue"/>
            <w:vAlign w:val="center"/>
          </w:tcPr>
          <w:p w14:paraId="1670408D">
            <w:pPr>
              <w:adjustRightInd w:val="0"/>
              <w:snapToGrid w:val="0"/>
              <w:jc w:val="center"/>
              <w:rPr>
                <w:rFonts w:ascii="宋体" w:hAnsi="宋体" w:cs="宋体"/>
                <w:color w:val="auto"/>
                <w:szCs w:val="21"/>
              </w:rPr>
            </w:pPr>
          </w:p>
        </w:tc>
      </w:tr>
      <w:tr w14:paraId="6846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2EE12ACF">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875" w:type="dxa"/>
            <w:vAlign w:val="center"/>
          </w:tcPr>
          <w:p w14:paraId="7BCF7DAB">
            <w:pPr>
              <w:adjustRightInd w:val="0"/>
              <w:snapToGrid w:val="0"/>
              <w:jc w:val="center"/>
              <w:rPr>
                <w:rFonts w:ascii="宋体" w:hAnsi="宋体" w:cs="宋体"/>
                <w:color w:val="auto"/>
                <w:szCs w:val="21"/>
              </w:rPr>
            </w:pPr>
            <w:r>
              <w:rPr>
                <w:rFonts w:hint="eastAsia" w:ascii="宋体" w:hAnsi="宋体" w:cs="宋体"/>
                <w:color w:val="auto"/>
                <w:szCs w:val="21"/>
              </w:rPr>
              <w:t>线路空间定位信息</w:t>
            </w:r>
          </w:p>
        </w:tc>
        <w:tc>
          <w:tcPr>
            <w:tcW w:w="2122" w:type="dxa"/>
            <w:vAlign w:val="center"/>
          </w:tcPr>
          <w:p w14:paraId="56100D4E">
            <w:pPr>
              <w:adjustRightInd w:val="0"/>
              <w:snapToGrid w:val="0"/>
              <w:jc w:val="center"/>
              <w:rPr>
                <w:rFonts w:ascii="宋体" w:hAnsi="宋体" w:cs="宋体"/>
                <w:color w:val="auto"/>
                <w:szCs w:val="21"/>
              </w:rPr>
            </w:pPr>
            <w:r>
              <w:rPr>
                <w:rFonts w:hint="eastAsia" w:ascii="宋体" w:hAnsi="宋体" w:cs="宋体"/>
                <w:color w:val="auto"/>
                <w:szCs w:val="21"/>
              </w:rPr>
              <w:t>线路经纬度坐标</w:t>
            </w:r>
          </w:p>
        </w:tc>
        <w:tc>
          <w:tcPr>
            <w:tcW w:w="996" w:type="dxa"/>
            <w:vAlign w:val="center"/>
          </w:tcPr>
          <w:p w14:paraId="0885D91C">
            <w:pPr>
              <w:adjustRightInd w:val="0"/>
              <w:snapToGrid w:val="0"/>
              <w:jc w:val="center"/>
              <w:rPr>
                <w:rFonts w:ascii="宋体" w:hAnsi="宋体" w:cs="宋体"/>
                <w:color w:val="auto"/>
                <w:szCs w:val="21"/>
              </w:rPr>
            </w:pPr>
            <w:r>
              <w:rPr>
                <w:rFonts w:hint="eastAsia" w:ascii="宋体" w:hAnsi="宋体" w:cs="宋体"/>
                <w:color w:val="auto"/>
                <w:szCs w:val="21"/>
              </w:rPr>
              <w:t>每测点</w:t>
            </w:r>
          </w:p>
        </w:tc>
        <w:tc>
          <w:tcPr>
            <w:tcW w:w="1393" w:type="dxa"/>
            <w:vAlign w:val="center"/>
          </w:tcPr>
          <w:p w14:paraId="3405E96F">
            <w:pPr>
              <w:adjustRightInd w:val="0"/>
              <w:snapToGrid w:val="0"/>
              <w:jc w:val="center"/>
              <w:rPr>
                <w:rFonts w:ascii="宋体" w:hAnsi="宋体" w:cs="宋体"/>
                <w:color w:val="auto"/>
                <w:szCs w:val="21"/>
              </w:rPr>
            </w:pPr>
            <w:r>
              <w:rPr>
                <w:rFonts w:hint="eastAsia" w:ascii="宋体" w:hAnsi="宋体" w:cs="宋体"/>
                <w:color w:val="auto"/>
                <w:szCs w:val="21"/>
              </w:rPr>
              <w:t>每10米统计</w:t>
            </w:r>
          </w:p>
        </w:tc>
        <w:tc>
          <w:tcPr>
            <w:tcW w:w="1396" w:type="dxa"/>
            <w:vMerge w:val="continue"/>
            <w:vAlign w:val="center"/>
          </w:tcPr>
          <w:p w14:paraId="28CF2EE0">
            <w:pPr>
              <w:adjustRightInd w:val="0"/>
              <w:snapToGrid w:val="0"/>
              <w:jc w:val="center"/>
              <w:rPr>
                <w:rFonts w:ascii="宋体" w:hAnsi="宋体" w:cs="宋体"/>
                <w:color w:val="auto"/>
                <w:szCs w:val="21"/>
              </w:rPr>
            </w:pPr>
          </w:p>
        </w:tc>
      </w:tr>
      <w:tr w14:paraId="1537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7AD6F8A4">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1875" w:type="dxa"/>
            <w:vAlign w:val="center"/>
          </w:tcPr>
          <w:p w14:paraId="6FA56160">
            <w:pPr>
              <w:adjustRightInd w:val="0"/>
              <w:snapToGrid w:val="0"/>
              <w:jc w:val="center"/>
              <w:rPr>
                <w:rFonts w:ascii="宋体" w:hAnsi="宋体" w:cs="宋体"/>
                <w:color w:val="auto"/>
                <w:szCs w:val="21"/>
              </w:rPr>
            </w:pPr>
            <w:r>
              <w:rPr>
                <w:rFonts w:hint="eastAsia" w:ascii="宋体" w:hAnsi="宋体" w:cs="宋体"/>
                <w:color w:val="auto"/>
                <w:szCs w:val="21"/>
              </w:rPr>
              <w:t>线路景观图像</w:t>
            </w:r>
          </w:p>
        </w:tc>
        <w:tc>
          <w:tcPr>
            <w:tcW w:w="2122" w:type="dxa"/>
            <w:vAlign w:val="center"/>
          </w:tcPr>
          <w:p w14:paraId="765CEA83">
            <w:pPr>
              <w:adjustRightInd w:val="0"/>
              <w:snapToGrid w:val="0"/>
              <w:jc w:val="center"/>
              <w:rPr>
                <w:rFonts w:ascii="宋体" w:hAnsi="宋体" w:cs="宋体"/>
                <w:color w:val="auto"/>
                <w:szCs w:val="21"/>
              </w:rPr>
            </w:pPr>
            <w:r>
              <w:rPr>
                <w:rFonts w:hint="eastAsia" w:ascii="宋体" w:hAnsi="宋体" w:cs="宋体"/>
                <w:color w:val="auto"/>
                <w:szCs w:val="21"/>
              </w:rPr>
              <w:t>道路及路域图像</w:t>
            </w:r>
          </w:p>
        </w:tc>
        <w:tc>
          <w:tcPr>
            <w:tcW w:w="996" w:type="dxa"/>
            <w:vAlign w:val="center"/>
          </w:tcPr>
          <w:p w14:paraId="5D75A2A4">
            <w:pPr>
              <w:adjustRightInd w:val="0"/>
              <w:snapToGrid w:val="0"/>
              <w:jc w:val="center"/>
              <w:rPr>
                <w:rFonts w:ascii="宋体" w:hAnsi="宋体" w:cs="宋体"/>
                <w:color w:val="auto"/>
                <w:szCs w:val="21"/>
              </w:rPr>
            </w:pPr>
            <w:r>
              <w:rPr>
                <w:rFonts w:hint="eastAsia" w:ascii="宋体" w:hAnsi="宋体" w:cs="宋体"/>
                <w:color w:val="auto"/>
                <w:szCs w:val="21"/>
              </w:rPr>
              <w:t>每测点</w:t>
            </w:r>
          </w:p>
        </w:tc>
        <w:tc>
          <w:tcPr>
            <w:tcW w:w="1393" w:type="dxa"/>
            <w:vAlign w:val="center"/>
          </w:tcPr>
          <w:p w14:paraId="038AFD01">
            <w:pPr>
              <w:adjustRightInd w:val="0"/>
              <w:snapToGrid w:val="0"/>
              <w:jc w:val="center"/>
              <w:rPr>
                <w:rFonts w:ascii="宋体" w:hAnsi="宋体" w:cs="宋体"/>
                <w:color w:val="auto"/>
                <w:szCs w:val="21"/>
              </w:rPr>
            </w:pPr>
            <w:r>
              <w:rPr>
                <w:rFonts w:hint="eastAsia" w:ascii="宋体" w:hAnsi="宋体" w:cs="宋体"/>
                <w:color w:val="auto"/>
                <w:szCs w:val="21"/>
              </w:rPr>
              <w:t>每10米统计</w:t>
            </w:r>
          </w:p>
        </w:tc>
        <w:tc>
          <w:tcPr>
            <w:tcW w:w="1396" w:type="dxa"/>
            <w:vMerge w:val="continue"/>
            <w:vAlign w:val="center"/>
          </w:tcPr>
          <w:p w14:paraId="37152AEC">
            <w:pPr>
              <w:adjustRightInd w:val="0"/>
              <w:snapToGrid w:val="0"/>
              <w:jc w:val="center"/>
              <w:rPr>
                <w:rFonts w:ascii="宋体" w:hAnsi="宋体" w:cs="宋体"/>
                <w:color w:val="auto"/>
                <w:szCs w:val="21"/>
              </w:rPr>
            </w:pPr>
          </w:p>
        </w:tc>
      </w:tr>
      <w:tr w14:paraId="072F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00F4C679">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1875" w:type="dxa"/>
            <w:vAlign w:val="center"/>
          </w:tcPr>
          <w:p w14:paraId="47D409A0">
            <w:pPr>
              <w:adjustRightInd w:val="0"/>
              <w:snapToGrid w:val="0"/>
              <w:jc w:val="center"/>
              <w:rPr>
                <w:rFonts w:ascii="宋体" w:hAnsi="宋体" w:cs="宋体"/>
                <w:color w:val="auto"/>
                <w:szCs w:val="21"/>
              </w:rPr>
            </w:pPr>
            <w:r>
              <w:rPr>
                <w:rFonts w:hint="eastAsia" w:ascii="宋体" w:hAnsi="宋体" w:cs="宋体"/>
                <w:color w:val="auto"/>
                <w:szCs w:val="21"/>
              </w:rPr>
              <w:t>路面损坏状况指数PCI统计</w:t>
            </w:r>
          </w:p>
        </w:tc>
        <w:tc>
          <w:tcPr>
            <w:tcW w:w="2122" w:type="dxa"/>
            <w:vAlign w:val="center"/>
          </w:tcPr>
          <w:p w14:paraId="1A1B161C">
            <w:pPr>
              <w:adjustRightInd w:val="0"/>
              <w:snapToGrid w:val="0"/>
              <w:jc w:val="center"/>
              <w:rPr>
                <w:rFonts w:ascii="宋体" w:hAnsi="宋体" w:cs="宋体"/>
                <w:color w:val="auto"/>
                <w:szCs w:val="21"/>
              </w:rPr>
            </w:pPr>
            <w:r>
              <w:rPr>
                <w:rFonts w:hint="eastAsia" w:ascii="宋体" w:hAnsi="宋体" w:cs="宋体"/>
                <w:color w:val="auto"/>
                <w:szCs w:val="21"/>
              </w:rPr>
              <w:t>PCI统计</w:t>
            </w:r>
          </w:p>
        </w:tc>
        <w:tc>
          <w:tcPr>
            <w:tcW w:w="996" w:type="dxa"/>
            <w:vAlign w:val="center"/>
          </w:tcPr>
          <w:p w14:paraId="4DC13D4A">
            <w:pPr>
              <w:adjustRightInd w:val="0"/>
              <w:snapToGrid w:val="0"/>
              <w:jc w:val="center"/>
              <w:rPr>
                <w:rFonts w:ascii="宋体" w:hAnsi="宋体" w:cs="宋体"/>
                <w:color w:val="auto"/>
                <w:szCs w:val="21"/>
              </w:rPr>
            </w:pPr>
            <w:r>
              <w:rPr>
                <w:rFonts w:hint="eastAsia" w:ascii="宋体" w:hAnsi="宋体" w:cs="宋体"/>
                <w:color w:val="auto"/>
                <w:szCs w:val="21"/>
              </w:rPr>
              <w:t>百分制</w:t>
            </w:r>
          </w:p>
        </w:tc>
        <w:tc>
          <w:tcPr>
            <w:tcW w:w="1393" w:type="dxa"/>
            <w:vAlign w:val="center"/>
          </w:tcPr>
          <w:p w14:paraId="13F64A07">
            <w:pPr>
              <w:adjustRightInd w:val="0"/>
              <w:snapToGrid w:val="0"/>
              <w:jc w:val="center"/>
              <w:rPr>
                <w:rFonts w:ascii="宋体" w:hAnsi="宋体" w:cs="宋体"/>
                <w:color w:val="auto"/>
                <w:szCs w:val="21"/>
              </w:rPr>
            </w:pPr>
            <w:r>
              <w:rPr>
                <w:rFonts w:hint="eastAsia" w:ascii="宋体" w:hAnsi="宋体" w:cs="宋体"/>
                <w:color w:val="auto"/>
                <w:szCs w:val="21"/>
              </w:rPr>
              <w:t>每线路</w:t>
            </w:r>
          </w:p>
        </w:tc>
        <w:tc>
          <w:tcPr>
            <w:tcW w:w="1396" w:type="dxa"/>
            <w:vMerge w:val="continue"/>
            <w:vAlign w:val="center"/>
          </w:tcPr>
          <w:p w14:paraId="1C35C492">
            <w:pPr>
              <w:adjustRightInd w:val="0"/>
              <w:snapToGrid w:val="0"/>
              <w:jc w:val="center"/>
              <w:rPr>
                <w:rFonts w:ascii="宋体" w:hAnsi="宋体" w:cs="宋体"/>
                <w:color w:val="auto"/>
                <w:szCs w:val="21"/>
              </w:rPr>
            </w:pPr>
          </w:p>
        </w:tc>
      </w:tr>
      <w:tr w14:paraId="0786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0A705399">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1875" w:type="dxa"/>
            <w:vAlign w:val="center"/>
          </w:tcPr>
          <w:p w14:paraId="7281CC67">
            <w:pPr>
              <w:adjustRightInd w:val="0"/>
              <w:snapToGrid w:val="0"/>
              <w:jc w:val="center"/>
              <w:rPr>
                <w:rFonts w:ascii="宋体" w:hAnsi="宋体" w:cs="宋体"/>
                <w:color w:val="auto"/>
                <w:szCs w:val="21"/>
              </w:rPr>
            </w:pPr>
            <w:r>
              <w:rPr>
                <w:rFonts w:hint="eastAsia" w:ascii="宋体" w:hAnsi="宋体" w:cs="宋体"/>
                <w:color w:val="auto"/>
                <w:szCs w:val="21"/>
              </w:rPr>
              <w:t>路面行驶质量指数RQI统计</w:t>
            </w:r>
          </w:p>
        </w:tc>
        <w:tc>
          <w:tcPr>
            <w:tcW w:w="2122" w:type="dxa"/>
            <w:vAlign w:val="center"/>
          </w:tcPr>
          <w:p w14:paraId="64FE3F9D">
            <w:pPr>
              <w:adjustRightInd w:val="0"/>
              <w:snapToGrid w:val="0"/>
              <w:jc w:val="center"/>
              <w:rPr>
                <w:rFonts w:ascii="宋体" w:hAnsi="宋体" w:cs="宋体"/>
                <w:color w:val="auto"/>
                <w:szCs w:val="21"/>
              </w:rPr>
            </w:pPr>
            <w:r>
              <w:rPr>
                <w:rFonts w:hint="eastAsia" w:ascii="宋体" w:hAnsi="宋体" w:cs="宋体"/>
                <w:color w:val="auto"/>
                <w:szCs w:val="21"/>
              </w:rPr>
              <w:t>RQI统计</w:t>
            </w:r>
          </w:p>
        </w:tc>
        <w:tc>
          <w:tcPr>
            <w:tcW w:w="996" w:type="dxa"/>
            <w:vAlign w:val="center"/>
          </w:tcPr>
          <w:p w14:paraId="043925A0">
            <w:pPr>
              <w:adjustRightInd w:val="0"/>
              <w:snapToGrid w:val="0"/>
              <w:jc w:val="center"/>
              <w:rPr>
                <w:rFonts w:ascii="宋体" w:hAnsi="宋体" w:cs="宋体"/>
                <w:color w:val="auto"/>
                <w:szCs w:val="21"/>
              </w:rPr>
            </w:pPr>
            <w:r>
              <w:rPr>
                <w:rFonts w:hint="eastAsia" w:ascii="宋体" w:hAnsi="宋体" w:cs="宋体"/>
                <w:color w:val="auto"/>
                <w:szCs w:val="21"/>
              </w:rPr>
              <w:t>百分制</w:t>
            </w:r>
          </w:p>
        </w:tc>
        <w:tc>
          <w:tcPr>
            <w:tcW w:w="1393" w:type="dxa"/>
            <w:vAlign w:val="center"/>
          </w:tcPr>
          <w:p w14:paraId="595ADA01">
            <w:pPr>
              <w:adjustRightInd w:val="0"/>
              <w:snapToGrid w:val="0"/>
              <w:jc w:val="center"/>
              <w:rPr>
                <w:rFonts w:ascii="宋体" w:hAnsi="宋体" w:cs="宋体"/>
                <w:color w:val="auto"/>
                <w:szCs w:val="21"/>
              </w:rPr>
            </w:pPr>
            <w:r>
              <w:rPr>
                <w:rFonts w:hint="eastAsia" w:ascii="宋体" w:hAnsi="宋体" w:cs="宋体"/>
                <w:color w:val="auto"/>
                <w:szCs w:val="21"/>
              </w:rPr>
              <w:t>每线路</w:t>
            </w:r>
          </w:p>
        </w:tc>
        <w:tc>
          <w:tcPr>
            <w:tcW w:w="1396" w:type="dxa"/>
            <w:vMerge w:val="continue"/>
            <w:vAlign w:val="center"/>
          </w:tcPr>
          <w:p w14:paraId="6917EE68">
            <w:pPr>
              <w:adjustRightInd w:val="0"/>
              <w:snapToGrid w:val="0"/>
              <w:jc w:val="center"/>
              <w:rPr>
                <w:rFonts w:ascii="宋体" w:hAnsi="宋体" w:cs="宋体"/>
                <w:color w:val="auto"/>
                <w:szCs w:val="21"/>
              </w:rPr>
            </w:pPr>
          </w:p>
        </w:tc>
      </w:tr>
      <w:tr w14:paraId="6BCA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7" w:type="dxa"/>
            <w:vAlign w:val="center"/>
          </w:tcPr>
          <w:p w14:paraId="516578E8">
            <w:pPr>
              <w:adjustRightInd w:val="0"/>
              <w:snapToGrid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9</w:t>
            </w:r>
          </w:p>
        </w:tc>
        <w:tc>
          <w:tcPr>
            <w:tcW w:w="1875" w:type="dxa"/>
            <w:vAlign w:val="center"/>
          </w:tcPr>
          <w:p w14:paraId="546375C9">
            <w:pPr>
              <w:adjustRightInd w:val="0"/>
              <w:snapToGrid w:val="0"/>
              <w:jc w:val="center"/>
              <w:rPr>
                <w:rFonts w:ascii="宋体" w:hAnsi="宋体" w:cs="宋体"/>
                <w:color w:val="auto"/>
                <w:szCs w:val="21"/>
              </w:rPr>
            </w:pPr>
            <w:r>
              <w:rPr>
                <w:rFonts w:hint="eastAsia" w:ascii="宋体" w:hAnsi="宋体" w:cs="宋体"/>
                <w:color w:val="auto"/>
                <w:szCs w:val="21"/>
              </w:rPr>
              <w:t>路面使用性能指数PQI统计</w:t>
            </w:r>
          </w:p>
        </w:tc>
        <w:tc>
          <w:tcPr>
            <w:tcW w:w="2122" w:type="dxa"/>
            <w:vAlign w:val="center"/>
          </w:tcPr>
          <w:p w14:paraId="4156C671">
            <w:pPr>
              <w:adjustRightInd w:val="0"/>
              <w:snapToGrid w:val="0"/>
              <w:jc w:val="center"/>
              <w:rPr>
                <w:rFonts w:ascii="宋体" w:hAnsi="宋体" w:cs="宋体"/>
                <w:color w:val="auto"/>
                <w:szCs w:val="21"/>
              </w:rPr>
            </w:pPr>
            <w:r>
              <w:rPr>
                <w:rFonts w:hint="eastAsia" w:ascii="宋体" w:hAnsi="宋体" w:cs="宋体"/>
                <w:color w:val="auto"/>
                <w:szCs w:val="21"/>
              </w:rPr>
              <w:t>PQI统计</w:t>
            </w:r>
          </w:p>
        </w:tc>
        <w:tc>
          <w:tcPr>
            <w:tcW w:w="996" w:type="dxa"/>
            <w:vAlign w:val="center"/>
          </w:tcPr>
          <w:p w14:paraId="23C896AC">
            <w:pPr>
              <w:adjustRightInd w:val="0"/>
              <w:snapToGrid w:val="0"/>
              <w:jc w:val="center"/>
              <w:rPr>
                <w:rFonts w:ascii="宋体" w:hAnsi="宋体" w:cs="宋体"/>
                <w:color w:val="auto"/>
                <w:szCs w:val="21"/>
              </w:rPr>
            </w:pPr>
            <w:r>
              <w:rPr>
                <w:rFonts w:hint="eastAsia" w:ascii="宋体" w:hAnsi="宋体" w:cs="宋体"/>
                <w:color w:val="auto"/>
                <w:szCs w:val="21"/>
              </w:rPr>
              <w:t>百分制</w:t>
            </w:r>
          </w:p>
        </w:tc>
        <w:tc>
          <w:tcPr>
            <w:tcW w:w="1393" w:type="dxa"/>
            <w:vAlign w:val="center"/>
          </w:tcPr>
          <w:p w14:paraId="47961FB9">
            <w:pPr>
              <w:adjustRightInd w:val="0"/>
              <w:snapToGrid w:val="0"/>
              <w:jc w:val="center"/>
              <w:rPr>
                <w:rFonts w:ascii="宋体" w:hAnsi="宋体" w:cs="宋体"/>
                <w:color w:val="auto"/>
                <w:szCs w:val="21"/>
              </w:rPr>
            </w:pPr>
            <w:r>
              <w:rPr>
                <w:rFonts w:hint="eastAsia" w:ascii="宋体" w:hAnsi="宋体" w:cs="宋体"/>
                <w:color w:val="auto"/>
                <w:szCs w:val="21"/>
              </w:rPr>
              <w:t>每线路</w:t>
            </w:r>
          </w:p>
        </w:tc>
        <w:tc>
          <w:tcPr>
            <w:tcW w:w="1396" w:type="dxa"/>
            <w:vMerge w:val="continue"/>
            <w:vAlign w:val="center"/>
          </w:tcPr>
          <w:p w14:paraId="3A6473B4">
            <w:pPr>
              <w:adjustRightInd w:val="0"/>
              <w:snapToGrid w:val="0"/>
              <w:jc w:val="center"/>
              <w:rPr>
                <w:rFonts w:ascii="宋体" w:hAnsi="宋体" w:cs="宋体"/>
                <w:color w:val="auto"/>
                <w:szCs w:val="21"/>
              </w:rPr>
            </w:pPr>
          </w:p>
        </w:tc>
      </w:tr>
      <w:bookmarkEnd w:id="68"/>
      <w:bookmarkEnd w:id="69"/>
    </w:tbl>
    <w:p w14:paraId="2AA43750">
      <w:pPr>
        <w:widowControl/>
        <w:jc w:val="left"/>
        <w:rPr>
          <w:rFonts w:ascii="黑体" w:hAnsi="黑体" w:eastAsia="黑体" w:cs="黑体"/>
          <w:color w:val="auto"/>
          <w:sz w:val="32"/>
          <w:szCs w:val="32"/>
        </w:rPr>
      </w:pPr>
    </w:p>
    <w:p w14:paraId="064C92B5">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14:paraId="68D1B1A5">
      <w:pPr>
        <w:widowControl/>
        <w:jc w:val="left"/>
        <w:rPr>
          <w:rFonts w:ascii="黑体" w:hAnsi="黑体" w:eastAsia="黑体" w:cs="黑体"/>
          <w:color w:val="auto"/>
          <w:sz w:val="32"/>
          <w:szCs w:val="32"/>
        </w:rPr>
      </w:pPr>
      <w:r>
        <w:rPr>
          <w:rFonts w:hint="eastAsia" w:ascii="黑体" w:hAnsi="黑体" w:eastAsia="黑体" w:cs="黑体"/>
          <w:color w:val="auto"/>
          <w:sz w:val="32"/>
          <w:szCs w:val="32"/>
        </w:rPr>
        <w:t>附件2：</w:t>
      </w:r>
    </w:p>
    <w:p w14:paraId="1B1392DF">
      <w:pPr>
        <w:pStyle w:val="2"/>
        <w:jc w:val="center"/>
        <w:rPr>
          <w:b/>
          <w:color w:val="auto"/>
          <w:sz w:val="28"/>
          <w:szCs w:val="28"/>
        </w:rPr>
      </w:pPr>
      <w:r>
        <w:rPr>
          <w:rFonts w:hint="eastAsia"/>
          <w:b/>
          <w:color w:val="auto"/>
          <w:sz w:val="28"/>
          <w:szCs w:val="28"/>
        </w:rPr>
        <w:t>中小企业划型标准规定</w:t>
      </w:r>
    </w:p>
    <w:p w14:paraId="061B4B9A">
      <w:pPr>
        <w:pStyle w:val="2"/>
        <w:jc w:val="center"/>
        <w:rPr>
          <w:rFonts w:ascii="宋体" w:hAnsi="宋体"/>
          <w:color w:val="auto"/>
          <w:sz w:val="21"/>
          <w:szCs w:val="21"/>
        </w:rPr>
      </w:pPr>
      <w:r>
        <w:rPr>
          <w:rFonts w:hint="eastAsia" w:ascii="宋体" w:hAnsi="宋体"/>
          <w:color w:val="auto"/>
          <w:szCs w:val="21"/>
        </w:rPr>
        <w:t>工信部联企业[2011]300号</w:t>
      </w:r>
    </w:p>
    <w:p w14:paraId="4300A565">
      <w:pPr>
        <w:pStyle w:val="2"/>
        <w:rPr>
          <w:color w:val="auto"/>
          <w:szCs w:val="21"/>
        </w:rPr>
      </w:pPr>
    </w:p>
    <w:p w14:paraId="24A998E0">
      <w:pPr>
        <w:pStyle w:val="2"/>
        <w:rPr>
          <w:color w:val="auto"/>
          <w:szCs w:val="21"/>
        </w:rPr>
      </w:pPr>
      <w:r>
        <w:rPr>
          <w:rFonts w:hint="eastAsia"/>
          <w:color w:val="auto"/>
          <w:szCs w:val="21"/>
        </w:rPr>
        <w:t>　　一、根据《中华人民共和国中小企业促进法》和《国务院关于进一步促进中小企业发展的若干意见》</w:t>
      </w:r>
      <w:r>
        <w:rPr>
          <w:color w:val="auto"/>
          <w:szCs w:val="21"/>
        </w:rPr>
        <w:t>(</w:t>
      </w:r>
      <w:r>
        <w:rPr>
          <w:rFonts w:hint="eastAsia"/>
          <w:color w:val="auto"/>
          <w:szCs w:val="21"/>
        </w:rPr>
        <w:t>国发</w:t>
      </w:r>
      <w:r>
        <w:rPr>
          <w:color w:val="auto"/>
          <w:szCs w:val="21"/>
        </w:rPr>
        <w:t>[2009]36</w:t>
      </w:r>
      <w:r>
        <w:rPr>
          <w:rFonts w:hint="eastAsia"/>
          <w:color w:val="auto"/>
          <w:szCs w:val="21"/>
        </w:rPr>
        <w:t>号</w:t>
      </w:r>
      <w:r>
        <w:rPr>
          <w:color w:val="auto"/>
          <w:szCs w:val="21"/>
        </w:rPr>
        <w:t>)</w:t>
      </w:r>
      <w:r>
        <w:rPr>
          <w:rFonts w:hint="eastAsia"/>
          <w:color w:val="auto"/>
          <w:szCs w:val="21"/>
        </w:rPr>
        <w:t>，制定本规定。</w:t>
      </w:r>
    </w:p>
    <w:p w14:paraId="1ABE81C8">
      <w:pPr>
        <w:pStyle w:val="2"/>
        <w:rPr>
          <w:color w:val="auto"/>
          <w:szCs w:val="21"/>
        </w:rPr>
      </w:pPr>
      <w:r>
        <w:rPr>
          <w:rFonts w:hint="eastAsia"/>
          <w:color w:val="auto"/>
          <w:szCs w:val="21"/>
        </w:rPr>
        <w:t>　　二、中小企业划分为中型、小型、微型三种类型，具体标准根据企业从业人员、营业收入、资产总额等指标，结合行业特点制定。</w:t>
      </w:r>
    </w:p>
    <w:p w14:paraId="1C3238F3">
      <w:pPr>
        <w:pStyle w:val="2"/>
        <w:rPr>
          <w:color w:val="auto"/>
          <w:szCs w:val="21"/>
        </w:rPr>
      </w:pPr>
      <w:r>
        <w:rPr>
          <w:rFonts w:hint="eastAsia"/>
          <w:color w:val="auto"/>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1CF02D">
      <w:pPr>
        <w:pStyle w:val="2"/>
        <w:rPr>
          <w:color w:val="auto"/>
          <w:szCs w:val="21"/>
        </w:rPr>
      </w:pPr>
      <w:r>
        <w:rPr>
          <w:rFonts w:hint="eastAsia"/>
          <w:color w:val="auto"/>
          <w:szCs w:val="21"/>
        </w:rPr>
        <w:t>　　四、各行业划型标准为：</w:t>
      </w:r>
    </w:p>
    <w:p w14:paraId="69874068">
      <w:pPr>
        <w:pStyle w:val="2"/>
        <w:rPr>
          <w:color w:val="auto"/>
          <w:szCs w:val="21"/>
        </w:rPr>
      </w:pPr>
      <w:r>
        <w:rPr>
          <w:rFonts w:hint="eastAsia"/>
          <w:color w:val="auto"/>
          <w:szCs w:val="21"/>
        </w:rPr>
        <w:t>　　（一）农、林、牧、渔业。营业收入</w:t>
      </w:r>
      <w:r>
        <w:rPr>
          <w:color w:val="auto"/>
          <w:szCs w:val="21"/>
        </w:rPr>
        <w:t>20000</w:t>
      </w:r>
      <w:r>
        <w:rPr>
          <w:rFonts w:hint="eastAsia"/>
          <w:color w:val="auto"/>
          <w:szCs w:val="21"/>
        </w:rPr>
        <w:t>万元以下的为中小微型企业。其中，营业收入</w:t>
      </w:r>
      <w:r>
        <w:rPr>
          <w:color w:val="auto"/>
          <w:szCs w:val="21"/>
        </w:rPr>
        <w:t>500</w:t>
      </w:r>
      <w:r>
        <w:rPr>
          <w:rFonts w:hint="eastAsia"/>
          <w:color w:val="auto"/>
          <w:szCs w:val="21"/>
        </w:rPr>
        <w:t>万元及以上的为中型企业，营业收入</w:t>
      </w:r>
      <w:r>
        <w:rPr>
          <w:color w:val="auto"/>
          <w:szCs w:val="21"/>
        </w:rPr>
        <w:t>50</w:t>
      </w:r>
      <w:r>
        <w:rPr>
          <w:rFonts w:hint="eastAsia"/>
          <w:color w:val="auto"/>
          <w:szCs w:val="21"/>
        </w:rPr>
        <w:t>万元及以上的为小型企业，营业收入</w:t>
      </w:r>
      <w:r>
        <w:rPr>
          <w:color w:val="auto"/>
          <w:szCs w:val="21"/>
        </w:rPr>
        <w:t>50</w:t>
      </w:r>
      <w:r>
        <w:rPr>
          <w:rFonts w:hint="eastAsia"/>
          <w:color w:val="auto"/>
          <w:szCs w:val="21"/>
        </w:rPr>
        <w:t>万元以下的为微型企业。</w:t>
      </w:r>
    </w:p>
    <w:p w14:paraId="3ED637F2">
      <w:pPr>
        <w:pStyle w:val="2"/>
        <w:rPr>
          <w:color w:val="auto"/>
          <w:szCs w:val="21"/>
        </w:rPr>
      </w:pPr>
      <w:r>
        <w:rPr>
          <w:rFonts w:hint="eastAsia"/>
          <w:color w:val="auto"/>
          <w:szCs w:val="21"/>
        </w:rPr>
        <w:t>　　（二）工业。从业人员</w:t>
      </w:r>
      <w:r>
        <w:rPr>
          <w:color w:val="auto"/>
          <w:szCs w:val="21"/>
        </w:rPr>
        <w:t>1000</w:t>
      </w:r>
      <w:r>
        <w:rPr>
          <w:rFonts w:hint="eastAsia"/>
          <w:color w:val="auto"/>
          <w:szCs w:val="21"/>
        </w:rPr>
        <w:t>人以下或营业收入</w:t>
      </w:r>
      <w:r>
        <w:rPr>
          <w:color w:val="auto"/>
          <w:szCs w:val="21"/>
        </w:rPr>
        <w:t>40000</w:t>
      </w:r>
      <w:r>
        <w:rPr>
          <w:rFonts w:hint="eastAsia"/>
          <w:color w:val="auto"/>
          <w:szCs w:val="21"/>
        </w:rPr>
        <w:t>万元以下的为中小微型企业。其中，从业人员</w:t>
      </w:r>
      <w:r>
        <w:rPr>
          <w:color w:val="auto"/>
          <w:szCs w:val="21"/>
        </w:rPr>
        <w:t>300</w:t>
      </w:r>
      <w:r>
        <w:rPr>
          <w:rFonts w:hint="eastAsia"/>
          <w:color w:val="auto"/>
          <w:szCs w:val="21"/>
        </w:rPr>
        <w:t>人及以上，且营业收入</w:t>
      </w:r>
      <w:r>
        <w:rPr>
          <w:color w:val="auto"/>
          <w:szCs w:val="21"/>
        </w:rPr>
        <w:t>2000</w:t>
      </w:r>
      <w:r>
        <w:rPr>
          <w:rFonts w:hint="eastAsia"/>
          <w:color w:val="auto"/>
          <w:szCs w:val="21"/>
        </w:rPr>
        <w:t>万元及以上的为中型企业；从业人员</w:t>
      </w:r>
      <w:r>
        <w:rPr>
          <w:color w:val="auto"/>
          <w:szCs w:val="21"/>
        </w:rPr>
        <w:t>20</w:t>
      </w:r>
      <w:r>
        <w:rPr>
          <w:rFonts w:hint="eastAsia"/>
          <w:color w:val="auto"/>
          <w:szCs w:val="21"/>
        </w:rPr>
        <w:t>人及以上，且营业收入</w:t>
      </w:r>
      <w:r>
        <w:rPr>
          <w:color w:val="auto"/>
          <w:szCs w:val="21"/>
        </w:rPr>
        <w:t>300</w:t>
      </w:r>
      <w:r>
        <w:rPr>
          <w:rFonts w:hint="eastAsia"/>
          <w:color w:val="auto"/>
          <w:szCs w:val="21"/>
        </w:rPr>
        <w:t>万元及以上的为小型企业；从业人员</w:t>
      </w:r>
      <w:r>
        <w:rPr>
          <w:color w:val="auto"/>
          <w:szCs w:val="21"/>
        </w:rPr>
        <w:t>20</w:t>
      </w:r>
      <w:r>
        <w:rPr>
          <w:rFonts w:hint="eastAsia"/>
          <w:color w:val="auto"/>
          <w:szCs w:val="21"/>
        </w:rPr>
        <w:t>人以下或营业收入</w:t>
      </w:r>
      <w:r>
        <w:rPr>
          <w:color w:val="auto"/>
          <w:szCs w:val="21"/>
        </w:rPr>
        <w:t>300</w:t>
      </w:r>
      <w:r>
        <w:rPr>
          <w:rFonts w:hint="eastAsia"/>
          <w:color w:val="auto"/>
          <w:szCs w:val="21"/>
        </w:rPr>
        <w:t>万元以下的为微型企业。</w:t>
      </w:r>
    </w:p>
    <w:p w14:paraId="7BFD8B10">
      <w:pPr>
        <w:pStyle w:val="2"/>
        <w:rPr>
          <w:color w:val="auto"/>
          <w:szCs w:val="21"/>
        </w:rPr>
      </w:pPr>
      <w:r>
        <w:rPr>
          <w:rFonts w:hint="eastAsia"/>
          <w:color w:val="auto"/>
          <w:szCs w:val="21"/>
        </w:rPr>
        <w:t>　　（三）建筑业。营业收入</w:t>
      </w:r>
      <w:r>
        <w:rPr>
          <w:color w:val="auto"/>
          <w:szCs w:val="21"/>
        </w:rPr>
        <w:t>80000</w:t>
      </w:r>
      <w:r>
        <w:rPr>
          <w:rFonts w:hint="eastAsia"/>
          <w:color w:val="auto"/>
          <w:szCs w:val="21"/>
        </w:rPr>
        <w:t>万元以下或资产总额</w:t>
      </w:r>
      <w:r>
        <w:rPr>
          <w:color w:val="auto"/>
          <w:szCs w:val="21"/>
        </w:rPr>
        <w:t>80000</w:t>
      </w:r>
      <w:r>
        <w:rPr>
          <w:rFonts w:hint="eastAsia"/>
          <w:color w:val="auto"/>
          <w:szCs w:val="21"/>
        </w:rPr>
        <w:t>万元以下的为中小微型企业。其中，营业收入</w:t>
      </w:r>
      <w:r>
        <w:rPr>
          <w:color w:val="auto"/>
          <w:szCs w:val="21"/>
        </w:rPr>
        <w:t>6000</w:t>
      </w:r>
      <w:r>
        <w:rPr>
          <w:rFonts w:hint="eastAsia"/>
          <w:color w:val="auto"/>
          <w:szCs w:val="21"/>
        </w:rPr>
        <w:t>万元及以上，且资产总额</w:t>
      </w:r>
      <w:r>
        <w:rPr>
          <w:color w:val="auto"/>
          <w:szCs w:val="21"/>
        </w:rPr>
        <w:t>5000</w:t>
      </w:r>
      <w:r>
        <w:rPr>
          <w:rFonts w:hint="eastAsia"/>
          <w:color w:val="auto"/>
          <w:szCs w:val="21"/>
        </w:rPr>
        <w:t>万元及以上的为中型企业；营业收入</w:t>
      </w:r>
      <w:r>
        <w:rPr>
          <w:color w:val="auto"/>
          <w:szCs w:val="21"/>
        </w:rPr>
        <w:t>300</w:t>
      </w:r>
      <w:r>
        <w:rPr>
          <w:rFonts w:hint="eastAsia"/>
          <w:color w:val="auto"/>
          <w:szCs w:val="21"/>
        </w:rPr>
        <w:t>万元及以上，且资产总额</w:t>
      </w:r>
      <w:r>
        <w:rPr>
          <w:color w:val="auto"/>
          <w:szCs w:val="21"/>
        </w:rPr>
        <w:t>300</w:t>
      </w:r>
      <w:r>
        <w:rPr>
          <w:rFonts w:hint="eastAsia"/>
          <w:color w:val="auto"/>
          <w:szCs w:val="21"/>
        </w:rPr>
        <w:t>万元及以上的为小型企业；营业收入</w:t>
      </w:r>
      <w:r>
        <w:rPr>
          <w:color w:val="auto"/>
          <w:szCs w:val="21"/>
        </w:rPr>
        <w:t>300</w:t>
      </w:r>
      <w:r>
        <w:rPr>
          <w:rFonts w:hint="eastAsia"/>
          <w:color w:val="auto"/>
          <w:szCs w:val="21"/>
        </w:rPr>
        <w:t>万元以下或资产总额</w:t>
      </w:r>
      <w:r>
        <w:rPr>
          <w:color w:val="auto"/>
          <w:szCs w:val="21"/>
        </w:rPr>
        <w:t>300</w:t>
      </w:r>
      <w:r>
        <w:rPr>
          <w:rFonts w:hint="eastAsia"/>
          <w:color w:val="auto"/>
          <w:szCs w:val="21"/>
        </w:rPr>
        <w:t>万元以下的为微型企业。</w:t>
      </w:r>
    </w:p>
    <w:p w14:paraId="6F74C6E7">
      <w:pPr>
        <w:pStyle w:val="2"/>
        <w:rPr>
          <w:color w:val="auto"/>
          <w:szCs w:val="21"/>
        </w:rPr>
      </w:pPr>
      <w:r>
        <w:rPr>
          <w:rFonts w:hint="eastAsia"/>
          <w:color w:val="auto"/>
          <w:szCs w:val="21"/>
        </w:rPr>
        <w:t>　　（四）批发业。从业人员</w:t>
      </w:r>
      <w:r>
        <w:rPr>
          <w:color w:val="auto"/>
          <w:szCs w:val="21"/>
        </w:rPr>
        <w:t>200</w:t>
      </w:r>
      <w:r>
        <w:rPr>
          <w:rFonts w:hint="eastAsia"/>
          <w:color w:val="auto"/>
          <w:szCs w:val="21"/>
        </w:rPr>
        <w:t>人以下或营业收入</w:t>
      </w:r>
      <w:r>
        <w:rPr>
          <w:color w:val="auto"/>
          <w:szCs w:val="21"/>
        </w:rPr>
        <w:t>40000</w:t>
      </w:r>
      <w:r>
        <w:rPr>
          <w:rFonts w:hint="eastAsia"/>
          <w:color w:val="auto"/>
          <w:szCs w:val="21"/>
        </w:rPr>
        <w:t>万元以下的为中小微型企业。其中，从业人员</w:t>
      </w:r>
      <w:r>
        <w:rPr>
          <w:color w:val="auto"/>
          <w:szCs w:val="21"/>
        </w:rPr>
        <w:t>20</w:t>
      </w:r>
      <w:r>
        <w:rPr>
          <w:rFonts w:hint="eastAsia"/>
          <w:color w:val="auto"/>
          <w:szCs w:val="21"/>
        </w:rPr>
        <w:t>人及以上，且营业收入</w:t>
      </w:r>
      <w:r>
        <w:rPr>
          <w:color w:val="auto"/>
          <w:szCs w:val="21"/>
        </w:rPr>
        <w:t>5000</w:t>
      </w:r>
      <w:r>
        <w:rPr>
          <w:rFonts w:hint="eastAsia"/>
          <w:color w:val="auto"/>
          <w:szCs w:val="21"/>
        </w:rPr>
        <w:t>万元及以上的为中型企业；从业人员</w:t>
      </w:r>
      <w:r>
        <w:rPr>
          <w:color w:val="auto"/>
          <w:szCs w:val="21"/>
        </w:rPr>
        <w:t>5</w:t>
      </w:r>
      <w:r>
        <w:rPr>
          <w:rFonts w:hint="eastAsia"/>
          <w:color w:val="auto"/>
          <w:szCs w:val="21"/>
        </w:rPr>
        <w:t>人及以上，且营业收入</w:t>
      </w:r>
      <w:r>
        <w:rPr>
          <w:color w:val="auto"/>
          <w:szCs w:val="21"/>
        </w:rPr>
        <w:t>1000</w:t>
      </w:r>
      <w:r>
        <w:rPr>
          <w:rFonts w:hint="eastAsia"/>
          <w:color w:val="auto"/>
          <w:szCs w:val="21"/>
        </w:rPr>
        <w:t>万元及以上的为小型企业；从业人员</w:t>
      </w:r>
      <w:r>
        <w:rPr>
          <w:color w:val="auto"/>
          <w:szCs w:val="21"/>
        </w:rPr>
        <w:t>5</w:t>
      </w:r>
      <w:r>
        <w:rPr>
          <w:rFonts w:hint="eastAsia"/>
          <w:color w:val="auto"/>
          <w:szCs w:val="21"/>
        </w:rPr>
        <w:t>人以下或营业收入</w:t>
      </w:r>
      <w:r>
        <w:rPr>
          <w:color w:val="auto"/>
          <w:szCs w:val="21"/>
        </w:rPr>
        <w:t>1000</w:t>
      </w:r>
      <w:r>
        <w:rPr>
          <w:rFonts w:hint="eastAsia"/>
          <w:color w:val="auto"/>
          <w:szCs w:val="21"/>
        </w:rPr>
        <w:t>万元以下的为微型企业。</w:t>
      </w:r>
    </w:p>
    <w:p w14:paraId="3C8491EE">
      <w:pPr>
        <w:pStyle w:val="2"/>
        <w:rPr>
          <w:color w:val="auto"/>
          <w:szCs w:val="21"/>
        </w:rPr>
      </w:pPr>
      <w:r>
        <w:rPr>
          <w:rFonts w:hint="eastAsia"/>
          <w:color w:val="auto"/>
          <w:szCs w:val="21"/>
        </w:rPr>
        <w:t>　　（五）零售业。从业人员</w:t>
      </w:r>
      <w:r>
        <w:rPr>
          <w:color w:val="auto"/>
          <w:szCs w:val="21"/>
        </w:rPr>
        <w:t>300</w:t>
      </w:r>
      <w:r>
        <w:rPr>
          <w:rFonts w:hint="eastAsia"/>
          <w:color w:val="auto"/>
          <w:szCs w:val="21"/>
        </w:rPr>
        <w:t>人以下或营业收入</w:t>
      </w:r>
      <w:r>
        <w:rPr>
          <w:color w:val="auto"/>
          <w:szCs w:val="21"/>
        </w:rPr>
        <w:t>20000</w:t>
      </w:r>
      <w:r>
        <w:rPr>
          <w:rFonts w:hint="eastAsia"/>
          <w:color w:val="auto"/>
          <w:szCs w:val="21"/>
        </w:rPr>
        <w:t>万元以下的为中小微型企业。其中，从业人员</w:t>
      </w:r>
      <w:r>
        <w:rPr>
          <w:color w:val="auto"/>
          <w:szCs w:val="21"/>
        </w:rPr>
        <w:t>50</w:t>
      </w:r>
      <w:r>
        <w:rPr>
          <w:rFonts w:hint="eastAsia"/>
          <w:color w:val="auto"/>
          <w:szCs w:val="21"/>
        </w:rPr>
        <w:t>人及以上，且营业收入</w:t>
      </w:r>
      <w:r>
        <w:rPr>
          <w:color w:val="auto"/>
          <w:szCs w:val="21"/>
        </w:rPr>
        <w:t>500</w:t>
      </w:r>
      <w:r>
        <w:rPr>
          <w:rFonts w:hint="eastAsia"/>
          <w:color w:val="auto"/>
          <w:szCs w:val="21"/>
        </w:rPr>
        <w:t>万元及以上的为中型企业；从业人员</w:t>
      </w:r>
      <w:r>
        <w:rPr>
          <w:color w:val="auto"/>
          <w:szCs w:val="21"/>
        </w:rPr>
        <w:t>10</w:t>
      </w:r>
      <w:r>
        <w:rPr>
          <w:rFonts w:hint="eastAsia"/>
          <w:color w:val="auto"/>
          <w:szCs w:val="21"/>
        </w:rPr>
        <w:t>人及以上，且营业收入</w:t>
      </w:r>
      <w:r>
        <w:rPr>
          <w:color w:val="auto"/>
          <w:szCs w:val="21"/>
        </w:rPr>
        <w:t>100</w:t>
      </w:r>
      <w:r>
        <w:rPr>
          <w:rFonts w:hint="eastAsia"/>
          <w:color w:val="auto"/>
          <w:szCs w:val="21"/>
        </w:rPr>
        <w:t>万元及以上的为小型企业；从业人员</w:t>
      </w:r>
      <w:r>
        <w:rPr>
          <w:color w:val="auto"/>
          <w:szCs w:val="21"/>
        </w:rPr>
        <w:t>10</w:t>
      </w:r>
      <w:r>
        <w:rPr>
          <w:rFonts w:hint="eastAsia"/>
          <w:color w:val="auto"/>
          <w:szCs w:val="21"/>
        </w:rPr>
        <w:t>人以下或营业收入</w:t>
      </w:r>
      <w:r>
        <w:rPr>
          <w:color w:val="auto"/>
          <w:szCs w:val="21"/>
        </w:rPr>
        <w:t>100</w:t>
      </w:r>
      <w:r>
        <w:rPr>
          <w:rFonts w:hint="eastAsia"/>
          <w:color w:val="auto"/>
          <w:szCs w:val="21"/>
        </w:rPr>
        <w:t>万元以下的为微型企业。</w:t>
      </w:r>
    </w:p>
    <w:p w14:paraId="48C01738">
      <w:pPr>
        <w:pStyle w:val="2"/>
        <w:rPr>
          <w:color w:val="auto"/>
          <w:szCs w:val="21"/>
        </w:rPr>
      </w:pPr>
      <w:r>
        <w:rPr>
          <w:rFonts w:hint="eastAsia"/>
          <w:color w:val="auto"/>
          <w:szCs w:val="21"/>
        </w:rPr>
        <w:t>　　（六）交通运输业。从业人员</w:t>
      </w:r>
      <w:r>
        <w:rPr>
          <w:color w:val="auto"/>
          <w:szCs w:val="21"/>
        </w:rPr>
        <w:t>1000</w:t>
      </w:r>
      <w:r>
        <w:rPr>
          <w:rFonts w:hint="eastAsia"/>
          <w:color w:val="auto"/>
          <w:szCs w:val="21"/>
        </w:rPr>
        <w:t>人以下或营业收入</w:t>
      </w:r>
      <w:r>
        <w:rPr>
          <w:color w:val="auto"/>
          <w:szCs w:val="21"/>
        </w:rPr>
        <w:t>30000</w:t>
      </w:r>
      <w:r>
        <w:rPr>
          <w:rFonts w:hint="eastAsia"/>
          <w:color w:val="auto"/>
          <w:szCs w:val="21"/>
        </w:rPr>
        <w:t>万元以下的为中小微型企业。其中，从业人员</w:t>
      </w:r>
      <w:r>
        <w:rPr>
          <w:color w:val="auto"/>
          <w:szCs w:val="21"/>
        </w:rPr>
        <w:t>300</w:t>
      </w:r>
      <w:r>
        <w:rPr>
          <w:rFonts w:hint="eastAsia"/>
          <w:color w:val="auto"/>
          <w:szCs w:val="21"/>
        </w:rPr>
        <w:t>人及以上，且营业收入</w:t>
      </w:r>
      <w:r>
        <w:rPr>
          <w:color w:val="auto"/>
          <w:szCs w:val="21"/>
        </w:rPr>
        <w:t>3000</w:t>
      </w:r>
      <w:r>
        <w:rPr>
          <w:rFonts w:hint="eastAsia"/>
          <w:color w:val="auto"/>
          <w:szCs w:val="21"/>
        </w:rPr>
        <w:t>万元及以上的为中型企业；从业人员</w:t>
      </w:r>
      <w:r>
        <w:rPr>
          <w:color w:val="auto"/>
          <w:szCs w:val="21"/>
        </w:rPr>
        <w:t>20</w:t>
      </w:r>
      <w:r>
        <w:rPr>
          <w:rFonts w:hint="eastAsia"/>
          <w:color w:val="auto"/>
          <w:szCs w:val="21"/>
        </w:rPr>
        <w:t>人及以上，且营业收入</w:t>
      </w:r>
      <w:r>
        <w:rPr>
          <w:color w:val="auto"/>
          <w:szCs w:val="21"/>
        </w:rPr>
        <w:t>200</w:t>
      </w:r>
      <w:r>
        <w:rPr>
          <w:rFonts w:hint="eastAsia"/>
          <w:color w:val="auto"/>
          <w:szCs w:val="21"/>
        </w:rPr>
        <w:t>万元及以上的为小型企业；从业人员</w:t>
      </w:r>
      <w:r>
        <w:rPr>
          <w:color w:val="auto"/>
          <w:szCs w:val="21"/>
        </w:rPr>
        <w:t>20</w:t>
      </w:r>
      <w:r>
        <w:rPr>
          <w:rFonts w:hint="eastAsia"/>
          <w:color w:val="auto"/>
          <w:szCs w:val="21"/>
        </w:rPr>
        <w:t>人以下或营业收入</w:t>
      </w:r>
      <w:r>
        <w:rPr>
          <w:color w:val="auto"/>
          <w:szCs w:val="21"/>
        </w:rPr>
        <w:t>200</w:t>
      </w:r>
      <w:r>
        <w:rPr>
          <w:rFonts w:hint="eastAsia"/>
          <w:color w:val="auto"/>
          <w:szCs w:val="21"/>
        </w:rPr>
        <w:t>万元以下的为微型企业。</w:t>
      </w:r>
    </w:p>
    <w:p w14:paraId="5DAD8FA1">
      <w:pPr>
        <w:pStyle w:val="2"/>
        <w:rPr>
          <w:color w:val="auto"/>
          <w:szCs w:val="21"/>
        </w:rPr>
      </w:pPr>
      <w:r>
        <w:rPr>
          <w:rFonts w:hint="eastAsia"/>
          <w:color w:val="auto"/>
          <w:szCs w:val="21"/>
        </w:rPr>
        <w:t>　　（七）仓储业。从业人员</w:t>
      </w:r>
      <w:r>
        <w:rPr>
          <w:color w:val="auto"/>
          <w:szCs w:val="21"/>
        </w:rPr>
        <w:t>200</w:t>
      </w:r>
      <w:r>
        <w:rPr>
          <w:rFonts w:hint="eastAsia"/>
          <w:color w:val="auto"/>
          <w:szCs w:val="21"/>
        </w:rPr>
        <w:t>人以下或营业收入</w:t>
      </w:r>
      <w:r>
        <w:rPr>
          <w:color w:val="auto"/>
          <w:szCs w:val="21"/>
        </w:rPr>
        <w:t>30000</w:t>
      </w:r>
      <w:r>
        <w:rPr>
          <w:rFonts w:hint="eastAsia"/>
          <w:color w:val="auto"/>
          <w:szCs w:val="21"/>
        </w:rPr>
        <w:t>万元以下的为中小微型企业。其中，从业人员</w:t>
      </w:r>
      <w:r>
        <w:rPr>
          <w:color w:val="auto"/>
          <w:szCs w:val="21"/>
        </w:rPr>
        <w:t>100</w:t>
      </w:r>
      <w:r>
        <w:rPr>
          <w:rFonts w:hint="eastAsia"/>
          <w:color w:val="auto"/>
          <w:szCs w:val="21"/>
        </w:rPr>
        <w:t>人及以上，且营业收入</w:t>
      </w:r>
      <w:r>
        <w:rPr>
          <w:color w:val="auto"/>
          <w:szCs w:val="21"/>
        </w:rPr>
        <w:t>1000</w:t>
      </w:r>
      <w:r>
        <w:rPr>
          <w:rFonts w:hint="eastAsia"/>
          <w:color w:val="auto"/>
          <w:szCs w:val="21"/>
        </w:rPr>
        <w:t>万元及以上的为中型企业；从业人员</w:t>
      </w:r>
      <w:r>
        <w:rPr>
          <w:color w:val="auto"/>
          <w:szCs w:val="21"/>
        </w:rPr>
        <w:t>20</w:t>
      </w:r>
      <w:r>
        <w:rPr>
          <w:rFonts w:hint="eastAsia"/>
          <w:color w:val="auto"/>
          <w:szCs w:val="21"/>
        </w:rPr>
        <w:t>人及以上，且营业收入</w:t>
      </w:r>
      <w:r>
        <w:rPr>
          <w:color w:val="auto"/>
          <w:szCs w:val="21"/>
        </w:rPr>
        <w:t>100</w:t>
      </w:r>
      <w:r>
        <w:rPr>
          <w:rFonts w:hint="eastAsia"/>
          <w:color w:val="auto"/>
          <w:szCs w:val="21"/>
        </w:rPr>
        <w:t>万元及以上的为小型企业；从业人员</w:t>
      </w:r>
      <w:r>
        <w:rPr>
          <w:color w:val="auto"/>
          <w:szCs w:val="21"/>
        </w:rPr>
        <w:t>20</w:t>
      </w:r>
      <w:r>
        <w:rPr>
          <w:rFonts w:hint="eastAsia"/>
          <w:color w:val="auto"/>
          <w:szCs w:val="21"/>
        </w:rPr>
        <w:t>人以下或营业收入</w:t>
      </w:r>
      <w:r>
        <w:rPr>
          <w:color w:val="auto"/>
          <w:szCs w:val="21"/>
        </w:rPr>
        <w:t>100</w:t>
      </w:r>
      <w:r>
        <w:rPr>
          <w:rFonts w:hint="eastAsia"/>
          <w:color w:val="auto"/>
          <w:szCs w:val="21"/>
        </w:rPr>
        <w:t>万元以下的为微型企业。</w:t>
      </w:r>
    </w:p>
    <w:p w14:paraId="0A614FE0">
      <w:pPr>
        <w:pStyle w:val="2"/>
        <w:rPr>
          <w:color w:val="auto"/>
          <w:szCs w:val="21"/>
        </w:rPr>
      </w:pPr>
      <w:r>
        <w:rPr>
          <w:rFonts w:hint="eastAsia"/>
          <w:color w:val="auto"/>
          <w:szCs w:val="21"/>
        </w:rPr>
        <w:t>　　（八）邮政业。从业人员</w:t>
      </w:r>
      <w:r>
        <w:rPr>
          <w:color w:val="auto"/>
          <w:szCs w:val="21"/>
        </w:rPr>
        <w:t>1000</w:t>
      </w:r>
      <w:r>
        <w:rPr>
          <w:rFonts w:hint="eastAsia"/>
          <w:color w:val="auto"/>
          <w:szCs w:val="21"/>
        </w:rPr>
        <w:t>人以下或营业收入</w:t>
      </w:r>
      <w:r>
        <w:rPr>
          <w:color w:val="auto"/>
          <w:szCs w:val="21"/>
        </w:rPr>
        <w:t>30000</w:t>
      </w:r>
      <w:r>
        <w:rPr>
          <w:rFonts w:hint="eastAsia"/>
          <w:color w:val="auto"/>
          <w:szCs w:val="21"/>
        </w:rPr>
        <w:t>万元以下的为中小微型企业。其中，从业人员</w:t>
      </w:r>
      <w:r>
        <w:rPr>
          <w:color w:val="auto"/>
          <w:szCs w:val="21"/>
        </w:rPr>
        <w:t>300</w:t>
      </w:r>
      <w:r>
        <w:rPr>
          <w:rFonts w:hint="eastAsia"/>
          <w:color w:val="auto"/>
          <w:szCs w:val="21"/>
        </w:rPr>
        <w:t>人及以上，且营业收入</w:t>
      </w:r>
      <w:r>
        <w:rPr>
          <w:color w:val="auto"/>
          <w:szCs w:val="21"/>
        </w:rPr>
        <w:t>2000</w:t>
      </w:r>
      <w:r>
        <w:rPr>
          <w:rFonts w:hint="eastAsia"/>
          <w:color w:val="auto"/>
          <w:szCs w:val="21"/>
        </w:rPr>
        <w:t>万元及以上的为中型企业；从业人员</w:t>
      </w:r>
      <w:r>
        <w:rPr>
          <w:color w:val="auto"/>
          <w:szCs w:val="21"/>
        </w:rPr>
        <w:t>20</w:t>
      </w:r>
      <w:r>
        <w:rPr>
          <w:rFonts w:hint="eastAsia"/>
          <w:color w:val="auto"/>
          <w:szCs w:val="21"/>
        </w:rPr>
        <w:t>人及以上，且营业收入</w:t>
      </w:r>
      <w:r>
        <w:rPr>
          <w:color w:val="auto"/>
          <w:szCs w:val="21"/>
        </w:rPr>
        <w:t>100</w:t>
      </w:r>
      <w:r>
        <w:rPr>
          <w:rFonts w:hint="eastAsia"/>
          <w:color w:val="auto"/>
          <w:szCs w:val="21"/>
        </w:rPr>
        <w:t>万元及以上的为小型企业；从业人员</w:t>
      </w:r>
      <w:r>
        <w:rPr>
          <w:color w:val="auto"/>
          <w:szCs w:val="21"/>
        </w:rPr>
        <w:t>20</w:t>
      </w:r>
      <w:r>
        <w:rPr>
          <w:rFonts w:hint="eastAsia"/>
          <w:color w:val="auto"/>
          <w:szCs w:val="21"/>
        </w:rPr>
        <w:t>人以下或营业收入</w:t>
      </w:r>
      <w:r>
        <w:rPr>
          <w:color w:val="auto"/>
          <w:szCs w:val="21"/>
        </w:rPr>
        <w:t>100</w:t>
      </w:r>
      <w:r>
        <w:rPr>
          <w:rFonts w:hint="eastAsia"/>
          <w:color w:val="auto"/>
          <w:szCs w:val="21"/>
        </w:rPr>
        <w:t>万元以下的为微型企业。</w:t>
      </w:r>
    </w:p>
    <w:p w14:paraId="6300BF21">
      <w:pPr>
        <w:pStyle w:val="2"/>
        <w:rPr>
          <w:color w:val="auto"/>
          <w:szCs w:val="21"/>
        </w:rPr>
      </w:pPr>
      <w:r>
        <w:rPr>
          <w:rFonts w:hint="eastAsia"/>
          <w:color w:val="auto"/>
          <w:szCs w:val="21"/>
        </w:rPr>
        <w:t>　　（九）住宿业。从业人员</w:t>
      </w:r>
      <w:r>
        <w:rPr>
          <w:color w:val="auto"/>
          <w:szCs w:val="21"/>
        </w:rPr>
        <w:t>300</w:t>
      </w:r>
      <w:r>
        <w:rPr>
          <w:rFonts w:hint="eastAsia"/>
          <w:color w:val="auto"/>
          <w:szCs w:val="21"/>
        </w:rPr>
        <w:t>人以下或营业收入</w:t>
      </w:r>
      <w:r>
        <w:rPr>
          <w:color w:val="auto"/>
          <w:szCs w:val="21"/>
        </w:rPr>
        <w:t>10000</w:t>
      </w:r>
      <w:r>
        <w:rPr>
          <w:rFonts w:hint="eastAsia"/>
          <w:color w:val="auto"/>
          <w:szCs w:val="21"/>
        </w:rPr>
        <w:t>万元以下的为中小微型企业。其中，从业人员</w:t>
      </w:r>
      <w:r>
        <w:rPr>
          <w:color w:val="auto"/>
          <w:szCs w:val="21"/>
        </w:rPr>
        <w:t>100</w:t>
      </w:r>
      <w:r>
        <w:rPr>
          <w:rFonts w:hint="eastAsia"/>
          <w:color w:val="auto"/>
          <w:szCs w:val="21"/>
        </w:rPr>
        <w:t>人及以上，且营业收入</w:t>
      </w:r>
      <w:r>
        <w:rPr>
          <w:color w:val="auto"/>
          <w:szCs w:val="21"/>
        </w:rPr>
        <w:t>2000</w:t>
      </w:r>
      <w:r>
        <w:rPr>
          <w:rFonts w:hint="eastAsia"/>
          <w:color w:val="auto"/>
          <w:szCs w:val="21"/>
        </w:rPr>
        <w:t>万元及以上的为中型企业；从业人员</w:t>
      </w:r>
      <w:r>
        <w:rPr>
          <w:color w:val="auto"/>
          <w:szCs w:val="21"/>
        </w:rPr>
        <w:t>10</w:t>
      </w:r>
      <w:r>
        <w:rPr>
          <w:rFonts w:hint="eastAsia"/>
          <w:color w:val="auto"/>
          <w:szCs w:val="21"/>
        </w:rPr>
        <w:t>人及以上，且营业收入</w:t>
      </w:r>
      <w:r>
        <w:rPr>
          <w:color w:val="auto"/>
          <w:szCs w:val="21"/>
        </w:rPr>
        <w:t>100</w:t>
      </w:r>
      <w:r>
        <w:rPr>
          <w:rFonts w:hint="eastAsia"/>
          <w:color w:val="auto"/>
          <w:szCs w:val="21"/>
        </w:rPr>
        <w:t>万元及以上的为小型企业；从业人员</w:t>
      </w:r>
      <w:r>
        <w:rPr>
          <w:color w:val="auto"/>
          <w:szCs w:val="21"/>
        </w:rPr>
        <w:t>10</w:t>
      </w:r>
      <w:r>
        <w:rPr>
          <w:rFonts w:hint="eastAsia"/>
          <w:color w:val="auto"/>
          <w:szCs w:val="21"/>
        </w:rPr>
        <w:t>人以下或营业收入</w:t>
      </w:r>
      <w:r>
        <w:rPr>
          <w:color w:val="auto"/>
          <w:szCs w:val="21"/>
        </w:rPr>
        <w:t>100</w:t>
      </w:r>
      <w:r>
        <w:rPr>
          <w:rFonts w:hint="eastAsia"/>
          <w:color w:val="auto"/>
          <w:szCs w:val="21"/>
        </w:rPr>
        <w:t>万元以下的为微型企业。</w:t>
      </w:r>
    </w:p>
    <w:p w14:paraId="570BF352">
      <w:pPr>
        <w:pStyle w:val="2"/>
        <w:rPr>
          <w:color w:val="auto"/>
          <w:szCs w:val="21"/>
        </w:rPr>
      </w:pPr>
      <w:r>
        <w:rPr>
          <w:rFonts w:hint="eastAsia"/>
          <w:color w:val="auto"/>
          <w:szCs w:val="21"/>
        </w:rPr>
        <w:t>　　（十）餐饮业。从业人员</w:t>
      </w:r>
      <w:r>
        <w:rPr>
          <w:color w:val="auto"/>
          <w:szCs w:val="21"/>
        </w:rPr>
        <w:t>300</w:t>
      </w:r>
      <w:r>
        <w:rPr>
          <w:rFonts w:hint="eastAsia"/>
          <w:color w:val="auto"/>
          <w:szCs w:val="21"/>
        </w:rPr>
        <w:t>人以下或营业收入</w:t>
      </w:r>
      <w:r>
        <w:rPr>
          <w:color w:val="auto"/>
          <w:szCs w:val="21"/>
        </w:rPr>
        <w:t>10000</w:t>
      </w:r>
      <w:r>
        <w:rPr>
          <w:rFonts w:hint="eastAsia"/>
          <w:color w:val="auto"/>
          <w:szCs w:val="21"/>
        </w:rPr>
        <w:t>万元以下的为中小微型企业。其中，从业人员</w:t>
      </w:r>
      <w:r>
        <w:rPr>
          <w:color w:val="auto"/>
          <w:szCs w:val="21"/>
        </w:rPr>
        <w:t>100</w:t>
      </w:r>
      <w:r>
        <w:rPr>
          <w:rFonts w:hint="eastAsia"/>
          <w:color w:val="auto"/>
          <w:szCs w:val="21"/>
        </w:rPr>
        <w:t>人及以上，且营业收入</w:t>
      </w:r>
      <w:r>
        <w:rPr>
          <w:color w:val="auto"/>
          <w:szCs w:val="21"/>
        </w:rPr>
        <w:t>2000</w:t>
      </w:r>
      <w:r>
        <w:rPr>
          <w:rFonts w:hint="eastAsia"/>
          <w:color w:val="auto"/>
          <w:szCs w:val="21"/>
        </w:rPr>
        <w:t>万元及以上的为中型企业；从业人员</w:t>
      </w:r>
      <w:r>
        <w:rPr>
          <w:color w:val="auto"/>
          <w:szCs w:val="21"/>
        </w:rPr>
        <w:t>10</w:t>
      </w:r>
      <w:r>
        <w:rPr>
          <w:rFonts w:hint="eastAsia"/>
          <w:color w:val="auto"/>
          <w:szCs w:val="21"/>
        </w:rPr>
        <w:t>人及以上，且营业收入</w:t>
      </w:r>
      <w:r>
        <w:rPr>
          <w:color w:val="auto"/>
          <w:szCs w:val="21"/>
        </w:rPr>
        <w:t>100</w:t>
      </w:r>
      <w:r>
        <w:rPr>
          <w:rFonts w:hint="eastAsia"/>
          <w:color w:val="auto"/>
          <w:szCs w:val="21"/>
        </w:rPr>
        <w:t>万元及以上的为小型企业；从业人员</w:t>
      </w:r>
      <w:r>
        <w:rPr>
          <w:color w:val="auto"/>
          <w:szCs w:val="21"/>
        </w:rPr>
        <w:t>10</w:t>
      </w:r>
      <w:r>
        <w:rPr>
          <w:rFonts w:hint="eastAsia"/>
          <w:color w:val="auto"/>
          <w:szCs w:val="21"/>
        </w:rPr>
        <w:t>人以下或营业收入</w:t>
      </w:r>
      <w:r>
        <w:rPr>
          <w:color w:val="auto"/>
          <w:szCs w:val="21"/>
        </w:rPr>
        <w:t>100</w:t>
      </w:r>
      <w:r>
        <w:rPr>
          <w:rFonts w:hint="eastAsia"/>
          <w:color w:val="auto"/>
          <w:szCs w:val="21"/>
        </w:rPr>
        <w:t>万元以下的为微型企业。</w:t>
      </w:r>
    </w:p>
    <w:p w14:paraId="61B0C1FB">
      <w:pPr>
        <w:pStyle w:val="2"/>
        <w:rPr>
          <w:color w:val="auto"/>
          <w:szCs w:val="21"/>
        </w:rPr>
      </w:pPr>
      <w:r>
        <w:rPr>
          <w:rFonts w:hint="eastAsia"/>
          <w:color w:val="auto"/>
          <w:szCs w:val="21"/>
        </w:rPr>
        <w:t>　　（十一）信息传输业。从业人员</w:t>
      </w:r>
      <w:r>
        <w:rPr>
          <w:color w:val="auto"/>
          <w:szCs w:val="21"/>
        </w:rPr>
        <w:t>2000</w:t>
      </w:r>
      <w:r>
        <w:rPr>
          <w:rFonts w:hint="eastAsia"/>
          <w:color w:val="auto"/>
          <w:szCs w:val="21"/>
        </w:rPr>
        <w:t>人以下或营业收入</w:t>
      </w:r>
      <w:r>
        <w:rPr>
          <w:color w:val="auto"/>
          <w:szCs w:val="21"/>
        </w:rPr>
        <w:t>100000</w:t>
      </w:r>
      <w:r>
        <w:rPr>
          <w:rFonts w:hint="eastAsia"/>
          <w:color w:val="auto"/>
          <w:szCs w:val="21"/>
        </w:rPr>
        <w:t>万元以下的为中小微型企业。其中，从业人员</w:t>
      </w:r>
      <w:r>
        <w:rPr>
          <w:color w:val="auto"/>
          <w:szCs w:val="21"/>
        </w:rPr>
        <w:t>100</w:t>
      </w:r>
      <w:r>
        <w:rPr>
          <w:rFonts w:hint="eastAsia"/>
          <w:color w:val="auto"/>
          <w:szCs w:val="21"/>
        </w:rPr>
        <w:t>人及以上，且营业收入</w:t>
      </w:r>
      <w:r>
        <w:rPr>
          <w:color w:val="auto"/>
          <w:szCs w:val="21"/>
        </w:rPr>
        <w:t>1000</w:t>
      </w:r>
      <w:r>
        <w:rPr>
          <w:rFonts w:hint="eastAsia"/>
          <w:color w:val="auto"/>
          <w:szCs w:val="21"/>
        </w:rPr>
        <w:t>万元及以上的为中型企业；从业人员</w:t>
      </w:r>
      <w:r>
        <w:rPr>
          <w:color w:val="auto"/>
          <w:szCs w:val="21"/>
        </w:rPr>
        <w:t>10</w:t>
      </w:r>
      <w:r>
        <w:rPr>
          <w:rFonts w:hint="eastAsia"/>
          <w:color w:val="auto"/>
          <w:szCs w:val="21"/>
        </w:rPr>
        <w:t>人及以上，且营业收入</w:t>
      </w:r>
      <w:r>
        <w:rPr>
          <w:color w:val="auto"/>
          <w:szCs w:val="21"/>
        </w:rPr>
        <w:t>100</w:t>
      </w:r>
      <w:r>
        <w:rPr>
          <w:rFonts w:hint="eastAsia"/>
          <w:color w:val="auto"/>
          <w:szCs w:val="21"/>
        </w:rPr>
        <w:t>万元及以上的为小型企业；从业人员</w:t>
      </w:r>
      <w:r>
        <w:rPr>
          <w:color w:val="auto"/>
          <w:szCs w:val="21"/>
        </w:rPr>
        <w:t>10</w:t>
      </w:r>
      <w:r>
        <w:rPr>
          <w:rFonts w:hint="eastAsia"/>
          <w:color w:val="auto"/>
          <w:szCs w:val="21"/>
        </w:rPr>
        <w:t>人以下或营业收入</w:t>
      </w:r>
      <w:r>
        <w:rPr>
          <w:color w:val="auto"/>
          <w:szCs w:val="21"/>
        </w:rPr>
        <w:t>100</w:t>
      </w:r>
      <w:r>
        <w:rPr>
          <w:rFonts w:hint="eastAsia"/>
          <w:color w:val="auto"/>
          <w:szCs w:val="21"/>
        </w:rPr>
        <w:t>万元以下的为微型企业。</w:t>
      </w:r>
    </w:p>
    <w:p w14:paraId="3869C792">
      <w:pPr>
        <w:pStyle w:val="2"/>
        <w:rPr>
          <w:color w:val="auto"/>
          <w:szCs w:val="21"/>
        </w:rPr>
      </w:pPr>
      <w:r>
        <w:rPr>
          <w:rFonts w:hint="eastAsia"/>
          <w:color w:val="auto"/>
          <w:szCs w:val="21"/>
        </w:rPr>
        <w:t>　　（十二）软件和信息技术服务业。从业人员</w:t>
      </w:r>
      <w:r>
        <w:rPr>
          <w:color w:val="auto"/>
          <w:szCs w:val="21"/>
        </w:rPr>
        <w:t>300</w:t>
      </w:r>
      <w:r>
        <w:rPr>
          <w:rFonts w:hint="eastAsia"/>
          <w:color w:val="auto"/>
          <w:szCs w:val="21"/>
        </w:rPr>
        <w:t>人以下或营业收入</w:t>
      </w:r>
      <w:r>
        <w:rPr>
          <w:color w:val="auto"/>
          <w:szCs w:val="21"/>
        </w:rPr>
        <w:t>10000</w:t>
      </w:r>
      <w:r>
        <w:rPr>
          <w:rFonts w:hint="eastAsia"/>
          <w:color w:val="auto"/>
          <w:szCs w:val="21"/>
        </w:rPr>
        <w:t>万元以下的为中小微型企业。其中，从业人员</w:t>
      </w:r>
      <w:r>
        <w:rPr>
          <w:color w:val="auto"/>
          <w:szCs w:val="21"/>
        </w:rPr>
        <w:t>100</w:t>
      </w:r>
      <w:r>
        <w:rPr>
          <w:rFonts w:hint="eastAsia"/>
          <w:color w:val="auto"/>
          <w:szCs w:val="21"/>
        </w:rPr>
        <w:t>人及以上，且营业收入</w:t>
      </w:r>
      <w:r>
        <w:rPr>
          <w:color w:val="auto"/>
          <w:szCs w:val="21"/>
        </w:rPr>
        <w:t>1000</w:t>
      </w:r>
      <w:r>
        <w:rPr>
          <w:rFonts w:hint="eastAsia"/>
          <w:color w:val="auto"/>
          <w:szCs w:val="21"/>
        </w:rPr>
        <w:t>万元及以上的为中型企业；从业人员</w:t>
      </w:r>
      <w:r>
        <w:rPr>
          <w:color w:val="auto"/>
          <w:szCs w:val="21"/>
        </w:rPr>
        <w:t>10</w:t>
      </w:r>
      <w:r>
        <w:rPr>
          <w:rFonts w:hint="eastAsia"/>
          <w:color w:val="auto"/>
          <w:szCs w:val="21"/>
        </w:rPr>
        <w:t>人及以上，且营业收入</w:t>
      </w:r>
      <w:r>
        <w:rPr>
          <w:color w:val="auto"/>
          <w:szCs w:val="21"/>
        </w:rPr>
        <w:t>50</w:t>
      </w:r>
      <w:r>
        <w:rPr>
          <w:rFonts w:hint="eastAsia"/>
          <w:color w:val="auto"/>
          <w:szCs w:val="21"/>
        </w:rPr>
        <w:t>万元及以上的为小型企业；从业人员</w:t>
      </w:r>
      <w:r>
        <w:rPr>
          <w:color w:val="auto"/>
          <w:szCs w:val="21"/>
        </w:rPr>
        <w:t>10</w:t>
      </w:r>
      <w:r>
        <w:rPr>
          <w:rFonts w:hint="eastAsia"/>
          <w:color w:val="auto"/>
          <w:szCs w:val="21"/>
        </w:rPr>
        <w:t>人以下或营业收入</w:t>
      </w:r>
      <w:r>
        <w:rPr>
          <w:color w:val="auto"/>
          <w:szCs w:val="21"/>
        </w:rPr>
        <w:t>50</w:t>
      </w:r>
      <w:r>
        <w:rPr>
          <w:rFonts w:hint="eastAsia"/>
          <w:color w:val="auto"/>
          <w:szCs w:val="21"/>
        </w:rPr>
        <w:t>万元以下的为微型企业。</w:t>
      </w:r>
    </w:p>
    <w:p w14:paraId="3A37C6E7">
      <w:pPr>
        <w:pStyle w:val="2"/>
        <w:rPr>
          <w:color w:val="auto"/>
          <w:szCs w:val="21"/>
        </w:rPr>
      </w:pPr>
      <w:r>
        <w:rPr>
          <w:rFonts w:hint="eastAsia"/>
          <w:color w:val="auto"/>
          <w:szCs w:val="21"/>
        </w:rPr>
        <w:t>　　（十三）房地产开发经营。营业收入</w:t>
      </w:r>
      <w:r>
        <w:rPr>
          <w:color w:val="auto"/>
          <w:szCs w:val="21"/>
        </w:rPr>
        <w:t>200000</w:t>
      </w:r>
      <w:r>
        <w:rPr>
          <w:rFonts w:hint="eastAsia"/>
          <w:color w:val="auto"/>
          <w:szCs w:val="21"/>
        </w:rPr>
        <w:t>万元以下或资产总额</w:t>
      </w:r>
      <w:r>
        <w:rPr>
          <w:color w:val="auto"/>
          <w:szCs w:val="21"/>
        </w:rPr>
        <w:t>10000</w:t>
      </w:r>
      <w:r>
        <w:rPr>
          <w:rFonts w:hint="eastAsia"/>
          <w:color w:val="auto"/>
          <w:szCs w:val="21"/>
        </w:rPr>
        <w:t>万元以下的为中小微型企业。其中，营业收入</w:t>
      </w:r>
      <w:r>
        <w:rPr>
          <w:color w:val="auto"/>
          <w:szCs w:val="21"/>
        </w:rPr>
        <w:t>1000</w:t>
      </w:r>
      <w:r>
        <w:rPr>
          <w:rFonts w:hint="eastAsia"/>
          <w:color w:val="auto"/>
          <w:szCs w:val="21"/>
        </w:rPr>
        <w:t>万元及以上，且资产总额</w:t>
      </w:r>
      <w:r>
        <w:rPr>
          <w:color w:val="auto"/>
          <w:szCs w:val="21"/>
        </w:rPr>
        <w:t>5000</w:t>
      </w:r>
      <w:r>
        <w:rPr>
          <w:rFonts w:hint="eastAsia"/>
          <w:color w:val="auto"/>
          <w:szCs w:val="21"/>
        </w:rPr>
        <w:t>万元及以上的为中型企业；营业收入</w:t>
      </w:r>
      <w:r>
        <w:rPr>
          <w:color w:val="auto"/>
          <w:szCs w:val="21"/>
        </w:rPr>
        <w:t>100</w:t>
      </w:r>
      <w:r>
        <w:rPr>
          <w:rFonts w:hint="eastAsia"/>
          <w:color w:val="auto"/>
          <w:szCs w:val="21"/>
        </w:rPr>
        <w:t>万元及以上，且资产总额</w:t>
      </w:r>
      <w:r>
        <w:rPr>
          <w:color w:val="auto"/>
          <w:szCs w:val="21"/>
        </w:rPr>
        <w:t>2000</w:t>
      </w:r>
      <w:r>
        <w:rPr>
          <w:rFonts w:hint="eastAsia"/>
          <w:color w:val="auto"/>
          <w:szCs w:val="21"/>
        </w:rPr>
        <w:t>万元及以上的为小型企业；营业收入</w:t>
      </w:r>
      <w:r>
        <w:rPr>
          <w:color w:val="auto"/>
          <w:szCs w:val="21"/>
        </w:rPr>
        <w:t>100</w:t>
      </w:r>
      <w:r>
        <w:rPr>
          <w:rFonts w:hint="eastAsia"/>
          <w:color w:val="auto"/>
          <w:szCs w:val="21"/>
        </w:rPr>
        <w:t>万元以下或资产总额</w:t>
      </w:r>
      <w:r>
        <w:rPr>
          <w:color w:val="auto"/>
          <w:szCs w:val="21"/>
        </w:rPr>
        <w:t>2000</w:t>
      </w:r>
      <w:r>
        <w:rPr>
          <w:rFonts w:hint="eastAsia"/>
          <w:color w:val="auto"/>
          <w:szCs w:val="21"/>
        </w:rPr>
        <w:t>万元以下的为微型企业。</w:t>
      </w:r>
    </w:p>
    <w:p w14:paraId="00FE4789">
      <w:pPr>
        <w:pStyle w:val="2"/>
        <w:rPr>
          <w:color w:val="auto"/>
          <w:szCs w:val="21"/>
        </w:rPr>
      </w:pPr>
      <w:r>
        <w:rPr>
          <w:rFonts w:hint="eastAsia"/>
          <w:color w:val="auto"/>
          <w:szCs w:val="21"/>
        </w:rPr>
        <w:t>　　（十四）物业管理。从业人员</w:t>
      </w:r>
      <w:r>
        <w:rPr>
          <w:color w:val="auto"/>
          <w:szCs w:val="21"/>
        </w:rPr>
        <w:t>1000</w:t>
      </w:r>
      <w:r>
        <w:rPr>
          <w:rFonts w:hint="eastAsia"/>
          <w:color w:val="auto"/>
          <w:szCs w:val="21"/>
        </w:rPr>
        <w:t>人以下或营业收入</w:t>
      </w:r>
      <w:r>
        <w:rPr>
          <w:color w:val="auto"/>
          <w:szCs w:val="21"/>
        </w:rPr>
        <w:t>5000</w:t>
      </w:r>
      <w:r>
        <w:rPr>
          <w:rFonts w:hint="eastAsia"/>
          <w:color w:val="auto"/>
          <w:szCs w:val="21"/>
        </w:rPr>
        <w:t>万元以下的为中小微型企业。其中，从业人员</w:t>
      </w:r>
      <w:r>
        <w:rPr>
          <w:color w:val="auto"/>
          <w:szCs w:val="21"/>
        </w:rPr>
        <w:t>300</w:t>
      </w:r>
      <w:r>
        <w:rPr>
          <w:rFonts w:hint="eastAsia"/>
          <w:color w:val="auto"/>
          <w:szCs w:val="21"/>
        </w:rPr>
        <w:t>人及以上，且营业收入</w:t>
      </w:r>
      <w:r>
        <w:rPr>
          <w:color w:val="auto"/>
          <w:szCs w:val="21"/>
        </w:rPr>
        <w:t>1000</w:t>
      </w:r>
      <w:r>
        <w:rPr>
          <w:rFonts w:hint="eastAsia"/>
          <w:color w:val="auto"/>
          <w:szCs w:val="21"/>
        </w:rPr>
        <w:t>万元及以上的为中型企业；从业人员</w:t>
      </w:r>
      <w:r>
        <w:rPr>
          <w:color w:val="auto"/>
          <w:szCs w:val="21"/>
        </w:rPr>
        <w:t>100</w:t>
      </w:r>
      <w:r>
        <w:rPr>
          <w:rFonts w:hint="eastAsia"/>
          <w:color w:val="auto"/>
          <w:szCs w:val="21"/>
        </w:rPr>
        <w:t>人及以上，且营业收入</w:t>
      </w:r>
      <w:r>
        <w:rPr>
          <w:color w:val="auto"/>
          <w:szCs w:val="21"/>
        </w:rPr>
        <w:t>500</w:t>
      </w:r>
      <w:r>
        <w:rPr>
          <w:rFonts w:hint="eastAsia"/>
          <w:color w:val="auto"/>
          <w:szCs w:val="21"/>
        </w:rPr>
        <w:t>万元及以上的为小型企业；从业人员</w:t>
      </w:r>
      <w:r>
        <w:rPr>
          <w:color w:val="auto"/>
          <w:szCs w:val="21"/>
        </w:rPr>
        <w:t>100</w:t>
      </w:r>
      <w:r>
        <w:rPr>
          <w:rFonts w:hint="eastAsia"/>
          <w:color w:val="auto"/>
          <w:szCs w:val="21"/>
        </w:rPr>
        <w:t>人以下或营业收入</w:t>
      </w:r>
      <w:r>
        <w:rPr>
          <w:color w:val="auto"/>
          <w:szCs w:val="21"/>
        </w:rPr>
        <w:t>500</w:t>
      </w:r>
      <w:r>
        <w:rPr>
          <w:rFonts w:hint="eastAsia"/>
          <w:color w:val="auto"/>
          <w:szCs w:val="21"/>
        </w:rPr>
        <w:t>万元以下的为微型企业。</w:t>
      </w:r>
    </w:p>
    <w:p w14:paraId="3E9D7F5F">
      <w:pPr>
        <w:pStyle w:val="2"/>
        <w:rPr>
          <w:color w:val="auto"/>
          <w:szCs w:val="21"/>
        </w:rPr>
      </w:pPr>
      <w:r>
        <w:rPr>
          <w:rFonts w:hint="eastAsia"/>
          <w:color w:val="auto"/>
          <w:szCs w:val="21"/>
        </w:rPr>
        <w:t>　　（十五）租赁和商务服务业。从业人员</w:t>
      </w:r>
      <w:r>
        <w:rPr>
          <w:color w:val="auto"/>
          <w:szCs w:val="21"/>
        </w:rPr>
        <w:t>300</w:t>
      </w:r>
      <w:r>
        <w:rPr>
          <w:rFonts w:hint="eastAsia"/>
          <w:color w:val="auto"/>
          <w:szCs w:val="21"/>
        </w:rPr>
        <w:t>人以下或资产总额</w:t>
      </w:r>
      <w:r>
        <w:rPr>
          <w:color w:val="auto"/>
          <w:szCs w:val="21"/>
        </w:rPr>
        <w:t>120000</w:t>
      </w:r>
      <w:r>
        <w:rPr>
          <w:rFonts w:hint="eastAsia"/>
          <w:color w:val="auto"/>
          <w:szCs w:val="21"/>
        </w:rPr>
        <w:t>万元以下的为中小微型企业。其中，从业人员</w:t>
      </w:r>
      <w:r>
        <w:rPr>
          <w:color w:val="auto"/>
          <w:szCs w:val="21"/>
        </w:rPr>
        <w:t>100</w:t>
      </w:r>
      <w:r>
        <w:rPr>
          <w:rFonts w:hint="eastAsia"/>
          <w:color w:val="auto"/>
          <w:szCs w:val="21"/>
        </w:rPr>
        <w:t>人及以上，且资产总额</w:t>
      </w:r>
      <w:r>
        <w:rPr>
          <w:color w:val="auto"/>
          <w:szCs w:val="21"/>
        </w:rPr>
        <w:t>8000</w:t>
      </w:r>
      <w:r>
        <w:rPr>
          <w:rFonts w:hint="eastAsia"/>
          <w:color w:val="auto"/>
          <w:szCs w:val="21"/>
        </w:rPr>
        <w:t>万元及以上的为中型企业；从业人员</w:t>
      </w:r>
      <w:r>
        <w:rPr>
          <w:color w:val="auto"/>
          <w:szCs w:val="21"/>
        </w:rPr>
        <w:t>10</w:t>
      </w:r>
      <w:r>
        <w:rPr>
          <w:rFonts w:hint="eastAsia"/>
          <w:color w:val="auto"/>
          <w:szCs w:val="21"/>
        </w:rPr>
        <w:t>人及以上，且资产总额</w:t>
      </w:r>
      <w:r>
        <w:rPr>
          <w:color w:val="auto"/>
          <w:szCs w:val="21"/>
        </w:rPr>
        <w:t>100</w:t>
      </w:r>
      <w:r>
        <w:rPr>
          <w:rFonts w:hint="eastAsia"/>
          <w:color w:val="auto"/>
          <w:szCs w:val="21"/>
        </w:rPr>
        <w:t>万元及以上的为小型企业；从业人员</w:t>
      </w:r>
      <w:r>
        <w:rPr>
          <w:color w:val="auto"/>
          <w:szCs w:val="21"/>
        </w:rPr>
        <w:t>10</w:t>
      </w:r>
      <w:r>
        <w:rPr>
          <w:rFonts w:hint="eastAsia"/>
          <w:color w:val="auto"/>
          <w:szCs w:val="21"/>
        </w:rPr>
        <w:t>人以下或资产总额</w:t>
      </w:r>
      <w:r>
        <w:rPr>
          <w:color w:val="auto"/>
          <w:szCs w:val="21"/>
        </w:rPr>
        <w:t>100</w:t>
      </w:r>
      <w:r>
        <w:rPr>
          <w:rFonts w:hint="eastAsia"/>
          <w:color w:val="auto"/>
          <w:szCs w:val="21"/>
        </w:rPr>
        <w:t>万元以下的为微型企业。</w:t>
      </w:r>
    </w:p>
    <w:p w14:paraId="3F3D64DD">
      <w:pPr>
        <w:pStyle w:val="2"/>
        <w:rPr>
          <w:color w:val="auto"/>
          <w:szCs w:val="21"/>
        </w:rPr>
      </w:pPr>
      <w:r>
        <w:rPr>
          <w:rFonts w:hint="eastAsia"/>
          <w:color w:val="auto"/>
          <w:szCs w:val="21"/>
        </w:rPr>
        <w:t>　　（十六）其他未列明行业。从业人员</w:t>
      </w:r>
      <w:r>
        <w:rPr>
          <w:color w:val="auto"/>
          <w:szCs w:val="21"/>
        </w:rPr>
        <w:t>300</w:t>
      </w:r>
      <w:r>
        <w:rPr>
          <w:rFonts w:hint="eastAsia"/>
          <w:color w:val="auto"/>
          <w:szCs w:val="21"/>
        </w:rPr>
        <w:t>人以下的为中小微型企业。其中，从业人员</w:t>
      </w:r>
      <w:r>
        <w:rPr>
          <w:color w:val="auto"/>
          <w:szCs w:val="21"/>
        </w:rPr>
        <w:t>100</w:t>
      </w:r>
      <w:r>
        <w:rPr>
          <w:rFonts w:hint="eastAsia"/>
          <w:color w:val="auto"/>
          <w:szCs w:val="21"/>
        </w:rPr>
        <w:t>人及以上的为中型企业；从业人员</w:t>
      </w:r>
      <w:r>
        <w:rPr>
          <w:color w:val="auto"/>
          <w:szCs w:val="21"/>
        </w:rPr>
        <w:t>10</w:t>
      </w:r>
      <w:r>
        <w:rPr>
          <w:rFonts w:hint="eastAsia"/>
          <w:color w:val="auto"/>
          <w:szCs w:val="21"/>
        </w:rPr>
        <w:t>人及以上的为小型企业；从业人员</w:t>
      </w:r>
      <w:r>
        <w:rPr>
          <w:color w:val="auto"/>
          <w:szCs w:val="21"/>
        </w:rPr>
        <w:t>10</w:t>
      </w:r>
      <w:r>
        <w:rPr>
          <w:rFonts w:hint="eastAsia"/>
          <w:color w:val="auto"/>
          <w:szCs w:val="21"/>
        </w:rPr>
        <w:t>人以下的为微型企业。</w:t>
      </w:r>
    </w:p>
    <w:p w14:paraId="0F2DD43A">
      <w:pPr>
        <w:pStyle w:val="2"/>
        <w:rPr>
          <w:color w:val="auto"/>
          <w:szCs w:val="21"/>
        </w:rPr>
      </w:pPr>
      <w:r>
        <w:rPr>
          <w:rFonts w:hint="eastAsia"/>
          <w:color w:val="auto"/>
          <w:szCs w:val="21"/>
        </w:rPr>
        <w:t>　　五、企业类型的划分以统计部门的统计数据为依据。</w:t>
      </w:r>
    </w:p>
    <w:p w14:paraId="569CABAF">
      <w:pPr>
        <w:pStyle w:val="2"/>
        <w:rPr>
          <w:color w:val="auto"/>
          <w:szCs w:val="21"/>
        </w:rPr>
      </w:pPr>
      <w:r>
        <w:rPr>
          <w:rFonts w:hint="eastAsia"/>
          <w:color w:val="auto"/>
          <w:szCs w:val="21"/>
        </w:rPr>
        <w:t>　　六、本规定适用于在中华人民共和国境内依法设立的各类所有制和各种组织形式的企业。个体工商户和本规定以外的行业，参照本规定进行划型。</w:t>
      </w:r>
    </w:p>
    <w:p w14:paraId="2665B400">
      <w:pPr>
        <w:pStyle w:val="2"/>
        <w:rPr>
          <w:color w:val="auto"/>
          <w:szCs w:val="21"/>
        </w:rPr>
      </w:pPr>
      <w:r>
        <w:rPr>
          <w:rFonts w:hint="eastAsia"/>
          <w:color w:val="auto"/>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3563E1E6">
      <w:pPr>
        <w:pStyle w:val="2"/>
        <w:rPr>
          <w:color w:val="auto"/>
          <w:szCs w:val="21"/>
        </w:rPr>
      </w:pPr>
      <w:r>
        <w:rPr>
          <w:rFonts w:hint="eastAsia"/>
          <w:color w:val="auto"/>
          <w:szCs w:val="21"/>
        </w:rPr>
        <w:t>　　八、本规定由工业和信息化部、国家统计局会同有关部门根据《国民经济行业分类》修订情况和企业发展变化情况适时修订。</w:t>
      </w:r>
    </w:p>
    <w:p w14:paraId="21960CB3">
      <w:pPr>
        <w:pStyle w:val="2"/>
        <w:rPr>
          <w:color w:val="auto"/>
          <w:szCs w:val="21"/>
        </w:rPr>
      </w:pPr>
      <w:r>
        <w:rPr>
          <w:rFonts w:hint="eastAsia"/>
          <w:color w:val="auto"/>
          <w:szCs w:val="21"/>
        </w:rPr>
        <w:t>　　九、本规定由工业和信息化部、国家统计局会同有关部门负责解释。</w:t>
      </w:r>
    </w:p>
    <w:p w14:paraId="34CE8EAF">
      <w:pPr>
        <w:pStyle w:val="2"/>
        <w:ind w:firstLine="420"/>
        <w:rPr>
          <w:color w:val="auto"/>
          <w:szCs w:val="21"/>
        </w:rPr>
      </w:pPr>
      <w:r>
        <w:rPr>
          <w:rFonts w:hint="eastAsia"/>
          <w:color w:val="auto"/>
          <w:szCs w:val="21"/>
        </w:rPr>
        <w:t>十、本规定自发布之日起执行，原国家经贸委、原国家计委、财政部和国家统计局</w:t>
      </w:r>
      <w:r>
        <w:rPr>
          <w:color w:val="auto"/>
          <w:szCs w:val="21"/>
        </w:rPr>
        <w:t>2003</w:t>
      </w:r>
      <w:r>
        <w:rPr>
          <w:rFonts w:hint="eastAsia"/>
          <w:color w:val="auto"/>
          <w:szCs w:val="21"/>
        </w:rPr>
        <w:t>年颁布的《中小企业标准暂行规定》同时废止。</w:t>
      </w:r>
    </w:p>
    <w:p w14:paraId="3B56381A">
      <w:pPr>
        <w:tabs>
          <w:tab w:val="left" w:pos="180"/>
          <w:tab w:val="left" w:pos="1620"/>
        </w:tabs>
        <w:spacing w:line="360" w:lineRule="auto"/>
        <w:rPr>
          <w:rFonts w:ascii="宋体" w:hAnsi="宋体" w:cs="宋体"/>
          <w:color w:val="auto"/>
          <w:sz w:val="20"/>
          <w:szCs w:val="20"/>
        </w:rPr>
      </w:pPr>
    </w:p>
    <w:p w14:paraId="678CB36E">
      <w:pPr>
        <w:spacing w:before="3"/>
        <w:rPr>
          <w:rFonts w:ascii="宋体" w:hAnsi="宋体" w:cs="宋体"/>
          <w:color w:val="auto"/>
          <w:sz w:val="15"/>
          <w:szCs w:val="15"/>
        </w:rPr>
      </w:pPr>
    </w:p>
    <w:p w14:paraId="6F09F798">
      <w:pPr>
        <w:widowControl/>
        <w:rPr>
          <w:rFonts w:ascii="宋体" w:hAnsi="宋体" w:cs="宋体"/>
          <w:color w:val="auto"/>
          <w:sz w:val="20"/>
          <w:szCs w:val="20"/>
        </w:rPr>
        <w:sectPr>
          <w:headerReference r:id="rId4" w:type="first"/>
          <w:footerReference r:id="rId6" w:type="first"/>
          <w:headerReference r:id="rId3" w:type="default"/>
          <w:footerReference r:id="rId5" w:type="default"/>
          <w:pgSz w:w="11910" w:h="16840"/>
          <w:pgMar w:top="1520" w:right="1500" w:bottom="280" w:left="1680" w:header="720" w:footer="720" w:gutter="0"/>
          <w:cols w:space="720" w:num="1"/>
          <w:titlePg/>
          <w:docGrid w:linePitch="286" w:charSpace="0"/>
        </w:sectPr>
      </w:pPr>
    </w:p>
    <w:p w14:paraId="21351984">
      <w:pPr>
        <w:pStyle w:val="3"/>
        <w:keepNext w:val="0"/>
        <w:keepLines w:val="0"/>
        <w:tabs>
          <w:tab w:val="left" w:pos="0"/>
          <w:tab w:val="left" w:pos="3165"/>
          <w:tab w:val="center" w:pos="4153"/>
        </w:tabs>
        <w:autoSpaceDE w:val="0"/>
        <w:autoSpaceDN w:val="0"/>
        <w:adjustRightInd w:val="0"/>
        <w:spacing w:before="0" w:after="0" w:line="360" w:lineRule="auto"/>
        <w:jc w:val="center"/>
        <w:rPr>
          <w:color w:val="auto"/>
        </w:rPr>
      </w:pPr>
      <w:bookmarkStart w:id="70" w:name="_Toc25688"/>
      <w:r>
        <w:rPr>
          <w:rFonts w:hint="eastAsia"/>
          <w:color w:val="auto"/>
        </w:rPr>
        <w:t>第三章投标人须知</w:t>
      </w:r>
      <w:bookmarkEnd w:id="70"/>
    </w:p>
    <w:p w14:paraId="1A1BE699">
      <w:pPr>
        <w:jc w:val="center"/>
        <w:rPr>
          <w:color w:val="auto"/>
          <w:sz w:val="36"/>
          <w:szCs w:val="36"/>
        </w:rPr>
      </w:pPr>
      <w:bookmarkStart w:id="71" w:name="_Toc254970667"/>
      <w:bookmarkStart w:id="72" w:name="_Toc254970526"/>
      <w:r>
        <w:rPr>
          <w:rFonts w:hint="eastAsia"/>
          <w:color w:val="auto"/>
          <w:sz w:val="36"/>
          <w:szCs w:val="36"/>
        </w:rPr>
        <w:t>投标人须知前附表</w:t>
      </w:r>
      <w:bookmarkEnd w:id="71"/>
      <w:bookmarkEnd w:id="72"/>
    </w:p>
    <w:tbl>
      <w:tblPr>
        <w:tblStyle w:val="37"/>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609E5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2E50D61">
            <w:pPr>
              <w:snapToGrid w:val="0"/>
              <w:spacing w:line="400" w:lineRule="exact"/>
              <w:jc w:val="left"/>
              <w:rPr>
                <w:rFonts w:ascii="宋体" w:hAnsi="宋体"/>
                <w:color w:val="auto"/>
                <w:szCs w:val="21"/>
              </w:rPr>
            </w:pPr>
            <w:r>
              <w:rPr>
                <w:rFonts w:hint="eastAsia" w:ascii="宋体" w:hAnsi="宋体"/>
                <w:color w:val="auto"/>
                <w:szCs w:val="21"/>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68725DE9">
            <w:pPr>
              <w:snapToGrid w:val="0"/>
              <w:spacing w:line="400" w:lineRule="exact"/>
              <w:jc w:val="center"/>
              <w:rPr>
                <w:rFonts w:ascii="宋体" w:hAnsi="宋体"/>
                <w:color w:val="auto"/>
                <w:szCs w:val="21"/>
              </w:rPr>
            </w:pPr>
            <w:r>
              <w:rPr>
                <w:rFonts w:hint="eastAsia" w:ascii="宋体" w:hAnsi="宋体"/>
                <w:color w:val="auto"/>
                <w:szCs w:val="21"/>
              </w:rPr>
              <w:t>编列内容</w:t>
            </w:r>
          </w:p>
        </w:tc>
      </w:tr>
      <w:tr w14:paraId="01F50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270D498">
            <w:pPr>
              <w:spacing w:line="400" w:lineRule="exact"/>
              <w:jc w:val="center"/>
              <w:rPr>
                <w:rFonts w:ascii="宋体" w:hAnsi="宋体"/>
                <w:color w:val="auto"/>
                <w:szCs w:val="21"/>
              </w:rPr>
            </w:pPr>
            <w:r>
              <w:rPr>
                <w:rFonts w:hint="eastAsia" w:ascii="宋体" w:hAnsi="宋体"/>
                <w:color w:val="auto"/>
                <w:szCs w:val="21"/>
              </w:rPr>
              <w:t>3</w:t>
            </w:r>
          </w:p>
        </w:tc>
        <w:tc>
          <w:tcPr>
            <w:tcW w:w="8175" w:type="dxa"/>
            <w:tcBorders>
              <w:top w:val="single" w:color="auto" w:sz="4" w:space="0"/>
              <w:left w:val="single" w:color="auto" w:sz="4" w:space="0"/>
              <w:bottom w:val="single" w:color="auto" w:sz="4" w:space="0"/>
              <w:right w:val="single" w:color="auto" w:sz="4" w:space="0"/>
            </w:tcBorders>
            <w:vAlign w:val="center"/>
          </w:tcPr>
          <w:p w14:paraId="756D1757">
            <w:pPr>
              <w:snapToGrid w:val="0"/>
              <w:spacing w:line="400" w:lineRule="exact"/>
              <w:jc w:val="left"/>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投标人的资格要求详见招标公告。</w:t>
            </w:r>
          </w:p>
          <w:p w14:paraId="5F7E6E43">
            <w:pPr>
              <w:snapToGrid w:val="0"/>
              <w:spacing w:line="400" w:lineRule="exact"/>
              <w:jc w:val="left"/>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投标人出现下列情形之一的，不得参加政府采购活动：</w:t>
            </w:r>
          </w:p>
          <w:p w14:paraId="36FD1F33">
            <w:pPr>
              <w:snapToGrid w:val="0"/>
              <w:spacing w:line="400" w:lineRule="exact"/>
              <w:jc w:val="left"/>
              <w:rPr>
                <w:rFonts w:ascii="宋体" w:hAnsi="宋体"/>
                <w:color w:val="auto"/>
                <w:szCs w:val="21"/>
              </w:rPr>
            </w:pPr>
            <w:r>
              <w:rPr>
                <w:rFonts w:ascii="宋体" w:hAnsi="宋体"/>
                <w:color w:val="auto"/>
                <w:szCs w:val="21"/>
              </w:rPr>
              <w:t>2.1</w:t>
            </w:r>
            <w:r>
              <w:rPr>
                <w:rFonts w:hint="eastAsia" w:ascii="宋体" w:hAnsi="宋体"/>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D76D5D9">
            <w:pPr>
              <w:snapToGrid w:val="0"/>
              <w:spacing w:line="400" w:lineRule="exact"/>
              <w:jc w:val="left"/>
              <w:rPr>
                <w:rFonts w:ascii="宋体" w:hAnsi="宋体"/>
                <w:color w:val="auto"/>
                <w:szCs w:val="21"/>
              </w:rPr>
            </w:pPr>
            <w:r>
              <w:rPr>
                <w:rFonts w:ascii="宋体" w:hAnsi="宋体"/>
                <w:color w:val="auto"/>
                <w:szCs w:val="21"/>
              </w:rPr>
              <w:t>2.2</w:t>
            </w:r>
            <w:r>
              <w:rPr>
                <w:rFonts w:hint="eastAsia" w:ascii="宋体" w:hAnsi="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6A65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2DCF4B2">
            <w:pPr>
              <w:spacing w:line="400" w:lineRule="exact"/>
              <w:jc w:val="center"/>
              <w:rPr>
                <w:rFonts w:ascii="宋体" w:hAnsi="宋体"/>
                <w:color w:val="auto"/>
                <w:szCs w:val="21"/>
              </w:rPr>
            </w:pPr>
            <w:bookmarkStart w:id="73" w:name="_8.1"/>
            <w:bookmarkEnd w:id="73"/>
            <w:bookmarkStart w:id="74" w:name="_5"/>
            <w:bookmarkEnd w:id="74"/>
            <w:bookmarkStart w:id="75" w:name="_9.2"/>
            <w:bookmarkEnd w:id="75"/>
            <w:r>
              <w:rPr>
                <w:rFonts w:hint="eastAsia" w:ascii="宋体" w:hAnsi="宋体"/>
                <w:color w:val="auto"/>
                <w:szCs w:val="21"/>
              </w:rPr>
              <w:t>6.1</w:t>
            </w:r>
          </w:p>
        </w:tc>
        <w:tc>
          <w:tcPr>
            <w:tcW w:w="8175" w:type="dxa"/>
            <w:tcBorders>
              <w:top w:val="single" w:color="auto" w:sz="4" w:space="0"/>
              <w:left w:val="single" w:color="auto" w:sz="4" w:space="0"/>
              <w:bottom w:val="single" w:color="auto" w:sz="4" w:space="0"/>
              <w:right w:val="single" w:color="auto" w:sz="4" w:space="0"/>
            </w:tcBorders>
            <w:vAlign w:val="center"/>
          </w:tcPr>
          <w:p w14:paraId="1FB39787">
            <w:pPr>
              <w:pStyle w:val="15"/>
              <w:spacing w:line="400" w:lineRule="exact"/>
              <w:rPr>
                <w:rFonts w:ascii="宋体" w:hAnsi="宋体"/>
                <w:color w:val="auto"/>
                <w:szCs w:val="21"/>
              </w:rPr>
            </w:pPr>
            <w:r>
              <w:rPr>
                <w:rFonts w:hint="eastAsia" w:ascii="宋体" w:hAnsi="宋体"/>
                <w:color w:val="auto"/>
                <w:szCs w:val="21"/>
              </w:rPr>
              <w:t>本项目是否接受联合体投标：详见招标公告。</w:t>
            </w:r>
          </w:p>
        </w:tc>
      </w:tr>
      <w:tr w14:paraId="0E833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1157620">
            <w:pPr>
              <w:spacing w:line="400" w:lineRule="exact"/>
              <w:jc w:val="center"/>
              <w:rPr>
                <w:rFonts w:ascii="宋体" w:hAnsi="宋体"/>
                <w:color w:val="auto"/>
                <w:szCs w:val="21"/>
              </w:rPr>
            </w:pPr>
            <w:r>
              <w:rPr>
                <w:rFonts w:ascii="宋体" w:hAnsi="宋体"/>
                <w:color w:val="auto"/>
                <w:szCs w:val="21"/>
              </w:rPr>
              <w:t>6.2</w:t>
            </w:r>
          </w:p>
        </w:tc>
        <w:tc>
          <w:tcPr>
            <w:tcW w:w="8175" w:type="dxa"/>
            <w:tcBorders>
              <w:top w:val="single" w:color="auto" w:sz="4" w:space="0"/>
              <w:left w:val="single" w:color="auto" w:sz="4" w:space="0"/>
              <w:bottom w:val="single" w:color="auto" w:sz="4" w:space="0"/>
              <w:right w:val="single" w:color="auto" w:sz="4" w:space="0"/>
            </w:tcBorders>
            <w:vAlign w:val="center"/>
          </w:tcPr>
          <w:p w14:paraId="119EF887">
            <w:pPr>
              <w:pStyle w:val="15"/>
              <w:spacing w:line="360" w:lineRule="auto"/>
              <w:rPr>
                <w:rFonts w:ascii="宋体" w:hAnsi="宋体"/>
                <w:color w:val="auto"/>
                <w:szCs w:val="21"/>
              </w:rPr>
            </w:pPr>
            <w:bookmarkStart w:id="76" w:name="_Hlk54105293"/>
            <w:r>
              <w:rPr>
                <w:rFonts w:hint="eastAsia" w:ascii="宋体" w:hAnsi="宋体"/>
                <w:color w:val="auto"/>
                <w:szCs w:val="21"/>
              </w:rPr>
              <w:t>如接受联合体投标，</w:t>
            </w:r>
            <w:bookmarkEnd w:id="76"/>
            <w:r>
              <w:rPr>
                <w:rFonts w:hint="eastAsia" w:ascii="宋体" w:hAnsi="宋体"/>
                <w:color w:val="auto"/>
                <w:szCs w:val="21"/>
              </w:rPr>
              <w:t>联合体投标要求如下：</w:t>
            </w:r>
          </w:p>
          <w:p w14:paraId="455D5E6B">
            <w:pPr>
              <w:pStyle w:val="15"/>
              <w:spacing w:line="360" w:lineRule="auto"/>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两个以上投标人可以组成一个投标联合体，以一个投标人的身份共同参加投标。联合体投标的，须提供《联合体投标协议书》（格式后附）。</w:t>
            </w:r>
          </w:p>
          <w:p w14:paraId="57D40BED">
            <w:pPr>
              <w:pStyle w:val="15"/>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7AA95860">
            <w:pPr>
              <w:pStyle w:val="15"/>
              <w:spacing w:line="360" w:lineRule="auto"/>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联合体各方之间必须签订联合投标协议，协议书必须明确主体方（或者牵头方）并明确约定联合体各方承担的工作和相应的责任（</w:t>
            </w:r>
            <w:r>
              <w:rPr>
                <w:rFonts w:hint="eastAsia" w:ascii="宋体" w:hAnsi="宋体"/>
                <w:b/>
                <w:color w:val="auto"/>
                <w:szCs w:val="21"/>
              </w:rPr>
              <w:t>各方承担责任与义务的分工必须符合采购需求，否则，联合体投标无效</w:t>
            </w:r>
            <w:r>
              <w:rPr>
                <w:rFonts w:hint="eastAsia" w:ascii="宋体" w:hAnsi="宋体"/>
                <w:color w:val="auto"/>
                <w:szCs w:val="21"/>
              </w:rPr>
              <w:t>），并将联合投标协议放入投标文件。联合体各方必须共同与采购人签订采购合同，就采购合同约定的事项对采购人承担连带责任。</w:t>
            </w:r>
          </w:p>
          <w:p w14:paraId="79F42945">
            <w:pPr>
              <w:pStyle w:val="15"/>
              <w:spacing w:line="360" w:lineRule="auto"/>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以联合体形式参加政府采购活动的，联合体各方不得再单独参加或者与其他投标人另外组成联合体参加同一合同项下的政府采购活动。</w:t>
            </w:r>
          </w:p>
          <w:p w14:paraId="6EB97F9B">
            <w:pPr>
              <w:pStyle w:val="15"/>
              <w:spacing w:line="360" w:lineRule="auto"/>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联合体中有同类资质的投标人按照联合体分工承担相同工作的，应当按照资质等级较低的投标人确定资质等级。</w:t>
            </w:r>
          </w:p>
          <w:p w14:paraId="59228560">
            <w:pPr>
              <w:pStyle w:val="15"/>
              <w:spacing w:line="360" w:lineRule="auto"/>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联合体投标业绩、履约能力按照联合体各方其中较高的一方认定并计算（招标文件另有规定的除外）。</w:t>
            </w:r>
          </w:p>
          <w:p w14:paraId="6BA175A4">
            <w:pPr>
              <w:pStyle w:val="15"/>
              <w:spacing w:line="360" w:lineRule="auto"/>
              <w:rPr>
                <w:rFonts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投标人为联合体的，可以由联合体中的一方或者多方共同交纳投标保证金，其交纳的保证金对联合体各方均具有约束力。</w:t>
            </w:r>
          </w:p>
          <w:p w14:paraId="5E04A6FE">
            <w:pPr>
              <w:pStyle w:val="15"/>
              <w:spacing w:line="360" w:lineRule="auto"/>
              <w:rPr>
                <w:rFonts w:ascii="宋体" w:hAnsi="宋体"/>
                <w:color w:val="auto"/>
                <w:szCs w:val="21"/>
              </w:rPr>
            </w:pPr>
            <w:r>
              <w:rPr>
                <w:rFonts w:hint="eastAsia" w:ascii="宋体" w:hAnsi="宋体"/>
                <w:color w:val="auto"/>
                <w:szCs w:val="21"/>
              </w:rPr>
              <w:t>8</w:t>
            </w:r>
            <w:r>
              <w:rPr>
                <w:rFonts w:ascii="宋体" w:hAnsi="宋体"/>
                <w:color w:val="auto"/>
                <w:szCs w:val="21"/>
              </w:rPr>
              <w:t>.</w:t>
            </w:r>
            <w:r>
              <w:rPr>
                <w:rFonts w:hint="eastAsia" w:ascii="宋体" w:hAnsi="宋体"/>
                <w:color w:val="auto"/>
                <w:szCs w:val="21"/>
              </w:rPr>
              <w:t>联合体各方均应按照招标文件的规定提交资格证明文件。</w:t>
            </w:r>
          </w:p>
        </w:tc>
      </w:tr>
      <w:tr w14:paraId="46E9E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1ECB460">
            <w:pPr>
              <w:spacing w:line="400" w:lineRule="exact"/>
              <w:jc w:val="center"/>
              <w:rPr>
                <w:rFonts w:ascii="宋体" w:hAnsi="宋体"/>
                <w:color w:val="auto"/>
                <w:szCs w:val="21"/>
              </w:rPr>
            </w:pPr>
            <w:r>
              <w:rPr>
                <w:rFonts w:hint="eastAsia" w:ascii="宋体" w:hAnsi="宋体"/>
                <w:color w:val="auto"/>
                <w:szCs w:val="21"/>
              </w:rPr>
              <w:t>7.2</w:t>
            </w:r>
          </w:p>
        </w:tc>
        <w:tc>
          <w:tcPr>
            <w:tcW w:w="8175" w:type="dxa"/>
            <w:tcBorders>
              <w:top w:val="single" w:color="auto" w:sz="4" w:space="0"/>
              <w:left w:val="single" w:color="auto" w:sz="4" w:space="0"/>
              <w:bottom w:val="single" w:color="auto" w:sz="4" w:space="0"/>
              <w:right w:val="single" w:color="auto" w:sz="4" w:space="0"/>
            </w:tcBorders>
            <w:vAlign w:val="center"/>
          </w:tcPr>
          <w:p w14:paraId="1CE73B49">
            <w:pPr>
              <w:pStyle w:val="15"/>
              <w:spacing w:line="400" w:lineRule="exact"/>
              <w:rPr>
                <w:rFonts w:ascii="宋体" w:hAnsi="宋体"/>
                <w:color w:val="auto"/>
                <w:szCs w:val="21"/>
              </w:rPr>
            </w:pPr>
            <w:r>
              <w:rPr>
                <w:rFonts w:hint="eastAsia" w:ascii="MS Mincho" w:hAnsi="MS Mincho" w:eastAsia="MS Mincho" w:cs="MS Mincho"/>
                <w:color w:val="auto"/>
                <w:szCs w:val="21"/>
              </w:rPr>
              <w:t>☑</w:t>
            </w:r>
            <w:r>
              <w:rPr>
                <w:rFonts w:hint="eastAsia" w:ascii="宋体" w:hAnsi="宋体"/>
                <w:color w:val="auto"/>
                <w:szCs w:val="21"/>
              </w:rPr>
              <w:t>不允许分包（另有约定的除外）</w:t>
            </w:r>
          </w:p>
          <w:p w14:paraId="263BB959">
            <w:pPr>
              <w:pStyle w:val="15"/>
              <w:spacing w:line="400" w:lineRule="exact"/>
              <w:rPr>
                <w:rFonts w:ascii="宋体" w:hAnsi="宋体"/>
                <w:color w:val="auto"/>
                <w:szCs w:val="21"/>
              </w:rPr>
            </w:pPr>
            <w:r>
              <w:rPr>
                <w:rFonts w:hint="eastAsia" w:ascii="宋体" w:hAnsi="宋体"/>
                <w:color w:val="auto"/>
                <w:szCs w:val="21"/>
              </w:rPr>
              <w:t>□允许分包</w:t>
            </w:r>
          </w:p>
          <w:p w14:paraId="4DE53050">
            <w:pPr>
              <w:pStyle w:val="15"/>
              <w:spacing w:line="400" w:lineRule="exact"/>
              <w:rPr>
                <w:rFonts w:ascii="宋体" w:hAnsi="宋体"/>
                <w:color w:val="auto"/>
                <w:szCs w:val="21"/>
                <w:u w:val="single"/>
              </w:rPr>
            </w:pPr>
            <w:r>
              <w:rPr>
                <w:rFonts w:hint="eastAsia" w:ascii="宋体" w:hAnsi="宋体"/>
                <w:color w:val="auto"/>
                <w:szCs w:val="21"/>
              </w:rPr>
              <w:t>分包内容：</w:t>
            </w:r>
            <w:r>
              <w:rPr>
                <w:rFonts w:ascii="宋体" w:hAnsi="宋体"/>
                <w:color w:val="auto"/>
                <w:szCs w:val="21"/>
                <w:u w:val="single"/>
              </w:rPr>
              <w:t>/</w:t>
            </w:r>
            <w:r>
              <w:rPr>
                <w:rFonts w:hint="eastAsia" w:ascii="宋体" w:hAnsi="宋体"/>
                <w:color w:val="auto"/>
                <w:szCs w:val="21"/>
                <w:u w:val="single"/>
              </w:rPr>
              <w:t xml:space="preserve"> 。</w:t>
            </w:r>
          </w:p>
          <w:p w14:paraId="2278E81A">
            <w:pPr>
              <w:pStyle w:val="15"/>
              <w:spacing w:line="400" w:lineRule="exact"/>
              <w:jc w:val="both"/>
              <w:rPr>
                <w:rFonts w:ascii="宋体" w:hAnsi="宋体"/>
                <w:color w:val="auto"/>
                <w:szCs w:val="21"/>
                <w:u w:val="single"/>
              </w:rPr>
            </w:pPr>
            <w:r>
              <w:rPr>
                <w:rFonts w:hint="eastAsia" w:ascii="宋体" w:hAnsi="宋体"/>
                <w:color w:val="auto"/>
                <w:szCs w:val="21"/>
              </w:rPr>
              <w:t>分包金额或者比例：</w:t>
            </w:r>
            <w:r>
              <w:rPr>
                <w:rFonts w:ascii="宋体" w:hAnsi="宋体"/>
                <w:color w:val="auto"/>
                <w:szCs w:val="21"/>
                <w:u w:val="single"/>
              </w:rPr>
              <w:t>/</w:t>
            </w:r>
            <w:r>
              <w:rPr>
                <w:rFonts w:hint="eastAsia" w:ascii="宋体" w:hAnsi="宋体"/>
                <w:color w:val="auto"/>
                <w:szCs w:val="21"/>
                <w:u w:val="single"/>
              </w:rPr>
              <w:t xml:space="preserve">  。</w:t>
            </w:r>
          </w:p>
        </w:tc>
      </w:tr>
      <w:tr w14:paraId="01CB7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978" w:type="dxa"/>
            <w:vMerge w:val="restart"/>
            <w:tcBorders>
              <w:top w:val="single" w:color="auto" w:sz="4" w:space="0"/>
              <w:left w:val="single" w:color="auto" w:sz="4" w:space="0"/>
              <w:right w:val="single" w:color="auto" w:sz="4" w:space="0"/>
            </w:tcBorders>
            <w:vAlign w:val="center"/>
          </w:tcPr>
          <w:p w14:paraId="63F6BEBA">
            <w:pPr>
              <w:spacing w:line="40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1.2</w:t>
            </w:r>
          </w:p>
        </w:tc>
        <w:tc>
          <w:tcPr>
            <w:tcW w:w="8175" w:type="dxa"/>
            <w:tcBorders>
              <w:top w:val="single" w:color="auto" w:sz="4" w:space="0"/>
              <w:left w:val="single" w:color="auto" w:sz="4" w:space="0"/>
              <w:bottom w:val="single" w:color="auto" w:sz="4" w:space="0"/>
              <w:right w:val="single" w:color="auto" w:sz="4" w:space="0"/>
            </w:tcBorders>
            <w:vAlign w:val="center"/>
          </w:tcPr>
          <w:p w14:paraId="74A6F92F">
            <w:pPr>
              <w:snapToGrid w:val="0"/>
              <w:spacing w:line="400" w:lineRule="exact"/>
              <w:rPr>
                <w:rFonts w:ascii="宋体" w:hAnsi="宋体"/>
                <w:color w:val="auto"/>
                <w:szCs w:val="21"/>
              </w:rPr>
            </w:pPr>
            <w:r>
              <w:rPr>
                <w:rFonts w:hint="eastAsia" w:ascii="MS Mincho" w:hAnsi="MS Mincho" w:eastAsia="MS Mincho" w:cs="MS Mincho"/>
                <w:color w:val="auto"/>
                <w:szCs w:val="21"/>
              </w:rPr>
              <w:t>☑</w:t>
            </w:r>
            <w:r>
              <w:rPr>
                <w:rFonts w:hint="eastAsia" w:ascii="宋体" w:hAnsi="宋体"/>
                <w:color w:val="auto"/>
                <w:szCs w:val="21"/>
              </w:rPr>
              <w:t>不组织现场考察</w:t>
            </w:r>
          </w:p>
          <w:p w14:paraId="419829D4">
            <w:pPr>
              <w:snapToGrid w:val="0"/>
              <w:spacing w:line="400" w:lineRule="exact"/>
              <w:rPr>
                <w:rFonts w:ascii="宋体" w:hAnsi="宋体"/>
                <w:color w:val="auto"/>
                <w:szCs w:val="21"/>
              </w:rPr>
            </w:pPr>
            <w:r>
              <w:rPr>
                <w:rFonts w:hint="eastAsia" w:ascii="宋体" w:hAnsi="宋体"/>
                <w:color w:val="auto"/>
                <w:szCs w:val="21"/>
              </w:rPr>
              <w:t>□组织现场考察：</w:t>
            </w:r>
          </w:p>
          <w:p w14:paraId="350DDD28">
            <w:pPr>
              <w:snapToGrid w:val="0"/>
              <w:spacing w:line="400" w:lineRule="exact"/>
              <w:rPr>
                <w:rFonts w:ascii="宋体" w:hAnsi="宋体"/>
                <w:color w:val="auto"/>
                <w:szCs w:val="21"/>
                <w:u w:val="single"/>
              </w:rPr>
            </w:pPr>
            <w:r>
              <w:rPr>
                <w:rFonts w:hint="eastAsia" w:ascii="宋体" w:hAnsi="宋体"/>
                <w:color w:val="auto"/>
                <w:szCs w:val="21"/>
              </w:rPr>
              <w:t>集中时间：</w:t>
            </w:r>
            <w:r>
              <w:rPr>
                <w:rFonts w:ascii="宋体" w:hAnsi="宋体"/>
                <w:color w:val="auto"/>
                <w:szCs w:val="21"/>
                <w:u w:val="single"/>
              </w:rPr>
              <w:t>/</w:t>
            </w:r>
            <w:r>
              <w:rPr>
                <w:rFonts w:hint="eastAsia" w:ascii="宋体" w:hAnsi="宋体"/>
                <w:color w:val="auto"/>
                <w:szCs w:val="21"/>
              </w:rPr>
              <w:t>年</w:t>
            </w:r>
            <w:r>
              <w:rPr>
                <w:rFonts w:ascii="宋体" w:hAnsi="宋体"/>
                <w:color w:val="auto"/>
                <w:szCs w:val="21"/>
                <w:u w:val="single"/>
              </w:rPr>
              <w:t>/</w:t>
            </w:r>
            <w:r>
              <w:rPr>
                <w:rFonts w:hint="eastAsia" w:ascii="宋体" w:hAnsi="宋体"/>
                <w:color w:val="auto"/>
                <w:szCs w:val="21"/>
              </w:rPr>
              <w:t>月</w:t>
            </w:r>
            <w:r>
              <w:rPr>
                <w:rFonts w:ascii="宋体" w:hAnsi="宋体"/>
                <w:color w:val="auto"/>
                <w:szCs w:val="21"/>
                <w:u w:val="single"/>
              </w:rPr>
              <w:t>/</w:t>
            </w:r>
            <w:r>
              <w:rPr>
                <w:rFonts w:hint="eastAsia" w:ascii="宋体" w:hAnsi="宋体"/>
                <w:color w:val="auto"/>
                <w:szCs w:val="21"/>
              </w:rPr>
              <w:t xml:space="preserve">日 </w:t>
            </w:r>
            <w:r>
              <w:rPr>
                <w:rFonts w:ascii="宋体" w:hAnsi="宋体"/>
                <w:color w:val="auto"/>
                <w:szCs w:val="21"/>
                <w:u w:val="single"/>
              </w:rPr>
              <w:t>/</w:t>
            </w:r>
            <w:r>
              <w:rPr>
                <w:rFonts w:hint="eastAsia" w:ascii="宋体" w:hAnsi="宋体"/>
                <w:color w:val="auto"/>
                <w:szCs w:val="21"/>
              </w:rPr>
              <w:t>时</w:t>
            </w:r>
            <w:r>
              <w:rPr>
                <w:rFonts w:ascii="宋体" w:hAnsi="宋体"/>
                <w:color w:val="auto"/>
                <w:szCs w:val="21"/>
                <w:u w:val="single"/>
              </w:rPr>
              <w:t>/</w:t>
            </w:r>
            <w:r>
              <w:rPr>
                <w:rFonts w:hint="eastAsia" w:ascii="宋体" w:hAnsi="宋体"/>
                <w:color w:val="auto"/>
                <w:szCs w:val="21"/>
                <w:u w:val="single"/>
              </w:rPr>
              <w:t xml:space="preserve"> 分</w:t>
            </w:r>
            <w:r>
              <w:rPr>
                <w:rFonts w:hint="eastAsia" w:ascii="宋体" w:hAnsi="宋体"/>
                <w:color w:val="auto"/>
                <w:szCs w:val="21"/>
              </w:rPr>
              <w:t>，逾时后果自负。集中地点：</w:t>
            </w:r>
            <w:r>
              <w:rPr>
                <w:rFonts w:ascii="宋体" w:hAnsi="宋体"/>
                <w:color w:val="auto"/>
                <w:szCs w:val="21"/>
                <w:u w:val="single"/>
              </w:rPr>
              <w:t xml:space="preserve">/ </w:t>
            </w:r>
          </w:p>
          <w:p w14:paraId="349D8FC8">
            <w:pPr>
              <w:snapToGrid w:val="0"/>
              <w:spacing w:line="400" w:lineRule="exact"/>
              <w:rPr>
                <w:rFonts w:ascii="宋体" w:hAnsi="宋体"/>
                <w:color w:val="auto"/>
                <w:szCs w:val="21"/>
              </w:rPr>
            </w:pPr>
            <w:r>
              <w:rPr>
                <w:rFonts w:hint="eastAsia" w:ascii="宋体" w:hAnsi="宋体"/>
                <w:color w:val="auto"/>
                <w:szCs w:val="21"/>
              </w:rPr>
              <w:t>联系人：</w:t>
            </w:r>
            <w:r>
              <w:rPr>
                <w:rFonts w:ascii="宋体" w:hAnsi="宋体"/>
                <w:color w:val="auto"/>
                <w:szCs w:val="21"/>
                <w:u w:val="single"/>
              </w:rPr>
              <w:t xml:space="preserve">/ </w:t>
            </w:r>
            <w:r>
              <w:rPr>
                <w:rFonts w:hint="eastAsia" w:ascii="宋体" w:hAnsi="宋体"/>
                <w:color w:val="auto"/>
                <w:szCs w:val="21"/>
              </w:rPr>
              <w:t>；联系电话：</w:t>
            </w:r>
            <w:r>
              <w:rPr>
                <w:rFonts w:ascii="宋体" w:hAnsi="宋体"/>
                <w:color w:val="auto"/>
                <w:szCs w:val="21"/>
                <w:u w:val="single"/>
              </w:rPr>
              <w:t xml:space="preserve"> / </w:t>
            </w:r>
          </w:p>
        </w:tc>
      </w:tr>
      <w:tr w14:paraId="7DB80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978" w:type="dxa"/>
            <w:vMerge w:val="continue"/>
            <w:tcBorders>
              <w:left w:val="single" w:color="auto" w:sz="4" w:space="0"/>
              <w:bottom w:val="single" w:color="auto" w:sz="4" w:space="0"/>
              <w:right w:val="single" w:color="auto" w:sz="4" w:space="0"/>
            </w:tcBorders>
            <w:vAlign w:val="center"/>
          </w:tcPr>
          <w:p w14:paraId="7474F4A8">
            <w:pPr>
              <w:spacing w:line="400" w:lineRule="exact"/>
              <w:jc w:val="center"/>
              <w:rPr>
                <w:rFonts w:ascii="宋体" w:hAnsi="宋体"/>
                <w:color w:val="auto"/>
                <w:szCs w:val="21"/>
              </w:rPr>
            </w:pPr>
          </w:p>
        </w:tc>
        <w:tc>
          <w:tcPr>
            <w:tcW w:w="8175" w:type="dxa"/>
            <w:tcBorders>
              <w:top w:val="single" w:color="auto" w:sz="4" w:space="0"/>
              <w:left w:val="single" w:color="auto" w:sz="4" w:space="0"/>
              <w:bottom w:val="single" w:color="auto" w:sz="4" w:space="0"/>
              <w:right w:val="single" w:color="auto" w:sz="4" w:space="0"/>
            </w:tcBorders>
            <w:vAlign w:val="center"/>
          </w:tcPr>
          <w:p w14:paraId="756C553E">
            <w:pPr>
              <w:snapToGrid w:val="0"/>
              <w:spacing w:line="400" w:lineRule="exact"/>
              <w:rPr>
                <w:rFonts w:ascii="宋体" w:hAnsi="宋体"/>
                <w:color w:val="auto"/>
                <w:szCs w:val="21"/>
              </w:rPr>
            </w:pPr>
            <w:r>
              <w:rPr>
                <w:rFonts w:hint="eastAsia" w:ascii="MS Mincho" w:hAnsi="MS Mincho" w:eastAsia="MS Mincho" w:cs="MS Mincho"/>
                <w:color w:val="auto"/>
                <w:szCs w:val="21"/>
              </w:rPr>
              <w:t>☑</w:t>
            </w:r>
            <w:r>
              <w:rPr>
                <w:rFonts w:hint="eastAsia" w:ascii="宋体" w:hAnsi="宋体"/>
                <w:color w:val="auto"/>
                <w:szCs w:val="21"/>
              </w:rPr>
              <w:t>不组织召开开标前答疑会</w:t>
            </w:r>
          </w:p>
          <w:p w14:paraId="3104B5D9">
            <w:pPr>
              <w:snapToGrid w:val="0"/>
              <w:spacing w:line="400" w:lineRule="exact"/>
              <w:rPr>
                <w:rFonts w:ascii="宋体" w:hAnsi="宋体"/>
                <w:color w:val="auto"/>
                <w:szCs w:val="21"/>
              </w:rPr>
            </w:pPr>
            <w:r>
              <w:rPr>
                <w:rFonts w:hint="eastAsia" w:ascii="宋体" w:hAnsi="宋体"/>
                <w:color w:val="auto"/>
                <w:szCs w:val="21"/>
              </w:rPr>
              <w:t>□组织召开开标前答疑会</w:t>
            </w:r>
          </w:p>
          <w:p w14:paraId="5C5BC57C">
            <w:pPr>
              <w:snapToGrid w:val="0"/>
              <w:spacing w:line="400" w:lineRule="exact"/>
              <w:rPr>
                <w:rFonts w:ascii="宋体" w:hAnsi="宋体"/>
                <w:color w:val="auto"/>
                <w:szCs w:val="21"/>
              </w:rPr>
            </w:pPr>
            <w:r>
              <w:rPr>
                <w:rFonts w:hint="eastAsia" w:ascii="宋体" w:hAnsi="宋体"/>
                <w:color w:val="auto"/>
                <w:szCs w:val="21"/>
              </w:rPr>
              <w:t>会议开始时间：</w:t>
            </w:r>
            <w:r>
              <w:rPr>
                <w:rFonts w:ascii="宋体" w:hAnsi="宋体"/>
                <w:color w:val="auto"/>
                <w:szCs w:val="21"/>
                <w:u w:val="single"/>
              </w:rPr>
              <w:t>/</w:t>
            </w:r>
            <w:r>
              <w:rPr>
                <w:rFonts w:hint="eastAsia" w:ascii="宋体" w:hAnsi="宋体"/>
                <w:color w:val="auto"/>
                <w:szCs w:val="21"/>
              </w:rPr>
              <w:t>年</w:t>
            </w:r>
            <w:r>
              <w:rPr>
                <w:rFonts w:ascii="宋体" w:hAnsi="宋体"/>
                <w:color w:val="auto"/>
                <w:szCs w:val="21"/>
                <w:u w:val="single"/>
              </w:rPr>
              <w:t>/</w:t>
            </w:r>
            <w:r>
              <w:rPr>
                <w:rFonts w:hint="eastAsia" w:ascii="宋体" w:hAnsi="宋体"/>
                <w:color w:val="auto"/>
                <w:szCs w:val="21"/>
              </w:rPr>
              <w:t>月</w:t>
            </w:r>
            <w:r>
              <w:rPr>
                <w:rFonts w:ascii="宋体" w:hAnsi="宋体"/>
                <w:color w:val="auto"/>
                <w:szCs w:val="21"/>
                <w:u w:val="single"/>
              </w:rPr>
              <w:t>/</w:t>
            </w:r>
            <w:r>
              <w:rPr>
                <w:rFonts w:hint="eastAsia" w:ascii="宋体" w:hAnsi="宋体"/>
                <w:color w:val="auto"/>
                <w:szCs w:val="21"/>
              </w:rPr>
              <w:t xml:space="preserve">日 </w:t>
            </w:r>
            <w:r>
              <w:rPr>
                <w:rFonts w:ascii="宋体" w:hAnsi="宋体"/>
                <w:color w:val="auto"/>
                <w:szCs w:val="21"/>
                <w:u w:val="single"/>
              </w:rPr>
              <w:t>/</w:t>
            </w:r>
            <w:r>
              <w:rPr>
                <w:rFonts w:hint="eastAsia" w:ascii="宋体" w:hAnsi="宋体"/>
                <w:color w:val="auto"/>
                <w:szCs w:val="21"/>
              </w:rPr>
              <w:t>时</w:t>
            </w:r>
            <w:r>
              <w:rPr>
                <w:rFonts w:ascii="宋体" w:hAnsi="宋体"/>
                <w:color w:val="auto"/>
                <w:szCs w:val="21"/>
                <w:u w:val="single"/>
              </w:rPr>
              <w:t>/</w:t>
            </w:r>
            <w:r>
              <w:rPr>
                <w:rFonts w:hint="eastAsia" w:ascii="宋体" w:hAnsi="宋体"/>
                <w:color w:val="auto"/>
                <w:szCs w:val="21"/>
                <w:u w:val="single"/>
              </w:rPr>
              <w:t xml:space="preserve"> 分</w:t>
            </w:r>
            <w:r>
              <w:rPr>
                <w:rFonts w:hint="eastAsia" w:ascii="宋体" w:hAnsi="宋体"/>
                <w:color w:val="auto"/>
                <w:szCs w:val="21"/>
              </w:rPr>
              <w:t>，逾期后果自负。会议地点：</w:t>
            </w:r>
            <w:r>
              <w:rPr>
                <w:rFonts w:ascii="宋体" w:hAnsi="宋体"/>
                <w:color w:val="auto"/>
                <w:szCs w:val="21"/>
                <w:u w:val="single"/>
              </w:rPr>
              <w:t xml:space="preserve">/  </w:t>
            </w:r>
          </w:p>
        </w:tc>
      </w:tr>
      <w:tr w14:paraId="6A9ED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vAlign w:val="center"/>
          </w:tcPr>
          <w:p w14:paraId="5282E3EC">
            <w:pPr>
              <w:spacing w:line="400" w:lineRule="exact"/>
              <w:jc w:val="center"/>
              <w:rPr>
                <w:rFonts w:ascii="宋体" w:hAnsi="宋体"/>
                <w:color w:val="auto"/>
                <w:szCs w:val="21"/>
              </w:rPr>
            </w:pPr>
            <w:bookmarkStart w:id="77" w:name="_13.1"/>
            <w:bookmarkEnd w:id="77"/>
            <w:r>
              <w:rPr>
                <w:rFonts w:hint="eastAsia" w:ascii="宋体" w:hAnsi="宋体"/>
                <w:color w:val="auto"/>
                <w:szCs w:val="21"/>
              </w:rPr>
              <w:t>13</w:t>
            </w:r>
          </w:p>
        </w:tc>
        <w:tc>
          <w:tcPr>
            <w:tcW w:w="8175" w:type="dxa"/>
            <w:tcBorders>
              <w:top w:val="single" w:color="auto" w:sz="4" w:space="0"/>
              <w:left w:val="single" w:color="auto" w:sz="4" w:space="0"/>
              <w:bottom w:val="single" w:color="auto" w:sz="4" w:space="0"/>
              <w:right w:val="single" w:color="auto" w:sz="4" w:space="0"/>
            </w:tcBorders>
            <w:vAlign w:val="center"/>
          </w:tcPr>
          <w:p w14:paraId="22C6AAEF">
            <w:pPr>
              <w:snapToGrid w:val="0"/>
              <w:spacing w:line="400" w:lineRule="exact"/>
              <w:jc w:val="left"/>
              <w:rPr>
                <w:rFonts w:ascii="宋体" w:hAnsi="宋体" w:cs="Courier New"/>
                <w:b/>
                <w:color w:val="auto"/>
                <w:szCs w:val="21"/>
              </w:rPr>
            </w:pPr>
            <w:r>
              <w:rPr>
                <w:rFonts w:hint="eastAsia" w:ascii="宋体" w:hAnsi="宋体" w:cs="Courier New"/>
                <w:b/>
                <w:color w:val="auto"/>
                <w:szCs w:val="21"/>
              </w:rPr>
              <w:t>报价文件：</w:t>
            </w:r>
          </w:p>
          <w:p w14:paraId="55B4743E">
            <w:pPr>
              <w:tabs>
                <w:tab w:val="left" w:pos="459"/>
              </w:tabs>
              <w:snapToGrid w:val="0"/>
              <w:spacing w:line="400" w:lineRule="exact"/>
              <w:ind w:left="-69"/>
              <w:jc w:val="left"/>
              <w:rPr>
                <w:rFonts w:ascii="宋体" w:hAnsi="宋体"/>
                <w:color w:val="auto"/>
                <w:szCs w:val="21"/>
              </w:rPr>
            </w:pPr>
            <w:r>
              <w:rPr>
                <w:rFonts w:hint="eastAsia" w:ascii="宋体" w:hAnsi="宋体"/>
                <w:color w:val="auto"/>
                <w:szCs w:val="21"/>
              </w:rPr>
              <w:t>1.投标函（格式见第六章）；</w:t>
            </w:r>
            <w:r>
              <w:rPr>
                <w:rFonts w:hint="eastAsia" w:ascii="宋体" w:hAnsi="宋体"/>
                <w:b/>
                <w:color w:val="auto"/>
                <w:szCs w:val="21"/>
              </w:rPr>
              <w:t>（必须提供，否则按无效投标处理）</w:t>
            </w:r>
          </w:p>
          <w:p w14:paraId="549EA31F">
            <w:pPr>
              <w:tabs>
                <w:tab w:val="left" w:pos="459"/>
              </w:tabs>
              <w:snapToGrid w:val="0"/>
              <w:spacing w:line="400" w:lineRule="exact"/>
              <w:ind w:left="-69"/>
              <w:jc w:val="left"/>
              <w:rPr>
                <w:rFonts w:ascii="宋体" w:hAnsi="宋体"/>
                <w:color w:val="auto"/>
                <w:szCs w:val="21"/>
              </w:rPr>
            </w:pPr>
            <w:r>
              <w:rPr>
                <w:rFonts w:hint="eastAsia" w:ascii="宋体" w:hAnsi="宋体"/>
                <w:color w:val="auto"/>
                <w:szCs w:val="21"/>
              </w:rPr>
              <w:t>2.开标一览表（格式见第六章）；（</w:t>
            </w:r>
            <w:r>
              <w:rPr>
                <w:rFonts w:hint="eastAsia" w:ascii="宋体" w:hAnsi="宋体"/>
                <w:b/>
                <w:color w:val="auto"/>
                <w:szCs w:val="21"/>
              </w:rPr>
              <w:t>必须提供，否则按无效投标处理</w:t>
            </w:r>
            <w:r>
              <w:rPr>
                <w:rFonts w:hint="eastAsia" w:ascii="宋体" w:hAnsi="宋体"/>
                <w:color w:val="auto"/>
                <w:szCs w:val="21"/>
              </w:rPr>
              <w:t>）</w:t>
            </w:r>
          </w:p>
          <w:p w14:paraId="21893922">
            <w:pPr>
              <w:tabs>
                <w:tab w:val="left" w:pos="459"/>
              </w:tabs>
              <w:snapToGrid w:val="0"/>
              <w:spacing w:line="400" w:lineRule="exact"/>
              <w:ind w:left="-69"/>
              <w:jc w:val="left"/>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.投标人针对报价需要说明的其他文件和说明（格式自拟）。（如有，请提供）</w:t>
            </w:r>
          </w:p>
          <w:p w14:paraId="313B5625">
            <w:pPr>
              <w:tabs>
                <w:tab w:val="left" w:pos="459"/>
              </w:tabs>
              <w:snapToGrid w:val="0"/>
              <w:spacing w:line="400" w:lineRule="exact"/>
              <w:ind w:left="-69"/>
              <w:jc w:val="left"/>
              <w:rPr>
                <w:rFonts w:ascii="宋体" w:hAnsi="宋体"/>
                <w:color w:val="auto"/>
                <w:szCs w:val="21"/>
              </w:rPr>
            </w:pPr>
            <w:r>
              <w:rPr>
                <w:rFonts w:hint="eastAsia" w:ascii="宋体" w:hAnsi="宋体"/>
                <w:b/>
                <w:color w:val="auto"/>
                <w:szCs w:val="21"/>
              </w:rPr>
              <w:t>注：以上</w:t>
            </w:r>
            <w:r>
              <w:rPr>
                <w:rFonts w:hint="eastAsia" w:ascii="宋体" w:hAnsi="宋体" w:cs="Courier New"/>
                <w:b/>
                <w:color w:val="auto"/>
                <w:szCs w:val="21"/>
              </w:rPr>
              <w:t>标明“必须提供”的材料，格式中有要求法定代表人或者委托代理人签字的，必须按要求签字并加盖投标人电子签单，</w:t>
            </w:r>
            <w:r>
              <w:rPr>
                <w:rFonts w:hint="eastAsia" w:ascii="宋体" w:hAnsi="宋体"/>
                <w:b/>
                <w:bCs/>
                <w:color w:val="auto"/>
                <w:szCs w:val="21"/>
              </w:rPr>
              <w:t>否则按无效投标</w:t>
            </w:r>
            <w:r>
              <w:rPr>
                <w:rFonts w:hint="eastAsia" w:ascii="宋体" w:hAnsi="宋体" w:cs="Courier New"/>
                <w:b/>
                <w:color w:val="auto"/>
                <w:szCs w:val="21"/>
              </w:rPr>
              <w:t>处理</w:t>
            </w:r>
            <w:r>
              <w:rPr>
                <w:rFonts w:hint="eastAsia" w:ascii="宋体" w:hAnsi="宋体"/>
                <w:b/>
                <w:color w:val="auto"/>
                <w:szCs w:val="21"/>
              </w:rPr>
              <w:t>。</w:t>
            </w:r>
          </w:p>
        </w:tc>
      </w:tr>
      <w:tr w14:paraId="2E91F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1F8CB6D9">
            <w:pPr>
              <w:spacing w:line="400" w:lineRule="exact"/>
              <w:rPr>
                <w:rFonts w:ascii="宋体" w:hAnsi="宋体"/>
                <w:color w:val="auto"/>
                <w:szCs w:val="21"/>
              </w:rPr>
            </w:pPr>
            <w:bookmarkStart w:id="78" w:name="_13.2"/>
            <w:bookmarkEnd w:id="78"/>
          </w:p>
        </w:tc>
        <w:tc>
          <w:tcPr>
            <w:tcW w:w="8175" w:type="dxa"/>
            <w:tcBorders>
              <w:top w:val="single" w:color="auto" w:sz="4" w:space="0"/>
              <w:left w:val="single" w:color="auto" w:sz="4" w:space="0"/>
              <w:bottom w:val="single" w:color="auto" w:sz="4" w:space="0"/>
              <w:right w:val="single" w:color="auto" w:sz="4" w:space="0"/>
            </w:tcBorders>
            <w:vAlign w:val="center"/>
          </w:tcPr>
          <w:p w14:paraId="43F8D4AE">
            <w:pPr>
              <w:snapToGrid w:val="0"/>
              <w:spacing w:line="400" w:lineRule="exact"/>
              <w:ind w:firstLine="422" w:firstLineChars="200"/>
              <w:jc w:val="left"/>
              <w:rPr>
                <w:rFonts w:ascii="宋体" w:hAnsi="宋体" w:cs="Courier New"/>
                <w:b/>
                <w:color w:val="auto"/>
                <w:szCs w:val="21"/>
              </w:rPr>
            </w:pPr>
            <w:r>
              <w:rPr>
                <w:rFonts w:hint="eastAsia" w:ascii="宋体" w:hAnsi="宋体" w:cs="Courier New"/>
                <w:b/>
                <w:color w:val="auto"/>
                <w:szCs w:val="21"/>
              </w:rPr>
              <w:t>资格证明文件（投标人所提供的材料不完整，或模糊不清以致关键信息无法辨认的，责任自负）:</w:t>
            </w:r>
          </w:p>
          <w:p w14:paraId="23595BBC">
            <w:pPr>
              <w:snapToGrid w:val="0"/>
              <w:spacing w:line="400" w:lineRule="exact"/>
              <w:ind w:firstLine="420" w:firstLineChars="200"/>
              <w:jc w:val="left"/>
              <w:rPr>
                <w:rFonts w:ascii="宋体" w:hAnsi="宋体" w:cs="Courier New"/>
                <w:b/>
                <w:color w:val="auto"/>
                <w:szCs w:val="21"/>
              </w:rPr>
            </w:pPr>
            <w:r>
              <w:rPr>
                <w:rFonts w:hint="eastAsia" w:ascii="宋体" w:hAnsi="宋体"/>
                <w:color w:val="auto"/>
                <w:szCs w:val="21"/>
              </w:rPr>
              <w:t>1.投标人为法人或者其他组织的，提供营业执照等证明文件扫描件</w:t>
            </w:r>
            <w:r>
              <w:rPr>
                <w:rFonts w:hint="eastAsia" w:ascii="宋体" w:hAnsi="宋体" w:cs="宋体"/>
                <w:color w:val="auto"/>
                <w:szCs w:val="21"/>
              </w:rPr>
              <w:t>（如营业执照或者事业单位法人证书或者</w:t>
            </w:r>
            <w:r>
              <w:rPr>
                <w:rStyle w:val="86"/>
                <w:color w:val="auto"/>
                <w:sz w:val="21"/>
                <w:szCs w:val="21"/>
              </w:rPr>
              <w:t>执业许可证</w:t>
            </w:r>
            <w:r>
              <w:rPr>
                <w:rFonts w:hint="eastAsia" w:ascii="宋体" w:hAnsi="宋体" w:cs="宋体"/>
                <w:color w:val="auto"/>
                <w:szCs w:val="21"/>
              </w:rPr>
              <w:t>或者登记证书等）</w:t>
            </w:r>
            <w:r>
              <w:rPr>
                <w:rFonts w:hint="eastAsia" w:ascii="宋体" w:hAnsi="宋体"/>
                <w:color w:val="auto"/>
                <w:szCs w:val="21"/>
              </w:rPr>
              <w:t>，投标人为自然人的，提供身份证</w:t>
            </w:r>
            <w:r>
              <w:rPr>
                <w:rFonts w:hint="eastAsia" w:ascii="宋体" w:hAnsi="宋体" w:cs="宋体"/>
                <w:color w:val="auto"/>
                <w:szCs w:val="21"/>
              </w:rPr>
              <w:t>扫描件</w:t>
            </w:r>
            <w:r>
              <w:rPr>
                <w:rFonts w:hint="eastAsia" w:ascii="宋体" w:hAnsi="宋体"/>
                <w:color w:val="auto"/>
                <w:szCs w:val="21"/>
              </w:rPr>
              <w:t>；（</w:t>
            </w:r>
            <w:r>
              <w:rPr>
                <w:rFonts w:hint="eastAsia" w:ascii="宋体" w:hAnsi="宋体"/>
                <w:b/>
                <w:color w:val="auto"/>
                <w:szCs w:val="21"/>
              </w:rPr>
              <w:t>必须提供，否则按无效投标处理</w:t>
            </w:r>
            <w:r>
              <w:rPr>
                <w:rFonts w:hint="eastAsia" w:ascii="宋体" w:hAnsi="宋体"/>
                <w:color w:val="auto"/>
                <w:szCs w:val="21"/>
              </w:rPr>
              <w:t>）</w:t>
            </w:r>
          </w:p>
          <w:p w14:paraId="4A2B2321">
            <w:pPr>
              <w:snapToGrid w:val="0"/>
              <w:spacing w:line="400" w:lineRule="exact"/>
              <w:ind w:firstLine="420" w:firstLineChars="200"/>
              <w:jc w:val="left"/>
              <w:rPr>
                <w:rFonts w:ascii="宋体" w:hAnsi="宋体" w:cs="Courier New"/>
                <w:b/>
                <w:color w:val="auto"/>
                <w:szCs w:val="21"/>
              </w:rPr>
            </w:pPr>
            <w:r>
              <w:rPr>
                <w:rFonts w:hint="eastAsia" w:ascii="宋体" w:hAnsi="宋体" w:cs="宋体"/>
                <w:color w:val="auto"/>
                <w:szCs w:val="21"/>
              </w:rPr>
              <w:t>2.投标人半年内连续3个月</w:t>
            </w:r>
            <w:r>
              <w:rPr>
                <w:rFonts w:hint="eastAsia" w:ascii="宋体" w:hAnsi="宋体" w:cs="宋体"/>
                <w:color w:val="auto"/>
                <w:szCs w:val="21"/>
                <w:lang w:eastAsia="zh-CN"/>
              </w:rPr>
              <w:t>（</w:t>
            </w:r>
            <w:r>
              <w:rPr>
                <w:rFonts w:hint="eastAsia" w:ascii="宋体" w:hAnsi="宋体" w:cs="宋体"/>
                <w:color w:val="auto"/>
                <w:szCs w:val="21"/>
                <w:lang w:val="en-US" w:eastAsia="zh-CN"/>
              </w:rPr>
              <w:t>2025年1月至2025年6月</w:t>
            </w:r>
            <w:r>
              <w:rPr>
                <w:rFonts w:hint="eastAsia" w:ascii="宋体" w:hAnsi="宋体" w:cs="宋体"/>
                <w:color w:val="auto"/>
                <w:szCs w:val="21"/>
                <w:lang w:eastAsia="zh-CN"/>
              </w:rPr>
              <w:t>）</w:t>
            </w:r>
            <w:r>
              <w:rPr>
                <w:rFonts w:hint="eastAsia" w:ascii="宋体" w:hAnsi="宋体" w:cs="宋体"/>
                <w:color w:val="auto"/>
                <w:szCs w:val="21"/>
              </w:rPr>
              <w:t>的依法缴纳税收的凭据复印件；依法免税</w:t>
            </w:r>
            <w:r>
              <w:rPr>
                <w:rFonts w:hint="eastAsia" w:ascii="宋体" w:hAnsi="宋体" w:cs="宋体"/>
                <w:bCs/>
                <w:color w:val="auto"/>
                <w:szCs w:val="20"/>
              </w:rPr>
              <w:t>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olor w:val="auto"/>
                <w:szCs w:val="21"/>
              </w:rPr>
              <w:t>；（</w:t>
            </w:r>
            <w:r>
              <w:rPr>
                <w:rFonts w:hint="eastAsia" w:ascii="宋体" w:hAnsi="宋体"/>
                <w:b/>
                <w:color w:val="auto"/>
                <w:szCs w:val="21"/>
              </w:rPr>
              <w:t>必须提供，否则按无效投标处理</w:t>
            </w:r>
            <w:r>
              <w:rPr>
                <w:rFonts w:hint="eastAsia" w:ascii="宋体" w:hAnsi="宋体"/>
                <w:color w:val="auto"/>
                <w:szCs w:val="21"/>
              </w:rPr>
              <w:t>）</w:t>
            </w:r>
          </w:p>
          <w:p w14:paraId="020B3882">
            <w:pPr>
              <w:snapToGrid w:val="0"/>
              <w:spacing w:line="400" w:lineRule="exact"/>
              <w:ind w:firstLine="420" w:firstLineChars="200"/>
              <w:jc w:val="left"/>
              <w:rPr>
                <w:rFonts w:ascii="宋体" w:hAnsi="宋体" w:cs="Courier New"/>
                <w:b/>
                <w:color w:val="auto"/>
                <w:szCs w:val="21"/>
              </w:rPr>
            </w:pPr>
            <w:r>
              <w:rPr>
                <w:rFonts w:hint="eastAsia" w:ascii="宋体" w:hAnsi="宋体" w:cs="宋体"/>
                <w:color w:val="auto"/>
                <w:szCs w:val="21"/>
              </w:rPr>
              <w:t>3.投标人依法缴纳社会保障资金的相关材料：</w:t>
            </w:r>
            <w:r>
              <w:rPr>
                <w:rFonts w:hint="eastAsia" w:ascii="宋体" w:hAnsi="宋体" w:cs="宋体"/>
                <w:bCs/>
                <w:color w:val="auto"/>
                <w:szCs w:val="20"/>
              </w:rPr>
              <w:t>半年内</w:t>
            </w:r>
            <w:r>
              <w:rPr>
                <w:rFonts w:hint="eastAsia" w:ascii="宋体" w:hAnsi="宋体" w:cs="宋体"/>
                <w:color w:val="auto"/>
                <w:szCs w:val="21"/>
              </w:rPr>
              <w:t>连续 3 个月</w:t>
            </w:r>
            <w:r>
              <w:rPr>
                <w:rFonts w:hint="eastAsia" w:ascii="宋体" w:hAnsi="宋体" w:cs="宋体"/>
                <w:color w:val="auto"/>
                <w:szCs w:val="21"/>
                <w:lang w:eastAsia="zh-CN"/>
              </w:rPr>
              <w:t>（</w:t>
            </w:r>
            <w:r>
              <w:rPr>
                <w:rFonts w:hint="eastAsia" w:ascii="宋体" w:hAnsi="宋体" w:cs="宋体"/>
                <w:color w:val="auto"/>
                <w:szCs w:val="21"/>
                <w:lang w:val="en-US" w:eastAsia="zh-CN"/>
              </w:rPr>
              <w:t>2025年1月至2025年6月</w:t>
            </w:r>
            <w:r>
              <w:rPr>
                <w:rFonts w:hint="eastAsia" w:ascii="宋体" w:hAnsi="宋体" w:cs="宋体"/>
                <w:color w:val="auto"/>
                <w:szCs w:val="21"/>
                <w:lang w:eastAsia="zh-CN"/>
              </w:rPr>
              <w:t>）</w:t>
            </w:r>
            <w:r>
              <w:rPr>
                <w:rFonts w:hint="eastAsia" w:ascii="宋体" w:hAnsi="宋体" w:cs="宋体"/>
                <w:color w:val="auto"/>
                <w:szCs w:val="21"/>
              </w:rPr>
              <w:t>的依法缴纳社会保障资金的缴费凭证（专用收据或者社会保险缴纳清单）复印件；依法不需要缴纳社会保障资金的供应商，必须提供相应文件证明不需要缴纳社会保障资金。从取得营业执照时间起到</w:t>
            </w:r>
            <w:r>
              <w:rPr>
                <w:rFonts w:hint="eastAsia" w:ascii="宋体" w:hAnsi="宋体" w:cs="宋体"/>
                <w:color w:val="auto"/>
                <w:szCs w:val="21"/>
                <w:lang w:val="en-US" w:eastAsia="zh-CN"/>
              </w:rPr>
              <w:t>投标</w:t>
            </w:r>
            <w:r>
              <w:rPr>
                <w:rFonts w:hint="eastAsia" w:ascii="宋体" w:hAnsi="宋体" w:cs="宋体"/>
                <w:color w:val="auto"/>
                <w:szCs w:val="21"/>
              </w:rPr>
              <w:t>文件提交截止时间为止不足要求月数的只需提供从取得营业执照起的依</w:t>
            </w:r>
            <w:r>
              <w:rPr>
                <w:rFonts w:hint="eastAsia" w:ascii="宋体" w:hAnsi="宋体" w:cs="宋体"/>
                <w:color w:val="auto"/>
                <w:szCs w:val="20"/>
              </w:rPr>
              <w:t>法缴纳社会保障资金的相应证明文件]；</w:t>
            </w:r>
            <w:r>
              <w:rPr>
                <w:rFonts w:hint="eastAsia" w:ascii="宋体" w:hAnsi="宋体"/>
                <w:color w:val="auto"/>
                <w:szCs w:val="21"/>
              </w:rPr>
              <w:t>（</w:t>
            </w:r>
            <w:r>
              <w:rPr>
                <w:rFonts w:hint="eastAsia" w:ascii="宋体" w:hAnsi="宋体"/>
                <w:b/>
                <w:color w:val="auto"/>
                <w:szCs w:val="21"/>
              </w:rPr>
              <w:t>必须提供，否则按无效投标处理</w:t>
            </w:r>
            <w:r>
              <w:rPr>
                <w:rFonts w:hint="eastAsia" w:ascii="宋体" w:hAnsi="宋体"/>
                <w:color w:val="auto"/>
                <w:szCs w:val="21"/>
              </w:rPr>
              <w:t>）</w:t>
            </w:r>
          </w:p>
          <w:p w14:paraId="209769DC">
            <w:pPr>
              <w:snapToGrid w:val="0"/>
              <w:spacing w:line="400" w:lineRule="exact"/>
              <w:ind w:firstLine="420" w:firstLineChars="200"/>
              <w:jc w:val="left"/>
              <w:rPr>
                <w:rFonts w:ascii="宋体" w:hAnsi="宋体" w:cs="Courier New"/>
                <w:b/>
                <w:color w:val="auto"/>
                <w:szCs w:val="21"/>
              </w:rPr>
            </w:pPr>
            <w:r>
              <w:rPr>
                <w:rFonts w:hint="eastAsia" w:ascii="宋体" w:hAnsi="宋体" w:cs="宋体"/>
                <w:color w:val="auto"/>
                <w:szCs w:val="21"/>
              </w:rPr>
              <w:t>4.投标人</w:t>
            </w:r>
            <w:r>
              <w:rPr>
                <w:rFonts w:hint="eastAsia" w:ascii="宋体" w:hAnsi="宋体"/>
                <w:color w:val="auto"/>
                <w:szCs w:val="21"/>
              </w:rPr>
              <w:t>财务状况报告（2023年或2024年度财务报表扫描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b/>
                <w:color w:val="auto"/>
                <w:szCs w:val="21"/>
              </w:rPr>
              <w:t>必须提供，否则按无效投标处理</w:t>
            </w:r>
            <w:r>
              <w:rPr>
                <w:rFonts w:hint="eastAsia" w:ascii="宋体" w:hAnsi="宋体"/>
                <w:color w:val="auto"/>
                <w:szCs w:val="21"/>
              </w:rPr>
              <w:t>）</w:t>
            </w:r>
          </w:p>
          <w:p w14:paraId="02B2FE9D">
            <w:pPr>
              <w:snapToGrid w:val="0"/>
              <w:spacing w:line="400" w:lineRule="exact"/>
              <w:ind w:firstLine="420" w:firstLineChars="200"/>
              <w:jc w:val="left"/>
              <w:rPr>
                <w:rFonts w:ascii="宋体" w:hAnsi="宋体"/>
                <w:color w:val="auto"/>
                <w:szCs w:val="21"/>
              </w:rPr>
            </w:pPr>
            <w:r>
              <w:rPr>
                <w:rFonts w:hint="eastAsia" w:ascii="宋体" w:hAnsi="宋体"/>
                <w:color w:val="auto"/>
                <w:szCs w:val="21"/>
              </w:rPr>
              <w:t>5.投标人直接控股信息表（格式见第六章）；（</w:t>
            </w:r>
            <w:r>
              <w:rPr>
                <w:rFonts w:hint="eastAsia" w:ascii="宋体" w:hAnsi="宋体"/>
                <w:b/>
                <w:color w:val="auto"/>
                <w:szCs w:val="21"/>
              </w:rPr>
              <w:t>必须提供，否则按无效投标处理</w:t>
            </w:r>
            <w:r>
              <w:rPr>
                <w:rFonts w:hint="eastAsia" w:ascii="宋体" w:hAnsi="宋体"/>
                <w:color w:val="auto"/>
                <w:szCs w:val="21"/>
              </w:rPr>
              <w:t>）</w:t>
            </w:r>
          </w:p>
          <w:p w14:paraId="3F9BBFCE">
            <w:pPr>
              <w:snapToGrid w:val="0"/>
              <w:spacing w:line="400" w:lineRule="exact"/>
              <w:ind w:firstLine="420" w:firstLineChars="200"/>
              <w:jc w:val="left"/>
              <w:rPr>
                <w:rFonts w:ascii="宋体" w:hAnsi="宋体"/>
                <w:color w:val="auto"/>
                <w:szCs w:val="21"/>
              </w:rPr>
            </w:pPr>
            <w:r>
              <w:rPr>
                <w:rFonts w:hint="eastAsia" w:ascii="宋体" w:hAnsi="宋体"/>
                <w:color w:val="auto"/>
                <w:szCs w:val="21"/>
              </w:rPr>
              <w:t>6.投标人直接管理关系信息表（格式见第六章）；（</w:t>
            </w:r>
            <w:r>
              <w:rPr>
                <w:rFonts w:hint="eastAsia" w:ascii="宋体" w:hAnsi="宋体"/>
                <w:b/>
                <w:color w:val="auto"/>
                <w:szCs w:val="21"/>
              </w:rPr>
              <w:t>必须提供，否则按无效投标处理</w:t>
            </w:r>
            <w:r>
              <w:rPr>
                <w:rFonts w:hint="eastAsia" w:ascii="宋体" w:hAnsi="宋体"/>
                <w:color w:val="auto"/>
                <w:szCs w:val="21"/>
              </w:rPr>
              <w:t>）</w:t>
            </w:r>
          </w:p>
          <w:p w14:paraId="0AB118E7">
            <w:pPr>
              <w:snapToGrid w:val="0"/>
              <w:spacing w:line="400" w:lineRule="exact"/>
              <w:ind w:firstLine="420" w:firstLineChars="200"/>
              <w:jc w:val="left"/>
              <w:rPr>
                <w:rFonts w:ascii="宋体" w:hAnsi="宋体" w:cs="Courier New"/>
                <w:b/>
                <w:color w:val="auto"/>
                <w:szCs w:val="21"/>
              </w:rPr>
            </w:pPr>
            <w:r>
              <w:rPr>
                <w:rFonts w:hint="eastAsia" w:ascii="宋体" w:hAnsi="宋体"/>
                <w:color w:val="auto"/>
                <w:szCs w:val="21"/>
              </w:rPr>
              <w:t>7.投标声明（格式见第六章）；（</w:t>
            </w:r>
            <w:r>
              <w:rPr>
                <w:rFonts w:hint="eastAsia" w:ascii="宋体" w:hAnsi="宋体"/>
                <w:b/>
                <w:color w:val="auto"/>
                <w:szCs w:val="21"/>
              </w:rPr>
              <w:t>必须提供，否则按无效投标处理</w:t>
            </w:r>
            <w:r>
              <w:rPr>
                <w:rFonts w:hint="eastAsia" w:ascii="宋体" w:hAnsi="宋体"/>
                <w:color w:val="auto"/>
                <w:szCs w:val="21"/>
              </w:rPr>
              <w:t>）</w:t>
            </w:r>
          </w:p>
          <w:p w14:paraId="5FB0AB35">
            <w:pPr>
              <w:snapToGrid w:val="0"/>
              <w:spacing w:line="400" w:lineRule="exact"/>
              <w:ind w:firstLine="420" w:firstLineChars="200"/>
              <w:jc w:val="left"/>
              <w:rPr>
                <w:rFonts w:ascii="宋体" w:hAnsi="宋体"/>
                <w:color w:val="auto"/>
                <w:szCs w:val="21"/>
              </w:rPr>
            </w:pPr>
            <w:r>
              <w:rPr>
                <w:rFonts w:ascii="宋体" w:hAnsi="宋体"/>
                <w:color w:val="auto"/>
                <w:szCs w:val="21"/>
              </w:rPr>
              <w:t>8</w:t>
            </w:r>
            <w:r>
              <w:rPr>
                <w:rFonts w:hint="eastAsia" w:ascii="宋体" w:hAnsi="宋体"/>
                <w:color w:val="auto"/>
                <w:szCs w:val="21"/>
              </w:rPr>
              <w:t>.联合体协议书（格式见第六章）；（</w:t>
            </w:r>
            <w:r>
              <w:rPr>
                <w:rFonts w:hint="eastAsia" w:ascii="宋体" w:hAnsi="宋体"/>
                <w:b/>
                <w:color w:val="auto"/>
                <w:szCs w:val="21"/>
              </w:rPr>
              <w:t>联合体投标时必须提供，否则按无效投标处理）</w:t>
            </w:r>
          </w:p>
          <w:p w14:paraId="7B5C402C">
            <w:pPr>
              <w:snapToGrid w:val="0"/>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.落实政府采购政策需满足的资格要求：</w:t>
            </w:r>
            <w:r>
              <w:rPr>
                <w:rFonts w:hint="eastAsia" w:ascii="宋体" w:hAnsi="宋体"/>
                <w:color w:val="auto"/>
                <w:szCs w:val="21"/>
                <w:lang w:val="en-US" w:eastAsia="zh-CN"/>
              </w:rPr>
              <w:t xml:space="preserve">无 </w:t>
            </w:r>
            <w:r>
              <w:rPr>
                <w:rFonts w:hint="eastAsia" w:ascii="宋体" w:hAnsi="宋体"/>
                <w:b w:val="0"/>
                <w:bCs w:val="0"/>
                <w:color w:val="auto"/>
                <w:szCs w:val="21"/>
                <w:lang w:val="en-US" w:eastAsia="zh-CN"/>
              </w:rPr>
              <w:t>；</w:t>
            </w:r>
          </w:p>
          <w:p w14:paraId="617484CA">
            <w:pPr>
              <w:snapToGrid w:val="0"/>
              <w:spacing w:line="400" w:lineRule="exact"/>
              <w:ind w:firstLine="420" w:firstLineChars="200"/>
              <w:jc w:val="left"/>
              <w:rPr>
                <w:rFonts w:ascii="宋体" w:hAnsi="宋体"/>
                <w:color w:val="auto"/>
                <w:szCs w:val="21"/>
              </w:rPr>
            </w:pPr>
            <w:r>
              <w:rPr>
                <w:rFonts w:ascii="宋体" w:hAnsi="宋体"/>
                <w:color w:val="auto"/>
                <w:szCs w:val="21"/>
              </w:rPr>
              <w:t>10</w:t>
            </w:r>
            <w:r>
              <w:rPr>
                <w:rFonts w:hint="eastAsia" w:ascii="宋体" w:hAnsi="宋体"/>
                <w:color w:val="auto"/>
                <w:szCs w:val="21"/>
              </w:rPr>
              <w:t>.特定资格要求资格证明材料：（</w:t>
            </w:r>
            <w:r>
              <w:rPr>
                <w:rFonts w:hint="eastAsia" w:ascii="宋体" w:hAnsi="宋体"/>
                <w:b/>
                <w:color w:val="auto"/>
                <w:szCs w:val="21"/>
              </w:rPr>
              <w:t>必须提供，否则按无效投标处理</w:t>
            </w:r>
            <w:r>
              <w:rPr>
                <w:rFonts w:hint="eastAsia" w:ascii="宋体" w:hAnsi="宋体"/>
                <w:color w:val="auto"/>
                <w:szCs w:val="21"/>
              </w:rPr>
              <w:t>）</w:t>
            </w:r>
          </w:p>
          <w:p w14:paraId="384C92BC">
            <w:pPr>
              <w:snapToGrid w:val="0"/>
              <w:spacing w:line="400" w:lineRule="exact"/>
              <w:ind w:firstLine="420" w:firstLineChars="200"/>
              <w:jc w:val="left"/>
              <w:rPr>
                <w:rFonts w:ascii="宋体" w:hAnsi="宋体" w:cs="Courier New"/>
                <w:b/>
                <w:color w:val="auto"/>
                <w:szCs w:val="21"/>
              </w:rPr>
            </w:pPr>
            <w:r>
              <w:rPr>
                <w:rFonts w:hint="eastAsia"/>
                <w:color w:val="auto"/>
                <w:szCs w:val="21"/>
                <w:lang w:val="en-US" w:eastAsia="zh-CN"/>
              </w:rPr>
              <w:t xml:space="preserve"> 投标人须</w:t>
            </w:r>
            <w:r>
              <w:rPr>
                <w:rFonts w:hint="eastAsia"/>
                <w:color w:val="auto"/>
                <w:szCs w:val="21"/>
                <w:highlight w:val="none"/>
              </w:rPr>
              <w:t>具备有效的公路水运工程试验检测机构等级证书（公路工程综合乙级</w:t>
            </w:r>
            <w:r>
              <w:rPr>
                <w:rFonts w:hint="eastAsia"/>
                <w:color w:val="auto"/>
                <w:szCs w:val="21"/>
                <w:highlight w:val="none"/>
                <w:lang w:val="en-US" w:eastAsia="zh-CN"/>
              </w:rPr>
              <w:t>或以上</w:t>
            </w:r>
            <w:r>
              <w:rPr>
                <w:rFonts w:hint="eastAsia"/>
                <w:color w:val="auto"/>
                <w:szCs w:val="21"/>
                <w:highlight w:val="none"/>
              </w:rPr>
              <w:t>）</w:t>
            </w:r>
            <w:r>
              <w:rPr>
                <w:rFonts w:hint="eastAsia"/>
                <w:color w:val="auto"/>
                <w:szCs w:val="21"/>
                <w:highlight w:val="none"/>
                <w:lang w:val="en-US" w:eastAsia="zh-CN"/>
              </w:rPr>
              <w:t>或</w:t>
            </w:r>
            <w:r>
              <w:rPr>
                <w:rFonts w:hint="eastAsia"/>
                <w:color w:val="auto"/>
                <w:szCs w:val="21"/>
                <w:highlight w:val="none"/>
              </w:rPr>
              <w:t>公路水运工程质量检测机构资质证书（公路工程乙级</w:t>
            </w:r>
            <w:r>
              <w:rPr>
                <w:rFonts w:hint="eastAsia"/>
                <w:color w:val="auto"/>
                <w:szCs w:val="21"/>
                <w:highlight w:val="none"/>
                <w:lang w:val="en-US" w:eastAsia="zh-CN"/>
              </w:rPr>
              <w:t>或以上</w:t>
            </w:r>
            <w:r>
              <w:rPr>
                <w:rFonts w:hint="eastAsia"/>
                <w:color w:val="auto"/>
                <w:szCs w:val="21"/>
                <w:highlight w:val="none"/>
              </w:rPr>
              <w:t>）</w:t>
            </w:r>
            <w:r>
              <w:rPr>
                <w:rFonts w:hint="eastAsia"/>
                <w:color w:val="auto"/>
                <w:szCs w:val="21"/>
                <w:lang w:val="en-US" w:eastAsia="zh-CN"/>
              </w:rPr>
              <w:t>，同时</w:t>
            </w:r>
            <w:r>
              <w:rPr>
                <w:rFonts w:hint="eastAsia"/>
                <w:color w:val="auto"/>
                <w:szCs w:val="21"/>
              </w:rPr>
              <w:t>具备有效的 CMA 计量认证合格证书（证书需涵盖本项目所涉及的所有检测参数）。</w:t>
            </w:r>
          </w:p>
          <w:p w14:paraId="362E90BD">
            <w:pPr>
              <w:snapToGrid w:val="0"/>
              <w:spacing w:line="400" w:lineRule="exact"/>
              <w:ind w:firstLine="420" w:firstLineChars="200"/>
              <w:jc w:val="left"/>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.除招标文件规定必须提供以外，投标人认为需要提供的其他证明材料。（如有，请提供）</w:t>
            </w:r>
          </w:p>
          <w:p w14:paraId="5DA364FB">
            <w:pPr>
              <w:snapToGrid w:val="0"/>
              <w:spacing w:line="400" w:lineRule="exact"/>
              <w:ind w:firstLine="422" w:firstLineChars="200"/>
              <w:jc w:val="left"/>
              <w:rPr>
                <w:rFonts w:ascii="宋体" w:hAnsi="宋体"/>
                <w:b/>
                <w:bCs/>
                <w:color w:val="auto"/>
                <w:szCs w:val="21"/>
              </w:rPr>
            </w:pPr>
            <w:r>
              <w:rPr>
                <w:rFonts w:hint="eastAsia" w:ascii="宋体" w:hAnsi="宋体"/>
                <w:b/>
                <w:bCs/>
                <w:color w:val="auto"/>
                <w:szCs w:val="21"/>
              </w:rPr>
              <w:t>注：</w:t>
            </w:r>
          </w:p>
          <w:p w14:paraId="7EF6825A">
            <w:pPr>
              <w:snapToGrid w:val="0"/>
              <w:spacing w:line="400" w:lineRule="exact"/>
              <w:ind w:firstLine="422" w:firstLineChars="200"/>
              <w:jc w:val="left"/>
              <w:rPr>
                <w:rFonts w:ascii="宋体" w:hAnsi="宋体"/>
                <w:b/>
                <w:bCs/>
                <w:color w:val="auto"/>
                <w:szCs w:val="21"/>
              </w:rPr>
            </w:pPr>
            <w:r>
              <w:rPr>
                <w:rFonts w:hint="eastAsia" w:ascii="宋体" w:hAnsi="宋体"/>
                <w:b/>
                <w:bCs/>
                <w:color w:val="auto"/>
                <w:szCs w:val="21"/>
              </w:rPr>
              <w:t>1.以上</w:t>
            </w:r>
            <w:r>
              <w:rPr>
                <w:rFonts w:hint="eastAsia" w:ascii="宋体" w:hAnsi="宋体" w:cs="Courier New"/>
                <w:b/>
                <w:color w:val="auto"/>
                <w:szCs w:val="21"/>
              </w:rPr>
              <w:t>标明“必须提供”的材料，格式中有要求法定代表人或者委托代理人签字的，必须按要求签字并加盖投标人电子签单，</w:t>
            </w:r>
            <w:r>
              <w:rPr>
                <w:rFonts w:hint="eastAsia" w:ascii="宋体" w:hAnsi="宋体"/>
                <w:b/>
                <w:bCs/>
                <w:color w:val="auto"/>
                <w:szCs w:val="21"/>
              </w:rPr>
              <w:t>否则按无效投标</w:t>
            </w:r>
            <w:r>
              <w:rPr>
                <w:rFonts w:hint="eastAsia" w:ascii="宋体" w:hAnsi="宋体" w:cs="Courier New"/>
                <w:b/>
                <w:color w:val="auto"/>
                <w:szCs w:val="21"/>
              </w:rPr>
              <w:t>处理。</w:t>
            </w:r>
          </w:p>
        </w:tc>
      </w:tr>
      <w:tr w14:paraId="56A3A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vAlign w:val="center"/>
          </w:tcPr>
          <w:p w14:paraId="50217E2D">
            <w:pPr>
              <w:spacing w:line="400" w:lineRule="exact"/>
              <w:rPr>
                <w:rFonts w:ascii="宋体" w:hAnsi="宋体"/>
                <w:color w:val="auto"/>
                <w:szCs w:val="21"/>
              </w:rPr>
            </w:pPr>
            <w:bookmarkStart w:id="79" w:name="_13.3"/>
            <w:bookmarkEnd w:id="79"/>
          </w:p>
        </w:tc>
        <w:tc>
          <w:tcPr>
            <w:tcW w:w="8175" w:type="dxa"/>
            <w:tcBorders>
              <w:top w:val="single" w:color="auto" w:sz="4" w:space="0"/>
              <w:left w:val="single" w:color="auto" w:sz="4" w:space="0"/>
              <w:bottom w:val="single" w:color="auto" w:sz="4" w:space="0"/>
              <w:right w:val="single" w:color="auto" w:sz="4" w:space="0"/>
            </w:tcBorders>
            <w:vAlign w:val="center"/>
          </w:tcPr>
          <w:p w14:paraId="15F6BE97">
            <w:pPr>
              <w:snapToGrid w:val="0"/>
              <w:spacing w:line="400" w:lineRule="exact"/>
              <w:jc w:val="left"/>
              <w:rPr>
                <w:rFonts w:ascii="宋体" w:hAnsi="宋体" w:cs="Courier New"/>
                <w:b/>
                <w:color w:val="auto"/>
                <w:szCs w:val="21"/>
              </w:rPr>
            </w:pPr>
            <w:r>
              <w:rPr>
                <w:rFonts w:hint="eastAsia" w:ascii="宋体" w:hAnsi="宋体" w:cs="Courier New"/>
                <w:b/>
                <w:color w:val="auto"/>
                <w:szCs w:val="21"/>
              </w:rPr>
              <w:t>商务及技术文件：</w:t>
            </w:r>
          </w:p>
          <w:p w14:paraId="10A0FABB">
            <w:pPr>
              <w:snapToGrid w:val="0"/>
              <w:spacing w:line="400" w:lineRule="exact"/>
              <w:ind w:left="-69"/>
              <w:jc w:val="left"/>
              <w:rPr>
                <w:rFonts w:ascii="宋体" w:hAnsi="宋体"/>
                <w:color w:val="auto"/>
                <w:szCs w:val="21"/>
              </w:rPr>
            </w:pPr>
            <w:r>
              <w:rPr>
                <w:rFonts w:hint="eastAsia" w:ascii="宋体" w:hAnsi="宋体"/>
                <w:color w:val="auto"/>
                <w:szCs w:val="21"/>
              </w:rPr>
              <w:t>1.无串通投标行为的承诺函（格式见第六章）；（</w:t>
            </w:r>
            <w:r>
              <w:rPr>
                <w:rFonts w:hint="eastAsia" w:ascii="宋体" w:hAnsi="宋体"/>
                <w:b/>
                <w:color w:val="auto"/>
                <w:szCs w:val="21"/>
              </w:rPr>
              <w:t>必须提供，否则按无效投标处理</w:t>
            </w:r>
            <w:r>
              <w:rPr>
                <w:rFonts w:hint="eastAsia" w:ascii="宋体" w:hAnsi="宋体"/>
                <w:color w:val="auto"/>
                <w:szCs w:val="21"/>
              </w:rPr>
              <w:t>）</w:t>
            </w:r>
          </w:p>
          <w:p w14:paraId="5FC602D3">
            <w:pPr>
              <w:snapToGrid w:val="0"/>
              <w:spacing w:line="400" w:lineRule="exact"/>
              <w:ind w:left="-69"/>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.法定代表人身份证明及法定代表人有效身份证正反面扫描件（格式见第六章）；（</w:t>
            </w:r>
            <w:r>
              <w:rPr>
                <w:rFonts w:hint="eastAsia" w:ascii="宋体" w:hAnsi="宋体" w:cs="宋体"/>
                <w:b/>
                <w:bCs/>
                <w:color w:val="auto"/>
                <w:szCs w:val="21"/>
              </w:rPr>
              <w:t>除自然人投标外</w:t>
            </w:r>
            <w:r>
              <w:rPr>
                <w:rFonts w:hint="eastAsia" w:ascii="宋体" w:hAnsi="宋体"/>
                <w:b/>
                <w:color w:val="auto"/>
                <w:szCs w:val="21"/>
              </w:rPr>
              <w:t>必须提供，否则按无效投标处理</w:t>
            </w:r>
            <w:r>
              <w:rPr>
                <w:rFonts w:hint="eastAsia" w:ascii="宋体" w:hAnsi="宋体"/>
                <w:color w:val="auto"/>
                <w:szCs w:val="21"/>
              </w:rPr>
              <w:t>）</w:t>
            </w:r>
          </w:p>
          <w:p w14:paraId="57488447">
            <w:pPr>
              <w:snapToGrid w:val="0"/>
              <w:spacing w:line="400" w:lineRule="exact"/>
              <w:ind w:left="-69"/>
              <w:jc w:val="left"/>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.授权委托书及委托代理人有效身份证正反面扫描件（格式见第六章）；（</w:t>
            </w:r>
            <w:r>
              <w:rPr>
                <w:rFonts w:hint="eastAsia" w:ascii="宋体" w:hAnsi="宋体"/>
                <w:b/>
                <w:color w:val="auto"/>
                <w:szCs w:val="21"/>
              </w:rPr>
              <w:t>委托时必须提供，否则按无效投标处理</w:t>
            </w:r>
            <w:r>
              <w:rPr>
                <w:rFonts w:hint="eastAsia" w:ascii="宋体" w:hAnsi="宋体"/>
                <w:color w:val="auto"/>
                <w:szCs w:val="21"/>
              </w:rPr>
              <w:t>）</w:t>
            </w:r>
          </w:p>
          <w:p w14:paraId="768FDA07">
            <w:pPr>
              <w:snapToGrid w:val="0"/>
              <w:spacing w:line="400" w:lineRule="exact"/>
              <w:ind w:left="-69"/>
              <w:jc w:val="left"/>
              <w:rPr>
                <w:rFonts w:ascii="宋体" w:hAnsi="宋体"/>
                <w:color w:val="auto"/>
                <w:szCs w:val="21"/>
              </w:rPr>
            </w:pPr>
            <w:r>
              <w:rPr>
                <w:rFonts w:hint="eastAsia" w:ascii="宋体" w:hAnsi="宋体"/>
                <w:color w:val="auto"/>
                <w:szCs w:val="21"/>
                <w:lang w:val="en-US" w:eastAsia="zh-CN"/>
              </w:rPr>
              <w:t>4</w:t>
            </w:r>
            <w:r>
              <w:rPr>
                <w:rFonts w:ascii="宋体" w:hAnsi="宋体"/>
                <w:color w:val="auto"/>
                <w:szCs w:val="21"/>
              </w:rPr>
              <w:t>.</w:t>
            </w:r>
            <w:r>
              <w:rPr>
                <w:rFonts w:hint="eastAsia" w:ascii="宋体" w:hAnsi="宋体"/>
                <w:color w:val="auto"/>
                <w:szCs w:val="21"/>
              </w:rPr>
              <w:t>商务要求偏离表（格式见第六章）；（</w:t>
            </w:r>
            <w:r>
              <w:rPr>
                <w:rFonts w:hint="eastAsia" w:ascii="宋体" w:hAnsi="宋体"/>
                <w:b/>
                <w:color w:val="auto"/>
                <w:szCs w:val="21"/>
              </w:rPr>
              <w:t>必须提供，否则按无效投标处理</w:t>
            </w:r>
            <w:r>
              <w:rPr>
                <w:rFonts w:hint="eastAsia" w:ascii="宋体" w:hAnsi="宋体"/>
                <w:color w:val="auto"/>
                <w:szCs w:val="21"/>
              </w:rPr>
              <w:t>）</w:t>
            </w:r>
          </w:p>
          <w:p w14:paraId="6336EA83">
            <w:pPr>
              <w:snapToGrid w:val="0"/>
              <w:spacing w:line="400" w:lineRule="exact"/>
              <w:ind w:left="-69"/>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.售后服务承诺（格式自拟）；（如有，请提供）</w:t>
            </w:r>
          </w:p>
          <w:p w14:paraId="63495AAC">
            <w:pPr>
              <w:snapToGrid w:val="0"/>
              <w:spacing w:line="400" w:lineRule="exact"/>
              <w:ind w:left="-69"/>
              <w:jc w:val="left"/>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 xml:space="preserve">.投标人情况介绍（格式自拟）；（如有，请提供） </w:t>
            </w:r>
          </w:p>
          <w:p w14:paraId="2E02E5F8">
            <w:pPr>
              <w:snapToGrid w:val="0"/>
              <w:spacing w:line="400" w:lineRule="exact"/>
              <w:ind w:left="-69"/>
              <w:jc w:val="left"/>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.技术要求偏离表（格式见第六章）；（</w:t>
            </w:r>
            <w:r>
              <w:rPr>
                <w:rFonts w:hint="eastAsia" w:ascii="宋体" w:hAnsi="宋体"/>
                <w:b/>
                <w:color w:val="auto"/>
                <w:szCs w:val="21"/>
              </w:rPr>
              <w:t>必须提供，否则按无效投标处理</w:t>
            </w:r>
            <w:r>
              <w:rPr>
                <w:rFonts w:hint="eastAsia" w:ascii="宋体" w:hAnsi="宋体"/>
                <w:color w:val="auto"/>
                <w:szCs w:val="21"/>
              </w:rPr>
              <w:t>）</w:t>
            </w:r>
          </w:p>
          <w:p w14:paraId="37628CE8">
            <w:pPr>
              <w:snapToGrid w:val="0"/>
              <w:spacing w:line="400" w:lineRule="exact"/>
              <w:ind w:left="-69"/>
              <w:jc w:val="left"/>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.服务方案（格式自拟）；（</w:t>
            </w:r>
            <w:r>
              <w:rPr>
                <w:rFonts w:hint="eastAsia" w:ascii="宋体" w:hAnsi="宋体"/>
                <w:b/>
                <w:color w:val="auto"/>
                <w:szCs w:val="21"/>
              </w:rPr>
              <w:t>如有，请提供</w:t>
            </w:r>
            <w:r>
              <w:rPr>
                <w:rFonts w:hint="eastAsia" w:ascii="宋体" w:hAnsi="宋体"/>
                <w:color w:val="auto"/>
                <w:szCs w:val="21"/>
              </w:rPr>
              <w:t>）</w:t>
            </w:r>
          </w:p>
          <w:p w14:paraId="5B4A66EB">
            <w:pPr>
              <w:snapToGrid w:val="0"/>
              <w:spacing w:line="400" w:lineRule="exact"/>
              <w:ind w:left="-69"/>
              <w:jc w:val="left"/>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.项目实施人员一览表（格式见第六章）；（</w:t>
            </w:r>
            <w:r>
              <w:rPr>
                <w:rFonts w:hint="eastAsia" w:ascii="宋体" w:hAnsi="宋体"/>
                <w:b/>
                <w:color w:val="auto"/>
                <w:szCs w:val="21"/>
              </w:rPr>
              <w:t>必须提供，否则按无效投标处理</w:t>
            </w:r>
            <w:r>
              <w:rPr>
                <w:rFonts w:hint="eastAsia" w:ascii="宋体" w:hAnsi="宋体"/>
                <w:color w:val="auto"/>
                <w:szCs w:val="21"/>
              </w:rPr>
              <w:t>）</w:t>
            </w:r>
          </w:p>
          <w:p w14:paraId="24637D15">
            <w:pPr>
              <w:snapToGrid w:val="0"/>
              <w:spacing w:line="400" w:lineRule="exact"/>
              <w:ind w:left="-69"/>
              <w:jc w:val="left"/>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.投标人对本项目的合理化建议和改进措施（格式自拟）；</w:t>
            </w:r>
          </w:p>
          <w:p w14:paraId="7B526870">
            <w:pPr>
              <w:snapToGrid w:val="0"/>
              <w:spacing w:line="400" w:lineRule="exact"/>
              <w:ind w:left="-69"/>
              <w:jc w:val="left"/>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.除招标文件规定必须提供以外，投标人认为需要提供的其他证明材料（格式自拟）。（投标人根据“第二章 采购需求”及“第四章 评标方法及评标标准”提供有关证明材料）。</w:t>
            </w:r>
          </w:p>
          <w:p w14:paraId="635C969A">
            <w:pPr>
              <w:snapToGrid w:val="0"/>
              <w:spacing w:line="400" w:lineRule="exact"/>
              <w:ind w:left="-69"/>
              <w:jc w:val="left"/>
              <w:rPr>
                <w:rFonts w:ascii="宋体" w:hAnsi="宋体" w:cs="Courier New"/>
                <w:b/>
                <w:color w:val="auto"/>
                <w:szCs w:val="21"/>
              </w:rPr>
            </w:pPr>
            <w:r>
              <w:rPr>
                <w:rFonts w:hint="eastAsia" w:ascii="宋体" w:hAnsi="宋体"/>
                <w:b/>
                <w:bCs/>
                <w:color w:val="auto"/>
                <w:szCs w:val="21"/>
              </w:rPr>
              <w:t>注：以上</w:t>
            </w:r>
            <w:r>
              <w:rPr>
                <w:rFonts w:hint="eastAsia" w:ascii="宋体" w:hAnsi="宋体" w:cs="Courier New"/>
                <w:b/>
                <w:color w:val="auto"/>
                <w:szCs w:val="21"/>
              </w:rPr>
              <w:t>标明“必须提供”的材料，格式中有要求法定代表人或者委托代理人签字的，必须按要求签字并加盖投标人电子签单，</w:t>
            </w:r>
            <w:r>
              <w:rPr>
                <w:rFonts w:hint="eastAsia" w:ascii="宋体" w:hAnsi="宋体"/>
                <w:b/>
                <w:bCs/>
                <w:color w:val="auto"/>
                <w:szCs w:val="21"/>
              </w:rPr>
              <w:t>否则按无效投标</w:t>
            </w:r>
            <w:r>
              <w:rPr>
                <w:rFonts w:hint="eastAsia" w:ascii="宋体" w:hAnsi="宋体" w:cs="Courier New"/>
                <w:b/>
                <w:color w:val="auto"/>
                <w:szCs w:val="21"/>
              </w:rPr>
              <w:t>处理</w:t>
            </w:r>
            <w:r>
              <w:rPr>
                <w:rFonts w:hint="eastAsia" w:ascii="宋体" w:hAnsi="宋体"/>
                <w:b/>
                <w:bCs/>
                <w:color w:val="auto"/>
                <w:szCs w:val="21"/>
              </w:rPr>
              <w:t>。</w:t>
            </w:r>
          </w:p>
        </w:tc>
      </w:tr>
      <w:tr w14:paraId="140A7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F7D52C3">
            <w:pPr>
              <w:spacing w:line="400" w:lineRule="exact"/>
              <w:jc w:val="center"/>
              <w:rPr>
                <w:rFonts w:ascii="宋体" w:hAnsi="宋体"/>
                <w:color w:val="auto"/>
                <w:szCs w:val="21"/>
              </w:rPr>
            </w:pPr>
            <w:bookmarkStart w:id="80" w:name="_13.4"/>
            <w:bookmarkEnd w:id="80"/>
            <w:bookmarkStart w:id="81" w:name="_13.5"/>
            <w:bookmarkEnd w:id="81"/>
            <w:bookmarkStart w:id="82" w:name="_16.2"/>
            <w:bookmarkEnd w:id="82"/>
            <w:r>
              <w:rPr>
                <w:rFonts w:hint="eastAsia" w:ascii="宋体" w:hAnsi="宋体"/>
                <w:color w:val="auto"/>
                <w:szCs w:val="21"/>
              </w:rPr>
              <w:t>16</w:t>
            </w:r>
            <w:bookmarkStart w:id="83" w:name="_Hlt19693758"/>
            <w:bookmarkStart w:id="84" w:name="_Hlt19194067"/>
            <w:bookmarkStart w:id="85" w:name="_Hlt19693759"/>
            <w:bookmarkStart w:id="86" w:name="_Hlt19194066"/>
            <w:r>
              <w:rPr>
                <w:rFonts w:hint="eastAsia" w:ascii="宋体" w:hAnsi="宋体"/>
                <w:color w:val="auto"/>
                <w:szCs w:val="21"/>
              </w:rPr>
              <w:t>.</w:t>
            </w:r>
            <w:bookmarkEnd w:id="83"/>
            <w:bookmarkEnd w:id="84"/>
            <w:bookmarkEnd w:id="85"/>
            <w:bookmarkEnd w:id="86"/>
            <w:r>
              <w:rPr>
                <w:rFonts w:hint="eastAsia" w:ascii="宋体" w:hAnsi="宋体"/>
                <w:color w:val="auto"/>
                <w:szCs w:val="21"/>
              </w:rPr>
              <w:t>2</w:t>
            </w:r>
          </w:p>
        </w:tc>
        <w:tc>
          <w:tcPr>
            <w:tcW w:w="8175" w:type="dxa"/>
            <w:tcBorders>
              <w:top w:val="single" w:color="auto" w:sz="4" w:space="0"/>
              <w:left w:val="single" w:color="auto" w:sz="4" w:space="0"/>
              <w:bottom w:val="single" w:color="auto" w:sz="4" w:space="0"/>
              <w:right w:val="single" w:color="auto" w:sz="4" w:space="0"/>
            </w:tcBorders>
            <w:vAlign w:val="center"/>
          </w:tcPr>
          <w:p w14:paraId="4B957A35">
            <w:pPr>
              <w:snapToGrid w:val="0"/>
              <w:spacing w:line="360" w:lineRule="exact"/>
              <w:ind w:firstLine="420" w:firstLineChars="200"/>
              <w:outlineLvl w:val="0"/>
              <w:rPr>
                <w:rFonts w:ascii="宋体" w:hAnsi="宋体"/>
                <w:b/>
                <w:i/>
                <w:color w:val="auto"/>
                <w:szCs w:val="21"/>
              </w:rPr>
            </w:pPr>
            <w:r>
              <w:rPr>
                <w:rFonts w:hint="eastAsia" w:ascii="宋体" w:hAnsi="宋体"/>
                <w:color w:val="auto"/>
                <w:szCs w:val="21"/>
              </w:rPr>
              <w:t>投标报价</w:t>
            </w:r>
            <w:r>
              <w:rPr>
                <w:rFonts w:hint="eastAsia" w:ascii="宋体" w:hAnsi="宋体"/>
                <w:color w:val="auto"/>
                <w:szCs w:val="21"/>
                <w:lang w:val="en-US" w:eastAsia="zh-CN"/>
              </w:rPr>
              <w:t>投标报价是履行合同的最终价格，投标报价包括本项目全部服务价格，报价须为人民币报价，包含（但不限于）完成本项目所有工作任务（出具成果文件）；报价具体包括检测费用、安全措施费、劳务、管理、交通工具、交通费用、维护、保险、利润、税金、验收与政策性文件规定及合同包含的所有风险、责任等各项应有的费用</w:t>
            </w:r>
            <w:r>
              <w:rPr>
                <w:rFonts w:hint="eastAsia" w:ascii="宋体" w:hAnsi="宋体" w:cs="宋体"/>
                <w:color w:val="auto"/>
                <w:kern w:val="0"/>
                <w:szCs w:val="21"/>
                <w:lang w:val="zh-CN"/>
              </w:rPr>
              <w:t>。</w:t>
            </w:r>
          </w:p>
        </w:tc>
      </w:tr>
      <w:tr w14:paraId="7999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A707E0F">
            <w:pPr>
              <w:spacing w:line="400" w:lineRule="exact"/>
              <w:jc w:val="center"/>
              <w:rPr>
                <w:rFonts w:ascii="宋体" w:hAnsi="宋体"/>
                <w:color w:val="auto"/>
                <w:szCs w:val="21"/>
              </w:rPr>
            </w:pPr>
            <w:bookmarkStart w:id="87" w:name="_17.1"/>
            <w:bookmarkEnd w:id="87"/>
            <w:r>
              <w:rPr>
                <w:rFonts w:hint="eastAsia" w:ascii="宋体" w:hAnsi="宋体"/>
                <w:color w:val="auto"/>
                <w:szCs w:val="21"/>
              </w:rPr>
              <w:t>17.</w:t>
            </w:r>
            <w:r>
              <w:rPr>
                <w:rFonts w:ascii="宋体" w:hAnsi="宋体"/>
                <w:color w:val="auto"/>
                <w:szCs w:val="21"/>
              </w:rPr>
              <w:t>2</w:t>
            </w:r>
          </w:p>
        </w:tc>
        <w:tc>
          <w:tcPr>
            <w:tcW w:w="8175" w:type="dxa"/>
            <w:tcBorders>
              <w:top w:val="single" w:color="auto" w:sz="4" w:space="0"/>
              <w:left w:val="single" w:color="auto" w:sz="4" w:space="0"/>
              <w:bottom w:val="single" w:color="auto" w:sz="4" w:space="0"/>
              <w:right w:val="single" w:color="auto" w:sz="4" w:space="0"/>
            </w:tcBorders>
            <w:vAlign w:val="center"/>
          </w:tcPr>
          <w:p w14:paraId="18FCDD8F">
            <w:pPr>
              <w:snapToGrid w:val="0"/>
              <w:spacing w:line="400" w:lineRule="exact"/>
              <w:rPr>
                <w:rFonts w:ascii="宋体" w:hAnsi="宋体"/>
                <w:color w:val="auto"/>
                <w:szCs w:val="21"/>
              </w:rPr>
            </w:pPr>
            <w:r>
              <w:rPr>
                <w:rFonts w:hint="eastAsia" w:ascii="宋体" w:hAnsi="宋体"/>
                <w:color w:val="auto"/>
                <w:szCs w:val="21"/>
              </w:rPr>
              <w:t>投标有效期：自投标截止之日起</w:t>
            </w:r>
            <w:r>
              <w:rPr>
                <w:rFonts w:hint="eastAsia" w:ascii="宋体" w:hAnsi="宋体"/>
                <w:color w:val="auto"/>
                <w:szCs w:val="21"/>
                <w:u w:val="single"/>
              </w:rPr>
              <w:t>90</w:t>
            </w:r>
            <w:r>
              <w:rPr>
                <w:rFonts w:hint="eastAsia" w:ascii="宋体" w:hAnsi="宋体"/>
                <w:color w:val="auto"/>
                <w:szCs w:val="21"/>
              </w:rPr>
              <w:t>日。</w:t>
            </w:r>
          </w:p>
        </w:tc>
      </w:tr>
      <w:tr w14:paraId="1A05E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549CDB9F">
            <w:pPr>
              <w:spacing w:line="400" w:lineRule="exact"/>
              <w:jc w:val="center"/>
              <w:rPr>
                <w:rFonts w:ascii="宋体" w:hAnsi="宋体"/>
                <w:color w:val="auto"/>
                <w:szCs w:val="21"/>
              </w:rPr>
            </w:pPr>
            <w:bookmarkStart w:id="88" w:name="_18"/>
            <w:bookmarkEnd w:id="88"/>
            <w:r>
              <w:rPr>
                <w:rFonts w:hint="eastAsia" w:ascii="宋体" w:hAnsi="宋体"/>
                <w:color w:val="auto"/>
                <w:szCs w:val="21"/>
              </w:rPr>
              <w:t>18</w:t>
            </w:r>
            <w:r>
              <w:rPr>
                <w:rFonts w:ascii="宋体" w:hAnsi="宋体"/>
                <w:color w:val="auto"/>
                <w:szCs w:val="21"/>
              </w:rPr>
              <w:t>.1</w:t>
            </w:r>
          </w:p>
        </w:tc>
        <w:tc>
          <w:tcPr>
            <w:tcW w:w="8175" w:type="dxa"/>
            <w:tcBorders>
              <w:top w:val="single" w:color="auto" w:sz="4" w:space="0"/>
              <w:left w:val="single" w:color="auto" w:sz="4" w:space="0"/>
              <w:bottom w:val="single" w:color="auto" w:sz="4" w:space="0"/>
              <w:right w:val="single" w:color="auto" w:sz="4" w:space="0"/>
            </w:tcBorders>
            <w:vAlign w:val="center"/>
          </w:tcPr>
          <w:p w14:paraId="54352215">
            <w:pPr>
              <w:autoSpaceDE w:val="0"/>
              <w:autoSpaceDN w:val="0"/>
              <w:snapToGrid w:val="0"/>
              <w:spacing w:line="400" w:lineRule="exact"/>
              <w:textAlignment w:val="bottom"/>
              <w:rPr>
                <w:rFonts w:ascii="宋体" w:hAnsi="宋体"/>
                <w:b/>
                <w:color w:val="auto"/>
                <w:szCs w:val="21"/>
              </w:rPr>
            </w:pPr>
            <w:r>
              <w:rPr>
                <w:rFonts w:hint="eastAsia" w:ascii="宋体" w:hAnsi="宋体"/>
                <w:color w:val="auto"/>
                <w:szCs w:val="21"/>
                <w:lang w:eastAsia="zh-CN"/>
              </w:rPr>
              <w:t>☑</w:t>
            </w:r>
            <w:r>
              <w:rPr>
                <w:rFonts w:hint="eastAsia" w:ascii="宋体" w:hAnsi="宋体"/>
                <w:color w:val="auto"/>
                <w:szCs w:val="21"/>
              </w:rPr>
              <w:t>本项目不收取投标保证金。</w:t>
            </w:r>
          </w:p>
        </w:tc>
      </w:tr>
      <w:tr w14:paraId="0DBA5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vAlign w:val="center"/>
          </w:tcPr>
          <w:p w14:paraId="268B68F8">
            <w:pPr>
              <w:spacing w:line="400" w:lineRule="exact"/>
              <w:jc w:val="center"/>
              <w:rPr>
                <w:rFonts w:ascii="宋体" w:hAnsi="宋体"/>
                <w:color w:val="auto"/>
                <w:szCs w:val="21"/>
              </w:rPr>
            </w:pPr>
            <w:bookmarkStart w:id="89" w:name="_21.1"/>
            <w:bookmarkEnd w:id="89"/>
            <w:bookmarkStart w:id="90" w:name="_19.2"/>
            <w:bookmarkEnd w:id="90"/>
            <w:r>
              <w:rPr>
                <w:rFonts w:hint="eastAsia" w:ascii="宋体" w:hAnsi="宋体"/>
                <w:color w:val="auto"/>
                <w:szCs w:val="21"/>
              </w:rPr>
              <w:t>20</w:t>
            </w:r>
          </w:p>
        </w:tc>
        <w:tc>
          <w:tcPr>
            <w:tcW w:w="8175" w:type="dxa"/>
            <w:tcBorders>
              <w:top w:val="single" w:color="auto" w:sz="4" w:space="0"/>
              <w:left w:val="single" w:color="auto" w:sz="4" w:space="0"/>
              <w:bottom w:val="single" w:color="auto" w:sz="4" w:space="0"/>
              <w:right w:val="single" w:color="auto" w:sz="4" w:space="0"/>
            </w:tcBorders>
            <w:vAlign w:val="center"/>
          </w:tcPr>
          <w:p w14:paraId="2B024FF0">
            <w:pPr>
              <w:autoSpaceDE w:val="0"/>
              <w:autoSpaceDN w:val="0"/>
              <w:adjustRightInd w:val="0"/>
              <w:spacing w:line="360" w:lineRule="auto"/>
              <w:textAlignment w:val="bottom"/>
              <w:rPr>
                <w:rFonts w:ascii="宋体" w:hAnsi="宋体"/>
                <w:color w:val="auto"/>
                <w:szCs w:val="21"/>
              </w:rPr>
            </w:pPr>
            <w:r>
              <w:rPr>
                <w:rFonts w:hint="eastAsia" w:ascii="MS Mincho" w:hAnsi="MS Mincho" w:eastAsia="MS Mincho" w:cs="MS Mincho"/>
                <w:color w:val="auto"/>
                <w:szCs w:val="21"/>
              </w:rPr>
              <w:t>☑</w:t>
            </w:r>
            <w:r>
              <w:rPr>
                <w:rFonts w:hint="eastAsia" w:ascii="宋体" w:hAnsi="宋体"/>
                <w:color w:val="auto"/>
                <w:szCs w:val="21"/>
              </w:rPr>
              <w:t>本项目不接受</w:t>
            </w:r>
            <w:r>
              <w:rPr>
                <w:rFonts w:hint="eastAsia"/>
                <w:color w:val="auto"/>
              </w:rPr>
              <w:t>电子</w:t>
            </w:r>
            <w:r>
              <w:rPr>
                <w:rFonts w:hint="eastAsia" w:ascii="宋体" w:hAnsi="宋体"/>
                <w:color w:val="auto"/>
                <w:szCs w:val="21"/>
              </w:rPr>
              <w:t>备份投标文件；</w:t>
            </w:r>
          </w:p>
          <w:p w14:paraId="7FC4E358">
            <w:pPr>
              <w:autoSpaceDE w:val="0"/>
              <w:autoSpaceDN w:val="0"/>
              <w:adjustRightInd w:val="0"/>
              <w:spacing w:line="360" w:lineRule="auto"/>
              <w:textAlignment w:val="bottom"/>
              <w:rPr>
                <w:color w:val="auto"/>
              </w:rPr>
            </w:pPr>
            <w:r>
              <w:rPr>
                <w:rFonts w:hint="eastAsia" w:ascii="宋体" w:hAnsi="宋体"/>
                <w:color w:val="auto"/>
                <w:szCs w:val="21"/>
              </w:rPr>
              <w:t>□</w:t>
            </w:r>
            <w:r>
              <w:rPr>
                <w:rFonts w:hint="eastAsia"/>
                <w:color w:val="auto"/>
              </w:rPr>
              <w:t>本项目接受电子备份投标文件。</w:t>
            </w:r>
          </w:p>
          <w:p w14:paraId="332DED2F">
            <w:pPr>
              <w:autoSpaceDE w:val="0"/>
              <w:autoSpaceDN w:val="0"/>
              <w:adjustRightInd w:val="0"/>
              <w:spacing w:line="360" w:lineRule="auto"/>
              <w:ind w:firstLine="420" w:firstLineChars="200"/>
              <w:textAlignment w:val="bottom"/>
              <w:rPr>
                <w:color w:val="auto"/>
              </w:rPr>
            </w:pPr>
            <w:r>
              <w:rPr>
                <w:rFonts w:hint="eastAsia"/>
                <w:color w:val="auto"/>
              </w:rPr>
              <w:t>电子</w:t>
            </w:r>
            <w:r>
              <w:rPr>
                <w:rFonts w:hint="eastAsia" w:ascii="宋体" w:hAnsi="宋体"/>
                <w:color w:val="auto"/>
                <w:szCs w:val="21"/>
              </w:rPr>
              <w:t>备份投标文件</w:t>
            </w:r>
            <w:r>
              <w:rPr>
                <w:rFonts w:hint="eastAsia"/>
                <w:color w:val="auto"/>
              </w:rPr>
              <w:t>提交方式：投标人可以在投标截止时间前采用以下种方式向采购代理机构提交电子备份投标文件：</w:t>
            </w:r>
          </w:p>
          <w:p w14:paraId="71FF4237">
            <w:pPr>
              <w:autoSpaceDE w:val="0"/>
              <w:autoSpaceDN w:val="0"/>
              <w:adjustRightInd w:val="0"/>
              <w:spacing w:line="360" w:lineRule="auto"/>
              <w:textAlignment w:val="bottom"/>
              <w:rPr>
                <w:color w:val="auto"/>
              </w:rPr>
            </w:pPr>
            <w:r>
              <w:rPr>
                <w:rFonts w:hint="eastAsia"/>
                <w:color w:val="auto"/>
              </w:rPr>
              <w:t>（</w:t>
            </w:r>
            <w:r>
              <w:rPr>
                <w:color w:val="auto"/>
              </w:rPr>
              <w:t>1</w:t>
            </w:r>
            <w:r>
              <w:rPr>
                <w:rFonts w:hint="eastAsia"/>
                <w:color w:val="auto"/>
              </w:rPr>
              <w:t>）现场提交方式，应采用</w:t>
            </w:r>
            <w:r>
              <w:rPr>
                <w:color w:val="auto"/>
              </w:rPr>
              <w:t>U</w:t>
            </w:r>
            <w:r>
              <w:rPr>
                <w:rFonts w:hint="eastAsia"/>
                <w:color w:val="auto"/>
              </w:rPr>
              <w:t>盘进行存储，提交地址：；提交截止时间：；外包装上注明投标人名称、项目名称及项目编号（外包装不作密封要求）。</w:t>
            </w:r>
          </w:p>
          <w:p w14:paraId="3D46A6D4">
            <w:pPr>
              <w:autoSpaceDE w:val="0"/>
              <w:autoSpaceDN w:val="0"/>
              <w:adjustRightInd w:val="0"/>
              <w:spacing w:line="360" w:lineRule="auto"/>
              <w:textAlignment w:val="bottom"/>
              <w:rPr>
                <w:color w:val="auto"/>
              </w:rPr>
            </w:pPr>
            <w:r>
              <w:rPr>
                <w:rFonts w:hint="eastAsia"/>
                <w:color w:val="auto"/>
              </w:rPr>
              <w:t>（</w:t>
            </w:r>
            <w:r>
              <w:rPr>
                <w:color w:val="auto"/>
              </w:rPr>
              <w:t>2</w:t>
            </w:r>
            <w:r>
              <w:rPr>
                <w:rFonts w:hint="eastAsia"/>
                <w:color w:val="auto"/>
              </w:rPr>
              <w:t>）电子邮件方式，接收电子备份投标文件的电子邮箱为：。</w:t>
            </w:r>
          </w:p>
          <w:p w14:paraId="63EE68C9">
            <w:pPr>
              <w:pStyle w:val="15"/>
              <w:spacing w:line="360" w:lineRule="auto"/>
              <w:jc w:val="both"/>
              <w:rPr>
                <w:color w:val="auto"/>
              </w:rPr>
            </w:pPr>
            <w:r>
              <w:rPr>
                <w:rFonts w:hint="eastAsia"/>
                <w:color w:val="auto"/>
              </w:rPr>
              <w:t>（</w:t>
            </w:r>
            <w:r>
              <w:rPr>
                <w:color w:val="auto"/>
              </w:rPr>
              <w:t>3</w:t>
            </w:r>
            <w:r>
              <w:rPr>
                <w:rFonts w:hint="eastAsia"/>
                <w:color w:val="auto"/>
              </w:rPr>
              <w:t>）邮寄方式，应采用</w:t>
            </w:r>
            <w:r>
              <w:rPr>
                <w:color w:val="auto"/>
              </w:rPr>
              <w:t>U</w:t>
            </w:r>
            <w:r>
              <w:rPr>
                <w:rFonts w:hint="eastAsia"/>
                <w:color w:val="auto"/>
              </w:rPr>
              <w:t>盘进行存储，邮寄地址：，截止接收时间：，收件人：，联系方式：；外包装上注明投标人名称、项目名称及项目编号（外包装不作密封要求）。</w:t>
            </w:r>
          </w:p>
          <w:p w14:paraId="7A880453">
            <w:pPr>
              <w:autoSpaceDE w:val="0"/>
              <w:autoSpaceDN w:val="0"/>
              <w:snapToGrid w:val="0"/>
              <w:spacing w:line="360" w:lineRule="auto"/>
              <w:ind w:firstLine="420" w:firstLineChars="200"/>
              <w:textAlignment w:val="bottom"/>
              <w:rPr>
                <w:rFonts w:ascii="宋体" w:hAnsi="宋体"/>
                <w:color w:val="auto"/>
                <w:szCs w:val="21"/>
              </w:rPr>
            </w:pPr>
            <w:r>
              <w:rPr>
                <w:rFonts w:hint="eastAsia"/>
                <w:color w:val="auto"/>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b/>
                <w:color w:val="auto"/>
              </w:rPr>
              <w:t>投标人的投标文件作无效处理</w:t>
            </w:r>
            <w:r>
              <w:rPr>
                <w:rFonts w:hint="eastAsia"/>
                <w:color w:val="auto"/>
              </w:rPr>
              <w:t>。</w:t>
            </w:r>
          </w:p>
        </w:tc>
      </w:tr>
      <w:tr w14:paraId="11ACF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vAlign w:val="center"/>
          </w:tcPr>
          <w:p w14:paraId="69FF9879">
            <w:pPr>
              <w:spacing w:line="400" w:lineRule="exact"/>
              <w:jc w:val="center"/>
              <w:rPr>
                <w:rFonts w:ascii="宋体" w:hAnsi="宋体"/>
                <w:color w:val="auto"/>
                <w:szCs w:val="21"/>
              </w:rPr>
            </w:pPr>
            <w:r>
              <w:rPr>
                <w:rFonts w:hint="eastAsia" w:ascii="宋体" w:hAnsi="宋体"/>
                <w:color w:val="auto"/>
                <w:szCs w:val="21"/>
              </w:rPr>
              <w:t>21.1</w:t>
            </w:r>
          </w:p>
        </w:tc>
        <w:tc>
          <w:tcPr>
            <w:tcW w:w="8175" w:type="dxa"/>
            <w:tcBorders>
              <w:top w:val="single" w:color="auto" w:sz="4" w:space="0"/>
              <w:left w:val="single" w:color="auto" w:sz="4" w:space="0"/>
              <w:bottom w:val="single" w:color="auto" w:sz="4" w:space="0"/>
              <w:right w:val="single" w:color="auto" w:sz="4" w:space="0"/>
            </w:tcBorders>
            <w:vAlign w:val="center"/>
          </w:tcPr>
          <w:p w14:paraId="225F7554">
            <w:pPr>
              <w:snapToGrid w:val="0"/>
              <w:spacing w:line="400" w:lineRule="exact"/>
              <w:rPr>
                <w:rFonts w:ascii="宋体" w:hAnsi="宋体"/>
                <w:color w:val="auto"/>
                <w:szCs w:val="21"/>
                <w:u w:val="single"/>
              </w:rPr>
            </w:pPr>
            <w:r>
              <w:rPr>
                <w:rFonts w:hint="eastAsia" w:ascii="宋体" w:hAnsi="宋体"/>
                <w:color w:val="auto"/>
                <w:szCs w:val="21"/>
              </w:rPr>
              <w:t>1.提交投标文件截止时间：详见招标公告</w:t>
            </w:r>
          </w:p>
          <w:p w14:paraId="1E03EF62">
            <w:pPr>
              <w:snapToGrid w:val="0"/>
              <w:spacing w:line="400" w:lineRule="exact"/>
              <w:rPr>
                <w:rFonts w:ascii="宋体" w:hAnsi="宋体"/>
                <w:color w:val="auto"/>
                <w:szCs w:val="21"/>
              </w:rPr>
            </w:pPr>
            <w:r>
              <w:rPr>
                <w:rFonts w:hint="eastAsia" w:ascii="宋体" w:hAnsi="宋体"/>
                <w:color w:val="auto"/>
                <w:szCs w:val="21"/>
              </w:rPr>
              <w:t>2.投标地点：详见招标公告</w:t>
            </w:r>
          </w:p>
        </w:tc>
      </w:tr>
      <w:tr w14:paraId="79AE8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ED96F94">
            <w:pPr>
              <w:spacing w:line="400" w:lineRule="exact"/>
              <w:jc w:val="center"/>
              <w:rPr>
                <w:rFonts w:ascii="宋体" w:hAnsi="宋体"/>
                <w:color w:val="auto"/>
                <w:szCs w:val="21"/>
              </w:rPr>
            </w:pPr>
            <w:bookmarkStart w:id="91" w:name="_23"/>
            <w:bookmarkEnd w:id="91"/>
            <w:r>
              <w:rPr>
                <w:rFonts w:hint="eastAsia" w:ascii="宋体" w:hAnsi="宋体"/>
                <w:color w:val="auto"/>
                <w:szCs w:val="21"/>
              </w:rPr>
              <w:t>23</w:t>
            </w:r>
          </w:p>
        </w:tc>
        <w:tc>
          <w:tcPr>
            <w:tcW w:w="8175" w:type="dxa"/>
            <w:tcBorders>
              <w:top w:val="single" w:color="auto" w:sz="4" w:space="0"/>
              <w:left w:val="single" w:color="auto" w:sz="4" w:space="0"/>
              <w:bottom w:val="single" w:color="auto" w:sz="4" w:space="0"/>
              <w:right w:val="single" w:color="auto" w:sz="4" w:space="0"/>
            </w:tcBorders>
            <w:vAlign w:val="center"/>
          </w:tcPr>
          <w:p w14:paraId="2FC7DD75">
            <w:pPr>
              <w:snapToGrid w:val="0"/>
              <w:spacing w:line="400" w:lineRule="exact"/>
              <w:rPr>
                <w:rFonts w:ascii="宋体" w:hAnsi="宋体"/>
                <w:color w:val="auto"/>
                <w:szCs w:val="21"/>
              </w:rPr>
            </w:pPr>
            <w:r>
              <w:rPr>
                <w:rFonts w:hint="eastAsia" w:ascii="宋体" w:hAnsi="宋体"/>
                <w:color w:val="auto"/>
                <w:szCs w:val="21"/>
              </w:rPr>
              <w:t>1.开标时间：详见招标公告</w:t>
            </w:r>
          </w:p>
          <w:p w14:paraId="5CB3C181">
            <w:pPr>
              <w:snapToGrid w:val="0"/>
              <w:spacing w:line="400" w:lineRule="exact"/>
              <w:rPr>
                <w:rFonts w:ascii="宋体" w:hAnsi="宋体"/>
                <w:color w:val="auto"/>
                <w:szCs w:val="21"/>
              </w:rPr>
            </w:pPr>
            <w:r>
              <w:rPr>
                <w:rFonts w:hint="eastAsia" w:ascii="宋体" w:hAnsi="宋体"/>
                <w:color w:val="auto"/>
                <w:szCs w:val="21"/>
              </w:rPr>
              <w:t>2.开标地点：详见招标公告</w:t>
            </w:r>
          </w:p>
        </w:tc>
      </w:tr>
      <w:tr w14:paraId="26816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710ED612">
            <w:pPr>
              <w:spacing w:line="400" w:lineRule="exact"/>
              <w:jc w:val="center"/>
              <w:rPr>
                <w:rFonts w:ascii="宋体" w:hAnsi="宋体"/>
                <w:color w:val="auto"/>
                <w:szCs w:val="21"/>
              </w:rPr>
            </w:pPr>
            <w:r>
              <w:rPr>
                <w:rFonts w:hint="eastAsia" w:ascii="宋体" w:hAnsi="宋体"/>
                <w:color w:val="auto"/>
                <w:szCs w:val="21"/>
              </w:rPr>
              <w:t>24.3（1）</w:t>
            </w:r>
          </w:p>
        </w:tc>
        <w:tc>
          <w:tcPr>
            <w:tcW w:w="8175" w:type="dxa"/>
            <w:tcBorders>
              <w:top w:val="single" w:color="auto" w:sz="4" w:space="0"/>
              <w:left w:val="single" w:color="auto" w:sz="4" w:space="0"/>
              <w:bottom w:val="single" w:color="auto" w:sz="4" w:space="0"/>
              <w:right w:val="single" w:color="auto" w:sz="4" w:space="0"/>
            </w:tcBorders>
            <w:vAlign w:val="center"/>
          </w:tcPr>
          <w:p w14:paraId="1551D1EF">
            <w:pPr>
              <w:snapToGrid w:val="0"/>
              <w:spacing w:line="400" w:lineRule="exact"/>
              <w:rPr>
                <w:rFonts w:ascii="宋体" w:hAnsi="宋体"/>
                <w:color w:val="auto"/>
                <w:szCs w:val="21"/>
              </w:rPr>
            </w:pPr>
            <w:r>
              <w:rPr>
                <w:rFonts w:hint="eastAsia" w:ascii="宋体" w:hAnsi="宋体"/>
                <w:color w:val="auto"/>
                <w:szCs w:val="21"/>
              </w:rPr>
              <w:t>电子投标文件解密时间：</w:t>
            </w:r>
            <w:r>
              <w:rPr>
                <w:rFonts w:ascii="宋体" w:hAnsi="宋体"/>
                <w:color w:val="auto"/>
                <w:szCs w:val="21"/>
                <w:u w:val="single"/>
              </w:rPr>
              <w:t>30</w:t>
            </w:r>
            <w:r>
              <w:rPr>
                <w:rFonts w:hint="eastAsia" w:ascii="宋体" w:hAnsi="宋体"/>
                <w:color w:val="auto"/>
                <w:szCs w:val="21"/>
              </w:rPr>
              <w:t>分钟</w:t>
            </w:r>
            <w:r>
              <w:rPr>
                <w:rFonts w:hint="eastAsia" w:ascii="宋体" w:hAnsi="宋体"/>
                <w:i/>
                <w:color w:val="auto"/>
                <w:szCs w:val="21"/>
              </w:rPr>
              <w:t>。</w:t>
            </w:r>
          </w:p>
        </w:tc>
      </w:tr>
      <w:tr w14:paraId="54EDB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45F105DB">
            <w:pPr>
              <w:spacing w:line="400" w:lineRule="exact"/>
              <w:jc w:val="center"/>
              <w:rPr>
                <w:rFonts w:ascii="宋体" w:hAnsi="宋体"/>
                <w:color w:val="auto"/>
                <w:szCs w:val="21"/>
              </w:rPr>
            </w:pPr>
            <w:bookmarkStart w:id="92" w:name="_25.3"/>
            <w:bookmarkEnd w:id="92"/>
            <w:r>
              <w:rPr>
                <w:rFonts w:hint="eastAsia" w:ascii="宋体" w:hAnsi="宋体"/>
                <w:color w:val="auto"/>
                <w:szCs w:val="21"/>
              </w:rPr>
              <w:t>25.3（2）</w:t>
            </w:r>
          </w:p>
        </w:tc>
        <w:tc>
          <w:tcPr>
            <w:tcW w:w="8175" w:type="dxa"/>
            <w:tcBorders>
              <w:top w:val="single" w:color="auto" w:sz="4" w:space="0"/>
              <w:left w:val="single" w:color="auto" w:sz="4" w:space="0"/>
              <w:bottom w:val="single" w:color="auto" w:sz="4" w:space="0"/>
              <w:right w:val="single" w:color="auto" w:sz="4" w:space="0"/>
            </w:tcBorders>
            <w:vAlign w:val="center"/>
          </w:tcPr>
          <w:p w14:paraId="44327BE7">
            <w:pPr>
              <w:snapToGrid w:val="0"/>
              <w:spacing w:line="400" w:lineRule="exact"/>
              <w:rPr>
                <w:rFonts w:ascii="宋体" w:hAnsi="宋体"/>
                <w:color w:val="auto"/>
                <w:szCs w:val="21"/>
              </w:rPr>
            </w:pPr>
            <w:r>
              <w:rPr>
                <w:rFonts w:hint="eastAsia" w:ascii="宋体" w:hAnsi="宋体"/>
                <w:color w:val="auto"/>
                <w:szCs w:val="21"/>
              </w:rPr>
              <w:t>采购人或者采购代理机构在资格审查结束前，对投标人进行信用查询。</w:t>
            </w:r>
          </w:p>
          <w:p w14:paraId="52A23602">
            <w:pPr>
              <w:snapToGrid w:val="0"/>
              <w:spacing w:line="400" w:lineRule="exact"/>
              <w:rPr>
                <w:rFonts w:ascii="宋体" w:hAnsi="宋体"/>
                <w:color w:val="auto"/>
                <w:szCs w:val="21"/>
              </w:rPr>
            </w:pPr>
            <w:r>
              <w:rPr>
                <w:rFonts w:hint="eastAsia" w:ascii="宋体" w:hAnsi="宋体"/>
                <w:color w:val="auto"/>
                <w:szCs w:val="21"/>
              </w:rPr>
              <w:t>查询渠道：“信用中国”网站（www.creditchina.gov.cn） 、中国政府采购网（www.ccgp.gov.cn）。</w:t>
            </w:r>
          </w:p>
          <w:p w14:paraId="4AF42949">
            <w:pPr>
              <w:snapToGrid w:val="0"/>
              <w:spacing w:line="400" w:lineRule="exact"/>
              <w:rPr>
                <w:rFonts w:ascii="宋体" w:hAnsi="宋体"/>
                <w:color w:val="auto"/>
                <w:szCs w:val="21"/>
              </w:rPr>
            </w:pPr>
            <w:r>
              <w:rPr>
                <w:rFonts w:hint="eastAsia" w:ascii="宋体" w:hAnsi="宋体"/>
                <w:color w:val="auto"/>
                <w:szCs w:val="21"/>
              </w:rPr>
              <w:t>信用查询截止时点：资格审查结束前。</w:t>
            </w:r>
          </w:p>
          <w:p w14:paraId="3775387E">
            <w:pPr>
              <w:snapToGrid w:val="0"/>
              <w:spacing w:line="400" w:lineRule="exact"/>
              <w:rPr>
                <w:rFonts w:ascii="宋体" w:hAnsi="宋体"/>
                <w:color w:val="auto"/>
                <w:szCs w:val="21"/>
              </w:rPr>
            </w:pPr>
            <w:r>
              <w:rPr>
                <w:rFonts w:hint="eastAsia" w:ascii="宋体" w:hAnsi="宋体"/>
                <w:color w:val="auto"/>
                <w:szCs w:val="21"/>
              </w:rPr>
              <w:t>查询记录和证据留存方式：在查询网站中直接截图查询记录，截图作为在广西政府采购云平台作为附件上传保存。</w:t>
            </w:r>
          </w:p>
          <w:p w14:paraId="0C78867B">
            <w:pPr>
              <w:snapToGrid w:val="0"/>
              <w:spacing w:line="400" w:lineRule="exact"/>
              <w:rPr>
                <w:rFonts w:ascii="宋体" w:hAnsi="宋体"/>
                <w:b/>
                <w:color w:val="auto"/>
                <w:szCs w:val="21"/>
              </w:rPr>
            </w:pPr>
            <w:r>
              <w:rPr>
                <w:rFonts w:hint="eastAsia" w:ascii="宋体" w:hAnsi="宋体"/>
                <w:color w:val="auto"/>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517C9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4449A5E">
            <w:pPr>
              <w:spacing w:line="400" w:lineRule="exact"/>
              <w:jc w:val="center"/>
              <w:rPr>
                <w:rFonts w:ascii="宋体" w:hAnsi="宋体"/>
                <w:color w:val="auto"/>
                <w:szCs w:val="21"/>
              </w:rPr>
            </w:pPr>
            <w:bookmarkStart w:id="93" w:name="_26"/>
            <w:bookmarkEnd w:id="93"/>
            <w:r>
              <w:rPr>
                <w:rFonts w:hint="eastAsia" w:ascii="宋体" w:hAnsi="宋体"/>
                <w:color w:val="auto"/>
                <w:szCs w:val="21"/>
              </w:rPr>
              <w:t>26.1</w:t>
            </w:r>
          </w:p>
        </w:tc>
        <w:tc>
          <w:tcPr>
            <w:tcW w:w="8175" w:type="dxa"/>
            <w:tcBorders>
              <w:top w:val="single" w:color="auto" w:sz="4" w:space="0"/>
              <w:left w:val="single" w:color="auto" w:sz="4" w:space="0"/>
              <w:bottom w:val="single" w:color="auto" w:sz="4" w:space="0"/>
              <w:right w:val="single" w:color="auto" w:sz="4" w:space="0"/>
            </w:tcBorders>
            <w:vAlign w:val="center"/>
          </w:tcPr>
          <w:p w14:paraId="0964714B">
            <w:pPr>
              <w:autoSpaceDE w:val="0"/>
              <w:autoSpaceDN w:val="0"/>
              <w:snapToGrid w:val="0"/>
              <w:spacing w:line="400" w:lineRule="exact"/>
              <w:textAlignment w:val="bottom"/>
              <w:rPr>
                <w:rFonts w:hint="eastAsia" w:ascii="宋体" w:hAnsi="宋体" w:eastAsia="宋体"/>
                <w:color w:val="auto"/>
                <w:szCs w:val="21"/>
                <w:lang w:eastAsia="zh-CN"/>
              </w:rPr>
            </w:pPr>
            <w:r>
              <w:rPr>
                <w:rFonts w:hint="eastAsia" w:ascii="宋体" w:hAnsi="宋体"/>
                <w:color w:val="auto"/>
                <w:szCs w:val="21"/>
              </w:rPr>
              <w:t>评标委员会的人数：</w:t>
            </w:r>
            <w:r>
              <w:rPr>
                <w:rFonts w:ascii="宋体" w:hAnsi="宋体"/>
                <w:color w:val="auto"/>
                <w:szCs w:val="21"/>
                <w:u w:val="single"/>
              </w:rPr>
              <w:t>5</w:t>
            </w:r>
            <w:r>
              <w:rPr>
                <w:rFonts w:hint="eastAsia" w:ascii="宋体" w:hAnsi="宋体"/>
                <w:color w:val="auto"/>
                <w:szCs w:val="21"/>
              </w:rPr>
              <w:t>人</w:t>
            </w:r>
            <w:r>
              <w:rPr>
                <w:rFonts w:hint="eastAsia" w:ascii="宋体" w:hAnsi="宋体"/>
                <w:color w:val="auto"/>
                <w:szCs w:val="21"/>
                <w:lang w:eastAsia="zh-CN"/>
              </w:rPr>
              <w:t>，</w:t>
            </w:r>
            <w:r>
              <w:rPr>
                <w:rFonts w:hint="eastAsia" w:ascii="宋体" w:hAnsi="宋体" w:eastAsia="宋体" w:cs="宋体"/>
                <w:color w:val="auto"/>
                <w:szCs w:val="21"/>
                <w:highlight w:val="none"/>
              </w:rPr>
              <w:t>其中采购人代表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人，技术、经济等专家</w:t>
            </w:r>
            <w:r>
              <w:rPr>
                <w:rFonts w:hint="eastAsia" w:ascii="宋体" w:hAnsi="宋体" w:eastAsia="宋体" w:cs="宋体"/>
                <w:color w:val="auto"/>
                <w:szCs w:val="21"/>
                <w:highlight w:val="none"/>
                <w:u w:val="single"/>
              </w:rPr>
              <w:t xml:space="preserve"> 4</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w:t>
            </w:r>
          </w:p>
        </w:tc>
      </w:tr>
      <w:tr w14:paraId="6BDB8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CF88D07">
            <w:pPr>
              <w:spacing w:line="400" w:lineRule="exact"/>
              <w:jc w:val="center"/>
              <w:rPr>
                <w:rFonts w:ascii="宋体" w:hAnsi="宋体"/>
                <w:color w:val="auto"/>
                <w:szCs w:val="21"/>
              </w:rPr>
            </w:pPr>
            <w:bookmarkStart w:id="94" w:name="_28.3"/>
            <w:bookmarkEnd w:id="94"/>
            <w:r>
              <w:rPr>
                <w:rFonts w:ascii="宋体" w:hAnsi="宋体"/>
                <w:color w:val="auto"/>
                <w:szCs w:val="21"/>
              </w:rPr>
              <w:t>29.1</w:t>
            </w:r>
          </w:p>
        </w:tc>
        <w:tc>
          <w:tcPr>
            <w:tcW w:w="8175" w:type="dxa"/>
            <w:tcBorders>
              <w:top w:val="single" w:color="auto" w:sz="4" w:space="0"/>
              <w:left w:val="single" w:color="auto" w:sz="4" w:space="0"/>
              <w:bottom w:val="single" w:color="auto" w:sz="4" w:space="0"/>
              <w:right w:val="single" w:color="auto" w:sz="4" w:space="0"/>
            </w:tcBorders>
            <w:vAlign w:val="center"/>
          </w:tcPr>
          <w:p w14:paraId="672ABE98">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评标方法：</w:t>
            </w:r>
          </w:p>
          <w:p w14:paraId="2A478CF9">
            <w:pPr>
              <w:autoSpaceDE w:val="0"/>
              <w:autoSpaceDN w:val="0"/>
              <w:snapToGrid w:val="0"/>
              <w:spacing w:line="400" w:lineRule="exact"/>
              <w:textAlignment w:val="bottom"/>
              <w:rPr>
                <w:rFonts w:ascii="宋体" w:hAnsi="宋体"/>
                <w:color w:val="auto"/>
                <w:szCs w:val="21"/>
              </w:rPr>
            </w:pPr>
            <w:r>
              <w:rPr>
                <w:rFonts w:hint="eastAsia" w:ascii="MS Mincho" w:hAnsi="MS Mincho" w:eastAsia="MS Mincho" w:cs="MS Mincho"/>
                <w:color w:val="auto"/>
                <w:szCs w:val="21"/>
              </w:rPr>
              <w:t>☑</w:t>
            </w:r>
            <w:r>
              <w:rPr>
                <w:rFonts w:hint="eastAsia" w:ascii="宋体" w:hAnsi="宋体"/>
                <w:color w:val="auto"/>
                <w:szCs w:val="21"/>
              </w:rPr>
              <w:t>综合评分法</w:t>
            </w:r>
          </w:p>
          <w:p w14:paraId="19DC5BD3">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□最低评标价法</w:t>
            </w:r>
          </w:p>
        </w:tc>
      </w:tr>
      <w:tr w14:paraId="08C4F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bottom w:val="single" w:color="auto" w:sz="4" w:space="0"/>
              <w:right w:val="single" w:color="auto" w:sz="4" w:space="0"/>
            </w:tcBorders>
            <w:vAlign w:val="center"/>
          </w:tcPr>
          <w:p w14:paraId="4B4BE489">
            <w:pPr>
              <w:spacing w:line="400" w:lineRule="exact"/>
              <w:jc w:val="center"/>
              <w:rPr>
                <w:rFonts w:ascii="宋体" w:hAnsi="宋体"/>
                <w:color w:val="auto"/>
                <w:szCs w:val="21"/>
              </w:rPr>
            </w:pPr>
            <w:bookmarkStart w:id="95" w:name="_29.2.2（2）"/>
            <w:bookmarkEnd w:id="95"/>
            <w:r>
              <w:rPr>
                <w:rFonts w:hint="eastAsia" w:ascii="宋体" w:hAnsi="宋体"/>
                <w:color w:val="auto"/>
                <w:szCs w:val="21"/>
              </w:rPr>
              <w:t>29</w:t>
            </w:r>
            <w:r>
              <w:rPr>
                <w:rFonts w:ascii="宋体" w:hAnsi="宋体"/>
                <w:color w:val="auto"/>
                <w:szCs w:val="21"/>
              </w:rPr>
              <w:t>.2</w:t>
            </w:r>
          </w:p>
        </w:tc>
        <w:tc>
          <w:tcPr>
            <w:tcW w:w="8175" w:type="dxa"/>
            <w:tcBorders>
              <w:top w:val="single" w:color="auto" w:sz="4" w:space="0"/>
              <w:left w:val="single" w:color="auto" w:sz="4" w:space="0"/>
              <w:right w:val="single" w:color="auto" w:sz="4" w:space="0"/>
            </w:tcBorders>
            <w:vAlign w:val="center"/>
          </w:tcPr>
          <w:p w14:paraId="1A466A24">
            <w:pPr>
              <w:snapToGrid w:val="0"/>
              <w:spacing w:line="400" w:lineRule="exact"/>
              <w:rPr>
                <w:rFonts w:ascii="宋体" w:hAnsi="宋体"/>
                <w:color w:val="auto"/>
                <w:szCs w:val="21"/>
              </w:rPr>
            </w:pPr>
            <w:r>
              <w:rPr>
                <w:rFonts w:hint="eastAsia" w:ascii="宋体" w:hAnsi="宋体" w:cs="宋体"/>
                <w:color w:val="auto"/>
                <w:szCs w:val="21"/>
              </w:rPr>
              <w:t>商务要求</w:t>
            </w:r>
            <w:r>
              <w:rPr>
                <w:rFonts w:hint="eastAsia" w:ascii="宋体" w:hAnsi="宋体"/>
                <w:color w:val="auto"/>
                <w:szCs w:val="21"/>
              </w:rPr>
              <w:t>评审中允许负偏离的条款数为</w:t>
            </w:r>
            <w:r>
              <w:rPr>
                <w:rFonts w:ascii="宋体" w:hAnsi="宋体"/>
                <w:color w:val="auto"/>
                <w:szCs w:val="21"/>
                <w:u w:val="single"/>
              </w:rPr>
              <w:t xml:space="preserve">0 </w:t>
            </w:r>
            <w:r>
              <w:rPr>
                <w:rFonts w:hint="eastAsia" w:ascii="宋体" w:hAnsi="宋体"/>
                <w:color w:val="auto"/>
                <w:szCs w:val="21"/>
              </w:rPr>
              <w:t>项。</w:t>
            </w:r>
          </w:p>
          <w:p w14:paraId="2FD5AE44">
            <w:pPr>
              <w:snapToGrid w:val="0"/>
              <w:spacing w:line="400" w:lineRule="exact"/>
              <w:rPr>
                <w:rFonts w:ascii="宋体" w:hAnsi="宋体"/>
                <w:color w:val="auto"/>
                <w:szCs w:val="21"/>
              </w:rPr>
            </w:pPr>
            <w:r>
              <w:rPr>
                <w:rFonts w:hint="eastAsia" w:ascii="宋体" w:hAnsi="宋体" w:cs="宋体"/>
                <w:color w:val="auto"/>
                <w:szCs w:val="21"/>
              </w:rPr>
              <w:t>技术要求</w:t>
            </w:r>
            <w:r>
              <w:rPr>
                <w:rFonts w:hint="eastAsia" w:ascii="宋体" w:hAnsi="宋体"/>
                <w:color w:val="auto"/>
                <w:szCs w:val="21"/>
              </w:rPr>
              <w:t>评审中允许负偏离的条款数：如有具体见本招标文件第二章“说明”。</w:t>
            </w:r>
          </w:p>
        </w:tc>
      </w:tr>
      <w:tr w14:paraId="370E5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978" w:type="dxa"/>
            <w:tcBorders>
              <w:top w:val="single" w:color="auto" w:sz="4" w:space="0"/>
              <w:left w:val="single" w:color="auto" w:sz="4" w:space="0"/>
              <w:right w:val="single" w:color="auto" w:sz="4" w:space="0"/>
            </w:tcBorders>
            <w:vAlign w:val="center"/>
          </w:tcPr>
          <w:p w14:paraId="05F44208">
            <w:pPr>
              <w:spacing w:line="400" w:lineRule="exact"/>
              <w:jc w:val="center"/>
              <w:rPr>
                <w:rFonts w:ascii="宋体" w:hAnsi="宋体"/>
                <w:color w:val="auto"/>
                <w:szCs w:val="21"/>
              </w:rPr>
            </w:pPr>
            <w:r>
              <w:rPr>
                <w:rFonts w:hint="eastAsia" w:ascii="宋体" w:hAnsi="宋体"/>
                <w:color w:val="auto"/>
                <w:szCs w:val="21"/>
              </w:rPr>
              <w:t>29.3</w:t>
            </w:r>
          </w:p>
        </w:tc>
        <w:tc>
          <w:tcPr>
            <w:tcW w:w="8175" w:type="dxa"/>
            <w:tcBorders>
              <w:top w:val="single" w:color="auto" w:sz="4" w:space="0"/>
              <w:left w:val="single" w:color="auto" w:sz="4" w:space="0"/>
              <w:right w:val="single" w:color="auto" w:sz="4" w:space="0"/>
            </w:tcBorders>
            <w:vAlign w:val="center"/>
          </w:tcPr>
          <w:p w14:paraId="6DEF5A9D">
            <w:pPr>
              <w:snapToGrid w:val="0"/>
              <w:spacing w:line="400" w:lineRule="exact"/>
              <w:rPr>
                <w:rFonts w:ascii="宋体" w:hAnsi="宋体"/>
                <w:color w:val="auto"/>
                <w:szCs w:val="21"/>
              </w:rPr>
            </w:pPr>
            <w:r>
              <w:rPr>
                <w:rFonts w:ascii="宋体" w:hAnsi="宋体"/>
                <w:color w:val="auto"/>
                <w:szCs w:val="21"/>
              </w:rPr>
              <w:t>中标候选人推荐数量</w:t>
            </w:r>
            <w:r>
              <w:rPr>
                <w:rFonts w:hint="eastAsia" w:ascii="宋体" w:hAnsi="宋体"/>
                <w:color w:val="auto"/>
                <w:szCs w:val="21"/>
              </w:rPr>
              <w:t>：</w:t>
            </w:r>
          </w:p>
          <w:p w14:paraId="344D128A">
            <w:pPr>
              <w:snapToGrid w:val="0"/>
              <w:spacing w:line="400" w:lineRule="exact"/>
              <w:rPr>
                <w:rFonts w:ascii="宋体" w:hAnsi="宋体"/>
                <w:color w:val="auto"/>
                <w:szCs w:val="21"/>
              </w:rPr>
            </w:pPr>
            <w:r>
              <w:rPr>
                <w:rFonts w:hint="eastAsia" w:ascii="宋体" w:hAnsi="宋体"/>
                <w:color w:val="auto"/>
                <w:szCs w:val="21"/>
              </w:rPr>
              <w:t>□</w:t>
            </w:r>
            <w:r>
              <w:rPr>
                <w:rFonts w:hint="eastAsia" w:ascii="宋体" w:hAnsi="宋体"/>
                <w:color w:val="auto"/>
                <w:szCs w:val="21"/>
                <w:u w:val="single"/>
                <w:lang w:val="en-US" w:eastAsia="zh-CN"/>
              </w:rPr>
              <w:t xml:space="preserve">   </w:t>
            </w:r>
            <w:r>
              <w:rPr>
                <w:rFonts w:hint="eastAsia" w:ascii="宋体" w:hAnsi="宋体"/>
                <w:color w:val="auto"/>
                <w:szCs w:val="21"/>
              </w:rPr>
              <w:t>名</w:t>
            </w:r>
          </w:p>
          <w:p w14:paraId="2F6FE628">
            <w:pPr>
              <w:snapToGrid w:val="0"/>
              <w:spacing w:line="400" w:lineRule="exact"/>
              <w:rPr>
                <w:rFonts w:ascii="宋体" w:hAnsi="宋体" w:cs="宋体"/>
                <w:color w:val="auto"/>
                <w:szCs w:val="21"/>
              </w:rPr>
            </w:pPr>
            <w:r>
              <w:rPr>
                <w:rFonts w:hint="eastAsia" w:ascii="MS Mincho" w:hAnsi="MS Mincho" w:cs="MS Mincho"/>
                <w:color w:val="auto"/>
                <w:szCs w:val="21"/>
              </w:rPr>
              <w:t>☑</w:t>
            </w:r>
            <w:r>
              <w:rPr>
                <w:rFonts w:hint="eastAsia" w:ascii="宋体" w:hAnsi="宋体"/>
                <w:color w:val="auto"/>
                <w:szCs w:val="21"/>
              </w:rPr>
              <w:t>根据总得分由高到低排列次序</w:t>
            </w:r>
            <w:r>
              <w:rPr>
                <w:rFonts w:hint="eastAsia" w:hAnsi="宋体"/>
                <w:color w:val="auto"/>
              </w:rPr>
              <w:t>推荐3名中标候选人</w:t>
            </w:r>
            <w:r>
              <w:rPr>
                <w:rFonts w:hint="eastAsia" w:ascii="宋体" w:hAnsi="宋体"/>
                <w:color w:val="auto"/>
                <w:szCs w:val="21"/>
              </w:rPr>
              <w:t>。</w:t>
            </w:r>
          </w:p>
        </w:tc>
      </w:tr>
      <w:tr w14:paraId="00D9C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1C325F19">
            <w:pPr>
              <w:spacing w:line="400" w:lineRule="exact"/>
              <w:jc w:val="center"/>
              <w:rPr>
                <w:rFonts w:ascii="宋体" w:hAnsi="宋体"/>
                <w:color w:val="auto"/>
                <w:szCs w:val="21"/>
              </w:rPr>
            </w:pPr>
            <w:r>
              <w:rPr>
                <w:rFonts w:hint="eastAsia" w:ascii="宋体" w:hAnsi="宋体"/>
                <w:color w:val="auto"/>
                <w:szCs w:val="21"/>
              </w:rPr>
              <w:t>30</w:t>
            </w:r>
            <w:r>
              <w:rPr>
                <w:rFonts w:ascii="宋体" w:hAnsi="宋体"/>
                <w:color w:val="auto"/>
                <w:szCs w:val="21"/>
              </w:rPr>
              <w:t>.1</w:t>
            </w:r>
          </w:p>
        </w:tc>
        <w:tc>
          <w:tcPr>
            <w:tcW w:w="8175" w:type="dxa"/>
            <w:tcBorders>
              <w:top w:val="single" w:color="auto" w:sz="4" w:space="0"/>
              <w:left w:val="single" w:color="auto" w:sz="4" w:space="0"/>
              <w:bottom w:val="single" w:color="auto" w:sz="4" w:space="0"/>
              <w:right w:val="single" w:color="auto" w:sz="4" w:space="0"/>
            </w:tcBorders>
            <w:vAlign w:val="center"/>
          </w:tcPr>
          <w:p w14:paraId="206DDDB1">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采购人确定中标供应商时，出现中标候选人并列的情形，采购人按以下的方式确定中标供应商：</w:t>
            </w:r>
          </w:p>
          <w:p w14:paraId="38F864BD">
            <w:pPr>
              <w:autoSpaceDE w:val="0"/>
              <w:autoSpaceDN w:val="0"/>
              <w:snapToGrid w:val="0"/>
              <w:spacing w:line="400" w:lineRule="exact"/>
              <w:textAlignment w:val="bottom"/>
              <w:rPr>
                <w:rFonts w:ascii="宋体" w:hAnsi="宋体"/>
                <w:color w:val="auto"/>
                <w:szCs w:val="21"/>
              </w:rPr>
            </w:pPr>
            <w:r>
              <w:rPr>
                <w:rFonts w:hint="eastAsia" w:ascii="MS Mincho" w:hAnsi="MS Mincho" w:eastAsia="MS Mincho" w:cs="MS Mincho"/>
                <w:color w:val="auto"/>
                <w:szCs w:val="21"/>
              </w:rPr>
              <w:t>☑</w:t>
            </w:r>
            <w:r>
              <w:rPr>
                <w:rFonts w:hint="eastAsia" w:ascii="宋体" w:hAnsi="宋体"/>
                <w:iCs/>
                <w:color w:val="auto"/>
                <w:szCs w:val="21"/>
              </w:rPr>
              <w:t>依次按投标报价低的优先、政策分得分高的优先、技术评分高的优先、商务评分高的优先、响应时间短优先的顺序确定；</w:t>
            </w:r>
          </w:p>
          <w:p w14:paraId="28DA0456">
            <w:pPr>
              <w:snapToGrid w:val="0"/>
              <w:spacing w:line="400" w:lineRule="exact"/>
              <w:rPr>
                <w:rFonts w:ascii="宋体" w:hAnsi="宋体"/>
                <w:b/>
                <w:color w:val="auto"/>
                <w:szCs w:val="21"/>
              </w:rPr>
            </w:pPr>
            <w:r>
              <w:rPr>
                <w:rFonts w:hint="eastAsia" w:ascii="宋体" w:hAnsi="宋体"/>
                <w:color w:val="auto"/>
                <w:szCs w:val="21"/>
              </w:rPr>
              <w:t>□随机抽取。</w:t>
            </w:r>
          </w:p>
        </w:tc>
      </w:tr>
      <w:tr w14:paraId="796C2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vAlign w:val="center"/>
          </w:tcPr>
          <w:p w14:paraId="461448A0">
            <w:pPr>
              <w:spacing w:line="400" w:lineRule="exact"/>
              <w:jc w:val="center"/>
              <w:rPr>
                <w:rFonts w:ascii="宋体" w:hAnsi="宋体"/>
                <w:color w:val="auto"/>
                <w:szCs w:val="21"/>
              </w:rPr>
            </w:pPr>
            <w:bookmarkStart w:id="96" w:name="_39.1"/>
            <w:bookmarkEnd w:id="96"/>
            <w:r>
              <w:rPr>
                <w:rFonts w:hint="eastAsia" w:ascii="宋体" w:hAnsi="宋体"/>
                <w:color w:val="auto"/>
                <w:szCs w:val="21"/>
              </w:rPr>
              <w:t>35</w:t>
            </w:r>
            <w:r>
              <w:rPr>
                <w:rFonts w:ascii="宋体" w:hAnsi="宋体"/>
                <w:color w:val="auto"/>
                <w:szCs w:val="21"/>
              </w:rPr>
              <w:t>.1</w:t>
            </w:r>
          </w:p>
        </w:tc>
        <w:tc>
          <w:tcPr>
            <w:tcW w:w="8175" w:type="dxa"/>
            <w:tcBorders>
              <w:top w:val="single" w:color="auto" w:sz="4" w:space="0"/>
              <w:left w:val="single" w:color="auto" w:sz="4" w:space="0"/>
              <w:bottom w:val="single" w:color="auto" w:sz="4" w:space="0"/>
              <w:right w:val="single" w:color="auto" w:sz="4" w:space="0"/>
            </w:tcBorders>
            <w:vAlign w:val="center"/>
          </w:tcPr>
          <w:p w14:paraId="5AF69133">
            <w:pPr>
              <w:autoSpaceDE w:val="0"/>
              <w:autoSpaceDN w:val="0"/>
              <w:snapToGrid w:val="0"/>
              <w:spacing w:line="400" w:lineRule="exact"/>
              <w:textAlignment w:val="bottom"/>
              <w:rPr>
                <w:rFonts w:ascii="宋体" w:hAnsi="宋体"/>
                <w:color w:val="auto"/>
                <w:szCs w:val="21"/>
              </w:rPr>
            </w:pPr>
            <w:r>
              <w:rPr>
                <w:rFonts w:ascii="MS Mincho" w:hAnsi="MS Mincho" w:cs="MS Mincho"/>
                <w:color w:val="auto"/>
                <w:szCs w:val="21"/>
              </w:rPr>
              <w:t>☑</w:t>
            </w:r>
            <w:r>
              <w:rPr>
                <w:rFonts w:hint="eastAsia" w:ascii="宋体" w:hAnsi="宋体"/>
                <w:color w:val="auto"/>
                <w:szCs w:val="21"/>
              </w:rPr>
              <w:t>本项目不收取履约保证金。</w:t>
            </w:r>
          </w:p>
          <w:p w14:paraId="0D27E483">
            <w:pPr>
              <w:autoSpaceDE w:val="0"/>
              <w:autoSpaceDN w:val="0"/>
              <w:snapToGrid w:val="0"/>
              <w:spacing w:line="400" w:lineRule="exact"/>
              <w:textAlignment w:val="bottom"/>
              <w:rPr>
                <w:rFonts w:ascii="宋体" w:hAnsi="宋体"/>
                <w:color w:val="auto"/>
                <w:szCs w:val="21"/>
              </w:rPr>
            </w:pPr>
            <w:r>
              <w:rPr>
                <w:rFonts w:hint="eastAsia" w:ascii="MS Mincho" w:hAnsi="MS Mincho" w:cs="MS Mincho"/>
                <w:color w:val="auto"/>
                <w:szCs w:val="21"/>
              </w:rPr>
              <w:t>□</w:t>
            </w:r>
            <w:r>
              <w:rPr>
                <w:rFonts w:hint="eastAsia" w:ascii="宋体" w:hAnsi="宋体"/>
                <w:color w:val="auto"/>
                <w:szCs w:val="21"/>
              </w:rPr>
              <w:t>本项目收取履约保证金，具体规定如下：</w:t>
            </w:r>
          </w:p>
          <w:p w14:paraId="0A8EDBBC">
            <w:pPr>
              <w:pStyle w:val="15"/>
              <w:spacing w:line="400" w:lineRule="exact"/>
              <w:rPr>
                <w:rFonts w:ascii="宋体" w:hAnsi="宋体" w:cs="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履约保证金金额：按预算金额的5%收取，于合同签订之日起5个工作日内提交至采购人指定账户</w:t>
            </w:r>
            <w:r>
              <w:rPr>
                <w:rFonts w:hint="eastAsia" w:ascii="宋体" w:hAnsi="宋体" w:cs="宋体"/>
                <w:color w:val="auto"/>
                <w:szCs w:val="21"/>
              </w:rPr>
              <w:t>。</w:t>
            </w:r>
          </w:p>
          <w:p w14:paraId="38557B14">
            <w:pPr>
              <w:spacing w:line="400" w:lineRule="exact"/>
              <w:contextualSpacing/>
              <w:rPr>
                <w:rFonts w:ascii="宋体" w:hAnsi="宋体" w:cs="宋体"/>
                <w:color w:val="auto"/>
                <w:szCs w:val="21"/>
              </w:rPr>
            </w:pPr>
            <w:r>
              <w:rPr>
                <w:rFonts w:hint="eastAsia" w:ascii="宋体" w:hAnsi="宋体" w:cs="宋体"/>
                <w:color w:val="auto"/>
                <w:szCs w:val="21"/>
              </w:rPr>
              <w:t>2.履约保证金提交方式：银行转账、支票、汇票、本票或者银行、保险机构出具的保函等非现金方式。</w:t>
            </w:r>
          </w:p>
          <w:p w14:paraId="58487620">
            <w:pPr>
              <w:spacing w:line="400" w:lineRule="exact"/>
              <w:contextualSpacing/>
              <w:rPr>
                <w:rFonts w:ascii="宋体" w:hAnsi="宋体" w:cs="宋体"/>
                <w:color w:val="auto"/>
                <w:szCs w:val="21"/>
                <w:u w:val="single"/>
              </w:rPr>
            </w:pPr>
            <w:r>
              <w:rPr>
                <w:rFonts w:hint="eastAsia" w:ascii="宋体" w:hAnsi="宋体" w:cs="宋体"/>
                <w:color w:val="auto"/>
                <w:szCs w:val="21"/>
              </w:rPr>
              <w:t>3.履约保证金退付方式、时间及条件：</w:t>
            </w:r>
            <w:r>
              <w:rPr>
                <w:rFonts w:hint="eastAsia" w:ascii="宋体" w:hAnsi="宋体" w:cs="宋体"/>
                <w:color w:val="auto"/>
                <w:szCs w:val="21"/>
                <w:u w:val="single"/>
              </w:rPr>
              <w:t>中标供应商服务期满后，按合同履约完毕并验收合格，由中标供应商向采购人提供《政府采购项目履约保证金退付意见书》及《广西壮族自治区政府采购项目合同验收书》，采购人</w:t>
            </w:r>
            <w:r>
              <w:rPr>
                <w:rFonts w:hint="eastAsia" w:ascii="宋体" w:hAnsi="宋体"/>
                <w:color w:val="auto"/>
                <w:szCs w:val="21"/>
                <w:u w:val="single"/>
              </w:rPr>
              <w:t>在收到合格材料后进行核对，如有违约或赔偿的，涉及违约的违约金和损失赔偿从履约保证金中扣减后，采购人5个工作日内转账退还（无息）</w:t>
            </w:r>
            <w:r>
              <w:rPr>
                <w:rFonts w:hint="eastAsia" w:ascii="宋体" w:hAnsi="宋体" w:cs="宋体"/>
                <w:color w:val="auto"/>
                <w:szCs w:val="21"/>
                <w:u w:val="single"/>
              </w:rPr>
              <w:t>。</w:t>
            </w:r>
          </w:p>
          <w:p w14:paraId="165A4FF0">
            <w:pPr>
              <w:spacing w:line="400" w:lineRule="exact"/>
              <w:contextualSpacing/>
              <w:rPr>
                <w:rFonts w:ascii="宋体" w:hAnsi="宋体" w:cs="宋体"/>
                <w:color w:val="auto"/>
                <w:szCs w:val="21"/>
              </w:rPr>
            </w:pPr>
            <w:r>
              <w:rPr>
                <w:rFonts w:hint="eastAsia" w:ascii="宋体" w:hAnsi="宋体" w:cs="宋体"/>
                <w:color w:val="auto"/>
                <w:szCs w:val="21"/>
              </w:rPr>
              <w:t>4.履约保证金指定账户：</w:t>
            </w:r>
          </w:p>
          <w:p w14:paraId="506897E0">
            <w:pPr>
              <w:spacing w:line="400" w:lineRule="exact"/>
              <w:contextualSpacing/>
              <w:rPr>
                <w:rFonts w:ascii="宋体" w:hAnsi="宋体" w:cs="宋体"/>
                <w:color w:val="auto"/>
                <w:szCs w:val="21"/>
              </w:rPr>
            </w:pPr>
            <w:r>
              <w:rPr>
                <w:rFonts w:hint="eastAsia" w:ascii="宋体" w:hAnsi="宋体" w:cs="宋体"/>
                <w:color w:val="auto"/>
                <w:szCs w:val="21"/>
              </w:rPr>
              <w:t>开户名称：</w:t>
            </w:r>
          </w:p>
          <w:p w14:paraId="47382380">
            <w:pPr>
              <w:spacing w:line="400" w:lineRule="exact"/>
              <w:contextualSpacing/>
              <w:rPr>
                <w:rFonts w:ascii="宋体" w:hAnsi="宋体" w:cs="宋体"/>
                <w:color w:val="auto"/>
                <w:szCs w:val="21"/>
              </w:rPr>
            </w:pPr>
            <w:r>
              <w:rPr>
                <w:rFonts w:hint="eastAsia" w:ascii="宋体" w:hAnsi="宋体" w:cs="宋体"/>
                <w:color w:val="auto"/>
                <w:szCs w:val="21"/>
              </w:rPr>
              <w:t>开户银行：</w:t>
            </w:r>
          </w:p>
          <w:p w14:paraId="3CFFD9A8">
            <w:pPr>
              <w:autoSpaceDE w:val="0"/>
              <w:autoSpaceDN w:val="0"/>
              <w:snapToGrid w:val="0"/>
              <w:spacing w:line="400" w:lineRule="exact"/>
              <w:textAlignment w:val="bottom"/>
              <w:rPr>
                <w:rFonts w:ascii="宋体" w:hAnsi="宋体"/>
                <w:color w:val="auto"/>
                <w:szCs w:val="21"/>
              </w:rPr>
            </w:pPr>
            <w:r>
              <w:rPr>
                <w:rFonts w:hint="eastAsia" w:ascii="宋体" w:hAnsi="宋体" w:cs="宋体"/>
                <w:color w:val="auto"/>
                <w:szCs w:val="21"/>
              </w:rPr>
              <w:t>银行账号：</w:t>
            </w:r>
          </w:p>
          <w:p w14:paraId="6D7D7856">
            <w:pPr>
              <w:spacing w:line="400" w:lineRule="exact"/>
              <w:jc w:val="left"/>
              <w:rPr>
                <w:rFonts w:ascii="宋体" w:hAnsi="宋体" w:cs="Courier New"/>
                <w:color w:val="auto"/>
                <w:szCs w:val="21"/>
              </w:rPr>
            </w:pPr>
            <w:r>
              <w:rPr>
                <w:rFonts w:ascii="宋体" w:hAnsi="宋体" w:cs="Courier New"/>
                <w:color w:val="auto"/>
                <w:szCs w:val="21"/>
              </w:rPr>
              <w:t>备注：</w:t>
            </w:r>
          </w:p>
          <w:p w14:paraId="055A43FA">
            <w:pPr>
              <w:spacing w:line="400" w:lineRule="exact"/>
              <w:jc w:val="left"/>
              <w:rPr>
                <w:rFonts w:ascii="宋体" w:hAnsi="宋体"/>
                <w:b/>
                <w:color w:val="auto"/>
                <w:szCs w:val="21"/>
              </w:rPr>
            </w:pPr>
            <w:r>
              <w:rPr>
                <w:rFonts w:ascii="宋体" w:hAnsi="宋体"/>
                <w:b/>
                <w:color w:val="auto"/>
                <w:szCs w:val="21"/>
              </w:rPr>
              <w:t>1.</w:t>
            </w:r>
            <w:bookmarkStart w:id="97" w:name="_Hlk54170335"/>
            <w:r>
              <w:rPr>
                <w:rFonts w:hint="eastAsia" w:ascii="宋体" w:hAnsi="宋体"/>
                <w:b/>
                <w:color w:val="auto"/>
                <w:szCs w:val="21"/>
              </w:rPr>
              <w:t>根据《广西壮族自治区财政厅关于贯彻落实政府采购优化营商环境百日攻坚行动方案的通知》（桂财采〔2020〕49号）及《广西壮族自治区财政厅关于规范政府采购货物和服务项目保证金管理的通知》（桂财规〔2022〕8号）规定，对中小企业收取的履约保证金数额不得超过政府采购合同金额的2%。</w:t>
            </w:r>
            <w:bookmarkEnd w:id="97"/>
            <w:r>
              <w:rPr>
                <w:rFonts w:ascii="宋体" w:hAnsi="宋体" w:cs="Courier New"/>
                <w:color w:val="auto"/>
                <w:szCs w:val="21"/>
              </w:rPr>
              <w:br w:type="textWrapping"/>
            </w:r>
            <w:r>
              <w:rPr>
                <w:rFonts w:ascii="宋体" w:hAnsi="宋体"/>
                <w:b/>
                <w:color w:val="auto"/>
                <w:szCs w:val="21"/>
              </w:rPr>
              <w:t>2.</w:t>
            </w:r>
            <w:r>
              <w:rPr>
                <w:rFonts w:hint="eastAsia" w:ascii="宋体" w:hAnsi="宋体"/>
                <w:b/>
                <w:color w:val="auto"/>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auto"/>
                <w:szCs w:val="21"/>
              </w:rPr>
              <w:br w:type="textWrapping"/>
            </w:r>
            <w:r>
              <w:rPr>
                <w:rFonts w:ascii="宋体" w:hAnsi="宋体"/>
                <w:b/>
                <w:color w:val="auto"/>
                <w:szCs w:val="21"/>
              </w:rPr>
              <w:t>3.采用银行、保险机构出具的保函的，必须为无条件保函，否则不予签订合同。</w:t>
            </w:r>
          </w:p>
          <w:p w14:paraId="5DA57220">
            <w:pPr>
              <w:spacing w:line="400" w:lineRule="exact"/>
              <w:jc w:val="left"/>
              <w:rPr>
                <w:rFonts w:ascii="宋体" w:hAnsi="宋体" w:cs="宋体"/>
                <w:color w:val="auto"/>
                <w:kern w:val="0"/>
                <w:szCs w:val="21"/>
              </w:rPr>
            </w:pPr>
            <w:r>
              <w:rPr>
                <w:rFonts w:ascii="宋体" w:hAnsi="宋体"/>
                <w:b/>
                <w:color w:val="auto"/>
                <w:szCs w:val="21"/>
              </w:rPr>
              <w:t>4.</w:t>
            </w:r>
            <w:r>
              <w:rPr>
                <w:rFonts w:hint="eastAsia" w:ascii="宋体" w:hAnsi="宋体"/>
                <w:b/>
                <w:color w:val="auto"/>
                <w:szCs w:val="21"/>
              </w:rPr>
              <w:t>投标人为联合体的，由联合体其中一方按规定提交的履约保证金，视为有效履约保证金。</w:t>
            </w:r>
            <w:r>
              <w:rPr>
                <w:rFonts w:hint="eastAsia" w:ascii="宋体" w:hAnsi="宋体"/>
                <w:color w:val="auto"/>
                <w:szCs w:val="21"/>
              </w:rPr>
              <w:t>（本项目不适用）</w:t>
            </w:r>
          </w:p>
        </w:tc>
      </w:tr>
      <w:tr w14:paraId="62503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2D7544AD">
            <w:pPr>
              <w:spacing w:line="400" w:lineRule="exact"/>
              <w:jc w:val="center"/>
              <w:rPr>
                <w:rFonts w:ascii="宋体" w:hAnsi="宋体"/>
                <w:color w:val="auto"/>
                <w:szCs w:val="21"/>
              </w:rPr>
            </w:pPr>
            <w:bookmarkStart w:id="98" w:name="_40.1"/>
            <w:bookmarkEnd w:id="98"/>
            <w:r>
              <w:rPr>
                <w:rFonts w:hint="eastAsia" w:ascii="宋体" w:hAnsi="宋体"/>
                <w:color w:val="auto"/>
                <w:szCs w:val="21"/>
              </w:rPr>
              <w:t>36.1</w:t>
            </w:r>
          </w:p>
        </w:tc>
        <w:tc>
          <w:tcPr>
            <w:tcW w:w="8175" w:type="dxa"/>
            <w:tcBorders>
              <w:top w:val="single" w:color="auto" w:sz="4" w:space="0"/>
              <w:left w:val="single" w:color="auto" w:sz="4" w:space="0"/>
              <w:bottom w:val="single" w:color="auto" w:sz="4" w:space="0"/>
              <w:right w:val="single" w:color="auto" w:sz="4" w:space="0"/>
            </w:tcBorders>
            <w:vAlign w:val="center"/>
          </w:tcPr>
          <w:p w14:paraId="23C8A220">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 xml:space="preserve">签订合同携带的证明材料： </w:t>
            </w:r>
          </w:p>
          <w:p w14:paraId="1A4CBD84">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2A794EE0">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0CBA8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452444B">
            <w:pPr>
              <w:spacing w:line="400" w:lineRule="exact"/>
              <w:jc w:val="center"/>
              <w:rPr>
                <w:rFonts w:ascii="宋体" w:hAnsi="宋体"/>
                <w:color w:val="auto"/>
                <w:szCs w:val="21"/>
              </w:rPr>
            </w:pPr>
            <w:r>
              <w:rPr>
                <w:rFonts w:hint="eastAsia" w:ascii="宋体" w:hAnsi="宋体"/>
                <w:color w:val="auto"/>
                <w:szCs w:val="21"/>
              </w:rPr>
              <w:t>3</w:t>
            </w:r>
            <w:r>
              <w:rPr>
                <w:rFonts w:ascii="宋体" w:hAnsi="宋体"/>
                <w:color w:val="auto"/>
                <w:szCs w:val="21"/>
              </w:rPr>
              <w:t>8.2</w:t>
            </w:r>
          </w:p>
        </w:tc>
        <w:tc>
          <w:tcPr>
            <w:tcW w:w="8175" w:type="dxa"/>
            <w:tcBorders>
              <w:top w:val="single" w:color="auto" w:sz="4" w:space="0"/>
              <w:left w:val="single" w:color="auto" w:sz="4" w:space="0"/>
              <w:bottom w:val="single" w:color="auto" w:sz="4" w:space="0"/>
              <w:right w:val="single" w:color="auto" w:sz="4" w:space="0"/>
            </w:tcBorders>
            <w:vAlign w:val="center"/>
          </w:tcPr>
          <w:p w14:paraId="3FAFD7D8">
            <w:pPr>
              <w:snapToGrid w:val="0"/>
              <w:spacing w:line="400" w:lineRule="exact"/>
              <w:rPr>
                <w:rFonts w:ascii="宋体" w:hAnsi="宋体"/>
                <w:color w:val="auto"/>
                <w:szCs w:val="21"/>
              </w:rPr>
            </w:pPr>
            <w:r>
              <w:rPr>
                <w:rFonts w:hint="eastAsia" w:ascii="宋体" w:hAnsi="宋体"/>
                <w:color w:val="auto"/>
                <w:szCs w:val="21"/>
              </w:rPr>
              <w:t>接收质疑函方式：以书面形式</w:t>
            </w:r>
          </w:p>
          <w:p w14:paraId="7D5B8B09">
            <w:pPr>
              <w:snapToGrid w:val="0"/>
              <w:spacing w:line="400" w:lineRule="exact"/>
              <w:rPr>
                <w:rFonts w:ascii="宋体" w:hAnsi="宋体"/>
                <w:color w:val="auto"/>
                <w:szCs w:val="21"/>
              </w:rPr>
            </w:pPr>
            <w:r>
              <w:rPr>
                <w:rFonts w:hint="eastAsia" w:ascii="宋体" w:hAnsi="宋体"/>
                <w:color w:val="auto"/>
                <w:szCs w:val="21"/>
              </w:rPr>
              <w:t>质疑联系部门及联系方式：</w:t>
            </w:r>
            <w:r>
              <w:rPr>
                <w:rFonts w:hint="eastAsia" w:ascii="宋体" w:hAnsi="宋体"/>
                <w:color w:val="auto"/>
                <w:szCs w:val="21"/>
                <w:u w:val="single"/>
              </w:rPr>
              <w:t>广西</w:t>
            </w:r>
            <w:r>
              <w:rPr>
                <w:rFonts w:hint="eastAsia" w:ascii="宋体" w:hAnsi="宋体"/>
                <w:color w:val="auto"/>
                <w:szCs w:val="21"/>
                <w:u w:val="single"/>
                <w:lang w:val="en-US" w:eastAsia="zh-CN"/>
              </w:rPr>
              <w:t>合盛工程</w:t>
            </w:r>
            <w:r>
              <w:rPr>
                <w:rFonts w:hint="eastAsia" w:ascii="宋体" w:hAnsi="宋体"/>
                <w:color w:val="auto"/>
                <w:szCs w:val="21"/>
                <w:u w:val="single"/>
              </w:rPr>
              <w:t>咨询有限公司</w:t>
            </w:r>
            <w:r>
              <w:rPr>
                <w:rFonts w:hint="eastAsia" w:ascii="宋体" w:hAnsi="宋体"/>
                <w:color w:val="auto"/>
                <w:szCs w:val="21"/>
              </w:rPr>
              <w:t>，</w:t>
            </w:r>
            <w:r>
              <w:rPr>
                <w:rFonts w:ascii="宋体" w:hAnsi="宋体"/>
                <w:color w:val="auto"/>
                <w:szCs w:val="21"/>
              </w:rPr>
              <w:t>联系电话</w:t>
            </w:r>
            <w:r>
              <w:rPr>
                <w:rFonts w:hint="eastAsia" w:ascii="宋体" w:hAnsi="宋体"/>
                <w:color w:val="auto"/>
                <w:szCs w:val="21"/>
              </w:rPr>
              <w:t>：</w:t>
            </w:r>
            <w:r>
              <w:rPr>
                <w:rFonts w:ascii="宋体" w:hAnsi="宋体"/>
                <w:color w:val="auto"/>
                <w:szCs w:val="21"/>
                <w:u w:val="single"/>
              </w:rPr>
              <w:t>0771-</w:t>
            </w:r>
            <w:r>
              <w:rPr>
                <w:rFonts w:hint="eastAsia" w:ascii="宋体" w:hAnsi="宋体"/>
                <w:color w:val="auto"/>
                <w:szCs w:val="21"/>
                <w:u w:val="single"/>
                <w:lang w:val="en-US" w:eastAsia="zh-CN"/>
              </w:rPr>
              <w:t>3910043</w:t>
            </w:r>
            <w:r>
              <w:rPr>
                <w:rFonts w:hint="eastAsia" w:ascii="宋体" w:hAnsi="宋体"/>
                <w:color w:val="auto"/>
                <w:szCs w:val="21"/>
              </w:rPr>
              <w:t>，</w:t>
            </w:r>
            <w:r>
              <w:rPr>
                <w:rFonts w:ascii="宋体" w:hAnsi="宋体"/>
                <w:color w:val="auto"/>
                <w:szCs w:val="21"/>
              </w:rPr>
              <w:t>通讯地址</w:t>
            </w:r>
            <w:r>
              <w:rPr>
                <w:rFonts w:hint="eastAsia" w:ascii="宋体" w:hAnsi="宋体" w:cs="Helvetica"/>
                <w:color w:val="auto"/>
                <w:szCs w:val="21"/>
              </w:rPr>
              <w:t>：</w:t>
            </w:r>
            <w:r>
              <w:rPr>
                <w:rFonts w:hint="eastAsia" w:ascii="宋体" w:hAnsi="宋体" w:cs="Helvetica"/>
                <w:color w:val="auto"/>
                <w:szCs w:val="21"/>
                <w:u w:val="single"/>
              </w:rPr>
              <w:t>南宁市青秀区民族大道153号交通设计大厦22楼2213室</w:t>
            </w:r>
            <w:r>
              <w:rPr>
                <w:rFonts w:hint="eastAsia" w:ascii="宋体" w:hAnsi="宋体"/>
                <w:color w:val="auto"/>
                <w:szCs w:val="21"/>
                <w:u w:val="single"/>
              </w:rPr>
              <w:t>。</w:t>
            </w:r>
          </w:p>
          <w:p w14:paraId="371D7476">
            <w:pPr>
              <w:autoSpaceDE w:val="0"/>
              <w:autoSpaceDN w:val="0"/>
              <w:snapToGrid w:val="0"/>
              <w:spacing w:line="400" w:lineRule="exact"/>
              <w:textAlignment w:val="bottom"/>
              <w:rPr>
                <w:rFonts w:ascii="宋体" w:hAnsi="宋体"/>
                <w:color w:val="auto"/>
                <w:szCs w:val="21"/>
              </w:rPr>
            </w:pPr>
            <w:r>
              <w:rPr>
                <w:rFonts w:hint="eastAsia" w:ascii="宋体" w:hAnsi="宋体"/>
                <w:color w:val="auto"/>
                <w:szCs w:val="21"/>
              </w:rPr>
              <w:t>现场提交质疑办理业务时间：每天8时00分到12时00分，15时00分到18时 00分，业务时间以外、双休日和法定节假日不办理业务。</w:t>
            </w:r>
          </w:p>
        </w:tc>
      </w:tr>
      <w:tr w14:paraId="743D0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0B806782">
            <w:pPr>
              <w:spacing w:line="400" w:lineRule="exact"/>
              <w:jc w:val="center"/>
              <w:rPr>
                <w:rFonts w:ascii="宋体" w:hAnsi="宋体"/>
                <w:color w:val="auto"/>
                <w:szCs w:val="21"/>
              </w:rPr>
            </w:pPr>
            <w:bookmarkStart w:id="99" w:name="_41"/>
            <w:bookmarkEnd w:id="99"/>
            <w:bookmarkStart w:id="100" w:name="_42"/>
            <w:bookmarkEnd w:id="100"/>
            <w:bookmarkStart w:id="101" w:name="_Hlt17709148"/>
            <w:r>
              <w:rPr>
                <w:rFonts w:hint="eastAsia" w:ascii="宋体" w:hAnsi="宋体"/>
                <w:color w:val="auto"/>
                <w:szCs w:val="21"/>
              </w:rPr>
              <w:t>3</w:t>
            </w:r>
            <w:bookmarkEnd w:id="101"/>
            <w:r>
              <w:rPr>
                <w:rFonts w:ascii="宋体" w:hAnsi="宋体"/>
                <w:color w:val="auto"/>
                <w:szCs w:val="21"/>
              </w:rPr>
              <w:t>9.1</w:t>
            </w:r>
          </w:p>
        </w:tc>
        <w:tc>
          <w:tcPr>
            <w:tcW w:w="8175" w:type="dxa"/>
            <w:tcBorders>
              <w:top w:val="single" w:color="auto" w:sz="4" w:space="0"/>
              <w:left w:val="single" w:color="auto" w:sz="4" w:space="0"/>
              <w:bottom w:val="single" w:color="auto" w:sz="4" w:space="0"/>
              <w:right w:val="single" w:color="auto" w:sz="4" w:space="0"/>
            </w:tcBorders>
            <w:vAlign w:val="center"/>
          </w:tcPr>
          <w:p w14:paraId="2AD39E99">
            <w:pPr>
              <w:pStyle w:val="20"/>
              <w:snapToGrid w:val="0"/>
              <w:spacing w:line="400" w:lineRule="exact"/>
              <w:rPr>
                <w:rFonts w:hAnsi="宋体" w:cs="宋体"/>
                <w:color w:val="auto"/>
                <w:sz w:val="21"/>
              </w:rPr>
            </w:pPr>
            <w:r>
              <w:rPr>
                <w:rFonts w:hint="eastAsia" w:hAnsi="宋体" w:cs="宋体"/>
                <w:color w:val="auto"/>
                <w:sz w:val="21"/>
              </w:rPr>
              <w:t>1.采购代理费支付方式：</w:t>
            </w:r>
          </w:p>
          <w:p w14:paraId="0A0633D6">
            <w:pPr>
              <w:pStyle w:val="20"/>
              <w:snapToGrid w:val="0"/>
              <w:spacing w:line="400" w:lineRule="exact"/>
              <w:rPr>
                <w:rFonts w:hAnsi="宋体" w:cs="宋体"/>
                <w:color w:val="auto"/>
                <w:sz w:val="21"/>
              </w:rPr>
            </w:pPr>
            <w:r>
              <w:rPr>
                <w:rFonts w:hint="eastAsia" w:ascii="MS Mincho" w:hAnsi="MS Mincho" w:eastAsia="MS Mincho" w:cs="MS Mincho"/>
                <w:color w:val="auto"/>
              </w:rPr>
              <w:t>☑</w:t>
            </w:r>
            <w:r>
              <w:rPr>
                <w:rFonts w:hint="eastAsia" w:hAnsi="宋体" w:cs="宋体"/>
                <w:color w:val="auto"/>
                <w:sz w:val="21"/>
              </w:rPr>
              <w:t>本项目代理服务费由</w:t>
            </w:r>
            <w:r>
              <w:rPr>
                <w:rFonts w:hint="eastAsia" w:hAnsi="宋体" w:cs="宋体"/>
                <w:color w:val="auto"/>
                <w:sz w:val="21"/>
                <w:u w:val="single"/>
              </w:rPr>
              <w:t>中标供应商</w:t>
            </w:r>
            <w:r>
              <w:rPr>
                <w:rFonts w:hint="eastAsia" w:hAnsi="宋体" w:cs="宋体"/>
                <w:color w:val="auto"/>
                <w:sz w:val="21"/>
              </w:rPr>
              <w:t>一次性向采购代理机构支付。</w:t>
            </w:r>
          </w:p>
          <w:p w14:paraId="2C3014DE">
            <w:pPr>
              <w:pStyle w:val="20"/>
              <w:snapToGrid w:val="0"/>
              <w:spacing w:line="400" w:lineRule="exact"/>
              <w:rPr>
                <w:rFonts w:hAnsi="宋体" w:cs="宋体"/>
                <w:color w:val="auto"/>
                <w:sz w:val="21"/>
              </w:rPr>
            </w:pPr>
            <w:r>
              <w:rPr>
                <w:rFonts w:hint="eastAsia" w:hAnsi="宋体" w:cs="宋体"/>
                <w:color w:val="auto"/>
                <w:sz w:val="21"/>
              </w:rPr>
              <w:t>□采购人支付。</w:t>
            </w:r>
          </w:p>
          <w:p w14:paraId="50D565C4">
            <w:pPr>
              <w:pStyle w:val="20"/>
              <w:snapToGrid w:val="0"/>
              <w:spacing w:line="400" w:lineRule="exact"/>
              <w:rPr>
                <w:rFonts w:hAnsi="宋体" w:cs="宋体"/>
                <w:color w:val="auto"/>
                <w:sz w:val="21"/>
              </w:rPr>
            </w:pPr>
            <w:r>
              <w:rPr>
                <w:rFonts w:hint="eastAsia" w:hAnsi="宋体" w:cs="宋体"/>
                <w:color w:val="auto"/>
                <w:sz w:val="21"/>
              </w:rPr>
              <w:t>2.采购代理费收取标准：</w:t>
            </w:r>
          </w:p>
          <w:p w14:paraId="45CF4E4B">
            <w:pPr>
              <w:pStyle w:val="20"/>
              <w:snapToGrid w:val="0"/>
              <w:spacing w:line="400" w:lineRule="exact"/>
              <w:ind w:firstLine="420" w:firstLineChars="200"/>
              <w:rPr>
                <w:rFonts w:hint="eastAsia" w:ascii="Segoe UI Symbol" w:hAnsi="Segoe UI Symbol" w:cs="Segoe UI Symbol"/>
                <w:b w:val="0"/>
                <w:bCs/>
                <w:color w:val="auto"/>
                <w:sz w:val="21"/>
              </w:rPr>
            </w:pPr>
            <w:r>
              <w:rPr>
                <w:rFonts w:hint="eastAsia" w:ascii="Segoe UI Symbol" w:hAnsi="Segoe UI Symbol" w:cs="Segoe UI Symbol"/>
                <w:b w:val="0"/>
                <w:bCs/>
                <w:color w:val="auto"/>
                <w:sz w:val="21"/>
                <w:lang w:val="en-US" w:eastAsia="zh-CN"/>
              </w:rPr>
              <w:t>☑以分标（☑中标金额/□采购预算/□暂定中标金额/□其他）为计费额，按本须知 正文第 39.2 条规定的收费计算标准（□货物招标/☑服务招标/□工程招标）采用差额 定率累进法计算出收费基准价格，采购代理收费以（☑收费基准价格/□收费基准价格 下浮</w:t>
            </w:r>
            <w:r>
              <w:rPr>
                <w:rFonts w:hint="eastAsia" w:ascii="Segoe UI Symbol" w:hAnsi="Segoe UI Symbol" w:cs="Segoe UI Symbol"/>
                <w:b w:val="0"/>
                <w:bCs/>
                <w:i w:val="0"/>
                <w:iCs w:val="0"/>
                <w:color w:val="auto"/>
                <w:sz w:val="21"/>
                <w:u w:val="single"/>
                <w:lang w:val="en-US" w:eastAsia="zh-CN"/>
              </w:rPr>
              <w:t xml:space="preserve">   </w:t>
            </w:r>
            <w:r>
              <w:rPr>
                <w:rFonts w:hint="eastAsia" w:ascii="Segoe UI Symbol" w:hAnsi="Segoe UI Symbol" w:cs="Segoe UI Symbol"/>
                <w:b w:val="0"/>
                <w:bCs/>
                <w:color w:val="auto"/>
                <w:sz w:val="21"/>
                <w:lang w:val="en-US" w:eastAsia="zh-CN"/>
              </w:rPr>
              <w:t>%/□收费基准价格上浮</w:t>
            </w:r>
            <w:r>
              <w:rPr>
                <w:rFonts w:hint="eastAsia" w:ascii="Segoe UI Symbol" w:hAnsi="Segoe UI Symbol" w:cs="Segoe UI Symbol"/>
                <w:b w:val="0"/>
                <w:bCs/>
                <w:color w:val="auto"/>
                <w:sz w:val="21"/>
                <w:u w:val="single"/>
                <w:lang w:val="en-US" w:eastAsia="zh-CN"/>
              </w:rPr>
              <w:t xml:space="preserve">    </w:t>
            </w:r>
            <w:r>
              <w:rPr>
                <w:rFonts w:hint="eastAsia" w:ascii="Segoe UI Symbol" w:hAnsi="Segoe UI Symbol" w:cs="Segoe UI Symbol"/>
                <w:b w:val="0"/>
                <w:bCs/>
                <w:color w:val="auto"/>
                <w:sz w:val="21"/>
                <w:lang w:val="en-US" w:eastAsia="zh-CN"/>
              </w:rPr>
              <w:t xml:space="preserve">%）收取。 </w:t>
            </w:r>
          </w:p>
          <w:p w14:paraId="08718D89">
            <w:pPr>
              <w:pStyle w:val="20"/>
              <w:snapToGrid w:val="0"/>
              <w:spacing w:line="400" w:lineRule="exact"/>
              <w:ind w:firstLine="420" w:firstLineChars="200"/>
              <w:rPr>
                <w:rFonts w:hAnsi="宋体" w:cs="宋体"/>
                <w:b w:val="0"/>
                <w:bCs/>
                <w:color w:val="auto"/>
                <w:sz w:val="21"/>
              </w:rPr>
            </w:pPr>
            <w:r>
              <w:rPr>
                <w:rFonts w:hint="eastAsia" w:ascii="Segoe UI Symbol" w:hAnsi="Segoe UI Symbol" w:cs="Segoe UI Symbol"/>
                <w:b w:val="0"/>
                <w:bCs/>
                <w:color w:val="auto"/>
                <w:sz w:val="21"/>
                <w:lang w:val="en-US" w:eastAsia="zh-CN"/>
              </w:rPr>
              <w:t>□固定采购代理收费</w:t>
            </w:r>
            <w:r>
              <w:rPr>
                <w:rFonts w:hint="eastAsia" w:ascii="Segoe UI Symbol" w:hAnsi="Segoe UI Symbol" w:cs="Segoe UI Symbol"/>
                <w:b w:val="0"/>
                <w:bCs/>
                <w:color w:val="auto"/>
                <w:sz w:val="21"/>
                <w:u w:val="single"/>
                <w:lang w:val="en-US" w:eastAsia="zh-CN"/>
              </w:rPr>
              <w:t xml:space="preserve">          </w:t>
            </w:r>
            <w:r>
              <w:rPr>
                <w:rFonts w:hint="eastAsia" w:ascii="Segoe UI Symbol" w:hAnsi="Segoe UI Symbol" w:cs="Segoe UI Symbol"/>
                <w:b w:val="0"/>
                <w:bCs/>
                <w:color w:val="auto"/>
                <w:sz w:val="21"/>
              </w:rPr>
              <w:t>。</w:t>
            </w:r>
          </w:p>
          <w:p w14:paraId="34BED42A">
            <w:pPr>
              <w:pStyle w:val="20"/>
              <w:snapToGrid w:val="0"/>
              <w:spacing w:line="400" w:lineRule="exact"/>
              <w:rPr>
                <w:rFonts w:hAnsi="宋体" w:cs="宋体"/>
                <w:color w:val="auto"/>
                <w:sz w:val="21"/>
              </w:rPr>
            </w:pPr>
            <w:r>
              <w:rPr>
                <w:rFonts w:hint="eastAsia" w:hAnsi="宋体" w:cs="宋体"/>
                <w:color w:val="auto"/>
                <w:sz w:val="21"/>
              </w:rPr>
              <w:t>3</w:t>
            </w:r>
            <w:r>
              <w:rPr>
                <w:rFonts w:hAnsi="宋体" w:cs="宋体"/>
                <w:color w:val="auto"/>
                <w:sz w:val="21"/>
              </w:rPr>
              <w:t>.</w:t>
            </w:r>
            <w:r>
              <w:rPr>
                <w:rFonts w:hint="eastAsia" w:hAnsi="宋体" w:cs="宋体"/>
                <w:color w:val="auto"/>
                <w:sz w:val="21"/>
              </w:rPr>
              <w:t>代理机构银行账户信息如下：</w:t>
            </w:r>
          </w:p>
          <w:p w14:paraId="33E89676">
            <w:pPr>
              <w:pStyle w:val="20"/>
              <w:snapToGrid w:val="0"/>
              <w:spacing w:line="400" w:lineRule="exact"/>
              <w:rPr>
                <w:rFonts w:hAnsi="宋体" w:cs="宋体"/>
                <w:color w:val="auto"/>
                <w:sz w:val="21"/>
              </w:rPr>
            </w:pPr>
            <w:r>
              <w:rPr>
                <w:rFonts w:hint="eastAsia" w:hAnsi="宋体" w:cs="宋体"/>
                <w:color w:val="auto"/>
                <w:sz w:val="21"/>
              </w:rPr>
              <w:t>账户名称：</w:t>
            </w:r>
            <w:r>
              <w:rPr>
                <w:rFonts w:hint="eastAsia" w:ascii="宋体" w:hAnsi="宋体" w:cs="宋体"/>
                <w:color w:val="auto"/>
                <w:kern w:val="0"/>
                <w:szCs w:val="21"/>
              </w:rPr>
              <w:t>广西合盛工程咨询有限公司</w:t>
            </w:r>
          </w:p>
          <w:p w14:paraId="2E867C8C">
            <w:pPr>
              <w:pStyle w:val="20"/>
              <w:snapToGrid w:val="0"/>
              <w:spacing w:line="400" w:lineRule="exact"/>
              <w:rPr>
                <w:rFonts w:hAnsi="宋体" w:cs="宋体"/>
                <w:color w:val="auto"/>
                <w:sz w:val="21"/>
              </w:rPr>
            </w:pPr>
            <w:r>
              <w:rPr>
                <w:rFonts w:hint="eastAsia" w:hAnsi="宋体" w:cs="宋体"/>
                <w:color w:val="auto"/>
                <w:sz w:val="21"/>
              </w:rPr>
              <w:t>开户银行：</w:t>
            </w:r>
            <w:r>
              <w:rPr>
                <w:rFonts w:hint="eastAsia" w:ascii="宋体" w:hAnsi="宋体" w:cs="宋体"/>
                <w:color w:val="auto"/>
                <w:kern w:val="0"/>
                <w:szCs w:val="21"/>
              </w:rPr>
              <w:t>中国银行股份有限公司</w:t>
            </w:r>
            <w:r>
              <w:rPr>
                <w:rFonts w:hint="eastAsia" w:ascii="宋体" w:hAnsi="宋体" w:cs="宋体"/>
                <w:color w:val="auto"/>
                <w:kern w:val="0"/>
                <w:szCs w:val="21"/>
                <w:lang w:val="zh-CN"/>
              </w:rPr>
              <w:t>南宁市青秀路支行</w:t>
            </w:r>
          </w:p>
          <w:p w14:paraId="78E3158C">
            <w:pPr>
              <w:pStyle w:val="20"/>
              <w:snapToGrid w:val="0"/>
              <w:spacing w:line="400" w:lineRule="exact"/>
              <w:rPr>
                <w:rFonts w:hAnsi="宋体" w:cs="宋体"/>
                <w:color w:val="auto"/>
                <w:sz w:val="21"/>
              </w:rPr>
            </w:pPr>
            <w:r>
              <w:rPr>
                <w:rFonts w:hint="eastAsia" w:hAnsi="宋体" w:cs="宋体"/>
                <w:color w:val="auto"/>
                <w:sz w:val="21"/>
              </w:rPr>
              <w:t>银行账号：</w:t>
            </w:r>
            <w:r>
              <w:rPr>
                <w:rFonts w:hint="eastAsia" w:ascii="宋体" w:hAnsi="宋体" w:cs="宋体"/>
                <w:color w:val="auto"/>
                <w:kern w:val="0"/>
                <w:szCs w:val="21"/>
              </w:rPr>
              <w:t>104611010308</w:t>
            </w:r>
          </w:p>
        </w:tc>
      </w:tr>
      <w:tr w14:paraId="42BA1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37747726">
            <w:pPr>
              <w:snapToGrid w:val="0"/>
              <w:spacing w:line="400" w:lineRule="exact"/>
              <w:jc w:val="center"/>
              <w:rPr>
                <w:rFonts w:ascii="宋体" w:hAnsi="宋体"/>
                <w:color w:val="auto"/>
                <w:szCs w:val="21"/>
              </w:rPr>
            </w:pPr>
            <w:r>
              <w:rPr>
                <w:rFonts w:ascii="宋体" w:hAnsi="宋体"/>
                <w:color w:val="auto"/>
                <w:szCs w:val="21"/>
              </w:rPr>
              <w:t>40.1</w:t>
            </w:r>
          </w:p>
        </w:tc>
        <w:tc>
          <w:tcPr>
            <w:tcW w:w="8175" w:type="dxa"/>
            <w:tcBorders>
              <w:top w:val="single" w:color="auto" w:sz="4" w:space="0"/>
              <w:left w:val="single" w:color="auto" w:sz="4" w:space="0"/>
              <w:bottom w:val="single" w:color="auto" w:sz="4" w:space="0"/>
              <w:right w:val="single" w:color="auto" w:sz="4" w:space="0"/>
            </w:tcBorders>
            <w:vAlign w:val="center"/>
          </w:tcPr>
          <w:p w14:paraId="14BC877D">
            <w:pPr>
              <w:snapToGrid w:val="0"/>
              <w:spacing w:line="400" w:lineRule="exact"/>
              <w:rPr>
                <w:rFonts w:ascii="宋体" w:hAnsi="宋体"/>
                <w:color w:val="auto"/>
                <w:szCs w:val="21"/>
              </w:rPr>
            </w:pPr>
            <w:r>
              <w:rPr>
                <w:rFonts w:hint="eastAsia" w:ascii="宋体" w:hAnsi="宋体"/>
                <w:color w:val="auto"/>
                <w:szCs w:val="21"/>
              </w:rPr>
              <w:t>解释：</w:t>
            </w:r>
            <w:r>
              <w:rPr>
                <w:rFonts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ascii="宋体" w:hAnsi="宋体"/>
                <w:color w:val="auto"/>
                <w:szCs w:val="21"/>
              </w:rPr>
              <w:t>、招标公告、</w:t>
            </w:r>
            <w:r>
              <w:rPr>
                <w:rFonts w:hint="eastAsia" w:ascii="宋体" w:hAnsi="宋体"/>
                <w:color w:val="auto"/>
                <w:szCs w:val="21"/>
              </w:rPr>
              <w:t>采购需求、</w:t>
            </w:r>
            <w:r>
              <w:rPr>
                <w:rFonts w:ascii="宋体" w:hAnsi="宋体"/>
                <w:color w:val="auto"/>
                <w:szCs w:val="21"/>
              </w:rPr>
              <w:t>投标人须知、</w:t>
            </w:r>
            <w:r>
              <w:rPr>
                <w:rFonts w:hint="eastAsia" w:ascii="宋体" w:hAnsi="宋体"/>
                <w:color w:val="auto"/>
                <w:szCs w:val="21"/>
              </w:rPr>
              <w:t>评标方法及评标标准</w:t>
            </w:r>
            <w:r>
              <w:rPr>
                <w:rFonts w:ascii="宋体" w:hAnsi="宋体"/>
                <w:color w:val="auto"/>
                <w:szCs w:val="21"/>
              </w:rPr>
              <w:t>、</w:t>
            </w:r>
            <w:r>
              <w:rPr>
                <w:rFonts w:hint="eastAsia" w:ascii="宋体" w:hAnsi="宋体"/>
                <w:color w:val="auto"/>
                <w:szCs w:val="21"/>
              </w:rPr>
              <w:t>拟签订的合同文本、</w:t>
            </w:r>
            <w:r>
              <w:rPr>
                <w:rFonts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ascii="宋体" w:hAnsi="宋体"/>
                <w:color w:val="auto"/>
                <w:szCs w:val="21"/>
              </w:rPr>
              <w:t>与同步更新的招标文件不一致时以</w:t>
            </w:r>
            <w:r>
              <w:rPr>
                <w:rFonts w:hint="eastAsia" w:ascii="宋体" w:hAnsi="宋体"/>
                <w:color w:val="auto"/>
                <w:szCs w:val="21"/>
              </w:rPr>
              <w:t>更正公告（澄清公告）</w:t>
            </w:r>
            <w:r>
              <w:rPr>
                <w:rFonts w:ascii="宋体" w:hAnsi="宋体"/>
                <w:color w:val="auto"/>
                <w:szCs w:val="21"/>
              </w:rPr>
              <w:t>为准。按本款前述规定仍不能形成结论的，由</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或者采购代理机构</w:t>
            </w:r>
            <w:r>
              <w:rPr>
                <w:rFonts w:ascii="宋体" w:hAnsi="宋体"/>
                <w:color w:val="auto"/>
                <w:szCs w:val="21"/>
              </w:rPr>
              <w:t>负责解释。</w:t>
            </w:r>
          </w:p>
        </w:tc>
      </w:tr>
      <w:tr w14:paraId="7DBCB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vAlign w:val="center"/>
          </w:tcPr>
          <w:p w14:paraId="655CAB6D">
            <w:pPr>
              <w:snapToGrid w:val="0"/>
              <w:spacing w:line="400" w:lineRule="exact"/>
              <w:jc w:val="center"/>
              <w:rPr>
                <w:rFonts w:ascii="宋体" w:hAnsi="宋体"/>
                <w:color w:val="auto"/>
                <w:szCs w:val="21"/>
              </w:rPr>
            </w:pPr>
            <w:r>
              <w:rPr>
                <w:rFonts w:ascii="宋体" w:hAnsi="宋体"/>
                <w:color w:val="auto"/>
                <w:szCs w:val="21"/>
              </w:rPr>
              <w:t>40.2</w:t>
            </w:r>
          </w:p>
        </w:tc>
        <w:tc>
          <w:tcPr>
            <w:tcW w:w="8175" w:type="dxa"/>
            <w:tcBorders>
              <w:top w:val="single" w:color="auto" w:sz="4" w:space="0"/>
              <w:left w:val="single" w:color="auto" w:sz="4" w:space="0"/>
              <w:bottom w:val="single" w:color="auto" w:sz="4" w:space="0"/>
              <w:right w:val="single" w:color="auto" w:sz="4" w:space="0"/>
            </w:tcBorders>
            <w:vAlign w:val="center"/>
          </w:tcPr>
          <w:p w14:paraId="0ECB0F96">
            <w:pPr>
              <w:pStyle w:val="20"/>
              <w:snapToGrid w:val="0"/>
              <w:spacing w:line="400" w:lineRule="exact"/>
              <w:rPr>
                <w:rFonts w:hAnsi="宋体" w:cs="宋体"/>
                <w:bCs/>
                <w:color w:val="auto"/>
                <w:sz w:val="21"/>
              </w:rPr>
            </w:pPr>
            <w:r>
              <w:rPr>
                <w:rFonts w:hint="eastAsia" w:hAnsi="宋体" w:cs="宋体"/>
                <w:bCs/>
                <w:color w:val="auto"/>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E4D8AC2">
            <w:pPr>
              <w:pStyle w:val="20"/>
              <w:snapToGrid w:val="0"/>
              <w:spacing w:line="400" w:lineRule="exact"/>
              <w:rPr>
                <w:rFonts w:hAnsi="宋体" w:cs="宋体"/>
                <w:bCs/>
                <w:color w:val="auto"/>
                <w:sz w:val="21"/>
              </w:rPr>
            </w:pPr>
            <w:r>
              <w:rPr>
                <w:rFonts w:hint="eastAsia" w:hAnsi="宋体" w:cs="宋体"/>
                <w:bCs/>
                <w:color w:val="auto"/>
                <w:sz w:val="21"/>
              </w:rPr>
              <w:t>2.本招标文件所称的“</w:t>
            </w:r>
            <w:r>
              <w:rPr>
                <w:rFonts w:hint="eastAsia" w:hAnsi="宋体"/>
                <w:color w:val="auto"/>
                <w:sz w:val="21"/>
              </w:rPr>
              <w:t>电子签章</w:t>
            </w:r>
            <w:r>
              <w:rPr>
                <w:rFonts w:hint="eastAsia" w:hAnsi="宋体" w:cs="宋体"/>
                <w:bCs/>
                <w:color w:val="auto"/>
                <w:sz w:val="21"/>
              </w:rPr>
              <w:t>”、“电子签名”</w:t>
            </w:r>
            <w:r>
              <w:rPr>
                <w:rFonts w:hint="eastAsia" w:hAnsi="宋体"/>
                <w:color w:val="auto"/>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5448CDB6">
            <w:pPr>
              <w:pStyle w:val="20"/>
              <w:snapToGrid w:val="0"/>
              <w:spacing w:line="400" w:lineRule="exact"/>
              <w:rPr>
                <w:rFonts w:hAnsi="宋体" w:cs="宋体"/>
                <w:bCs/>
                <w:color w:val="auto"/>
                <w:sz w:val="21"/>
              </w:rPr>
            </w:pPr>
            <w:r>
              <w:rPr>
                <w:rFonts w:hint="eastAsia" w:hAnsi="宋体" w:cs="宋体"/>
                <w:bCs/>
                <w:color w:val="auto"/>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A92EBCC">
            <w:pPr>
              <w:pStyle w:val="20"/>
              <w:snapToGrid w:val="0"/>
              <w:spacing w:line="400" w:lineRule="exact"/>
              <w:rPr>
                <w:rFonts w:hAnsi="宋体" w:cs="宋体"/>
                <w:bCs/>
                <w:color w:val="auto"/>
                <w:sz w:val="21"/>
              </w:rPr>
            </w:pPr>
            <w:r>
              <w:rPr>
                <w:rFonts w:hint="eastAsia" w:hAnsi="宋体" w:cs="宋体"/>
                <w:bCs/>
                <w:color w:val="auto"/>
                <w:sz w:val="21"/>
              </w:rPr>
              <w:t>4.本招标文件中描述投标人的“签字”是指投标人的法定代表人或者委托代理人亲自在文件规定签字处亲笔写上个人的名字的行为，私章、签字章、印鉴、影印等其他形式均不能代替亲笔签字。</w:t>
            </w:r>
          </w:p>
          <w:p w14:paraId="0E72AA2A">
            <w:pPr>
              <w:spacing w:line="400" w:lineRule="exact"/>
              <w:jc w:val="left"/>
              <w:rPr>
                <w:rFonts w:ascii="宋体" w:hAnsi="宋体"/>
                <w:color w:val="auto"/>
                <w:szCs w:val="21"/>
              </w:rPr>
            </w:pPr>
            <w:r>
              <w:rPr>
                <w:rFonts w:hint="eastAsia" w:ascii="宋体" w:hAnsi="宋体" w:cs="宋体"/>
                <w:bCs/>
                <w:color w:val="auto"/>
                <w:szCs w:val="21"/>
              </w:rPr>
              <w:t>5.</w:t>
            </w:r>
            <w:r>
              <w:rPr>
                <w:rFonts w:hint="eastAsia" w:ascii="宋体" w:hAnsi="宋体" w:cs="宋体"/>
                <w:bCs/>
                <w:color w:val="auto"/>
                <w:kern w:val="0"/>
                <w:szCs w:val="21"/>
              </w:rPr>
              <w:t>本招标文件所称的“以上”“以下”“以内”“届满”，包括本数；所称的“不满”“超过”“以外”，不包括本数。</w:t>
            </w:r>
          </w:p>
        </w:tc>
      </w:tr>
    </w:tbl>
    <w:p w14:paraId="6F4FB045">
      <w:pPr>
        <w:snapToGrid w:val="0"/>
        <w:rPr>
          <w:rFonts w:ascii="宋体" w:hAnsi="宋体"/>
          <w:color w:val="auto"/>
          <w:sz w:val="24"/>
          <w:szCs w:val="20"/>
        </w:rPr>
      </w:pPr>
    </w:p>
    <w:p w14:paraId="3F4C5CEC">
      <w:pPr>
        <w:pStyle w:val="5"/>
        <w:keepNext w:val="0"/>
        <w:keepLines w:val="0"/>
        <w:jc w:val="center"/>
        <w:rPr>
          <w:color w:val="auto"/>
        </w:rPr>
      </w:pPr>
      <w:r>
        <w:rPr>
          <w:color w:val="auto"/>
        </w:rPr>
        <w:br w:type="page"/>
      </w:r>
      <w:r>
        <w:rPr>
          <w:rFonts w:hint="eastAsia"/>
          <w:color w:val="auto"/>
        </w:rPr>
        <w:t>投标人须知正文</w:t>
      </w:r>
    </w:p>
    <w:p w14:paraId="690CE1DC">
      <w:pPr>
        <w:pStyle w:val="5"/>
        <w:keepNext w:val="0"/>
        <w:keepLines w:val="0"/>
        <w:jc w:val="center"/>
        <w:rPr>
          <w:color w:val="auto"/>
        </w:rPr>
      </w:pPr>
      <w:r>
        <w:rPr>
          <w:rFonts w:hint="eastAsia"/>
          <w:color w:val="auto"/>
        </w:rPr>
        <w:t>一、总则</w:t>
      </w:r>
    </w:p>
    <w:p w14:paraId="3D69209C">
      <w:pPr>
        <w:pStyle w:val="7"/>
        <w:keepNext w:val="0"/>
        <w:keepLines w:val="0"/>
        <w:spacing w:before="0" w:after="0" w:line="360" w:lineRule="auto"/>
        <w:ind w:left="420" w:leftChars="200"/>
        <w:rPr>
          <w:rFonts w:ascii="黑体" w:hAnsi="黑体" w:eastAsia="黑体"/>
          <w:color w:val="auto"/>
          <w:sz w:val="24"/>
        </w:rPr>
      </w:pPr>
      <w:bookmarkStart w:id="102" w:name="_Toc254970527"/>
      <w:bookmarkStart w:id="103" w:name="_Toc254970668"/>
      <w:r>
        <w:rPr>
          <w:rFonts w:hint="eastAsia" w:ascii="黑体" w:hAnsi="黑体" w:eastAsia="黑体"/>
          <w:color w:val="auto"/>
          <w:sz w:val="24"/>
        </w:rPr>
        <w:t>1.适用范围</w:t>
      </w:r>
      <w:bookmarkEnd w:id="102"/>
      <w:bookmarkEnd w:id="103"/>
    </w:p>
    <w:p w14:paraId="5841EF2E">
      <w:pPr>
        <w:snapToGrid w:val="0"/>
        <w:spacing w:line="360" w:lineRule="auto"/>
        <w:ind w:firstLine="420" w:firstLineChars="200"/>
        <w:jc w:val="left"/>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869962C">
      <w:pPr>
        <w:snapToGrid w:val="0"/>
        <w:spacing w:line="360" w:lineRule="auto"/>
        <w:ind w:firstLine="420" w:firstLineChars="200"/>
        <w:jc w:val="left"/>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3B7C2F94">
      <w:pPr>
        <w:pStyle w:val="7"/>
        <w:keepNext w:val="0"/>
        <w:keepLines w:val="0"/>
        <w:spacing w:before="0" w:after="0" w:line="360" w:lineRule="auto"/>
        <w:ind w:left="420" w:leftChars="200"/>
        <w:rPr>
          <w:rFonts w:ascii="黑体" w:hAnsi="黑体" w:eastAsia="黑体"/>
          <w:color w:val="auto"/>
          <w:sz w:val="24"/>
        </w:rPr>
      </w:pPr>
      <w:bookmarkStart w:id="104" w:name="_Toc254970528"/>
      <w:bookmarkStart w:id="105" w:name="_Toc254970669"/>
      <w:r>
        <w:rPr>
          <w:rFonts w:hint="eastAsia" w:ascii="黑体" w:hAnsi="黑体" w:eastAsia="黑体"/>
          <w:color w:val="auto"/>
          <w:sz w:val="24"/>
        </w:rPr>
        <w:t>2.定义</w:t>
      </w:r>
      <w:bookmarkEnd w:id="104"/>
      <w:bookmarkEnd w:id="105"/>
    </w:p>
    <w:p w14:paraId="6539D072">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2.1“采购人”是指依法进行政府采购的国家机关、事业单位、团体组织。</w:t>
      </w:r>
    </w:p>
    <w:p w14:paraId="3F1350E2">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2.2“采购代理机构”是指政府采购集中采购机构和集中采购机构以外的采购代理机构。</w:t>
      </w:r>
    </w:p>
    <w:p w14:paraId="107DBDFE">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2.3“供应商”是指向采购人提供货物、工程或者服务的法人、其他组织或者自然人。</w:t>
      </w:r>
    </w:p>
    <w:p w14:paraId="57CDED7C">
      <w:pPr>
        <w:pStyle w:val="8"/>
        <w:spacing w:line="360" w:lineRule="auto"/>
        <w:rPr>
          <w:rFonts w:ascii="宋体" w:hAnsi="宋体"/>
          <w:color w:val="auto"/>
          <w:szCs w:val="21"/>
        </w:rPr>
      </w:pPr>
      <w:r>
        <w:rPr>
          <w:rFonts w:hint="eastAsia" w:ascii="宋体" w:hAnsi="宋体"/>
          <w:color w:val="auto"/>
          <w:szCs w:val="21"/>
        </w:rPr>
        <w:t>2.4“投标人”是指响应招标、参加投标竞争的法人、其他组织或者自然人。</w:t>
      </w:r>
    </w:p>
    <w:p w14:paraId="4063BBA0">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2.5“服务”是指除货物和工程以外的其他政府采购对象。</w:t>
      </w:r>
    </w:p>
    <w:p w14:paraId="3653F9CC">
      <w:pPr>
        <w:pStyle w:val="7"/>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 xml:space="preserve">    2.</w:t>
      </w:r>
      <w:r>
        <w:rPr>
          <w:rFonts w:ascii="宋体" w:hAnsi="宋体"/>
          <w:b w:val="0"/>
          <w:color w:val="auto"/>
          <w:sz w:val="21"/>
          <w:szCs w:val="21"/>
        </w:rPr>
        <w:t>6</w:t>
      </w:r>
      <w:r>
        <w:rPr>
          <w:rFonts w:hint="eastAsia" w:ascii="宋体" w:hAnsi="宋体"/>
          <w:b w:val="0"/>
          <w:color w:val="auto"/>
          <w:sz w:val="21"/>
          <w:szCs w:val="21"/>
        </w:rPr>
        <w:t>“书面形式”是指合同书、信件和数据电文（包括电报、电传、传真、电子数据交换和电子邮件）等可以有形地表现所载内容的形式。</w:t>
      </w:r>
    </w:p>
    <w:p w14:paraId="2E97CCAD">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w:t>
      </w:r>
      <w:r>
        <w:rPr>
          <w:rFonts w:ascii="宋体" w:hAnsi="宋体"/>
          <w:b w:val="0"/>
          <w:color w:val="auto"/>
          <w:sz w:val="21"/>
          <w:szCs w:val="21"/>
        </w:rPr>
        <w:t>7</w:t>
      </w:r>
      <w:r>
        <w:rPr>
          <w:rFonts w:hint="eastAsia" w:ascii="宋体" w:hAnsi="宋体"/>
          <w:b w:val="0"/>
          <w:color w:val="auto"/>
          <w:sz w:val="21"/>
          <w:szCs w:val="21"/>
        </w:rPr>
        <w:t>“实质性要求”是指招标文件中已经指明不满足则投标无效的条款，或者不能负偏离的条款，或者采购需求中带“▲”的条款。</w:t>
      </w:r>
    </w:p>
    <w:p w14:paraId="110CA361">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w:t>
      </w:r>
      <w:r>
        <w:rPr>
          <w:rFonts w:ascii="宋体" w:hAnsi="宋体"/>
          <w:color w:val="auto"/>
          <w:szCs w:val="21"/>
        </w:rPr>
        <w:t>8</w:t>
      </w:r>
      <w:r>
        <w:rPr>
          <w:rFonts w:hint="eastAsia" w:ascii="宋体" w:hAnsi="宋体" w:cs="宋体"/>
          <w:color w:val="auto"/>
          <w:szCs w:val="21"/>
        </w:rPr>
        <w:t>“正偏离”，是指投标文件对招标文件“采购需求”中有关条款作出的响应优于条款要求并有利于采购人的情形。</w:t>
      </w:r>
    </w:p>
    <w:p w14:paraId="2EC1A37F">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2.9</w:t>
      </w:r>
      <w:r>
        <w:rPr>
          <w:rFonts w:hint="eastAsia" w:ascii="宋体" w:hAnsi="宋体" w:cs="宋体"/>
          <w:color w:val="auto"/>
          <w:szCs w:val="21"/>
        </w:rPr>
        <w:t>“负偏离”，是指投标文件对招标文件“采购需求”中有关条款作出的响应不满足条款要求，导致采购人要求不能得到满足的情形。</w:t>
      </w:r>
    </w:p>
    <w:p w14:paraId="7AAFDACD">
      <w:pPr>
        <w:snapToGrid w:val="0"/>
        <w:spacing w:line="360" w:lineRule="auto"/>
        <w:ind w:firstLine="420" w:firstLineChars="200"/>
        <w:jc w:val="left"/>
        <w:rPr>
          <w:rFonts w:ascii="宋体" w:hAnsi="宋体"/>
          <w:color w:val="auto"/>
          <w:szCs w:val="21"/>
        </w:rPr>
      </w:pPr>
      <w:r>
        <w:rPr>
          <w:rFonts w:hint="eastAsia" w:ascii="宋体" w:hAnsi="宋体"/>
          <w:color w:val="auto"/>
          <w:szCs w:val="21"/>
        </w:rPr>
        <w:t>2.1</w:t>
      </w:r>
      <w:r>
        <w:rPr>
          <w:rFonts w:ascii="宋体" w:hAnsi="宋体"/>
          <w:color w:val="auto"/>
          <w:szCs w:val="21"/>
        </w:rPr>
        <w:t>0</w:t>
      </w:r>
      <w:r>
        <w:rPr>
          <w:rFonts w:hint="eastAsia" w:ascii="宋体" w:hAnsi="宋体" w:cs="宋体"/>
          <w:color w:val="auto"/>
          <w:szCs w:val="21"/>
        </w:rPr>
        <w:t>“允许负偏离的条款”是指采购需求中的不属于“实质性要求”的条款。</w:t>
      </w:r>
      <w:bookmarkStart w:id="106" w:name="_Toc254970670"/>
      <w:bookmarkStart w:id="107" w:name="_Toc254970529"/>
    </w:p>
    <w:p w14:paraId="0BFC5627">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bookmarkEnd w:id="106"/>
      <w:bookmarkEnd w:id="107"/>
      <w:r>
        <w:rPr>
          <w:rFonts w:hint="eastAsia" w:ascii="黑体" w:hAnsi="黑体" w:eastAsia="黑体"/>
          <w:color w:val="auto"/>
          <w:sz w:val="24"/>
        </w:rPr>
        <w:t>投标人的资格要求</w:t>
      </w:r>
    </w:p>
    <w:p w14:paraId="1512BE33">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投标人的资格要求详见“投标人须知前附表”。</w:t>
      </w:r>
    </w:p>
    <w:p w14:paraId="4F18C7D5">
      <w:pPr>
        <w:pStyle w:val="7"/>
        <w:keepNext w:val="0"/>
        <w:keepLines w:val="0"/>
        <w:spacing w:before="0" w:after="0" w:line="360" w:lineRule="auto"/>
        <w:ind w:left="420" w:leftChars="200"/>
        <w:rPr>
          <w:rFonts w:ascii="黑体" w:hAnsi="黑体" w:eastAsia="黑体"/>
          <w:color w:val="auto"/>
          <w:sz w:val="24"/>
        </w:rPr>
      </w:pPr>
      <w:bookmarkStart w:id="108" w:name="_Toc254970530"/>
      <w:bookmarkStart w:id="109" w:name="_Toc254970671"/>
      <w:r>
        <w:rPr>
          <w:rFonts w:hint="eastAsia" w:ascii="黑体" w:hAnsi="黑体" w:eastAsia="黑体"/>
          <w:color w:val="auto"/>
          <w:sz w:val="24"/>
        </w:rPr>
        <w:t>4.投标委托</w:t>
      </w:r>
      <w:bookmarkEnd w:id="108"/>
      <w:bookmarkEnd w:id="109"/>
    </w:p>
    <w:p w14:paraId="478A6FC4">
      <w:pPr>
        <w:snapToGrid w:val="0"/>
        <w:spacing w:line="360" w:lineRule="auto"/>
        <w:ind w:firstLine="420" w:firstLineChars="200"/>
        <w:jc w:val="left"/>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投标人代表参加投标活动过程中必须携带个人有效身份证件。如投标人代表不是法定代表人，须持有授权委托书（按第六章要求格式填写）。</w:t>
      </w:r>
    </w:p>
    <w:p w14:paraId="1C901992">
      <w:pPr>
        <w:pStyle w:val="7"/>
        <w:keepNext w:val="0"/>
        <w:keepLines w:val="0"/>
        <w:spacing w:before="0" w:after="0" w:line="360" w:lineRule="auto"/>
        <w:ind w:left="420" w:leftChars="200"/>
        <w:rPr>
          <w:rFonts w:ascii="黑体" w:hAnsi="黑体" w:eastAsia="黑体"/>
          <w:color w:val="auto"/>
          <w:sz w:val="24"/>
        </w:rPr>
      </w:pPr>
      <w:bookmarkStart w:id="110" w:name="_5.投标费用"/>
      <w:bookmarkEnd w:id="110"/>
      <w:bookmarkStart w:id="111" w:name="_Toc254970672"/>
      <w:bookmarkStart w:id="112" w:name="_Toc254970531"/>
      <w:r>
        <w:rPr>
          <w:rFonts w:hint="eastAsia" w:ascii="黑体" w:hAnsi="黑体" w:eastAsia="黑体"/>
          <w:color w:val="auto"/>
          <w:sz w:val="24"/>
        </w:rPr>
        <w:t>5.投标费用</w:t>
      </w:r>
      <w:bookmarkEnd w:id="111"/>
      <w:bookmarkEnd w:id="112"/>
    </w:p>
    <w:p w14:paraId="257746DC">
      <w:pPr>
        <w:snapToGrid w:val="0"/>
        <w:spacing w:line="360" w:lineRule="auto"/>
        <w:ind w:firstLine="420" w:firstLineChars="200"/>
        <w:jc w:val="left"/>
        <w:rPr>
          <w:rFonts w:ascii="宋体" w:hAnsi="宋体"/>
          <w:color w:val="auto"/>
          <w:szCs w:val="21"/>
        </w:rPr>
      </w:pPr>
      <w:r>
        <w:rPr>
          <w:rFonts w:hint="eastAsia" w:ascii="宋体" w:hAnsi="宋体" w:cs="宋体"/>
          <w:color w:val="auto"/>
          <w:szCs w:val="21"/>
        </w:rPr>
        <w:t>投标费用：投标人应承担参与本次采购活动有关的所有费用，包括但不限于获取招标文件、勘查现场、编制和提交投标文件、参加澄清说明、签订合同等，不论投标结果如何，均应自行承担。</w:t>
      </w:r>
    </w:p>
    <w:p w14:paraId="789C8A2E">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6.联合体投标</w:t>
      </w:r>
    </w:p>
    <w:p w14:paraId="7F20734E">
      <w:pPr>
        <w:snapToGrid w:val="0"/>
        <w:spacing w:line="360" w:lineRule="auto"/>
        <w:ind w:firstLine="420" w:firstLineChars="200"/>
        <w:jc w:val="left"/>
        <w:rPr>
          <w:rFonts w:ascii="宋体" w:hAnsi="宋体"/>
          <w:color w:val="auto"/>
          <w:szCs w:val="21"/>
        </w:rPr>
      </w:pPr>
      <w:r>
        <w:rPr>
          <w:rFonts w:hint="eastAsia" w:ascii="宋体" w:hAnsi="宋体"/>
          <w:color w:val="auto"/>
          <w:szCs w:val="21"/>
        </w:rPr>
        <w:t>6.1本项目是否接受联合体投标，详见“投标人须知前附表”。</w:t>
      </w:r>
    </w:p>
    <w:p w14:paraId="3D3ABD1E">
      <w:pPr>
        <w:snapToGrid w:val="0"/>
        <w:spacing w:line="360" w:lineRule="auto"/>
        <w:ind w:firstLine="420" w:firstLineChars="200"/>
        <w:jc w:val="left"/>
        <w:rPr>
          <w:rFonts w:ascii="宋体" w:hAnsi="宋体"/>
          <w:bCs/>
          <w:color w:val="auto"/>
          <w:szCs w:val="21"/>
        </w:rPr>
      </w:pPr>
      <w:r>
        <w:rPr>
          <w:rFonts w:hint="eastAsia" w:ascii="宋体" w:hAnsi="宋体"/>
          <w:bCs/>
          <w:color w:val="auto"/>
          <w:szCs w:val="21"/>
        </w:rPr>
        <w:t>6.2如接受联合体投标，联合体投标要求详见“投标人须知前附表”。</w:t>
      </w:r>
    </w:p>
    <w:p w14:paraId="25629C85">
      <w:pPr>
        <w:snapToGrid w:val="0"/>
        <w:spacing w:line="360" w:lineRule="auto"/>
        <w:ind w:firstLine="420" w:firstLineChars="200"/>
        <w:jc w:val="left"/>
        <w:rPr>
          <w:rFonts w:ascii="宋体" w:hAnsi="宋体"/>
          <w:color w:val="auto"/>
          <w:szCs w:val="21"/>
        </w:rPr>
      </w:pPr>
      <w:r>
        <w:rPr>
          <w:rFonts w:hint="eastAsia" w:ascii="宋体" w:hAnsi="宋体"/>
          <w:bCs/>
          <w:color w:val="auto"/>
          <w:szCs w:val="21"/>
        </w:rPr>
        <w:t>6.3</w:t>
      </w:r>
      <w:r>
        <w:rPr>
          <w:rFonts w:hint="eastAsia" w:ascii="宋体" w:hAnsi="宋体"/>
          <w:color w:val="auto"/>
          <w:szCs w:val="21"/>
        </w:rPr>
        <w:t>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C835824">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 xml:space="preserve">7.转包与分包             </w:t>
      </w:r>
    </w:p>
    <w:p w14:paraId="7EB1A3C0">
      <w:pPr>
        <w:pStyle w:val="7"/>
        <w:keepNext w:val="0"/>
        <w:keepLines w:val="0"/>
        <w:spacing w:before="0" w:after="0" w:line="360" w:lineRule="auto"/>
        <w:ind w:left="420" w:leftChars="200"/>
        <w:rPr>
          <w:rFonts w:ascii="宋体" w:hAnsi="宋体"/>
          <w:b w:val="0"/>
          <w:color w:val="auto"/>
          <w:sz w:val="21"/>
          <w:szCs w:val="21"/>
        </w:rPr>
      </w:pPr>
      <w:bookmarkStart w:id="113" w:name="_Toc254970532"/>
      <w:bookmarkStart w:id="114" w:name="_Toc254970673"/>
      <w:r>
        <w:rPr>
          <w:rFonts w:hint="eastAsia" w:ascii="宋体" w:hAnsi="宋体"/>
          <w:b w:val="0"/>
          <w:color w:val="auto"/>
          <w:sz w:val="21"/>
          <w:szCs w:val="21"/>
        </w:rPr>
        <w:t>7.1本项目不允许转包（另有约定的除外）。</w:t>
      </w:r>
    </w:p>
    <w:p w14:paraId="1B0A5F17">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BBB603A">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E3F0E9C">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8.特别说明</w:t>
      </w:r>
      <w:bookmarkEnd w:id="113"/>
      <w:bookmarkEnd w:id="114"/>
    </w:p>
    <w:p w14:paraId="74CAED91">
      <w:pPr>
        <w:pStyle w:val="7"/>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8.1如果本招标文件要求提供投标人或制造商的资格、信誉、荣誉、业绩与企业认证等材料的，资格、信誉、荣誉、业绩与企业认证等必须为投标人或者制造商所拥有或自身获得 。</w:t>
      </w:r>
    </w:p>
    <w:p w14:paraId="3579FEDA">
      <w:pPr>
        <w:pStyle w:val="7"/>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8.2投标人应仔细阅读招标文件的所有内容，按照招标文件的要求提交投标文件，并对所提供的全部资料的真实性承担法律责任。</w:t>
      </w:r>
    </w:p>
    <w:p w14:paraId="4840F647">
      <w:pPr>
        <w:pStyle w:val="7"/>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35B8E7FC">
      <w:pPr>
        <w:pStyle w:val="7"/>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9.</w:t>
      </w:r>
      <w:r>
        <w:rPr>
          <w:rFonts w:hint="eastAsia" w:ascii="黑体" w:hAnsi="黑体" w:eastAsia="黑体"/>
          <w:color w:val="auto"/>
          <w:sz w:val="24"/>
        </w:rPr>
        <w:t>回避与串通投标</w:t>
      </w:r>
    </w:p>
    <w:p w14:paraId="7A262E74">
      <w:pPr>
        <w:pStyle w:val="7"/>
        <w:keepNext w:val="0"/>
        <w:keepLines w:val="0"/>
        <w:spacing w:before="0" w:after="0" w:line="360" w:lineRule="auto"/>
        <w:ind w:firstLine="367" w:firstLineChars="175"/>
        <w:rPr>
          <w:rFonts w:ascii="宋体" w:hAnsi="宋体"/>
          <w:b w:val="0"/>
          <w:color w:val="auto"/>
          <w:sz w:val="21"/>
          <w:szCs w:val="21"/>
        </w:rPr>
      </w:pPr>
      <w:r>
        <w:rPr>
          <w:rFonts w:hint="eastAsia" w:ascii="宋体" w:hAnsi="宋体"/>
          <w:b w:val="0"/>
          <w:color w:val="auto"/>
          <w:sz w:val="21"/>
          <w:szCs w:val="21"/>
        </w:rPr>
        <w:t>9</w:t>
      </w:r>
      <w:r>
        <w:rPr>
          <w:rFonts w:ascii="宋体" w:hAnsi="宋体"/>
          <w:b w:val="0"/>
          <w:color w:val="auto"/>
          <w:sz w:val="21"/>
          <w:szCs w:val="21"/>
        </w:rPr>
        <w:t>.1在政府采购活动中，采购人员及相关人员与</w:t>
      </w:r>
      <w:r>
        <w:rPr>
          <w:rFonts w:hint="eastAsia" w:ascii="宋体" w:hAnsi="宋体"/>
          <w:b w:val="0"/>
          <w:color w:val="auto"/>
          <w:sz w:val="21"/>
          <w:szCs w:val="21"/>
        </w:rPr>
        <w:t>供应商</w:t>
      </w:r>
      <w:r>
        <w:rPr>
          <w:rFonts w:ascii="宋体" w:hAnsi="宋体"/>
          <w:b w:val="0"/>
          <w:color w:val="auto"/>
          <w:sz w:val="21"/>
          <w:szCs w:val="21"/>
        </w:rPr>
        <w:t>有下列利害关系之一的，应当回避：</w:t>
      </w:r>
    </w:p>
    <w:p w14:paraId="5EC7B419">
      <w:pPr>
        <w:pStyle w:val="20"/>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1</w:t>
      </w:r>
      <w:r>
        <w:rPr>
          <w:rFonts w:hAnsi="宋体"/>
          <w:color w:val="auto"/>
          <w:kern w:val="2"/>
          <w:sz w:val="21"/>
        </w:rPr>
        <w:t>）参加采购活动前3年内与</w:t>
      </w:r>
      <w:r>
        <w:rPr>
          <w:rFonts w:hint="eastAsia" w:hAnsi="宋体"/>
          <w:color w:val="auto"/>
          <w:kern w:val="2"/>
          <w:sz w:val="21"/>
        </w:rPr>
        <w:t>供应商</w:t>
      </w:r>
      <w:r>
        <w:rPr>
          <w:rFonts w:hAnsi="宋体"/>
          <w:color w:val="auto"/>
          <w:kern w:val="2"/>
          <w:sz w:val="21"/>
        </w:rPr>
        <w:t>存在劳动关系；</w:t>
      </w:r>
    </w:p>
    <w:p w14:paraId="331C4C7F">
      <w:pPr>
        <w:pStyle w:val="20"/>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2</w:t>
      </w:r>
      <w:r>
        <w:rPr>
          <w:rFonts w:hAnsi="宋体"/>
          <w:color w:val="auto"/>
          <w:kern w:val="2"/>
          <w:sz w:val="21"/>
        </w:rPr>
        <w:t>）参加采购活动前3年内担任</w:t>
      </w:r>
      <w:r>
        <w:rPr>
          <w:rFonts w:hint="eastAsia" w:hAnsi="宋体"/>
          <w:color w:val="auto"/>
          <w:kern w:val="2"/>
          <w:sz w:val="21"/>
        </w:rPr>
        <w:t>供应商</w:t>
      </w:r>
      <w:r>
        <w:rPr>
          <w:rFonts w:hAnsi="宋体"/>
          <w:color w:val="auto"/>
          <w:kern w:val="2"/>
          <w:sz w:val="21"/>
        </w:rPr>
        <w:t>的董事、监事；</w:t>
      </w:r>
    </w:p>
    <w:p w14:paraId="308806B1">
      <w:pPr>
        <w:pStyle w:val="20"/>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3</w:t>
      </w:r>
      <w:r>
        <w:rPr>
          <w:rFonts w:hAnsi="宋体"/>
          <w:color w:val="auto"/>
          <w:kern w:val="2"/>
          <w:sz w:val="21"/>
        </w:rPr>
        <w:t>）参加采购活动前3年内是</w:t>
      </w:r>
      <w:r>
        <w:rPr>
          <w:rFonts w:hint="eastAsia" w:hAnsi="宋体"/>
          <w:color w:val="auto"/>
          <w:kern w:val="2"/>
          <w:sz w:val="21"/>
        </w:rPr>
        <w:t>供应商</w:t>
      </w:r>
      <w:r>
        <w:rPr>
          <w:rFonts w:hAnsi="宋体"/>
          <w:color w:val="auto"/>
          <w:kern w:val="2"/>
          <w:sz w:val="21"/>
        </w:rPr>
        <w:t>的控股股东或者实际控制人；</w:t>
      </w:r>
    </w:p>
    <w:p w14:paraId="70F2B3DD">
      <w:pPr>
        <w:pStyle w:val="20"/>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4</w:t>
      </w:r>
      <w:r>
        <w:rPr>
          <w:rFonts w:hAnsi="宋体"/>
          <w:color w:val="auto"/>
          <w:kern w:val="2"/>
          <w:sz w:val="21"/>
        </w:rPr>
        <w:t>）与</w:t>
      </w:r>
      <w:r>
        <w:rPr>
          <w:rFonts w:hint="eastAsia" w:hAnsi="宋体"/>
          <w:color w:val="auto"/>
          <w:kern w:val="2"/>
          <w:sz w:val="21"/>
        </w:rPr>
        <w:t>供应商</w:t>
      </w:r>
      <w:r>
        <w:rPr>
          <w:rFonts w:hAnsi="宋体"/>
          <w:color w:val="auto"/>
          <w:kern w:val="2"/>
          <w:sz w:val="21"/>
        </w:rPr>
        <w:t>的法定代表人或者负责人有夫妻、直系血亲、三代以内旁系血亲或者近姻亲关系；</w:t>
      </w:r>
    </w:p>
    <w:p w14:paraId="76146548">
      <w:pPr>
        <w:pStyle w:val="20"/>
        <w:snapToGrid w:val="0"/>
        <w:spacing w:line="360" w:lineRule="auto"/>
        <w:ind w:left="2" w:leftChars="1" w:firstLine="420" w:firstLineChars="200"/>
        <w:rPr>
          <w:rFonts w:hAnsi="宋体"/>
          <w:color w:val="auto"/>
          <w:kern w:val="2"/>
          <w:sz w:val="21"/>
        </w:rPr>
      </w:pPr>
      <w:r>
        <w:rPr>
          <w:rFonts w:hAnsi="宋体"/>
          <w:color w:val="auto"/>
          <w:kern w:val="2"/>
          <w:sz w:val="21"/>
        </w:rPr>
        <w:t>（</w:t>
      </w:r>
      <w:r>
        <w:rPr>
          <w:rFonts w:hint="eastAsia" w:hAnsi="宋体"/>
          <w:color w:val="auto"/>
          <w:kern w:val="2"/>
          <w:sz w:val="21"/>
        </w:rPr>
        <w:t>5</w:t>
      </w:r>
      <w:r>
        <w:rPr>
          <w:rFonts w:hAnsi="宋体"/>
          <w:color w:val="auto"/>
          <w:kern w:val="2"/>
          <w:sz w:val="21"/>
        </w:rPr>
        <w:t>）与</w:t>
      </w:r>
      <w:r>
        <w:rPr>
          <w:rFonts w:hint="eastAsia" w:hAnsi="宋体"/>
          <w:color w:val="auto"/>
          <w:kern w:val="2"/>
          <w:sz w:val="21"/>
        </w:rPr>
        <w:t>供应商</w:t>
      </w:r>
      <w:r>
        <w:rPr>
          <w:rFonts w:hAnsi="宋体"/>
          <w:color w:val="auto"/>
          <w:kern w:val="2"/>
          <w:sz w:val="21"/>
        </w:rPr>
        <w:t>有其他可能影响政府采购活动公平、公正进行的关系。</w:t>
      </w:r>
    </w:p>
    <w:p w14:paraId="303A2CC0">
      <w:pPr>
        <w:pStyle w:val="20"/>
        <w:snapToGrid w:val="0"/>
        <w:spacing w:line="360" w:lineRule="auto"/>
        <w:ind w:left="2" w:leftChars="1" w:firstLine="420" w:firstLineChars="200"/>
        <w:rPr>
          <w:rFonts w:hAnsi="宋体"/>
          <w:color w:val="auto"/>
          <w:kern w:val="2"/>
          <w:sz w:val="21"/>
        </w:rPr>
      </w:pPr>
      <w:r>
        <w:rPr>
          <w:rFonts w:hint="eastAsia" w:hAnsi="宋体"/>
          <w:color w:val="auto"/>
          <w:kern w:val="2"/>
          <w:sz w:val="21"/>
        </w:rPr>
        <w:t>供应商</w:t>
      </w:r>
      <w:r>
        <w:rPr>
          <w:rFonts w:hAnsi="宋体"/>
          <w:color w:val="auto"/>
          <w:kern w:val="2"/>
          <w:sz w:val="21"/>
        </w:rPr>
        <w:t>认为采购人员及相关人员与其他</w:t>
      </w:r>
      <w:r>
        <w:rPr>
          <w:rFonts w:hint="eastAsia" w:hAnsi="宋体"/>
          <w:color w:val="auto"/>
          <w:kern w:val="2"/>
          <w:sz w:val="21"/>
        </w:rPr>
        <w:t>供应商</w:t>
      </w:r>
      <w:r>
        <w:rPr>
          <w:rFonts w:hAnsi="宋体"/>
          <w:color w:val="auto"/>
          <w:kern w:val="2"/>
          <w:sz w:val="21"/>
        </w:rPr>
        <w:t>有利害关系的，可以向采购人或者采购代理机构书面提出回避申请，并说明理由。采购人或者采购代理机构应当及时询问被申请回避人员，有利害关系的被申请回避人员应当回避。</w:t>
      </w:r>
    </w:p>
    <w:p w14:paraId="4556E9B5">
      <w:pPr>
        <w:pStyle w:val="7"/>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9.2</w:t>
      </w:r>
      <w:r>
        <w:rPr>
          <w:rFonts w:hint="eastAsia" w:ascii="宋体" w:hAnsi="宋体"/>
          <w:color w:val="auto"/>
          <w:sz w:val="21"/>
          <w:szCs w:val="21"/>
        </w:rPr>
        <w:t>有下列情形之一的视为投标人相互串通投标，投标文件将被视为无效：</w:t>
      </w:r>
    </w:p>
    <w:p w14:paraId="35D5FAE2">
      <w:pPr>
        <w:pStyle w:val="20"/>
        <w:snapToGrid w:val="0"/>
        <w:spacing w:line="360" w:lineRule="auto"/>
        <w:ind w:left="2" w:leftChars="1" w:firstLine="422" w:firstLineChars="200"/>
        <w:rPr>
          <w:rFonts w:hAnsi="宋体"/>
          <w:b/>
          <w:color w:val="auto"/>
          <w:kern w:val="2"/>
          <w:sz w:val="21"/>
        </w:rPr>
      </w:pPr>
      <w:r>
        <w:rPr>
          <w:rFonts w:hint="eastAsia" w:hAnsi="宋体"/>
          <w:b/>
          <w:color w:val="auto"/>
          <w:kern w:val="2"/>
          <w:sz w:val="21"/>
        </w:rPr>
        <w:t xml:space="preserve">（1）不同投标人的投标文件由同一单位或者个人编制； </w:t>
      </w:r>
    </w:p>
    <w:p w14:paraId="6FC2775F">
      <w:pPr>
        <w:pStyle w:val="20"/>
        <w:snapToGrid w:val="0"/>
        <w:spacing w:line="360" w:lineRule="auto"/>
        <w:ind w:left="2" w:leftChars="1" w:firstLine="422" w:firstLineChars="200"/>
        <w:rPr>
          <w:rFonts w:hAnsi="宋体"/>
          <w:b/>
          <w:color w:val="auto"/>
          <w:kern w:val="2"/>
          <w:sz w:val="21"/>
        </w:rPr>
      </w:pPr>
      <w:r>
        <w:rPr>
          <w:rFonts w:hint="eastAsia" w:hAnsi="宋体"/>
          <w:b/>
          <w:color w:val="auto"/>
          <w:kern w:val="2"/>
          <w:sz w:val="21"/>
        </w:rPr>
        <w:t>（2）不同投标人委托同一单位或者个人办理投标事宜；</w:t>
      </w:r>
    </w:p>
    <w:p w14:paraId="2ED0866C">
      <w:pPr>
        <w:pStyle w:val="20"/>
        <w:snapToGrid w:val="0"/>
        <w:spacing w:line="360" w:lineRule="auto"/>
        <w:ind w:left="2" w:leftChars="1" w:firstLine="422" w:firstLineChars="200"/>
        <w:rPr>
          <w:rFonts w:hAnsi="宋体"/>
          <w:b/>
          <w:color w:val="auto"/>
          <w:kern w:val="2"/>
          <w:sz w:val="21"/>
        </w:rPr>
      </w:pPr>
      <w:r>
        <w:rPr>
          <w:rFonts w:hint="eastAsia" w:hAnsi="宋体"/>
          <w:b/>
          <w:color w:val="auto"/>
          <w:kern w:val="2"/>
          <w:sz w:val="21"/>
        </w:rPr>
        <w:t>（3）不同的投标人的投标文件载明的项目管理员为同一个人；</w:t>
      </w:r>
    </w:p>
    <w:p w14:paraId="3CEA0CC3">
      <w:pPr>
        <w:pStyle w:val="20"/>
        <w:snapToGrid w:val="0"/>
        <w:spacing w:line="360" w:lineRule="auto"/>
        <w:ind w:left="2" w:leftChars="1" w:firstLine="422" w:firstLineChars="200"/>
        <w:rPr>
          <w:rFonts w:hAnsi="宋体"/>
          <w:b/>
          <w:color w:val="auto"/>
          <w:kern w:val="2"/>
          <w:sz w:val="21"/>
        </w:rPr>
      </w:pPr>
      <w:r>
        <w:rPr>
          <w:rFonts w:hint="eastAsia" w:hAnsi="宋体"/>
          <w:b/>
          <w:color w:val="auto"/>
          <w:kern w:val="2"/>
          <w:sz w:val="21"/>
        </w:rPr>
        <w:t>（4）不同投标人的投标文件异常一致或者投标报价呈规律性差异；</w:t>
      </w:r>
    </w:p>
    <w:p w14:paraId="422CCF3C">
      <w:pPr>
        <w:pStyle w:val="20"/>
        <w:snapToGrid w:val="0"/>
        <w:spacing w:line="360" w:lineRule="auto"/>
        <w:ind w:left="2" w:leftChars="1" w:firstLine="422" w:firstLineChars="200"/>
        <w:rPr>
          <w:rFonts w:hAnsi="宋体"/>
          <w:b/>
          <w:color w:val="auto"/>
          <w:kern w:val="2"/>
          <w:sz w:val="21"/>
        </w:rPr>
      </w:pPr>
      <w:r>
        <w:rPr>
          <w:rFonts w:hint="eastAsia" w:hAnsi="宋体"/>
          <w:b/>
          <w:color w:val="auto"/>
          <w:kern w:val="2"/>
          <w:sz w:val="21"/>
        </w:rPr>
        <w:t>（5）不同投标人的投标文件相互混装；</w:t>
      </w:r>
    </w:p>
    <w:p w14:paraId="16226F10">
      <w:pPr>
        <w:pStyle w:val="20"/>
        <w:snapToGrid w:val="0"/>
        <w:spacing w:line="360" w:lineRule="auto"/>
        <w:ind w:left="2" w:leftChars="1" w:firstLine="422" w:firstLineChars="200"/>
        <w:rPr>
          <w:rFonts w:hAnsi="宋体"/>
          <w:b/>
          <w:color w:val="auto"/>
          <w:kern w:val="2"/>
          <w:sz w:val="21"/>
        </w:rPr>
      </w:pPr>
      <w:r>
        <w:rPr>
          <w:rFonts w:hint="eastAsia" w:hAnsi="宋体"/>
          <w:b/>
          <w:color w:val="auto"/>
          <w:kern w:val="2"/>
          <w:sz w:val="21"/>
        </w:rPr>
        <w:t>（6）不同投标人的投标保证金从同一单位或者个人账户转出。</w:t>
      </w:r>
    </w:p>
    <w:p w14:paraId="096BEDF8">
      <w:pPr>
        <w:pStyle w:val="7"/>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9.3</w:t>
      </w:r>
      <w:r>
        <w:rPr>
          <w:rFonts w:hint="eastAsia" w:ascii="宋体" w:hAnsi="宋体"/>
          <w:b w:val="0"/>
          <w:color w:val="auto"/>
          <w:sz w:val="21"/>
          <w:szCs w:val="21"/>
        </w:rPr>
        <w:t>供应商有下列情形之一的，属于恶意串通行为，将报同级监督管理部门：</w:t>
      </w:r>
    </w:p>
    <w:p w14:paraId="4133F19D">
      <w:pPr>
        <w:pStyle w:val="20"/>
        <w:snapToGrid w:val="0"/>
        <w:spacing w:line="360" w:lineRule="auto"/>
        <w:ind w:left="2" w:leftChars="1" w:firstLine="420" w:firstLineChars="200"/>
        <w:rPr>
          <w:rFonts w:hAnsi="宋体"/>
          <w:color w:val="auto"/>
          <w:kern w:val="2"/>
          <w:sz w:val="21"/>
        </w:rPr>
      </w:pPr>
      <w:r>
        <w:rPr>
          <w:rFonts w:hint="eastAsia" w:hAnsi="宋体"/>
          <w:color w:val="auto"/>
          <w:kern w:val="2"/>
          <w:sz w:val="21"/>
        </w:rPr>
        <w:t>（1）供应商直接或者间接从采购人或者采购代理机构处获得其他供应商的相关信息并修改其投标文件或者投标文件；</w:t>
      </w:r>
    </w:p>
    <w:p w14:paraId="0591A03F">
      <w:pPr>
        <w:pStyle w:val="20"/>
        <w:snapToGrid w:val="0"/>
        <w:spacing w:line="360" w:lineRule="auto"/>
        <w:ind w:left="2" w:leftChars="1" w:firstLine="420" w:firstLineChars="200"/>
        <w:rPr>
          <w:rFonts w:hAnsi="宋体"/>
          <w:color w:val="auto"/>
          <w:kern w:val="2"/>
          <w:sz w:val="21"/>
        </w:rPr>
      </w:pPr>
      <w:r>
        <w:rPr>
          <w:rFonts w:hint="eastAsia" w:hAnsi="宋体"/>
          <w:color w:val="auto"/>
          <w:kern w:val="2"/>
          <w:sz w:val="21"/>
        </w:rPr>
        <w:t>（2）供应商按照采购人或者采购代理机构的授意撤换、修改投标文件或者投标文件；</w:t>
      </w:r>
    </w:p>
    <w:p w14:paraId="21622F25">
      <w:pPr>
        <w:pStyle w:val="20"/>
        <w:snapToGrid w:val="0"/>
        <w:spacing w:line="360" w:lineRule="auto"/>
        <w:ind w:left="2" w:leftChars="1" w:firstLine="420" w:firstLineChars="200"/>
        <w:rPr>
          <w:rFonts w:hAnsi="宋体"/>
          <w:color w:val="auto"/>
          <w:kern w:val="2"/>
          <w:sz w:val="21"/>
        </w:rPr>
      </w:pPr>
      <w:r>
        <w:rPr>
          <w:rFonts w:hint="eastAsia" w:hAnsi="宋体"/>
          <w:color w:val="auto"/>
          <w:kern w:val="2"/>
          <w:sz w:val="21"/>
        </w:rPr>
        <w:t>（3）供应商之间协商报价、技术方案等投标文件或者投标文件的实质性内容；</w:t>
      </w:r>
    </w:p>
    <w:p w14:paraId="726A266B">
      <w:pPr>
        <w:pStyle w:val="20"/>
        <w:snapToGrid w:val="0"/>
        <w:spacing w:line="360" w:lineRule="auto"/>
        <w:ind w:left="2" w:leftChars="1" w:firstLine="420" w:firstLineChars="200"/>
        <w:rPr>
          <w:rFonts w:hAnsi="宋体"/>
          <w:color w:val="auto"/>
          <w:kern w:val="2"/>
          <w:sz w:val="21"/>
        </w:rPr>
      </w:pPr>
      <w:r>
        <w:rPr>
          <w:rFonts w:hint="eastAsia" w:hAnsi="宋体"/>
          <w:color w:val="auto"/>
          <w:kern w:val="2"/>
          <w:sz w:val="21"/>
        </w:rPr>
        <w:t>（4）属于同一集团、协会、商会等组织成员的供应商按照该组织要求协同参加政府采购活动；</w:t>
      </w:r>
    </w:p>
    <w:p w14:paraId="0C6F54A6">
      <w:pPr>
        <w:pStyle w:val="20"/>
        <w:snapToGrid w:val="0"/>
        <w:spacing w:line="360" w:lineRule="auto"/>
        <w:ind w:left="2" w:leftChars="1" w:firstLine="420" w:firstLineChars="200"/>
        <w:rPr>
          <w:rFonts w:hAnsi="宋体"/>
          <w:color w:val="auto"/>
          <w:kern w:val="2"/>
          <w:sz w:val="21"/>
        </w:rPr>
      </w:pPr>
      <w:r>
        <w:rPr>
          <w:rFonts w:hint="eastAsia" w:hAnsi="宋体"/>
          <w:color w:val="auto"/>
          <w:kern w:val="2"/>
          <w:sz w:val="21"/>
        </w:rPr>
        <w:t>（5）供应商之间事先约定一致抬高或者压低投标报价，或者在招标项目中事先约定轮流以高价位或者低价位中标，或者事先约定由某一特定供应商中标，然后再参加投标；</w:t>
      </w:r>
    </w:p>
    <w:p w14:paraId="5627CFF3">
      <w:pPr>
        <w:pStyle w:val="20"/>
        <w:snapToGrid w:val="0"/>
        <w:spacing w:line="360" w:lineRule="auto"/>
        <w:ind w:left="2" w:leftChars="1" w:firstLine="420" w:firstLineChars="200"/>
        <w:rPr>
          <w:rFonts w:hAnsi="宋体"/>
          <w:color w:val="auto"/>
          <w:kern w:val="2"/>
          <w:sz w:val="21"/>
        </w:rPr>
      </w:pPr>
      <w:r>
        <w:rPr>
          <w:rFonts w:hint="eastAsia" w:hAnsi="宋体"/>
          <w:color w:val="auto"/>
          <w:kern w:val="2"/>
          <w:sz w:val="21"/>
        </w:rPr>
        <w:t>（6）供应商之间商定部分供应商放弃参加政府采购活动或者放弃中标；</w:t>
      </w:r>
    </w:p>
    <w:p w14:paraId="404B7834">
      <w:pPr>
        <w:pStyle w:val="20"/>
        <w:snapToGrid w:val="0"/>
        <w:spacing w:line="360" w:lineRule="auto"/>
        <w:ind w:left="2" w:leftChars="1" w:firstLine="420" w:firstLineChars="200"/>
        <w:rPr>
          <w:rFonts w:hAnsi="宋体"/>
          <w:color w:val="auto"/>
          <w:kern w:val="2"/>
          <w:sz w:val="21"/>
        </w:rPr>
      </w:pPr>
      <w:r>
        <w:rPr>
          <w:rFonts w:hint="eastAsia" w:hAnsi="宋体"/>
          <w:color w:val="auto"/>
          <w:kern w:val="2"/>
          <w:sz w:val="21"/>
        </w:rPr>
        <w:t>（7）供应商与采购人或者采购代理机构之间、供应商相互之间，为谋求特定供应商中标或者排斥其他供应商的其他串通行为。</w:t>
      </w:r>
    </w:p>
    <w:p w14:paraId="3EFAF392">
      <w:pPr>
        <w:pStyle w:val="20"/>
        <w:snapToGrid w:val="0"/>
        <w:spacing w:line="360" w:lineRule="auto"/>
        <w:ind w:left="2" w:leftChars="1" w:firstLine="422" w:firstLineChars="200"/>
        <w:rPr>
          <w:rFonts w:hAnsi="宋体"/>
          <w:b/>
          <w:color w:val="auto"/>
          <w:kern w:val="2"/>
          <w:sz w:val="21"/>
        </w:rPr>
      </w:pPr>
    </w:p>
    <w:p w14:paraId="1760BADC">
      <w:pPr>
        <w:pStyle w:val="5"/>
        <w:keepNext w:val="0"/>
        <w:keepLines w:val="0"/>
        <w:jc w:val="center"/>
        <w:rPr>
          <w:color w:val="auto"/>
        </w:rPr>
      </w:pPr>
      <w:bookmarkStart w:id="115" w:name="_Toc254970675"/>
      <w:bookmarkStart w:id="116" w:name="_Toc254970534"/>
      <w:r>
        <w:rPr>
          <w:rFonts w:hint="eastAsia"/>
          <w:color w:val="auto"/>
        </w:rPr>
        <w:t>二、招标文件</w:t>
      </w:r>
      <w:bookmarkEnd w:id="115"/>
      <w:bookmarkEnd w:id="116"/>
    </w:p>
    <w:p w14:paraId="6881FD32">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10.招标文件的组成</w:t>
      </w:r>
    </w:p>
    <w:p w14:paraId="7EB183C5">
      <w:pPr>
        <w:snapToGrid w:val="0"/>
        <w:spacing w:line="360" w:lineRule="auto"/>
        <w:ind w:firstLine="420"/>
        <w:jc w:val="left"/>
        <w:rPr>
          <w:rFonts w:ascii="宋体" w:hAnsi="宋体"/>
          <w:color w:val="auto"/>
          <w:szCs w:val="21"/>
        </w:rPr>
      </w:pPr>
      <w:r>
        <w:rPr>
          <w:rFonts w:hint="eastAsia" w:ascii="宋体" w:hAnsi="宋体"/>
          <w:color w:val="auto"/>
          <w:szCs w:val="21"/>
        </w:rPr>
        <w:t>（1）招标公告；</w:t>
      </w:r>
    </w:p>
    <w:p w14:paraId="47DB6B41">
      <w:pPr>
        <w:snapToGrid w:val="0"/>
        <w:spacing w:line="360" w:lineRule="auto"/>
        <w:ind w:firstLine="420"/>
        <w:jc w:val="left"/>
        <w:rPr>
          <w:rFonts w:ascii="宋体" w:hAnsi="宋体"/>
          <w:color w:val="auto"/>
          <w:szCs w:val="21"/>
        </w:rPr>
      </w:pPr>
      <w:r>
        <w:rPr>
          <w:rFonts w:hint="eastAsia" w:ascii="宋体" w:hAnsi="宋体"/>
          <w:color w:val="auto"/>
          <w:szCs w:val="21"/>
        </w:rPr>
        <w:t xml:space="preserve">（2）采购需求； </w:t>
      </w:r>
    </w:p>
    <w:p w14:paraId="721405A1">
      <w:pPr>
        <w:snapToGrid w:val="0"/>
        <w:spacing w:line="360" w:lineRule="auto"/>
        <w:ind w:firstLine="420"/>
        <w:jc w:val="left"/>
        <w:rPr>
          <w:rFonts w:ascii="宋体" w:hAnsi="宋体"/>
          <w:color w:val="auto"/>
          <w:szCs w:val="21"/>
        </w:rPr>
      </w:pPr>
      <w:r>
        <w:rPr>
          <w:rFonts w:hint="eastAsia" w:ascii="宋体" w:hAnsi="宋体"/>
          <w:color w:val="auto"/>
          <w:szCs w:val="21"/>
        </w:rPr>
        <w:t>（3）投标人须知；</w:t>
      </w:r>
    </w:p>
    <w:p w14:paraId="62E5823F">
      <w:pPr>
        <w:snapToGrid w:val="0"/>
        <w:spacing w:line="360" w:lineRule="auto"/>
        <w:ind w:firstLine="420"/>
        <w:jc w:val="left"/>
        <w:rPr>
          <w:rFonts w:ascii="宋体" w:hAnsi="宋体"/>
          <w:color w:val="auto"/>
          <w:szCs w:val="21"/>
        </w:rPr>
      </w:pPr>
      <w:r>
        <w:rPr>
          <w:rFonts w:hint="eastAsia" w:ascii="宋体" w:hAnsi="宋体"/>
          <w:color w:val="auto"/>
          <w:szCs w:val="21"/>
        </w:rPr>
        <w:t>（4）评标方法及评标标准；</w:t>
      </w:r>
    </w:p>
    <w:p w14:paraId="2FE1FAAB">
      <w:pPr>
        <w:snapToGrid w:val="0"/>
        <w:spacing w:line="360" w:lineRule="auto"/>
        <w:ind w:firstLine="420"/>
        <w:jc w:val="left"/>
        <w:rPr>
          <w:rFonts w:ascii="宋体" w:hAnsi="宋体"/>
          <w:color w:val="auto"/>
          <w:szCs w:val="21"/>
        </w:rPr>
      </w:pPr>
      <w:r>
        <w:rPr>
          <w:rFonts w:hint="eastAsia" w:ascii="宋体" w:hAnsi="宋体"/>
          <w:color w:val="auto"/>
          <w:szCs w:val="21"/>
        </w:rPr>
        <w:t>（5）拟签订的合同文本；</w:t>
      </w:r>
    </w:p>
    <w:p w14:paraId="47B8DABB">
      <w:pPr>
        <w:snapToGrid w:val="0"/>
        <w:spacing w:line="360" w:lineRule="auto"/>
        <w:ind w:firstLine="420"/>
        <w:jc w:val="left"/>
        <w:rPr>
          <w:rFonts w:ascii="宋体" w:hAnsi="宋体"/>
          <w:color w:val="auto"/>
          <w:szCs w:val="21"/>
        </w:rPr>
      </w:pPr>
      <w:r>
        <w:rPr>
          <w:rFonts w:hint="eastAsia" w:ascii="宋体" w:hAnsi="宋体"/>
          <w:color w:val="auto"/>
          <w:szCs w:val="21"/>
        </w:rPr>
        <w:t>（6）投标文件格式。</w:t>
      </w:r>
    </w:p>
    <w:p w14:paraId="3C7F38A6">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11.招标文件的澄清、修改 、现场考察和答疑会</w:t>
      </w:r>
    </w:p>
    <w:p w14:paraId="409DA92C">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D21E008">
      <w:pPr>
        <w:pStyle w:val="20"/>
        <w:snapToGrid w:val="0"/>
        <w:spacing w:line="360" w:lineRule="auto"/>
        <w:ind w:firstLine="420" w:firstLineChars="200"/>
        <w:rPr>
          <w:rFonts w:hAnsi="宋体"/>
          <w:color w:val="auto"/>
          <w:sz w:val="21"/>
        </w:rPr>
      </w:pPr>
      <w:r>
        <w:rPr>
          <w:rFonts w:hint="eastAsia" w:hAnsi="宋体"/>
          <w:color w:val="auto"/>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577E72C">
      <w:pPr>
        <w:pStyle w:val="20"/>
        <w:snapToGrid w:val="0"/>
        <w:spacing w:line="360" w:lineRule="auto"/>
        <w:ind w:firstLine="420" w:firstLineChars="200"/>
        <w:rPr>
          <w:rFonts w:hAnsi="宋体"/>
          <w:color w:val="auto"/>
          <w:sz w:val="21"/>
        </w:rPr>
      </w:pPr>
      <w:r>
        <w:rPr>
          <w:rFonts w:hint="eastAsia" w:hAnsi="宋体"/>
          <w:color w:val="auto"/>
          <w:sz w:val="21"/>
        </w:rPr>
        <w:t>1</w:t>
      </w:r>
      <w:r>
        <w:rPr>
          <w:rFonts w:hAnsi="宋体"/>
          <w:color w:val="auto"/>
          <w:sz w:val="21"/>
        </w:rPr>
        <w:t>1.2</w:t>
      </w:r>
      <w:bookmarkStart w:id="117" w:name="_Hlk53134511"/>
      <w:r>
        <w:rPr>
          <w:rFonts w:hint="eastAsia" w:hAnsi="宋体"/>
          <w:color w:val="auto"/>
          <w:sz w:val="21"/>
        </w:rPr>
        <w:t>采购人或者采购代理机构可以在招标文件提供期限截止后，组织已获取招标文件的潜在投标人现场考察或者召开开标前答疑会，具体详见“投标人须知前附表”。</w:t>
      </w:r>
    </w:p>
    <w:bookmarkEnd w:id="117"/>
    <w:p w14:paraId="36BE46B5">
      <w:pPr>
        <w:pStyle w:val="5"/>
        <w:keepNext w:val="0"/>
        <w:keepLines w:val="0"/>
        <w:jc w:val="center"/>
        <w:rPr>
          <w:color w:val="auto"/>
        </w:rPr>
      </w:pPr>
      <w:bookmarkStart w:id="118" w:name="_Toc254970535"/>
      <w:bookmarkStart w:id="119" w:name="_Toc254970676"/>
      <w:r>
        <w:rPr>
          <w:rFonts w:hint="eastAsia"/>
          <w:color w:val="auto"/>
        </w:rPr>
        <w:t>三、投标文件的编制</w:t>
      </w:r>
      <w:bookmarkEnd w:id="118"/>
      <w:bookmarkEnd w:id="119"/>
    </w:p>
    <w:p w14:paraId="4DE77D26">
      <w:pPr>
        <w:pStyle w:val="7"/>
        <w:keepNext w:val="0"/>
        <w:keepLines w:val="0"/>
        <w:spacing w:before="0" w:after="0" w:line="360" w:lineRule="auto"/>
        <w:ind w:left="420" w:leftChars="200"/>
        <w:rPr>
          <w:rFonts w:ascii="黑体" w:hAnsi="黑体" w:eastAsia="黑体"/>
          <w:color w:val="auto"/>
          <w:sz w:val="24"/>
        </w:rPr>
      </w:pPr>
      <w:bookmarkStart w:id="120" w:name="_Toc254970536"/>
      <w:bookmarkStart w:id="121" w:name="_Toc254970677"/>
      <w:r>
        <w:rPr>
          <w:rFonts w:hint="eastAsia" w:ascii="黑体" w:hAnsi="黑体" w:eastAsia="黑体"/>
          <w:color w:val="auto"/>
          <w:sz w:val="24"/>
        </w:rPr>
        <w:t>12.投标文件的编制原则</w:t>
      </w:r>
    </w:p>
    <w:p w14:paraId="29114202">
      <w:pPr>
        <w:snapToGrid w:val="0"/>
        <w:spacing w:line="360" w:lineRule="auto"/>
        <w:ind w:firstLine="420"/>
        <w:jc w:val="left"/>
        <w:rPr>
          <w:rFonts w:ascii="宋体" w:hAnsi="宋体" w:cs="Courier New"/>
          <w:color w:val="auto"/>
          <w:szCs w:val="21"/>
        </w:rPr>
      </w:pPr>
      <w:r>
        <w:rPr>
          <w:rFonts w:ascii="宋体" w:hAnsi="宋体"/>
          <w:color w:val="auto"/>
          <w:szCs w:val="21"/>
        </w:rPr>
        <w:t>投标人必须按照招标文件的要求编制投标文件。投标文件必须对招标文件提出的要求和条件作出明确响应。</w:t>
      </w:r>
    </w:p>
    <w:p w14:paraId="337AAF29">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13.投标文件的组成</w:t>
      </w:r>
      <w:bookmarkEnd w:id="120"/>
      <w:bookmarkEnd w:id="121"/>
    </w:p>
    <w:p w14:paraId="05AD3978">
      <w:pPr>
        <w:snapToGrid w:val="0"/>
        <w:spacing w:line="360" w:lineRule="auto"/>
        <w:ind w:firstLine="420" w:firstLineChars="200"/>
        <w:jc w:val="left"/>
        <w:rPr>
          <w:rFonts w:ascii="宋体" w:hAnsi="宋体"/>
          <w:color w:val="auto"/>
          <w:szCs w:val="21"/>
        </w:rPr>
      </w:pPr>
      <w:bookmarkStart w:id="122" w:name="_13.5投标文件电子版：具体材料见“投标人须知前附表”。"/>
      <w:bookmarkEnd w:id="122"/>
      <w:bookmarkStart w:id="123" w:name="_Toc254970537"/>
      <w:bookmarkStart w:id="124" w:name="_Toc254970678"/>
      <w:r>
        <w:rPr>
          <w:rFonts w:hint="eastAsia" w:ascii="宋体" w:hAnsi="宋体"/>
          <w:color w:val="auto"/>
          <w:szCs w:val="21"/>
        </w:rPr>
        <w:t>投标文件由报价文件、资格证明文件、商务及技术文件三部分组成。</w:t>
      </w:r>
    </w:p>
    <w:p w14:paraId="2068E7B6">
      <w:pPr>
        <w:pStyle w:val="7"/>
        <w:keepNext w:val="0"/>
        <w:keepLines w:val="0"/>
        <w:spacing w:before="0" w:after="0" w:line="360" w:lineRule="auto"/>
        <w:ind w:left="420" w:leftChars="200"/>
        <w:rPr>
          <w:rFonts w:ascii="宋体" w:hAnsi="宋体"/>
          <w:b w:val="0"/>
          <w:color w:val="auto"/>
          <w:sz w:val="21"/>
          <w:szCs w:val="21"/>
        </w:rPr>
      </w:pPr>
      <w:bookmarkStart w:id="125" w:name="_13.1报价文件:_具体材料见“投标人须知前附表”。"/>
      <w:bookmarkEnd w:id="125"/>
      <w:r>
        <w:rPr>
          <w:rFonts w:hint="eastAsia" w:ascii="宋体" w:hAnsi="宋体"/>
          <w:b w:val="0"/>
          <w:color w:val="auto"/>
          <w:sz w:val="21"/>
          <w:szCs w:val="21"/>
        </w:rPr>
        <w:t>（1）报价文件：</w:t>
      </w:r>
      <w:r>
        <w:rPr>
          <w:rFonts w:ascii="宋体" w:hAnsi="宋体"/>
          <w:b w:val="0"/>
          <w:color w:val="auto"/>
          <w:sz w:val="21"/>
          <w:szCs w:val="21"/>
        </w:rPr>
        <w:t xml:space="preserve"> 具体材料见“投标人须知前附表”</w:t>
      </w:r>
      <w:r>
        <w:rPr>
          <w:rFonts w:hint="eastAsia" w:ascii="宋体" w:hAnsi="宋体"/>
          <w:b w:val="0"/>
          <w:color w:val="auto"/>
          <w:sz w:val="21"/>
          <w:szCs w:val="21"/>
        </w:rPr>
        <w:t>。</w:t>
      </w:r>
    </w:p>
    <w:p w14:paraId="65FD7ACF">
      <w:pPr>
        <w:pStyle w:val="7"/>
        <w:keepNext w:val="0"/>
        <w:keepLines w:val="0"/>
        <w:spacing w:before="0" w:after="0" w:line="360" w:lineRule="auto"/>
        <w:ind w:left="420" w:leftChars="200"/>
        <w:rPr>
          <w:rFonts w:ascii="宋体" w:hAnsi="宋体"/>
          <w:b w:val="0"/>
          <w:color w:val="auto"/>
          <w:sz w:val="21"/>
          <w:szCs w:val="21"/>
        </w:rPr>
      </w:pPr>
      <w:bookmarkStart w:id="126" w:name="_13.2资格证明文件：具体材料见“投标人须知前附表”。"/>
      <w:bookmarkEnd w:id="126"/>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）资格证明文件：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14:paraId="02970727">
      <w:pPr>
        <w:pStyle w:val="7"/>
        <w:keepNext w:val="0"/>
        <w:keepLines w:val="0"/>
        <w:spacing w:before="0" w:after="0" w:line="360" w:lineRule="auto"/>
        <w:ind w:left="420" w:leftChars="200"/>
        <w:rPr>
          <w:rFonts w:ascii="宋体" w:hAnsi="宋体"/>
          <w:b w:val="0"/>
          <w:color w:val="auto"/>
          <w:sz w:val="21"/>
          <w:szCs w:val="21"/>
        </w:rPr>
      </w:pPr>
      <w:bookmarkStart w:id="127" w:name="_13.3商务文件:_具体材料见“投标人须知前附表”。"/>
      <w:bookmarkEnd w:id="127"/>
      <w:r>
        <w:rPr>
          <w:rFonts w:hint="eastAsia" w:ascii="宋体" w:hAnsi="宋体"/>
          <w:b w:val="0"/>
          <w:color w:val="auto"/>
          <w:sz w:val="21"/>
          <w:szCs w:val="21"/>
        </w:rPr>
        <w:t>（</w:t>
      </w:r>
      <w:r>
        <w:rPr>
          <w:rFonts w:ascii="宋体" w:hAnsi="宋体"/>
          <w:b w:val="0"/>
          <w:color w:val="auto"/>
          <w:sz w:val="21"/>
          <w:szCs w:val="21"/>
        </w:rPr>
        <w:t>3</w:t>
      </w:r>
      <w:r>
        <w:rPr>
          <w:rFonts w:hint="eastAsia" w:ascii="宋体" w:hAnsi="宋体"/>
          <w:b w:val="0"/>
          <w:color w:val="auto"/>
          <w:sz w:val="21"/>
          <w:szCs w:val="21"/>
        </w:rPr>
        <w:t>）商务及技术文件：</w:t>
      </w:r>
      <w:r>
        <w:rPr>
          <w:rFonts w:ascii="宋体" w:hAnsi="宋体"/>
          <w:b w:val="0"/>
          <w:color w:val="auto"/>
          <w:sz w:val="21"/>
          <w:szCs w:val="21"/>
        </w:rPr>
        <w:t>具体材料见“投标人须知前附表”</w:t>
      </w:r>
      <w:r>
        <w:rPr>
          <w:rFonts w:hint="eastAsia" w:ascii="宋体" w:hAnsi="宋体"/>
          <w:b w:val="0"/>
          <w:color w:val="auto"/>
          <w:sz w:val="21"/>
          <w:szCs w:val="21"/>
        </w:rPr>
        <w:t>。</w:t>
      </w:r>
    </w:p>
    <w:p w14:paraId="690831A7">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14.投标文件的语言及计量</w:t>
      </w:r>
      <w:bookmarkEnd w:id="123"/>
      <w:bookmarkEnd w:id="124"/>
    </w:p>
    <w:p w14:paraId="5B3E583F">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14.1语言文字</w:t>
      </w:r>
    </w:p>
    <w:p w14:paraId="649CA690">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2BF4CD1">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14.2投标计量单位</w:t>
      </w:r>
    </w:p>
    <w:p w14:paraId="32967261">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招标文件已有明确规定的，使用招标文件规定的计量单位；招标文件没有规定的，应采用中华人民共和国法定计量单位，货币种类为人民币</w:t>
      </w:r>
      <w:r>
        <w:rPr>
          <w:rFonts w:hint="eastAsia" w:ascii="宋体" w:hAnsi="宋体"/>
          <w:bCs/>
          <w:color w:val="auto"/>
          <w:sz w:val="21"/>
          <w:szCs w:val="21"/>
        </w:rPr>
        <w:t>，否则视同未响应。</w:t>
      </w:r>
    </w:p>
    <w:p w14:paraId="1904945B">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15.投标的风险</w:t>
      </w:r>
    </w:p>
    <w:p w14:paraId="07DE5E3C">
      <w:pPr>
        <w:pStyle w:val="20"/>
        <w:snapToGrid w:val="0"/>
        <w:spacing w:line="360" w:lineRule="auto"/>
        <w:ind w:firstLine="420" w:firstLineChars="200"/>
        <w:jc w:val="left"/>
        <w:rPr>
          <w:rFonts w:hAnsi="宋体"/>
          <w:color w:val="auto"/>
          <w:sz w:val="21"/>
        </w:rPr>
      </w:pPr>
      <w:r>
        <w:rPr>
          <w:rFonts w:hint="eastAsia" w:hAnsi="宋体"/>
          <w:color w:val="auto"/>
          <w:sz w:val="21"/>
        </w:rPr>
        <w:t>投标人没有按照招标文件要求提供全部资料，或者投标人没有对招标文件作出实质性响应是投标人的风险，并可能导致其投标被拒绝。</w:t>
      </w:r>
    </w:p>
    <w:p w14:paraId="39E907D4">
      <w:pPr>
        <w:pStyle w:val="7"/>
        <w:keepNext w:val="0"/>
        <w:keepLines w:val="0"/>
        <w:spacing w:before="0" w:after="0" w:line="360" w:lineRule="auto"/>
        <w:ind w:left="420" w:leftChars="200"/>
        <w:rPr>
          <w:rFonts w:ascii="黑体" w:hAnsi="黑体" w:eastAsia="黑体"/>
          <w:color w:val="auto"/>
          <w:sz w:val="24"/>
        </w:rPr>
      </w:pPr>
      <w:bookmarkStart w:id="128" w:name="_Toc254970538"/>
      <w:bookmarkStart w:id="129" w:name="_Toc254970679"/>
      <w:r>
        <w:rPr>
          <w:rFonts w:hint="eastAsia" w:ascii="黑体" w:hAnsi="黑体" w:eastAsia="黑体"/>
          <w:color w:val="auto"/>
          <w:sz w:val="24"/>
        </w:rPr>
        <w:t>16.投标报价</w:t>
      </w:r>
      <w:bookmarkEnd w:id="128"/>
      <w:bookmarkEnd w:id="129"/>
    </w:p>
    <w:p w14:paraId="4057D7F3">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16.1投标报价应按“第六章　投标文件格式”中“开标一览表”格式填写。</w:t>
      </w:r>
    </w:p>
    <w:p w14:paraId="3AE3D9E0">
      <w:pPr>
        <w:pStyle w:val="7"/>
        <w:keepNext w:val="0"/>
        <w:keepLines w:val="0"/>
        <w:spacing w:before="0" w:after="0" w:line="360" w:lineRule="auto"/>
        <w:ind w:left="420" w:leftChars="200"/>
        <w:rPr>
          <w:rFonts w:ascii="宋体" w:hAnsi="宋体"/>
          <w:b w:val="0"/>
          <w:color w:val="auto"/>
          <w:sz w:val="21"/>
          <w:szCs w:val="21"/>
        </w:rPr>
      </w:pPr>
      <w:bookmarkStart w:id="130" w:name="_16.2投标报价具体定义见投标人须知前附表。"/>
      <w:bookmarkEnd w:id="130"/>
      <w:r>
        <w:rPr>
          <w:rFonts w:hint="eastAsia" w:ascii="宋体" w:hAnsi="宋体"/>
          <w:b w:val="0"/>
          <w:color w:val="auto"/>
          <w:sz w:val="21"/>
          <w:szCs w:val="21"/>
        </w:rPr>
        <w:t>16.2投标报价具体包括内容详见“投标人须知前附表”。</w:t>
      </w:r>
    </w:p>
    <w:p w14:paraId="118DA875">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16.3投标人必须就所投</w:t>
      </w:r>
      <w:r>
        <w:rPr>
          <w:rFonts w:hint="eastAsia" w:ascii="宋体" w:hAnsi="宋体"/>
          <w:b w:val="0"/>
          <w:color w:val="auto"/>
          <w:sz w:val="21"/>
          <w:szCs w:val="21"/>
          <w:lang w:val="en-US" w:eastAsia="zh-CN"/>
        </w:rPr>
        <w:t>项目</w:t>
      </w:r>
      <w:r>
        <w:rPr>
          <w:rFonts w:hint="eastAsia" w:ascii="宋体" w:hAnsi="宋体"/>
          <w:b w:val="0"/>
          <w:color w:val="auto"/>
          <w:sz w:val="21"/>
          <w:szCs w:val="21"/>
        </w:rPr>
        <w:t>的全部内容分别作完整唯一总价报价，不得存在漏项报价；投标人必须就所投</w:t>
      </w:r>
      <w:r>
        <w:rPr>
          <w:rFonts w:hint="eastAsia" w:ascii="宋体" w:hAnsi="宋体"/>
          <w:b w:val="0"/>
          <w:color w:val="auto"/>
          <w:sz w:val="21"/>
          <w:szCs w:val="21"/>
          <w:lang w:val="en-US" w:eastAsia="zh-CN"/>
        </w:rPr>
        <w:t>项目</w:t>
      </w:r>
      <w:r>
        <w:rPr>
          <w:rFonts w:hint="eastAsia" w:ascii="宋体" w:hAnsi="宋体"/>
          <w:b w:val="0"/>
          <w:color w:val="auto"/>
          <w:sz w:val="21"/>
          <w:szCs w:val="21"/>
        </w:rPr>
        <w:t>的单项内容作唯一报价。</w:t>
      </w:r>
    </w:p>
    <w:p w14:paraId="73336F16">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17.投标有效期</w:t>
      </w:r>
    </w:p>
    <w:p w14:paraId="6D60551D">
      <w:pPr>
        <w:pStyle w:val="7"/>
        <w:keepNext w:val="0"/>
        <w:keepLines w:val="0"/>
        <w:spacing w:before="0" w:after="0" w:line="360" w:lineRule="auto"/>
        <w:ind w:firstLine="420" w:firstLineChars="200"/>
        <w:rPr>
          <w:rFonts w:ascii="宋体" w:hAnsi="宋体"/>
          <w:b w:val="0"/>
          <w:color w:val="auto"/>
          <w:sz w:val="21"/>
          <w:szCs w:val="21"/>
        </w:rPr>
      </w:pPr>
      <w:bookmarkStart w:id="131" w:name="_17.1投标有效期应按“投标人须知中的前附表”规定的期限。"/>
      <w:bookmarkEnd w:id="131"/>
      <w:r>
        <w:rPr>
          <w:rFonts w:hint="eastAsia" w:ascii="宋体" w:hAnsi="宋体"/>
          <w:b w:val="0"/>
          <w:color w:val="auto"/>
          <w:sz w:val="21"/>
          <w:szCs w:val="21"/>
        </w:rPr>
        <w:t>17.1投标有效期是指为保证采购人有足够的时间在开标后完成评标、定标、合同签订等工作而要求投标人提交的投标文件在一定时间内保持有效的期限。</w:t>
      </w:r>
    </w:p>
    <w:p w14:paraId="7FB33C90">
      <w:pPr>
        <w:pStyle w:val="7"/>
        <w:keepNext w:val="0"/>
        <w:keepLines w:val="0"/>
        <w:spacing w:before="0" w:after="0" w:line="360" w:lineRule="auto"/>
        <w:ind w:firstLine="420" w:firstLineChars="200"/>
        <w:rPr>
          <w:rFonts w:ascii="宋体" w:hAnsi="宋体"/>
          <w:b w:val="0"/>
          <w:color w:val="auto"/>
          <w:sz w:val="21"/>
          <w:szCs w:val="21"/>
        </w:rPr>
      </w:pPr>
      <w:bookmarkStart w:id="132" w:name="_Toc254970540"/>
      <w:bookmarkStart w:id="133" w:name="_Toc254970681"/>
      <w:r>
        <w:rPr>
          <w:rFonts w:hint="eastAsia" w:ascii="宋体" w:hAnsi="宋体"/>
          <w:b w:val="0"/>
          <w:color w:val="auto"/>
          <w:sz w:val="21"/>
          <w:szCs w:val="21"/>
        </w:rPr>
        <w:t>17.2 投标有效期应按招标文件规定的期限作出承诺，具体详见“投标人须知前附表”。</w:t>
      </w:r>
      <w:r>
        <w:rPr>
          <w:rFonts w:hint="eastAsia" w:ascii="宋体" w:hAnsi="宋体"/>
          <w:color w:val="auto"/>
          <w:sz w:val="21"/>
          <w:szCs w:val="21"/>
        </w:rPr>
        <w:t>承诺的投标有效期低于招标文件规定期限的，按无效投标处理</w:t>
      </w:r>
      <w:r>
        <w:rPr>
          <w:rFonts w:hint="eastAsia" w:ascii="宋体" w:hAnsi="宋体"/>
          <w:b w:val="0"/>
          <w:color w:val="auto"/>
          <w:sz w:val="21"/>
          <w:szCs w:val="21"/>
        </w:rPr>
        <w:t>。</w:t>
      </w:r>
    </w:p>
    <w:p w14:paraId="38FA395F">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17.3投标人的投标文件在投标有效期内均保持有效。</w:t>
      </w:r>
      <w:bookmarkEnd w:id="132"/>
      <w:bookmarkEnd w:id="133"/>
    </w:p>
    <w:p w14:paraId="38E1FED3">
      <w:pPr>
        <w:pStyle w:val="7"/>
        <w:keepNext w:val="0"/>
        <w:keepLines w:val="0"/>
        <w:spacing w:before="0" w:after="0" w:line="360" w:lineRule="auto"/>
        <w:ind w:left="420" w:leftChars="200"/>
        <w:rPr>
          <w:rFonts w:ascii="黑体" w:hAnsi="黑体" w:eastAsia="黑体"/>
          <w:color w:val="auto"/>
          <w:sz w:val="24"/>
        </w:rPr>
      </w:pPr>
      <w:bookmarkStart w:id="134" w:name="_18.投标保证金"/>
      <w:bookmarkEnd w:id="134"/>
      <w:bookmarkStart w:id="135" w:name="_Toc254970682"/>
      <w:bookmarkStart w:id="136" w:name="_Toc254970541"/>
      <w:r>
        <w:rPr>
          <w:rFonts w:hint="eastAsia" w:ascii="黑体" w:hAnsi="黑体" w:eastAsia="黑体"/>
          <w:color w:val="auto"/>
          <w:sz w:val="24"/>
        </w:rPr>
        <w:t>18.投标保证金</w:t>
      </w:r>
      <w:bookmarkEnd w:id="135"/>
      <w:bookmarkEnd w:id="136"/>
    </w:p>
    <w:p w14:paraId="0F0A6BAE">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18.1投标人须按“投标人须知前附表” 的规定提交投标保证金。</w:t>
      </w:r>
    </w:p>
    <w:p w14:paraId="3131648E">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18.2投标保证金的退还</w:t>
      </w:r>
    </w:p>
    <w:p w14:paraId="09A71967">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未中标人的投标保证金自中标通知书发出之日起</w:t>
      </w:r>
      <w:r>
        <w:rPr>
          <w:rFonts w:ascii="宋体" w:hAnsi="宋体"/>
          <w:b w:val="0"/>
          <w:color w:val="auto"/>
          <w:sz w:val="21"/>
          <w:szCs w:val="21"/>
        </w:rPr>
        <w:t>5</w:t>
      </w:r>
      <w:r>
        <w:rPr>
          <w:rFonts w:hint="eastAsia" w:ascii="宋体" w:hAnsi="宋体"/>
          <w:b w:val="0"/>
          <w:color w:val="auto"/>
          <w:sz w:val="21"/>
          <w:szCs w:val="21"/>
        </w:rPr>
        <w:t>个工作日内退还；中标人的投标保证金自政府采购合同签订之日起</w:t>
      </w:r>
      <w:r>
        <w:rPr>
          <w:rFonts w:ascii="宋体" w:hAnsi="宋体"/>
          <w:b w:val="0"/>
          <w:color w:val="auto"/>
          <w:sz w:val="21"/>
          <w:szCs w:val="21"/>
        </w:rPr>
        <w:t>5</w:t>
      </w:r>
      <w:r>
        <w:rPr>
          <w:rFonts w:hint="eastAsia" w:ascii="宋体" w:hAnsi="宋体"/>
          <w:b w:val="0"/>
          <w:color w:val="auto"/>
          <w:sz w:val="21"/>
          <w:szCs w:val="21"/>
        </w:rPr>
        <w:t xml:space="preserve">个工作日内退还。 </w:t>
      </w:r>
    </w:p>
    <w:p w14:paraId="76659C19">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18.3除逾期退还投标保证金和终止招标的情形以外，投标保证金不计息。</w:t>
      </w:r>
    </w:p>
    <w:p w14:paraId="77D3BC21">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 xml:space="preserve">18.4投标人有下列情形之一的，投标保证金将不予退还： </w:t>
      </w:r>
    </w:p>
    <w:p w14:paraId="36AFA7A7">
      <w:pPr>
        <w:snapToGrid w:val="0"/>
        <w:spacing w:line="360" w:lineRule="auto"/>
        <w:ind w:firstLine="411" w:firstLineChars="196"/>
        <w:jc w:val="left"/>
        <w:rPr>
          <w:rFonts w:ascii="宋体" w:hAnsi="宋体"/>
          <w:color w:val="auto"/>
          <w:szCs w:val="21"/>
        </w:rPr>
      </w:pPr>
      <w:r>
        <w:rPr>
          <w:rFonts w:hint="eastAsia" w:ascii="宋体" w:hAnsi="宋体"/>
          <w:color w:val="auto"/>
          <w:szCs w:val="21"/>
        </w:rPr>
        <w:t>（1）投标人在投标有效期内撤销投标文件的；</w:t>
      </w:r>
    </w:p>
    <w:p w14:paraId="00D1A914">
      <w:pPr>
        <w:snapToGrid w:val="0"/>
        <w:spacing w:line="360" w:lineRule="auto"/>
        <w:ind w:firstLine="411" w:firstLineChars="196"/>
        <w:jc w:val="left"/>
        <w:rPr>
          <w:rFonts w:ascii="宋体" w:hAnsi="宋体"/>
          <w:color w:val="auto"/>
          <w:szCs w:val="21"/>
        </w:rPr>
      </w:pPr>
      <w:r>
        <w:rPr>
          <w:rFonts w:hint="eastAsia" w:ascii="宋体" w:hAnsi="宋体"/>
          <w:color w:val="auto"/>
          <w:szCs w:val="21"/>
        </w:rPr>
        <w:t>（2）未按规定提交履约保证金的；</w:t>
      </w:r>
    </w:p>
    <w:p w14:paraId="37E2FFAA">
      <w:pPr>
        <w:snapToGrid w:val="0"/>
        <w:spacing w:line="360" w:lineRule="auto"/>
        <w:ind w:firstLine="411" w:firstLineChars="196"/>
        <w:jc w:val="left"/>
        <w:rPr>
          <w:rFonts w:ascii="宋体" w:hAnsi="宋体"/>
          <w:color w:val="auto"/>
          <w:szCs w:val="21"/>
        </w:rPr>
      </w:pPr>
      <w:r>
        <w:rPr>
          <w:rFonts w:hint="eastAsia" w:ascii="宋体" w:hAnsi="宋体"/>
          <w:color w:val="auto"/>
          <w:szCs w:val="21"/>
        </w:rPr>
        <w:t>（3）投标人在投标过程中弄虚作假，提供虚假材料的；</w:t>
      </w:r>
    </w:p>
    <w:p w14:paraId="14C02AF4">
      <w:pPr>
        <w:snapToGrid w:val="0"/>
        <w:spacing w:line="360" w:lineRule="auto"/>
        <w:ind w:firstLine="411" w:firstLineChars="196"/>
        <w:rPr>
          <w:rFonts w:ascii="宋体" w:hAnsi="宋体"/>
          <w:color w:val="auto"/>
          <w:szCs w:val="21"/>
        </w:rPr>
      </w:pPr>
      <w:r>
        <w:rPr>
          <w:rFonts w:hint="eastAsia" w:ascii="宋体" w:hAnsi="宋体"/>
          <w:color w:val="auto"/>
          <w:szCs w:val="21"/>
        </w:rPr>
        <w:t>（4）中标人无正当理由不与采购人签订合同的；</w:t>
      </w:r>
    </w:p>
    <w:p w14:paraId="6FCFC836">
      <w:pPr>
        <w:snapToGrid w:val="0"/>
        <w:spacing w:line="360" w:lineRule="auto"/>
        <w:ind w:firstLine="420" w:firstLineChars="200"/>
        <w:rPr>
          <w:rFonts w:ascii="宋体" w:hAnsi="宋体"/>
          <w:color w:val="auto"/>
          <w:szCs w:val="21"/>
        </w:rPr>
      </w:pPr>
      <w:bookmarkStart w:id="137" w:name="_Toc254970542"/>
      <w:bookmarkStart w:id="138" w:name="_Toc254970683"/>
      <w:r>
        <w:rPr>
          <w:rFonts w:hint="eastAsia" w:ascii="宋体" w:hAnsi="宋体"/>
          <w:color w:val="auto"/>
          <w:szCs w:val="21"/>
        </w:rPr>
        <w:t>（5）投标人出现本章第9.2、9.3情形的；</w:t>
      </w:r>
    </w:p>
    <w:p w14:paraId="66460BE2">
      <w:pPr>
        <w:snapToGrid w:val="0"/>
        <w:spacing w:line="360" w:lineRule="auto"/>
        <w:ind w:firstLine="420" w:firstLineChars="200"/>
        <w:rPr>
          <w:rFonts w:ascii="宋体" w:hAnsi="宋体"/>
          <w:color w:val="auto"/>
          <w:szCs w:val="21"/>
        </w:rPr>
      </w:pPr>
      <w:r>
        <w:rPr>
          <w:rFonts w:hint="eastAsia" w:ascii="宋体" w:hAnsi="宋体"/>
          <w:color w:val="auto"/>
          <w:szCs w:val="21"/>
        </w:rPr>
        <w:t>（6）</w:t>
      </w:r>
      <w:r>
        <w:rPr>
          <w:rFonts w:hint="eastAsia" w:ascii="宋体" w:hAnsi="宋体" w:cs="宋体"/>
          <w:color w:val="auto"/>
          <w:szCs w:val="21"/>
        </w:rPr>
        <w:t>法律法规规定的其他情形</w:t>
      </w:r>
      <w:r>
        <w:rPr>
          <w:rFonts w:hint="eastAsia" w:ascii="宋体" w:hAnsi="宋体"/>
          <w:color w:val="auto"/>
          <w:szCs w:val="21"/>
        </w:rPr>
        <w:t>。</w:t>
      </w:r>
    </w:p>
    <w:bookmarkEnd w:id="137"/>
    <w:bookmarkEnd w:id="138"/>
    <w:p w14:paraId="4D7998BB">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19.投标文件的编制</w:t>
      </w:r>
    </w:p>
    <w:p w14:paraId="41DD60EB">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50DCF8EA">
      <w:pPr>
        <w:pStyle w:val="7"/>
        <w:keepNext w:val="0"/>
        <w:keepLines w:val="0"/>
        <w:spacing w:before="0" w:after="0" w:line="360" w:lineRule="auto"/>
        <w:ind w:firstLine="315" w:firstLineChars="150"/>
        <w:rPr>
          <w:rFonts w:ascii="宋体" w:hAnsi="宋体"/>
          <w:b w:val="0"/>
          <w:color w:val="auto"/>
          <w:sz w:val="21"/>
          <w:szCs w:val="21"/>
        </w:rPr>
      </w:pPr>
      <w:bookmarkStart w:id="139" w:name="_19.2投标文件应按报价文件、资格证明文件、商务文件、技术文件分别编制"/>
      <w:bookmarkEnd w:id="139"/>
      <w:r>
        <w:rPr>
          <w:rFonts w:hint="eastAsia" w:ascii="宋体" w:hAnsi="宋体"/>
          <w:b w:val="0"/>
          <w:color w:val="auto"/>
          <w:sz w:val="21"/>
          <w:szCs w:val="21"/>
        </w:rPr>
        <w:t>19.2为确保网上操作合法、有效和安全，投标人应当在投标截止时间前完成在广西政府采购云平台的身份认证，确保在电子投标过程中能够对相关数据电文进行加密和使用电子签章。</w:t>
      </w:r>
    </w:p>
    <w:p w14:paraId="1CE7AEAB">
      <w:pPr>
        <w:pStyle w:val="7"/>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 xml:space="preserve"> 19.3投标文件须由投标人在规定位置签字（或者电子签名）、盖章（具体以投标人须知前附表或投标文件格式规定为准），</w:t>
      </w:r>
      <w:r>
        <w:rPr>
          <w:rFonts w:hint="eastAsia" w:ascii="宋体" w:hAnsi="宋体"/>
          <w:bCs/>
          <w:color w:val="auto"/>
          <w:sz w:val="21"/>
          <w:szCs w:val="21"/>
        </w:rPr>
        <w:t>否则按无效投标处理</w:t>
      </w:r>
      <w:r>
        <w:rPr>
          <w:rFonts w:hint="eastAsia" w:ascii="宋体" w:hAnsi="宋体"/>
          <w:b w:val="0"/>
          <w:color w:val="auto"/>
          <w:sz w:val="21"/>
          <w:szCs w:val="21"/>
        </w:rPr>
        <w:t>。</w:t>
      </w:r>
    </w:p>
    <w:p w14:paraId="04FCB01F">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olor w:val="auto"/>
          <w:sz w:val="21"/>
          <w:szCs w:val="21"/>
        </w:rPr>
        <w:t>否则按无效投标处理</w:t>
      </w:r>
      <w:r>
        <w:rPr>
          <w:rFonts w:hint="eastAsia" w:ascii="宋体" w:hAnsi="宋体"/>
          <w:b w:val="0"/>
          <w:color w:val="auto"/>
          <w:sz w:val="21"/>
          <w:szCs w:val="21"/>
        </w:rPr>
        <w:t>。</w:t>
      </w:r>
    </w:p>
    <w:p w14:paraId="0B73F768">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DC7854C">
      <w:pPr>
        <w:spacing w:line="360" w:lineRule="auto"/>
        <w:ind w:firstLine="480" w:firstLineChars="200"/>
        <w:rPr>
          <w:rFonts w:ascii="黑体" w:hAnsi="黑体" w:eastAsia="黑体"/>
          <w:color w:val="auto"/>
          <w:sz w:val="24"/>
        </w:rPr>
      </w:pPr>
      <w:r>
        <w:rPr>
          <w:rFonts w:hint="eastAsia" w:ascii="黑体" w:hAnsi="黑体" w:eastAsia="黑体"/>
          <w:color w:val="auto"/>
          <w:sz w:val="24"/>
        </w:rPr>
        <w:t>20.电子备份投标文件</w:t>
      </w:r>
    </w:p>
    <w:p w14:paraId="41919046">
      <w:pPr>
        <w:spacing w:line="360" w:lineRule="auto"/>
        <w:ind w:firstLine="420" w:firstLineChars="200"/>
        <w:rPr>
          <w:rFonts w:ascii="黑体" w:hAnsi="黑体" w:eastAsia="黑体"/>
          <w:color w:val="auto"/>
          <w:sz w:val="24"/>
        </w:rPr>
      </w:pPr>
      <w:r>
        <w:rPr>
          <w:rFonts w:hint="eastAsia"/>
          <w:color w:val="auto"/>
        </w:rPr>
        <w:t>电子备份投标文件是指通过“广西政府采购云平台电子投标客户端”在线编制生成且后缀名为“</w:t>
      </w:r>
      <w:r>
        <w:rPr>
          <w:color w:val="auto"/>
        </w:rPr>
        <w:t>bfbs</w:t>
      </w:r>
      <w:r>
        <w:rPr>
          <w:rFonts w:hint="eastAsia"/>
          <w:color w:val="auto"/>
        </w:rPr>
        <w:t>”的文件，是否接受电子备份投标文件</w:t>
      </w:r>
      <w:r>
        <w:rPr>
          <w:rFonts w:hint="eastAsia" w:hAnsi="宋体"/>
          <w:bCs/>
          <w:color w:val="auto"/>
          <w:szCs w:val="21"/>
        </w:rPr>
        <w:t>详见在“投标人须知前附表”。</w:t>
      </w:r>
    </w:p>
    <w:p w14:paraId="4861ABBB">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21.投标文件的提交</w:t>
      </w:r>
    </w:p>
    <w:p w14:paraId="15EC2C22">
      <w:pPr>
        <w:spacing w:line="360" w:lineRule="auto"/>
        <w:ind w:firstLine="420" w:firstLineChars="200"/>
        <w:rPr>
          <w:rFonts w:hAnsi="宋体"/>
          <w:b/>
          <w:color w:val="auto"/>
        </w:rPr>
      </w:pPr>
      <w:bookmarkStart w:id="140" w:name="_21.1投标人必须在“投标人须知中的前附表”规定的投标文件接收时间和投"/>
      <w:bookmarkEnd w:id="140"/>
      <w:r>
        <w:rPr>
          <w:rFonts w:hint="eastAsia" w:hAnsi="宋体"/>
          <w:bCs/>
          <w:color w:val="auto"/>
          <w:szCs w:val="21"/>
        </w:rPr>
        <w:t>21.1投标人必须在“投标人须知前附表”规定的</w:t>
      </w:r>
      <w:r>
        <w:rPr>
          <w:rFonts w:hint="eastAsia" w:ascii="宋体" w:hAnsi="宋体"/>
          <w:color w:val="auto"/>
          <w:szCs w:val="21"/>
        </w:rPr>
        <w:t>提交投标文件截止时间前将</w:t>
      </w:r>
      <w:r>
        <w:rPr>
          <w:rFonts w:hint="eastAsia" w:hAnsi="宋体"/>
          <w:bCs/>
          <w:color w:val="auto"/>
          <w:szCs w:val="21"/>
        </w:rPr>
        <w:t>电子投标文件提交至投标地点。电子投标文件应在制作完成后，</w:t>
      </w:r>
      <w:r>
        <w:rPr>
          <w:rFonts w:hAnsi="宋体"/>
          <w:bCs/>
          <w:color w:val="auto"/>
          <w:szCs w:val="21"/>
        </w:rPr>
        <w:t>在投标截止时间前</w:t>
      </w:r>
      <w:r>
        <w:rPr>
          <w:rFonts w:hint="eastAsia" w:hAnsi="宋体"/>
          <w:bCs/>
          <w:color w:val="auto"/>
          <w:szCs w:val="21"/>
        </w:rPr>
        <w:t>通过有效数字证书（CA认证锁）进行电子签章、加密，然后通过网络将加密的电子投标文件递交至</w:t>
      </w:r>
      <w:r>
        <w:rPr>
          <w:rFonts w:hint="eastAsia" w:ascii="宋体" w:hAnsi="宋体"/>
          <w:b/>
          <w:color w:val="auto"/>
          <w:szCs w:val="21"/>
        </w:rPr>
        <w:t>广西政府采购云平台</w:t>
      </w:r>
      <w:r>
        <w:rPr>
          <w:rFonts w:hint="eastAsia" w:hAnsi="宋体"/>
          <w:bCs/>
          <w:color w:val="auto"/>
          <w:szCs w:val="21"/>
        </w:rPr>
        <w:t>。</w:t>
      </w:r>
    </w:p>
    <w:p w14:paraId="1F0CFEAB">
      <w:pPr>
        <w:spacing w:line="360" w:lineRule="auto"/>
        <w:ind w:firstLine="422" w:firstLineChars="200"/>
        <w:rPr>
          <w:rFonts w:ascii="宋体" w:hAnsi="宋体"/>
          <w:b/>
          <w:color w:val="auto"/>
          <w:szCs w:val="20"/>
        </w:rPr>
      </w:pPr>
      <w:r>
        <w:rPr>
          <w:rFonts w:hint="eastAsia" w:ascii="宋体" w:hAnsi="宋体"/>
          <w:b/>
          <w:color w:val="auto"/>
          <w:szCs w:val="21"/>
        </w:rPr>
        <w:t>21.</w:t>
      </w:r>
      <w:r>
        <w:rPr>
          <w:rFonts w:ascii="宋体" w:hAnsi="宋体"/>
          <w:b/>
          <w:color w:val="auto"/>
          <w:szCs w:val="21"/>
        </w:rPr>
        <w:t>2</w:t>
      </w:r>
      <w:r>
        <w:rPr>
          <w:rFonts w:hint="eastAsia" w:ascii="宋体" w:hAnsi="宋体"/>
          <w:b/>
          <w:color w:val="auto"/>
          <w:szCs w:val="21"/>
        </w:rPr>
        <w:t>未在规定时间内提交或者未按照招标文件要求加密的电子投标文件，广西政府采购云平台将拒收。</w:t>
      </w:r>
    </w:p>
    <w:p w14:paraId="2EC6C8F5">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22. 投标文件的补充、修改、撤回与退回</w:t>
      </w:r>
    </w:p>
    <w:p w14:paraId="160C7088">
      <w:pPr>
        <w:snapToGrid w:val="0"/>
        <w:spacing w:line="360" w:lineRule="auto"/>
        <w:ind w:firstLine="420"/>
        <w:jc w:val="left"/>
        <w:rPr>
          <w:rFonts w:ascii="宋体" w:hAnsi="宋体"/>
          <w:color w:val="auto"/>
          <w:szCs w:val="21"/>
        </w:rPr>
      </w:pPr>
      <w:bookmarkStart w:id="141" w:name="_Toc254970684"/>
      <w:bookmarkStart w:id="142" w:name="_Toc254970543"/>
      <w:r>
        <w:rPr>
          <w:rFonts w:ascii="宋体" w:hAnsi="宋体" w:cs="宋体"/>
          <w:color w:val="auto"/>
          <w:szCs w:val="21"/>
        </w:rPr>
        <w:t>22</w:t>
      </w:r>
      <w:r>
        <w:rPr>
          <w:rFonts w:hint="eastAsia" w:ascii="宋体" w:hAnsi="宋体" w:cs="宋体"/>
          <w:color w:val="auto"/>
          <w:szCs w:val="21"/>
        </w:rPr>
        <w:t>.1</w:t>
      </w:r>
      <w:r>
        <w:rPr>
          <w:rFonts w:hint="eastAsia" w:ascii="宋体" w:hAnsi="宋体"/>
          <w:bCs/>
          <w:color w:val="auto"/>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rPr>
        <w:t>（补充、修改或者撤回方式可</w:t>
      </w:r>
      <w:r>
        <w:rPr>
          <w:rFonts w:hint="eastAsia" w:ascii="宋体" w:hAnsi="宋体"/>
          <w:color w:val="auto"/>
          <w:szCs w:val="21"/>
        </w:rPr>
        <w:t>登录</w:t>
      </w:r>
      <w:r>
        <w:rPr>
          <w:rFonts w:hint="eastAsia" w:ascii="宋体" w:hAnsi="宋体" w:cs="宋体"/>
          <w:color w:val="auto"/>
          <w:kern w:val="0"/>
          <w:szCs w:val="21"/>
        </w:rPr>
        <w:t>广西政府采购云平台，依次</w:t>
      </w:r>
      <w:r>
        <w:rPr>
          <w:rFonts w:hint="eastAsia" w:ascii="宋体" w:hAnsi="宋体"/>
          <w:color w:val="auto"/>
          <w:szCs w:val="21"/>
        </w:rPr>
        <w:t>进入“服务中心”中查看</w:t>
      </w:r>
      <w:r>
        <w:rPr>
          <w:rFonts w:hint="eastAsia" w:ascii="宋体" w:hAnsi="宋体" w:cs="宋体"/>
          <w:color w:val="auto"/>
          <w:szCs w:val="21"/>
        </w:rPr>
        <w:t xml:space="preserve"> “电子投标文件制作与投送教程”）</w:t>
      </w:r>
    </w:p>
    <w:bookmarkEnd w:id="141"/>
    <w:bookmarkEnd w:id="142"/>
    <w:p w14:paraId="66D56F03">
      <w:pPr>
        <w:pStyle w:val="114"/>
        <w:spacing w:before="0"/>
        <w:ind w:firstLine="420"/>
        <w:rPr>
          <w:rFonts w:ascii="宋体" w:hAnsi="宋体" w:cs="宋体"/>
          <w:color w:val="auto"/>
          <w:sz w:val="21"/>
          <w:szCs w:val="21"/>
        </w:rPr>
      </w:pPr>
      <w:r>
        <w:rPr>
          <w:rFonts w:ascii="宋体" w:hAnsi="宋体" w:cs="宋体"/>
          <w:color w:val="auto"/>
          <w:sz w:val="21"/>
          <w:szCs w:val="21"/>
        </w:rPr>
        <w:t>22.</w:t>
      </w:r>
      <w:r>
        <w:rPr>
          <w:rFonts w:hint="eastAsia" w:ascii="宋体" w:hAnsi="宋体" w:cs="宋体"/>
          <w:color w:val="auto"/>
          <w:sz w:val="21"/>
          <w:szCs w:val="21"/>
        </w:rPr>
        <w:t>2广西政府采购云平台收到投标文件后向供应商发出确认回执通知。在投标截止时间前，除供应商补充、修改或者撤回投标文件外，任何单位和个人不得解密或提取投标文件。</w:t>
      </w:r>
    </w:p>
    <w:p w14:paraId="4339E4E4">
      <w:pPr>
        <w:spacing w:line="360" w:lineRule="auto"/>
        <w:ind w:firstLine="420" w:firstLineChars="200"/>
        <w:rPr>
          <w:rFonts w:ascii="宋体" w:hAnsi="宋体" w:cs="宋体"/>
          <w:color w:val="auto"/>
          <w:szCs w:val="21"/>
        </w:rPr>
      </w:pPr>
      <w:r>
        <w:rPr>
          <w:rFonts w:hint="eastAsia" w:ascii="宋体" w:hAnsi="宋体" w:cs="宋体"/>
          <w:color w:val="auto"/>
          <w:szCs w:val="21"/>
        </w:rPr>
        <w:t>22.</w:t>
      </w:r>
      <w:r>
        <w:rPr>
          <w:rFonts w:ascii="宋体" w:hAnsi="宋体" w:cs="宋体"/>
          <w:color w:val="auto"/>
          <w:szCs w:val="21"/>
        </w:rPr>
        <w:t>3</w:t>
      </w:r>
      <w:r>
        <w:rPr>
          <w:rFonts w:hint="eastAsia" w:ascii="宋体" w:hAnsi="宋体" w:cs="宋体"/>
          <w:color w:val="auto"/>
          <w:szCs w:val="21"/>
        </w:rPr>
        <w:t>在投标截止时间后，采购人和采购代理机构对已提交的投标文件概不退回。</w:t>
      </w:r>
    </w:p>
    <w:p w14:paraId="7D391BA2">
      <w:pPr>
        <w:pStyle w:val="5"/>
        <w:keepNext w:val="0"/>
        <w:keepLines w:val="0"/>
        <w:jc w:val="center"/>
        <w:rPr>
          <w:color w:val="auto"/>
        </w:rPr>
      </w:pPr>
      <w:bookmarkStart w:id="143" w:name="_Toc254970685"/>
      <w:bookmarkStart w:id="144" w:name="_Toc254970544"/>
      <w:r>
        <w:rPr>
          <w:rFonts w:hint="eastAsia"/>
          <w:color w:val="auto"/>
        </w:rPr>
        <w:t>四、开标</w:t>
      </w:r>
      <w:bookmarkEnd w:id="143"/>
      <w:bookmarkEnd w:id="144"/>
    </w:p>
    <w:p w14:paraId="1ED5FD7E">
      <w:pPr>
        <w:pStyle w:val="7"/>
        <w:keepNext w:val="0"/>
        <w:keepLines w:val="0"/>
        <w:spacing w:before="0" w:after="0" w:line="360" w:lineRule="auto"/>
        <w:ind w:left="420" w:leftChars="200"/>
        <w:rPr>
          <w:rFonts w:ascii="黑体" w:hAnsi="黑体" w:eastAsia="黑体"/>
          <w:color w:val="auto"/>
          <w:sz w:val="24"/>
        </w:rPr>
      </w:pPr>
      <w:bookmarkStart w:id="145" w:name="_23.开标时间和地点"/>
      <w:bookmarkEnd w:id="145"/>
      <w:r>
        <w:rPr>
          <w:rFonts w:hint="eastAsia" w:ascii="黑体" w:hAnsi="黑体" w:eastAsia="黑体"/>
          <w:color w:val="auto"/>
          <w:sz w:val="24"/>
        </w:rPr>
        <w:t>23.开标时间和地点</w:t>
      </w:r>
    </w:p>
    <w:p w14:paraId="16E14DD8">
      <w:pPr>
        <w:spacing w:line="360" w:lineRule="auto"/>
        <w:ind w:firstLine="420" w:firstLineChars="200"/>
        <w:rPr>
          <w:rFonts w:hAnsi="宋体"/>
          <w:bCs/>
          <w:color w:val="auto"/>
        </w:rPr>
      </w:pPr>
      <w:r>
        <w:rPr>
          <w:rFonts w:hint="eastAsia" w:hAnsi="宋体"/>
          <w:bCs/>
          <w:color w:val="auto"/>
        </w:rPr>
        <w:t>开标时间及地点详见“投标人须知前附表”</w:t>
      </w:r>
    </w:p>
    <w:p w14:paraId="6D0AE874">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24.开标程序</w:t>
      </w:r>
    </w:p>
    <w:p w14:paraId="55A2B937">
      <w:pPr>
        <w:pStyle w:val="8"/>
        <w:spacing w:line="360" w:lineRule="auto"/>
        <w:rPr>
          <w:color w:val="auto"/>
        </w:rPr>
      </w:pPr>
      <w:r>
        <w:rPr>
          <w:rFonts w:hint="eastAsia"/>
          <w:color w:val="auto"/>
        </w:rPr>
        <w:t>2</w:t>
      </w:r>
      <w:r>
        <w:rPr>
          <w:color w:val="auto"/>
        </w:rPr>
        <w:t>4.1</w:t>
      </w:r>
      <w:r>
        <w:rPr>
          <w:rFonts w:hint="eastAsia"/>
          <w:color w:val="auto"/>
        </w:rPr>
        <w:t>提交投标文件截止时间止，投标人不足3家的，不得开标。</w:t>
      </w:r>
    </w:p>
    <w:p w14:paraId="14F5AC05">
      <w:pPr>
        <w:pStyle w:val="8"/>
        <w:spacing w:line="360" w:lineRule="auto"/>
        <w:rPr>
          <w:color w:val="auto"/>
        </w:rPr>
      </w:pPr>
      <w:r>
        <w:rPr>
          <w:rFonts w:hint="eastAsia"/>
          <w:color w:val="auto"/>
        </w:rPr>
        <w:t>24.</w:t>
      </w:r>
      <w:r>
        <w:rPr>
          <w:color w:val="auto"/>
        </w:rPr>
        <w:t>2</w:t>
      </w:r>
      <w:r>
        <w:rPr>
          <w:rFonts w:hint="eastAsia"/>
          <w:color w:val="auto"/>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59C88B59">
      <w:pPr>
        <w:pStyle w:val="8"/>
        <w:spacing w:line="360" w:lineRule="auto"/>
        <w:rPr>
          <w:color w:val="auto"/>
        </w:rPr>
      </w:pPr>
      <w:r>
        <w:rPr>
          <w:rFonts w:hint="eastAsia"/>
          <w:color w:val="auto"/>
        </w:rPr>
        <w:t>24.</w:t>
      </w:r>
      <w:r>
        <w:rPr>
          <w:color w:val="auto"/>
        </w:rPr>
        <w:t>3</w:t>
      </w:r>
      <w:r>
        <w:rPr>
          <w:rFonts w:hint="eastAsia"/>
          <w:color w:val="auto"/>
        </w:rPr>
        <w:t>开标程序</w:t>
      </w:r>
    </w:p>
    <w:p w14:paraId="3A0C3471">
      <w:pPr>
        <w:pStyle w:val="8"/>
        <w:spacing w:line="360" w:lineRule="auto"/>
        <w:rPr>
          <w:color w:val="auto"/>
        </w:rPr>
      </w:pPr>
      <w:r>
        <w:rPr>
          <w:rFonts w:hint="eastAsia"/>
          <w:color w:val="auto"/>
        </w:rPr>
        <w:t>（1）解密电子投标文件。广西政府采购云平台按开标时间自动提取所有投标文件。采购代理机构依托广西政府采购云平台向各投标人发出电子加密投标文件【开始解密】通知，由投标人按</w:t>
      </w:r>
      <w:r>
        <w:rPr>
          <w:rFonts w:hint="eastAsia" w:hAnsi="宋体"/>
          <w:bCs/>
          <w:color w:val="auto"/>
          <w:szCs w:val="21"/>
        </w:rPr>
        <w:t>“投标人须知前附表”</w:t>
      </w:r>
      <w:r>
        <w:rPr>
          <w:rFonts w:hint="eastAsia"/>
          <w:color w:val="auto"/>
        </w:rPr>
        <w:t>规定的时间内自行进行投标文件解密。投标人的法定代表人或其委托代理人须凭加密时所用的CA锁准时登录到广西政府采购云平台电子开标大厅签到并对电子投标文件解密。</w:t>
      </w:r>
      <w:r>
        <w:rPr>
          <w:b/>
          <w:color w:val="auto"/>
        </w:rPr>
        <w:t>投标人</w:t>
      </w:r>
      <w:r>
        <w:rPr>
          <w:rFonts w:hint="eastAsia"/>
          <w:b/>
          <w:color w:val="auto"/>
        </w:rPr>
        <w:t>未在</w:t>
      </w:r>
      <w:r>
        <w:rPr>
          <w:b/>
          <w:color w:val="auto"/>
        </w:rPr>
        <w:t>规定的时间内解密</w:t>
      </w:r>
      <w:r>
        <w:rPr>
          <w:rFonts w:hint="eastAsia"/>
          <w:b/>
          <w:color w:val="auto"/>
        </w:rPr>
        <w:t>投标文件</w:t>
      </w:r>
      <w:r>
        <w:rPr>
          <w:b/>
          <w:color w:val="auto"/>
        </w:rPr>
        <w:t>或</w:t>
      </w:r>
      <w:r>
        <w:rPr>
          <w:rFonts w:hint="eastAsia"/>
          <w:b/>
          <w:color w:val="auto"/>
        </w:rPr>
        <w:t>者</w:t>
      </w:r>
      <w:r>
        <w:rPr>
          <w:b/>
          <w:color w:val="auto"/>
        </w:rPr>
        <w:t>解密失败的</w:t>
      </w:r>
      <w:r>
        <w:rPr>
          <w:rFonts w:hint="eastAsia"/>
          <w:b/>
          <w:color w:val="auto"/>
        </w:rPr>
        <w:t>，</w:t>
      </w:r>
      <w:r>
        <w:rPr>
          <w:rFonts w:hint="eastAsia" w:ascii="宋体" w:hAnsi="宋体"/>
          <w:b/>
          <w:color w:val="auto"/>
          <w:szCs w:val="21"/>
        </w:rPr>
        <w:t>投标人的投标文件作无效处理</w:t>
      </w:r>
      <w:r>
        <w:rPr>
          <w:b/>
          <w:color w:val="auto"/>
        </w:rPr>
        <w:t>。</w:t>
      </w:r>
    </w:p>
    <w:p w14:paraId="783A9CE0">
      <w:pPr>
        <w:pStyle w:val="8"/>
        <w:spacing w:line="360" w:lineRule="auto"/>
        <w:rPr>
          <w:color w:val="auto"/>
        </w:rPr>
      </w:pPr>
      <w:r>
        <w:rPr>
          <w:rFonts w:hint="eastAsia"/>
          <w:color w:val="auto"/>
        </w:rPr>
        <w:t>（2）电子唱标。投标文件解密结束，宣布的内容均在广西政府采购云平台远程开标大厅展示，具体详见</w:t>
      </w:r>
      <w:r>
        <w:rPr>
          <w:rFonts w:hint="eastAsia" w:hAnsi="宋体"/>
          <w:bCs/>
          <w:color w:val="auto"/>
        </w:rPr>
        <w:t>“投标人须知前附表”</w:t>
      </w:r>
      <w:r>
        <w:rPr>
          <w:rFonts w:hint="eastAsia"/>
          <w:color w:val="auto"/>
        </w:rPr>
        <w:t>；</w:t>
      </w:r>
    </w:p>
    <w:p w14:paraId="110D4189">
      <w:pPr>
        <w:pStyle w:val="8"/>
        <w:spacing w:line="360" w:lineRule="auto"/>
        <w:rPr>
          <w:color w:val="auto"/>
        </w:rPr>
      </w:pPr>
      <w:r>
        <w:rPr>
          <w:rFonts w:hint="eastAsia"/>
          <w:color w:val="auto"/>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5A2D00D1">
      <w:pPr>
        <w:pStyle w:val="8"/>
        <w:spacing w:line="360" w:lineRule="auto"/>
        <w:rPr>
          <w:color w:val="auto"/>
        </w:rPr>
      </w:pPr>
      <w:r>
        <w:rPr>
          <w:rFonts w:hint="eastAsia"/>
          <w:color w:val="auto"/>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66F3C9A">
      <w:pPr>
        <w:pStyle w:val="8"/>
        <w:spacing w:line="360" w:lineRule="auto"/>
        <w:rPr>
          <w:color w:val="auto"/>
          <w:szCs w:val="21"/>
        </w:rPr>
      </w:pPr>
      <w:r>
        <w:rPr>
          <w:rFonts w:hint="eastAsia"/>
          <w:color w:val="auto"/>
          <w:szCs w:val="21"/>
        </w:rPr>
        <w:t>（5）开标结束。</w:t>
      </w:r>
    </w:p>
    <w:p w14:paraId="6F0076E9">
      <w:pPr>
        <w:pStyle w:val="20"/>
        <w:snapToGrid w:val="0"/>
        <w:spacing w:line="360" w:lineRule="auto"/>
        <w:ind w:firstLine="420" w:firstLineChars="200"/>
        <w:rPr>
          <w:rFonts w:hAnsi="宋体"/>
          <w:color w:val="auto"/>
          <w:sz w:val="21"/>
        </w:rPr>
      </w:pPr>
      <w:r>
        <w:rPr>
          <w:rFonts w:hint="eastAsia"/>
          <w:color w:val="auto"/>
          <w:sz w:val="21"/>
        </w:rPr>
        <w:t>特别说明：如遇广西政府采购云平台电子化开标或评审程序调整的，按调整后执行。</w:t>
      </w:r>
    </w:p>
    <w:p w14:paraId="35A794E9">
      <w:pPr>
        <w:pStyle w:val="20"/>
        <w:snapToGrid w:val="0"/>
        <w:spacing w:line="360" w:lineRule="auto"/>
        <w:ind w:left="689" w:leftChars="228" w:hanging="210" w:hangingChars="100"/>
        <w:rPr>
          <w:rFonts w:hAnsi="宋体"/>
          <w:color w:val="auto"/>
          <w:sz w:val="21"/>
        </w:rPr>
      </w:pPr>
    </w:p>
    <w:p w14:paraId="1DD2E5CE">
      <w:pPr>
        <w:pStyle w:val="5"/>
        <w:keepNext w:val="0"/>
        <w:keepLines w:val="0"/>
        <w:jc w:val="center"/>
        <w:rPr>
          <w:color w:val="auto"/>
        </w:rPr>
      </w:pPr>
      <w:r>
        <w:rPr>
          <w:rFonts w:hint="eastAsia"/>
          <w:color w:val="auto"/>
        </w:rPr>
        <w:t>五、资格审查</w:t>
      </w:r>
    </w:p>
    <w:p w14:paraId="4C983B1A">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25.资格审查</w:t>
      </w:r>
    </w:p>
    <w:p w14:paraId="5C09579C">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25.1</w:t>
      </w:r>
      <w:r>
        <w:rPr>
          <w:rFonts w:ascii="宋体" w:hAnsi="宋体"/>
          <w:b w:val="0"/>
          <w:color w:val="auto"/>
          <w:sz w:val="21"/>
          <w:szCs w:val="21"/>
        </w:rPr>
        <w:t>开标结束后，</w:t>
      </w:r>
      <w:r>
        <w:rPr>
          <w:rFonts w:hint="eastAsia" w:ascii="宋体" w:hAnsi="宋体"/>
          <w:b w:val="0"/>
          <w:color w:val="auto"/>
          <w:sz w:val="21"/>
          <w:szCs w:val="21"/>
        </w:rPr>
        <w:t>采购人或者采购代理机构通过电子开评标系统依据招标文件对电子投标文件进行线上资格审查</w:t>
      </w:r>
      <w:r>
        <w:rPr>
          <w:rFonts w:ascii="宋体" w:hAnsi="宋体"/>
          <w:b w:val="0"/>
          <w:color w:val="auto"/>
          <w:sz w:val="21"/>
          <w:szCs w:val="21"/>
        </w:rPr>
        <w:t>。</w:t>
      </w:r>
    </w:p>
    <w:p w14:paraId="79A14D1B">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14:paraId="3195503A">
      <w:pPr>
        <w:pStyle w:val="7"/>
        <w:keepNext w:val="0"/>
        <w:keepLines w:val="0"/>
        <w:spacing w:before="0" w:after="0" w:line="360" w:lineRule="auto"/>
        <w:ind w:firstLine="422" w:firstLineChars="200"/>
        <w:rPr>
          <w:rFonts w:ascii="宋体" w:hAnsi="宋体"/>
          <w:color w:val="auto"/>
          <w:sz w:val="21"/>
          <w:szCs w:val="21"/>
        </w:rPr>
      </w:pPr>
      <w:bookmarkStart w:id="146" w:name="_25.3_投标人有下列情形之一的，资格审查不通过而导致其投标无效："/>
      <w:bookmarkEnd w:id="146"/>
      <w:r>
        <w:rPr>
          <w:rFonts w:hint="eastAsia" w:ascii="宋体" w:hAnsi="宋体"/>
          <w:color w:val="auto"/>
          <w:sz w:val="21"/>
          <w:szCs w:val="21"/>
        </w:rPr>
        <w:t>25.3 投标人有下列情形之一的，资格审查不通过，作无效投标处理：</w:t>
      </w:r>
    </w:p>
    <w:p w14:paraId="52637C9C">
      <w:pPr>
        <w:pStyle w:val="20"/>
        <w:snapToGrid w:val="0"/>
        <w:spacing w:line="360" w:lineRule="auto"/>
        <w:ind w:firstLine="422" w:firstLineChars="200"/>
        <w:rPr>
          <w:rFonts w:hAnsi="宋体"/>
          <w:b/>
          <w:color w:val="auto"/>
          <w:sz w:val="21"/>
        </w:rPr>
      </w:pPr>
      <w:r>
        <w:rPr>
          <w:rFonts w:hint="eastAsia" w:hAnsi="宋体"/>
          <w:b/>
          <w:color w:val="auto"/>
          <w:sz w:val="21"/>
        </w:rPr>
        <w:t>（1）不具备招标文件中规定的资格要求的；</w:t>
      </w:r>
    </w:p>
    <w:p w14:paraId="2DB8125B">
      <w:pPr>
        <w:pStyle w:val="20"/>
        <w:snapToGrid w:val="0"/>
        <w:spacing w:line="360" w:lineRule="auto"/>
        <w:ind w:firstLine="422" w:firstLineChars="200"/>
        <w:rPr>
          <w:rFonts w:hAnsi="宋体"/>
          <w:b/>
          <w:color w:val="auto"/>
          <w:sz w:val="21"/>
        </w:rPr>
      </w:pPr>
      <w:r>
        <w:rPr>
          <w:rFonts w:hint="eastAsia" w:hAnsi="宋体"/>
          <w:b/>
          <w:color w:val="auto"/>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70D37C98">
      <w:pPr>
        <w:pStyle w:val="20"/>
        <w:snapToGrid w:val="0"/>
        <w:spacing w:line="360" w:lineRule="auto"/>
        <w:ind w:firstLine="422" w:firstLineChars="200"/>
        <w:rPr>
          <w:rFonts w:hAnsi="宋体"/>
          <w:b/>
          <w:color w:val="auto"/>
          <w:sz w:val="21"/>
        </w:rPr>
      </w:pPr>
      <w:r>
        <w:rPr>
          <w:rFonts w:hint="eastAsia" w:hAnsi="宋体"/>
          <w:b/>
          <w:color w:val="auto"/>
          <w:sz w:val="21"/>
        </w:rPr>
        <w:t>（3）同一合同项下的不同投标人，单位负责人为同一人或者存在直接控股、管理关系的；为本项目提供过整体设计、规范编制或者项目管理、监理、检测等服务的供应商，再参加该采购项目的其他采购活动的；</w:t>
      </w:r>
    </w:p>
    <w:p w14:paraId="2F85CB0F">
      <w:pPr>
        <w:pStyle w:val="20"/>
        <w:snapToGrid w:val="0"/>
        <w:spacing w:line="360" w:lineRule="auto"/>
        <w:ind w:firstLine="422" w:firstLineChars="200"/>
        <w:rPr>
          <w:rFonts w:hAnsi="宋体"/>
          <w:b/>
          <w:color w:val="auto"/>
          <w:sz w:val="21"/>
        </w:rPr>
      </w:pPr>
      <w:r>
        <w:rPr>
          <w:rFonts w:hint="eastAsia" w:hAnsi="宋体"/>
          <w:b/>
          <w:color w:val="auto"/>
          <w:sz w:val="21"/>
        </w:rPr>
        <w:t>（4）投标文件中的资格证明文件缺少任一项“投标人须知前附表”资格证明文件规定“必须提供”的文件资料的；</w:t>
      </w:r>
    </w:p>
    <w:p w14:paraId="308047C1">
      <w:pPr>
        <w:pStyle w:val="20"/>
        <w:snapToGrid w:val="0"/>
        <w:spacing w:line="360" w:lineRule="auto"/>
        <w:ind w:firstLine="422" w:firstLineChars="200"/>
        <w:rPr>
          <w:rFonts w:hAnsi="宋体"/>
          <w:b/>
          <w:color w:val="auto"/>
          <w:sz w:val="21"/>
        </w:rPr>
      </w:pPr>
      <w:r>
        <w:rPr>
          <w:rFonts w:hint="eastAsia" w:hAnsi="宋体"/>
          <w:b/>
          <w:color w:val="auto"/>
          <w:sz w:val="21"/>
        </w:rPr>
        <w:t>（5）投标文件中的资格证明文件出现任一项不符合“投标人须知前附表”资格证明文件规定“必须提供”的文件资料要求或者无效的。</w:t>
      </w:r>
    </w:p>
    <w:p w14:paraId="596CB60A">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color w:val="auto"/>
          <w:sz w:val="21"/>
          <w:szCs w:val="21"/>
        </w:rPr>
        <w:t>25.4</w:t>
      </w:r>
      <w:r>
        <w:rPr>
          <w:rFonts w:ascii="宋体" w:hAnsi="宋体"/>
          <w:color w:val="auto"/>
          <w:sz w:val="21"/>
          <w:szCs w:val="21"/>
        </w:rPr>
        <w:t>合格投标人不足3家的，不得评标。</w:t>
      </w:r>
    </w:p>
    <w:p w14:paraId="43E4B15B">
      <w:pPr>
        <w:pStyle w:val="20"/>
        <w:snapToGrid w:val="0"/>
        <w:spacing w:line="360" w:lineRule="auto"/>
        <w:ind w:left="689" w:leftChars="228" w:hanging="210" w:hangingChars="100"/>
        <w:rPr>
          <w:rFonts w:hAnsi="宋体"/>
          <w:color w:val="auto"/>
          <w:sz w:val="21"/>
        </w:rPr>
      </w:pPr>
    </w:p>
    <w:p w14:paraId="1D60E6DE">
      <w:pPr>
        <w:pStyle w:val="5"/>
        <w:keepNext w:val="0"/>
        <w:keepLines w:val="0"/>
        <w:jc w:val="center"/>
        <w:rPr>
          <w:color w:val="auto"/>
        </w:rPr>
      </w:pPr>
      <w:r>
        <w:rPr>
          <w:rFonts w:hint="eastAsia"/>
          <w:color w:val="auto"/>
        </w:rPr>
        <w:t>六、评标</w:t>
      </w:r>
    </w:p>
    <w:p w14:paraId="20A5D13B">
      <w:pPr>
        <w:pStyle w:val="7"/>
        <w:keepNext w:val="0"/>
        <w:keepLines w:val="0"/>
        <w:spacing w:before="0" w:after="0" w:line="360" w:lineRule="auto"/>
        <w:ind w:left="420" w:leftChars="200"/>
        <w:rPr>
          <w:rFonts w:ascii="黑体" w:hAnsi="黑体" w:eastAsia="黑体"/>
          <w:color w:val="auto"/>
          <w:sz w:val="24"/>
        </w:rPr>
      </w:pPr>
      <w:bookmarkStart w:id="147" w:name="_26.组建评标委员会"/>
      <w:bookmarkEnd w:id="147"/>
      <w:r>
        <w:rPr>
          <w:rFonts w:hint="eastAsia" w:ascii="黑体" w:hAnsi="黑体" w:eastAsia="黑体"/>
          <w:color w:val="auto"/>
          <w:sz w:val="24"/>
        </w:rPr>
        <w:t>26.组建评标委员会</w:t>
      </w:r>
    </w:p>
    <w:p w14:paraId="054626D0">
      <w:pPr>
        <w:pStyle w:val="20"/>
        <w:snapToGrid w:val="0"/>
        <w:spacing w:line="360" w:lineRule="auto"/>
        <w:ind w:firstLine="420" w:firstLineChars="200"/>
        <w:rPr>
          <w:rFonts w:hAnsi="宋体"/>
          <w:color w:val="auto"/>
          <w:sz w:val="21"/>
        </w:rPr>
      </w:pPr>
      <w:r>
        <w:rPr>
          <w:rFonts w:hint="eastAsia" w:hAnsi="宋体"/>
          <w:color w:val="auto"/>
          <w:sz w:val="21"/>
        </w:rPr>
        <w:t>26.1评标委员会由采购人代表和评审专家组成，具体人数详见“投标人须知前附表”，其中评审专家不得少于成员总数的三分之二。</w:t>
      </w:r>
    </w:p>
    <w:p w14:paraId="52BDED1D">
      <w:pPr>
        <w:pStyle w:val="20"/>
        <w:snapToGrid w:val="0"/>
        <w:spacing w:line="360" w:lineRule="auto"/>
        <w:ind w:left="2" w:leftChars="1" w:firstLine="420" w:firstLineChars="200"/>
        <w:rPr>
          <w:rFonts w:hAnsi="宋体"/>
          <w:color w:val="auto"/>
          <w:sz w:val="21"/>
        </w:rPr>
      </w:pPr>
      <w:r>
        <w:rPr>
          <w:rFonts w:hint="eastAsia" w:hAnsi="宋体"/>
          <w:color w:val="auto"/>
          <w:sz w:val="21"/>
        </w:rPr>
        <w:t>26.2参加过采购项目前期咨询论证的专家，不得参加该采购项目的评审活动。</w:t>
      </w:r>
    </w:p>
    <w:p w14:paraId="76098A44">
      <w:pPr>
        <w:pStyle w:val="20"/>
        <w:snapToGrid w:val="0"/>
        <w:spacing w:line="360" w:lineRule="auto"/>
        <w:ind w:left="2" w:leftChars="1" w:firstLine="420" w:firstLineChars="200"/>
        <w:rPr>
          <w:rFonts w:hAnsi="宋体"/>
          <w:color w:val="auto"/>
          <w:sz w:val="21"/>
        </w:rPr>
      </w:pPr>
      <w:r>
        <w:rPr>
          <w:rFonts w:hint="eastAsia" w:hAnsi="宋体"/>
          <w:color w:val="auto"/>
          <w:sz w:val="21"/>
        </w:rPr>
        <w:t>26.3</w:t>
      </w:r>
      <w:r>
        <w:rPr>
          <w:rFonts w:hint="eastAsia" w:hAnsi="宋体"/>
          <w:bCs/>
          <w:color w:val="auto"/>
          <w:sz w:val="21"/>
        </w:rPr>
        <w:t>采购代理机构应当基于广西政府采购云平台抽（选）取评审专家。</w:t>
      </w:r>
    </w:p>
    <w:p w14:paraId="28162B23">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27.评标的依据</w:t>
      </w:r>
    </w:p>
    <w:p w14:paraId="4B5F86AE">
      <w:pPr>
        <w:pStyle w:val="20"/>
        <w:snapToGrid w:val="0"/>
        <w:spacing w:line="360" w:lineRule="auto"/>
        <w:ind w:firstLine="420" w:firstLineChars="200"/>
        <w:rPr>
          <w:rFonts w:hAnsi="宋体"/>
          <w:color w:val="auto"/>
          <w:sz w:val="21"/>
        </w:rPr>
      </w:pPr>
      <w:r>
        <w:rPr>
          <w:rFonts w:hint="eastAsia" w:hAnsi="宋体"/>
          <w:color w:val="auto"/>
          <w:sz w:val="21"/>
        </w:rPr>
        <w:t>评标委员会以</w:t>
      </w:r>
      <w:r>
        <w:rPr>
          <w:rFonts w:hint="eastAsia" w:hAnsi="宋体" w:cs="宋体"/>
          <w:color w:val="auto"/>
          <w:sz w:val="21"/>
        </w:rPr>
        <w:t>“第四章 评标方法和评标标准”</w:t>
      </w:r>
      <w:r>
        <w:rPr>
          <w:rFonts w:hint="eastAsia" w:hAnsi="宋体"/>
          <w:color w:val="auto"/>
          <w:sz w:val="21"/>
        </w:rPr>
        <w:t>为依据对投标文件进行评审，</w:t>
      </w:r>
      <w:r>
        <w:rPr>
          <w:rFonts w:hAnsi="宋体"/>
          <w:color w:val="auto"/>
          <w:sz w:val="21"/>
        </w:rPr>
        <w:t>没有规定的方法、评审因素和标准，不作为评标依据。</w:t>
      </w:r>
    </w:p>
    <w:p w14:paraId="7F02E131">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28.评标原则</w:t>
      </w:r>
    </w:p>
    <w:p w14:paraId="71307463">
      <w:pPr>
        <w:pStyle w:val="20"/>
        <w:snapToGrid w:val="0"/>
        <w:spacing w:line="360" w:lineRule="auto"/>
        <w:ind w:firstLine="420" w:firstLineChars="200"/>
        <w:rPr>
          <w:rFonts w:hAnsi="宋体"/>
          <w:color w:val="auto"/>
          <w:sz w:val="21"/>
        </w:rPr>
      </w:pPr>
      <w:r>
        <w:rPr>
          <w:rFonts w:hint="eastAsia" w:hAnsi="宋体"/>
          <w:color w:val="auto"/>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0A37074">
      <w:pPr>
        <w:pStyle w:val="20"/>
        <w:snapToGrid w:val="0"/>
        <w:spacing w:line="360" w:lineRule="auto"/>
        <w:ind w:firstLine="420" w:firstLineChars="200"/>
        <w:rPr>
          <w:rFonts w:hAnsi="宋体"/>
          <w:color w:val="auto"/>
          <w:sz w:val="21"/>
        </w:rPr>
      </w:pPr>
      <w:r>
        <w:rPr>
          <w:rFonts w:hint="eastAsia" w:hAnsi="宋体"/>
          <w:color w:val="auto"/>
          <w:sz w:val="21"/>
        </w:rPr>
        <w:t>28.2</w:t>
      </w:r>
      <w:bookmarkStart w:id="148" w:name="_28.3评标方法。本项目将按须知前附表规定的评标办法进行评标，具体评标"/>
      <w:bookmarkEnd w:id="148"/>
      <w:r>
        <w:rPr>
          <w:rFonts w:hint="eastAsia" w:hAnsi="宋体"/>
          <w:color w:val="auto"/>
          <w:sz w:val="21"/>
        </w:rPr>
        <w:t>评委表决。评标委员会成员对需要共同认定的事项存在争议的，应当按照少数服从多数的原则作出结论。</w:t>
      </w:r>
    </w:p>
    <w:p w14:paraId="2C3503B7">
      <w:pPr>
        <w:pStyle w:val="20"/>
        <w:snapToGrid w:val="0"/>
        <w:spacing w:line="360" w:lineRule="auto"/>
        <w:ind w:firstLine="420" w:firstLineChars="200"/>
        <w:rPr>
          <w:rFonts w:hAnsi="宋体"/>
          <w:color w:val="auto"/>
          <w:sz w:val="21"/>
        </w:rPr>
      </w:pPr>
      <w:r>
        <w:rPr>
          <w:rFonts w:hint="eastAsia" w:hAnsi="宋体"/>
          <w:color w:val="auto"/>
          <w:sz w:val="21"/>
        </w:rPr>
        <w:t>28.</w:t>
      </w:r>
      <w:r>
        <w:rPr>
          <w:rFonts w:hAnsi="宋体"/>
          <w:color w:val="auto"/>
          <w:sz w:val="21"/>
        </w:rPr>
        <w:t>3</w:t>
      </w:r>
      <w:r>
        <w:rPr>
          <w:rFonts w:hint="eastAsia" w:hAnsi="宋体"/>
          <w:color w:val="auto"/>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29865BD">
      <w:pPr>
        <w:pStyle w:val="20"/>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8.4</w:t>
      </w:r>
      <w:r>
        <w:rPr>
          <w:rFonts w:hint="eastAsia" w:hAnsi="宋体"/>
          <w:color w:val="auto"/>
          <w:sz w:val="21"/>
        </w:rPr>
        <w:t>评标过程的监控。本项目电子评标过程实行网上留痕、全程录音、录像监控，</w:t>
      </w:r>
      <w:r>
        <w:rPr>
          <w:rFonts w:hint="eastAsia" w:hAnsi="宋体"/>
          <w:b/>
          <w:color w:val="auto"/>
          <w:sz w:val="21"/>
        </w:rPr>
        <w:t>投标人在评标过程中所进行的试图影响评标结果的不公正活动，可能导致其投标按无效处理。</w:t>
      </w:r>
    </w:p>
    <w:p w14:paraId="4936A9B7">
      <w:pPr>
        <w:pStyle w:val="7"/>
        <w:keepNext w:val="0"/>
        <w:keepLines w:val="0"/>
        <w:spacing w:before="0" w:after="0" w:line="360" w:lineRule="auto"/>
        <w:ind w:left="420" w:leftChars="200"/>
        <w:rPr>
          <w:rFonts w:ascii="黑体" w:hAnsi="黑体" w:eastAsia="黑体"/>
          <w:color w:val="auto"/>
          <w:sz w:val="21"/>
          <w:szCs w:val="21"/>
        </w:rPr>
      </w:pPr>
      <w:r>
        <w:rPr>
          <w:rFonts w:hint="eastAsia" w:ascii="黑体" w:hAnsi="黑体" w:eastAsia="黑体"/>
          <w:color w:val="auto"/>
          <w:sz w:val="21"/>
          <w:szCs w:val="21"/>
        </w:rPr>
        <w:t>29.评标方法及中标候选人推荐</w:t>
      </w:r>
    </w:p>
    <w:p w14:paraId="73EC9510">
      <w:pPr>
        <w:pStyle w:val="20"/>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9.1</w:t>
      </w:r>
      <w:r>
        <w:rPr>
          <w:rFonts w:hint="eastAsia" w:hAnsi="宋体"/>
          <w:color w:val="auto"/>
          <w:sz w:val="21"/>
        </w:rPr>
        <w:t>本项目的评标方法详见“投标人须知前附表”。</w:t>
      </w:r>
    </w:p>
    <w:p w14:paraId="7D8625D7">
      <w:pPr>
        <w:pStyle w:val="20"/>
        <w:snapToGrid w:val="0"/>
        <w:spacing w:line="360" w:lineRule="auto"/>
        <w:ind w:firstLine="420" w:firstLineChars="200"/>
        <w:rPr>
          <w:rFonts w:hAnsi="宋体"/>
          <w:color w:val="auto"/>
          <w:sz w:val="21"/>
        </w:rPr>
      </w:pPr>
      <w:r>
        <w:rPr>
          <w:rFonts w:hint="eastAsia" w:hAnsi="宋体"/>
          <w:color w:val="auto"/>
          <w:sz w:val="21"/>
        </w:rPr>
        <w:t>2</w:t>
      </w:r>
      <w:r>
        <w:rPr>
          <w:rFonts w:hAnsi="宋体"/>
          <w:color w:val="auto"/>
          <w:sz w:val="21"/>
        </w:rPr>
        <w:t>9.2</w:t>
      </w:r>
      <w:r>
        <w:rPr>
          <w:rFonts w:hint="eastAsia" w:hAnsi="宋体" w:cs="宋体"/>
          <w:color w:val="auto"/>
          <w:sz w:val="21"/>
        </w:rPr>
        <w:t>商务/技术要求</w:t>
      </w:r>
      <w:r>
        <w:rPr>
          <w:rFonts w:hint="eastAsia" w:hAnsi="宋体"/>
          <w:color w:val="auto"/>
          <w:sz w:val="21"/>
        </w:rPr>
        <w:t>允许负偏离的条款数</w:t>
      </w:r>
      <w:r>
        <w:rPr>
          <w:rFonts w:hAnsi="宋体"/>
          <w:color w:val="auto"/>
          <w:sz w:val="21"/>
        </w:rPr>
        <w:t>详见</w:t>
      </w:r>
      <w:r>
        <w:rPr>
          <w:rFonts w:hint="eastAsia" w:hAnsi="宋体"/>
          <w:color w:val="auto"/>
          <w:sz w:val="21"/>
        </w:rPr>
        <w:t>“投标人须知前附表”。</w:t>
      </w:r>
    </w:p>
    <w:p w14:paraId="3C25210A">
      <w:pPr>
        <w:pStyle w:val="20"/>
        <w:snapToGrid w:val="0"/>
        <w:spacing w:line="360" w:lineRule="auto"/>
        <w:ind w:firstLine="420" w:firstLineChars="200"/>
        <w:rPr>
          <w:rFonts w:hAnsi="宋体" w:cs="宋体"/>
          <w:color w:val="auto"/>
          <w:sz w:val="21"/>
        </w:rPr>
      </w:pPr>
      <w:r>
        <w:rPr>
          <w:rFonts w:hint="eastAsia" w:hAnsi="宋体"/>
          <w:color w:val="auto"/>
          <w:sz w:val="21"/>
        </w:rPr>
        <w:t>2</w:t>
      </w:r>
      <w:r>
        <w:rPr>
          <w:rFonts w:hAnsi="宋体"/>
          <w:color w:val="auto"/>
          <w:sz w:val="21"/>
        </w:rPr>
        <w:t>9.3中标候选人推荐数量详见</w:t>
      </w:r>
      <w:r>
        <w:rPr>
          <w:rFonts w:hint="eastAsia" w:hAnsi="宋体"/>
          <w:color w:val="auto"/>
          <w:sz w:val="21"/>
        </w:rPr>
        <w:t>“投标人须知前附表”。</w:t>
      </w:r>
    </w:p>
    <w:p w14:paraId="5ADE51E6">
      <w:pPr>
        <w:spacing w:line="360" w:lineRule="auto"/>
        <w:ind w:firstLine="420" w:firstLineChars="200"/>
        <w:rPr>
          <w:rFonts w:hAnsi="宋体"/>
          <w:color w:val="auto"/>
        </w:rPr>
      </w:pPr>
      <w:r>
        <w:rPr>
          <w:rFonts w:hint="eastAsia" w:hAnsi="宋体"/>
          <w:color w:val="auto"/>
          <w:szCs w:val="21"/>
        </w:rPr>
        <w:t>29.</w:t>
      </w:r>
      <w:r>
        <w:rPr>
          <w:rFonts w:hAnsi="宋体"/>
          <w:color w:val="auto"/>
          <w:szCs w:val="21"/>
        </w:rPr>
        <w:t>4</w:t>
      </w:r>
      <w:r>
        <w:rPr>
          <w:rFonts w:hint="eastAsia" w:hAnsi="宋体"/>
          <w:color w:val="auto"/>
          <w:szCs w:val="21"/>
        </w:rPr>
        <w:t>电子交易活动的中止。采购过程中出现以下情形，导致</w:t>
      </w:r>
      <w:r>
        <w:rPr>
          <w:rFonts w:hint="eastAsia" w:hAnsi="宋体"/>
          <w:color w:val="auto"/>
        </w:rPr>
        <w:t>电子交易平台无法正常运行，或者无法保证电子交易的公平、公正和安全时，采购代理机构可以中止电子交易活动：</w:t>
      </w:r>
    </w:p>
    <w:p w14:paraId="2157C9A4">
      <w:pPr>
        <w:spacing w:line="360" w:lineRule="auto"/>
        <w:ind w:firstLine="420" w:firstLineChars="200"/>
        <w:rPr>
          <w:rFonts w:hAnsi="宋体"/>
          <w:color w:val="auto"/>
        </w:rPr>
      </w:pPr>
      <w:r>
        <w:rPr>
          <w:rFonts w:hint="eastAsia" w:hAnsi="宋体"/>
          <w:color w:val="auto"/>
        </w:rPr>
        <w:t>（1）电子交易平台发生故障而无法登录访问的；</w:t>
      </w:r>
    </w:p>
    <w:p w14:paraId="3AF5F70F">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14:paraId="31B77A8B">
      <w:pPr>
        <w:spacing w:line="360" w:lineRule="auto"/>
        <w:ind w:firstLine="420" w:firstLineChars="200"/>
        <w:rPr>
          <w:rFonts w:hAnsi="宋体"/>
          <w:color w:val="auto"/>
        </w:rPr>
      </w:pPr>
      <w:r>
        <w:rPr>
          <w:rFonts w:hint="eastAsia" w:hAnsi="宋体"/>
          <w:color w:val="auto"/>
        </w:rPr>
        <w:t>（3）电子交易平台发现严重安全漏洞，有潜在泄密危险的；</w:t>
      </w:r>
    </w:p>
    <w:p w14:paraId="152C10A2">
      <w:pPr>
        <w:spacing w:line="360" w:lineRule="auto"/>
        <w:ind w:firstLine="420" w:firstLineChars="200"/>
        <w:rPr>
          <w:rFonts w:hAnsi="宋体"/>
          <w:color w:val="auto"/>
        </w:rPr>
      </w:pPr>
      <w:r>
        <w:rPr>
          <w:rFonts w:hint="eastAsia" w:hAnsi="宋体"/>
          <w:color w:val="auto"/>
        </w:rPr>
        <w:t>（4）病毒发作导致不能进行正常操作的；</w:t>
      </w:r>
    </w:p>
    <w:p w14:paraId="18022B14">
      <w:pPr>
        <w:spacing w:line="360" w:lineRule="auto"/>
        <w:ind w:firstLine="420" w:firstLineChars="200"/>
        <w:rPr>
          <w:rFonts w:hAnsi="宋体"/>
          <w:color w:val="auto"/>
        </w:rPr>
      </w:pPr>
      <w:r>
        <w:rPr>
          <w:rFonts w:hint="eastAsia" w:hAnsi="宋体"/>
          <w:color w:val="auto"/>
        </w:rPr>
        <w:t>（5）其他无法保证电子交易的公平、公正和安全的情况。</w:t>
      </w:r>
    </w:p>
    <w:p w14:paraId="091F6799">
      <w:pPr>
        <w:spacing w:line="360" w:lineRule="auto"/>
        <w:ind w:firstLine="420" w:firstLineChars="200"/>
        <w:rPr>
          <w:rFonts w:hAnsi="宋体"/>
          <w:color w:val="auto"/>
        </w:rPr>
      </w:pPr>
      <w:r>
        <w:rPr>
          <w:rFonts w:hint="eastAsia" w:hAnsi="宋体"/>
          <w:color w:val="auto"/>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015F44A3">
      <w:pPr>
        <w:spacing w:line="360" w:lineRule="auto"/>
        <w:ind w:firstLine="420" w:firstLineChars="200"/>
        <w:rPr>
          <w:rFonts w:hAnsi="宋体"/>
          <w:color w:val="auto"/>
        </w:rPr>
      </w:pPr>
      <w:r>
        <w:rPr>
          <w:rFonts w:hint="eastAsia" w:hAnsi="宋体"/>
          <w:color w:val="auto"/>
        </w:rPr>
        <w:t>29.5出现下列情形之一的，应予废标：</w:t>
      </w:r>
    </w:p>
    <w:p w14:paraId="3BF525EF">
      <w:pPr>
        <w:spacing w:line="360" w:lineRule="auto"/>
        <w:ind w:firstLine="420" w:firstLineChars="200"/>
        <w:rPr>
          <w:rFonts w:hAnsi="宋体"/>
          <w:color w:val="auto"/>
        </w:rPr>
      </w:pPr>
      <w:r>
        <w:rPr>
          <w:rFonts w:hint="eastAsia" w:hAnsi="宋体"/>
          <w:color w:val="auto"/>
        </w:rPr>
        <w:t>（</w:t>
      </w:r>
      <w:r>
        <w:rPr>
          <w:rFonts w:hAnsi="宋体"/>
          <w:color w:val="auto"/>
        </w:rPr>
        <w:t>1</w:t>
      </w:r>
      <w:r>
        <w:rPr>
          <w:rFonts w:hint="eastAsia" w:hAnsi="宋体"/>
          <w:color w:val="auto"/>
        </w:rPr>
        <w:t>）符合专业条件的供应商或者对招标文件作实质响应的供应商不足三家的；</w:t>
      </w:r>
    </w:p>
    <w:p w14:paraId="5DE0A576">
      <w:pPr>
        <w:spacing w:line="360" w:lineRule="auto"/>
        <w:ind w:firstLine="420" w:firstLineChars="200"/>
        <w:rPr>
          <w:rFonts w:hAnsi="宋体"/>
          <w:color w:val="auto"/>
        </w:rPr>
      </w:pPr>
      <w:r>
        <w:rPr>
          <w:rFonts w:hint="eastAsia" w:hAnsi="宋体"/>
          <w:color w:val="auto"/>
        </w:rPr>
        <w:t>（2）出现影响采购公正的违法、违规行为的；</w:t>
      </w:r>
    </w:p>
    <w:p w14:paraId="01FDCEAB">
      <w:pPr>
        <w:spacing w:line="360" w:lineRule="auto"/>
        <w:ind w:firstLine="420" w:firstLineChars="200"/>
        <w:rPr>
          <w:rFonts w:hAnsi="宋体"/>
          <w:color w:val="auto"/>
        </w:rPr>
      </w:pPr>
      <w:r>
        <w:rPr>
          <w:rFonts w:hint="eastAsia" w:hAnsi="宋体"/>
          <w:color w:val="auto"/>
        </w:rPr>
        <w:t>（3）投标人的报价均超过了采购预算，采购人不能支付的；</w:t>
      </w:r>
    </w:p>
    <w:p w14:paraId="58C311CB">
      <w:pPr>
        <w:spacing w:line="360" w:lineRule="auto"/>
        <w:ind w:firstLine="420" w:firstLineChars="200"/>
        <w:rPr>
          <w:rFonts w:hAnsi="宋体"/>
          <w:color w:val="auto"/>
        </w:rPr>
      </w:pPr>
      <w:r>
        <w:rPr>
          <w:rFonts w:hint="eastAsia" w:hAnsi="宋体"/>
          <w:color w:val="auto"/>
        </w:rPr>
        <w:t>（4）因重大变故，采购任务取消的。</w:t>
      </w:r>
    </w:p>
    <w:p w14:paraId="6A09DC9A">
      <w:pPr>
        <w:spacing w:line="360" w:lineRule="auto"/>
        <w:ind w:firstLine="420" w:firstLineChars="200"/>
        <w:rPr>
          <w:rFonts w:hAnsi="宋体"/>
          <w:color w:val="auto"/>
        </w:rPr>
      </w:pPr>
      <w:r>
        <w:rPr>
          <w:rFonts w:hint="eastAsia" w:hAnsi="宋体"/>
          <w:color w:val="auto"/>
        </w:rPr>
        <w:t>废标后，采购人应当将废标理由通知所有投标人。</w:t>
      </w:r>
    </w:p>
    <w:p w14:paraId="5D70DE5E">
      <w:pPr>
        <w:pStyle w:val="20"/>
        <w:snapToGrid w:val="0"/>
        <w:spacing w:line="360" w:lineRule="auto"/>
        <w:rPr>
          <w:rFonts w:hAnsi="宋体"/>
          <w:color w:val="auto"/>
          <w:sz w:val="21"/>
        </w:rPr>
      </w:pPr>
    </w:p>
    <w:p w14:paraId="17F93AFC">
      <w:pPr>
        <w:pStyle w:val="5"/>
        <w:keepNext w:val="0"/>
        <w:keepLines w:val="0"/>
        <w:jc w:val="center"/>
        <w:rPr>
          <w:color w:val="auto"/>
        </w:rPr>
      </w:pPr>
      <w:bookmarkStart w:id="149" w:name="_Toc254970546"/>
      <w:bookmarkStart w:id="150" w:name="_Toc254970687"/>
      <w:r>
        <w:rPr>
          <w:rFonts w:hint="eastAsia"/>
          <w:color w:val="auto"/>
        </w:rPr>
        <w:t>七、</w:t>
      </w:r>
      <w:bookmarkEnd w:id="149"/>
      <w:bookmarkEnd w:id="150"/>
      <w:r>
        <w:rPr>
          <w:rFonts w:hint="eastAsia"/>
          <w:color w:val="auto"/>
        </w:rPr>
        <w:t>中标和合同</w:t>
      </w:r>
    </w:p>
    <w:p w14:paraId="1537B677">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30.确定中标人</w:t>
      </w:r>
    </w:p>
    <w:p w14:paraId="5F36CE2C">
      <w:pPr>
        <w:pStyle w:val="7"/>
        <w:keepNext w:val="0"/>
        <w:keepLines w:val="0"/>
        <w:spacing w:before="0" w:after="0" w:line="360" w:lineRule="auto"/>
        <w:ind w:firstLine="420" w:firstLineChars="200"/>
        <w:rPr>
          <w:rFonts w:ascii="宋体" w:hAnsi="宋体"/>
          <w:b w:val="0"/>
          <w:color w:val="auto"/>
          <w:sz w:val="21"/>
          <w:szCs w:val="21"/>
        </w:rPr>
      </w:pPr>
      <w:r>
        <w:rPr>
          <w:rFonts w:ascii="宋体" w:hAnsi="宋体"/>
          <w:b w:val="0"/>
          <w:color w:val="auto"/>
          <w:sz w:val="21"/>
          <w:szCs w:val="21"/>
        </w:rPr>
        <w:t>30.1</w:t>
      </w:r>
      <w:r>
        <w:rPr>
          <w:rFonts w:hint="eastAsia" w:ascii="宋体" w:hAnsi="宋体"/>
          <w:b w:val="0"/>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A27C33B">
      <w:pPr>
        <w:snapToGrid w:val="0"/>
        <w:spacing w:line="360" w:lineRule="auto"/>
        <w:ind w:firstLine="420" w:firstLineChars="200"/>
        <w:rPr>
          <w:rFonts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采购人在收到评标报告5个工作日内未按评标报告推荐的中标候选人顺序确定中标人，又不能说明合法理由的，视同按评标报告推荐的顺序确定排名第一的中标候选人为中标人。</w:t>
      </w:r>
    </w:p>
    <w:p w14:paraId="3398B37D">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31. 结果公告</w:t>
      </w:r>
    </w:p>
    <w:p w14:paraId="7D98A659">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1.1</w:t>
      </w:r>
      <w:r>
        <w:rPr>
          <w:rFonts w:hint="eastAsia" w:ascii="宋体" w:hAnsi="宋体"/>
          <w:b w:val="0"/>
          <w:color w:val="auto"/>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436E3FE">
      <w:pPr>
        <w:snapToGrid w:val="0"/>
        <w:spacing w:line="360" w:lineRule="auto"/>
        <w:ind w:firstLine="420" w:firstLineChars="200"/>
        <w:rPr>
          <w:rFonts w:ascii="宋体" w:hAnsi="宋体"/>
          <w:color w:val="auto"/>
          <w:szCs w:val="21"/>
        </w:rPr>
      </w:pPr>
      <w:r>
        <w:rPr>
          <w:rFonts w:hint="eastAsia" w:ascii="宋体" w:hAnsi="宋体"/>
          <w:color w:val="auto"/>
          <w:szCs w:val="21"/>
        </w:rPr>
        <w:t>以上信息查询记录及相关证据与招标文件一并保存。</w:t>
      </w:r>
    </w:p>
    <w:p w14:paraId="1A5252FF">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31.2中标供应商享受《政府采购促进中小企业发展管理办法》（财库〔2020〕46号）规定的中小企业扶持政策的，采购人、采购代理机构应当随中标结果公开中标供应商的《中小企业声明函》。</w:t>
      </w:r>
    </w:p>
    <w:p w14:paraId="1C04E327">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32.发出中标通知书</w:t>
      </w:r>
    </w:p>
    <w:p w14:paraId="2AC3B04A">
      <w:pPr>
        <w:pStyle w:val="7"/>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2503CD1B">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33. 无义务解释未中标原因</w:t>
      </w:r>
    </w:p>
    <w:p w14:paraId="1D41664E">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采购代理机构无义务向未中标的投标人解释未中标原因。</w:t>
      </w:r>
    </w:p>
    <w:p w14:paraId="1D2C6273">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34.合同授予标准</w:t>
      </w:r>
    </w:p>
    <w:p w14:paraId="25CA4B4E">
      <w:pPr>
        <w:snapToGrid w:val="0"/>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w:t>
      </w:r>
    </w:p>
    <w:p w14:paraId="4BD8C543">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35.履约保证金</w:t>
      </w:r>
    </w:p>
    <w:p w14:paraId="08724F90">
      <w:pPr>
        <w:pStyle w:val="7"/>
        <w:keepNext w:val="0"/>
        <w:keepLines w:val="0"/>
        <w:spacing w:before="0" w:after="0" w:line="360" w:lineRule="auto"/>
        <w:ind w:firstLine="315" w:firstLineChars="150"/>
        <w:rPr>
          <w:rFonts w:ascii="宋体" w:hAnsi="宋体"/>
          <w:b w:val="0"/>
          <w:color w:val="auto"/>
          <w:sz w:val="21"/>
          <w:szCs w:val="21"/>
        </w:rPr>
      </w:pPr>
      <w:bookmarkStart w:id="151" w:name="_39.1中标人须于签订合同前按本须知前附表规定的金额转账或电汇到指定账"/>
      <w:bookmarkEnd w:id="151"/>
      <w:r>
        <w:rPr>
          <w:rFonts w:hint="eastAsia" w:ascii="宋体" w:hAnsi="宋体"/>
          <w:b w:val="0"/>
          <w:color w:val="auto"/>
          <w:sz w:val="21"/>
          <w:szCs w:val="21"/>
        </w:rPr>
        <w:t>3</w:t>
      </w:r>
      <w:r>
        <w:rPr>
          <w:rFonts w:ascii="宋体" w:hAnsi="宋体"/>
          <w:b w:val="0"/>
          <w:color w:val="auto"/>
          <w:sz w:val="21"/>
          <w:szCs w:val="21"/>
        </w:rPr>
        <w:t>5</w:t>
      </w:r>
      <w:r>
        <w:rPr>
          <w:rFonts w:hint="eastAsia" w:ascii="宋体" w:hAnsi="宋体"/>
          <w:b w:val="0"/>
          <w:color w:val="auto"/>
          <w:sz w:val="21"/>
          <w:szCs w:val="21"/>
        </w:rPr>
        <w:t>.1 履约保证金的金额、提交方式、缴纳期限、退付的时间和条件详见 “投标人须知前附表”。中标人未按规定提交履约保证金的，视为拒绝与采购人签订合同。</w:t>
      </w:r>
    </w:p>
    <w:p w14:paraId="58C77302">
      <w:pPr>
        <w:pStyle w:val="7"/>
        <w:keepNext w:val="0"/>
        <w:keepLines w:val="0"/>
        <w:spacing w:before="0" w:after="0" w:line="360" w:lineRule="auto"/>
        <w:ind w:firstLine="315" w:firstLineChars="150"/>
        <w:rPr>
          <w:rFonts w:ascii="宋体" w:hAnsi="宋体"/>
          <w:color w:val="auto"/>
          <w:sz w:val="21"/>
          <w:szCs w:val="21"/>
        </w:rPr>
      </w:pPr>
      <w:r>
        <w:rPr>
          <w:rFonts w:hint="eastAsia" w:ascii="宋体" w:hAnsi="宋体"/>
          <w:b w:val="0"/>
          <w:bCs/>
          <w:color w:val="auto"/>
          <w:sz w:val="21"/>
          <w:szCs w:val="21"/>
        </w:rPr>
        <w:t>35.2在履约保证金退还日期前，若中标人的开户名称、开户银行、账号有变动的，请以书面形式通知履约保证金收取单位，否则由此产生的后果由中标人自行承担。</w:t>
      </w:r>
    </w:p>
    <w:p w14:paraId="1C342A89">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36.签订合同</w:t>
      </w:r>
    </w:p>
    <w:p w14:paraId="499EE4B7">
      <w:pPr>
        <w:pStyle w:val="7"/>
        <w:keepNext w:val="0"/>
        <w:keepLines w:val="0"/>
        <w:spacing w:before="0" w:after="0" w:line="360" w:lineRule="auto"/>
        <w:ind w:firstLine="316" w:firstLineChars="150"/>
        <w:rPr>
          <w:rFonts w:ascii="宋体" w:hAnsi="宋体"/>
          <w:b w:val="0"/>
          <w:color w:val="auto"/>
          <w:sz w:val="21"/>
          <w:szCs w:val="21"/>
        </w:rPr>
      </w:pPr>
      <w:bookmarkStart w:id="152" w:name="_40.1投标人接到中标通知书后，按须知前附表规定向采购人出示相关资格证"/>
      <w:bookmarkEnd w:id="152"/>
      <w:r>
        <w:rPr>
          <w:rFonts w:hint="eastAsia" w:ascii="宋体" w:hAnsi="宋体"/>
          <w:color w:val="auto"/>
          <w:sz w:val="21"/>
          <w:szCs w:val="21"/>
        </w:rPr>
        <w:t>36.1签订电子采购合同：中标人领取电子中标通知书后，</w:t>
      </w:r>
      <w:r>
        <w:rPr>
          <w:rFonts w:hint="eastAsia" w:ascii="宋体" w:hAnsi="宋体"/>
          <w:color w:val="auto"/>
          <w:kern w:val="0"/>
          <w:sz w:val="21"/>
          <w:szCs w:val="21"/>
        </w:rPr>
        <w:t>在</w:t>
      </w:r>
      <w:r>
        <w:rPr>
          <w:rFonts w:hint="eastAsia" w:ascii="宋体" w:hAnsi="宋体"/>
          <w:color w:val="auto"/>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166785E7">
      <w:pPr>
        <w:pStyle w:val="7"/>
        <w:keepNext w:val="0"/>
        <w:keepLines w:val="0"/>
        <w:spacing w:before="0" w:after="0" w:line="360" w:lineRule="auto"/>
        <w:ind w:firstLine="315" w:firstLineChars="150"/>
        <w:rPr>
          <w:rFonts w:ascii="宋体" w:hAnsi="宋体"/>
          <w:b w:val="0"/>
          <w:color w:val="auto"/>
          <w:sz w:val="21"/>
          <w:szCs w:val="21"/>
        </w:rPr>
      </w:pPr>
      <w:r>
        <w:rPr>
          <w:rFonts w:hint="eastAsia" w:ascii="宋体" w:hAnsi="宋体"/>
          <w:b w:val="0"/>
          <w:color w:val="auto"/>
          <w:sz w:val="21"/>
          <w:szCs w:val="21"/>
        </w:rPr>
        <w:t xml:space="preserve"> 线下签订纸质合同：投标人领取中标通知书后，按“投标人须知前附表”规定向采购人出示相关证明材料，经采购人核验合格后方可签订合同。</w:t>
      </w:r>
    </w:p>
    <w:p w14:paraId="3B7F91EC">
      <w:pPr>
        <w:pStyle w:val="7"/>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36.2签订合同时间：按中标通知书规定的时间与采购人签订合同。</w:t>
      </w:r>
    </w:p>
    <w:p w14:paraId="640F559C">
      <w:pPr>
        <w:pStyle w:val="7"/>
        <w:keepNext w:val="0"/>
        <w:keepLines w:val="0"/>
        <w:spacing w:before="0" w:after="0" w:line="360" w:lineRule="auto"/>
        <w:rPr>
          <w:rFonts w:ascii="宋体" w:hAnsi="宋体"/>
          <w:b w:val="0"/>
          <w:color w:val="auto"/>
          <w:sz w:val="21"/>
          <w:szCs w:val="21"/>
        </w:rPr>
      </w:pPr>
      <w:r>
        <w:rPr>
          <w:rFonts w:hint="eastAsia" w:ascii="宋体" w:hAnsi="宋体"/>
          <w:b w:val="0"/>
          <w:color w:val="auto"/>
          <w:sz w:val="21"/>
          <w:szCs w:val="21"/>
        </w:rPr>
        <w:t xml:space="preserve">    36.</w:t>
      </w:r>
      <w:r>
        <w:rPr>
          <w:rFonts w:ascii="宋体" w:hAnsi="宋体"/>
          <w:b w:val="0"/>
          <w:color w:val="auto"/>
          <w:sz w:val="21"/>
          <w:szCs w:val="21"/>
        </w:rPr>
        <w:t>3</w:t>
      </w:r>
      <w:r>
        <w:rPr>
          <w:rFonts w:hint="eastAsia" w:ascii="宋体" w:hAnsi="宋体"/>
          <w:b w:val="0"/>
          <w:color w:val="auto"/>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5D11AD16">
      <w:pPr>
        <w:spacing w:line="360" w:lineRule="auto"/>
        <w:ind w:firstLine="420" w:firstLineChars="200"/>
        <w:rPr>
          <w:rFonts w:ascii="宋体" w:hAnsi="宋体"/>
          <w:color w:val="auto"/>
          <w:szCs w:val="21"/>
        </w:rPr>
      </w:pPr>
      <w:r>
        <w:rPr>
          <w:rFonts w:hint="eastAsia" w:ascii="宋体" w:hAnsi="宋体"/>
          <w:color w:val="auto"/>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3834E2B">
      <w:pPr>
        <w:spacing w:line="360" w:lineRule="auto"/>
        <w:ind w:firstLine="420" w:firstLineChars="200"/>
        <w:rPr>
          <w:rFonts w:ascii="宋体" w:hAnsi="宋体"/>
          <w:color w:val="auto"/>
          <w:szCs w:val="21"/>
        </w:rPr>
      </w:pPr>
      <w:r>
        <w:rPr>
          <w:rFonts w:hint="eastAsia" w:ascii="宋体" w:hAnsi="宋体"/>
          <w:color w:val="auto"/>
          <w:szCs w:val="21"/>
        </w:rPr>
        <w:t>36.5采购人或中标供应商不得单方面向合同另一方提出任何招标文件没有约定的条件或不合理的要求，作为签订合同的条件；也不得协商另行订立背离招标文件和合同实质性内容的协议。</w:t>
      </w:r>
    </w:p>
    <w:p w14:paraId="72006CE8">
      <w:pPr>
        <w:spacing w:line="360" w:lineRule="auto"/>
        <w:ind w:firstLine="420" w:firstLineChars="200"/>
        <w:rPr>
          <w:rFonts w:ascii="宋体" w:hAnsi="宋体"/>
          <w:color w:val="auto"/>
          <w:szCs w:val="21"/>
        </w:rPr>
      </w:pPr>
      <w:r>
        <w:rPr>
          <w:rFonts w:hint="eastAsia" w:ascii="宋体" w:hAnsi="宋体"/>
          <w:color w:val="auto"/>
          <w:szCs w:val="21"/>
        </w:rPr>
        <w:t>36.6</w:t>
      </w:r>
      <w:r>
        <w:rPr>
          <w:rFonts w:hint="eastAsia" w:ascii="宋体" w:hAnsi="宋体" w:cs="仿宋_GB2312"/>
          <w:color w:val="auto"/>
          <w:szCs w:val="21"/>
        </w:rPr>
        <w:t>如签订合同并生效后，供应商无故拒绝或延期，除按照合同条款处理外，将承担相应的法律责任。</w:t>
      </w:r>
    </w:p>
    <w:p w14:paraId="263F9637">
      <w:pPr>
        <w:spacing w:line="360" w:lineRule="auto"/>
        <w:ind w:firstLine="420" w:firstLineChars="200"/>
        <w:rPr>
          <w:rFonts w:ascii="宋体" w:hAnsi="宋体"/>
          <w:color w:val="auto"/>
          <w:szCs w:val="21"/>
        </w:rPr>
      </w:pPr>
      <w:r>
        <w:rPr>
          <w:rFonts w:hint="eastAsia" w:ascii="宋体" w:hAnsi="宋体"/>
          <w:color w:val="auto"/>
          <w:szCs w:val="21"/>
        </w:rPr>
        <w:t>36.7</w:t>
      </w:r>
      <w:r>
        <w:rPr>
          <w:rFonts w:hint="eastAsia" w:ascii="宋体" w:hAnsi="宋体" w:cs="宋体"/>
          <w:color w:val="auto"/>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328E09E3">
      <w:pPr>
        <w:pStyle w:val="7"/>
        <w:keepNext w:val="0"/>
        <w:keepLines w:val="0"/>
        <w:spacing w:before="0" w:after="0" w:line="360" w:lineRule="auto"/>
        <w:ind w:left="420" w:leftChars="200"/>
        <w:rPr>
          <w:rFonts w:ascii="黑体" w:hAnsi="黑体" w:eastAsia="黑体"/>
          <w:color w:val="auto"/>
          <w:sz w:val="24"/>
        </w:rPr>
      </w:pPr>
      <w:bookmarkStart w:id="153" w:name="_41.政府采购合同公告"/>
      <w:bookmarkEnd w:id="153"/>
      <w:r>
        <w:rPr>
          <w:rFonts w:hint="eastAsia" w:ascii="黑体" w:hAnsi="黑体" w:eastAsia="黑体"/>
          <w:color w:val="auto"/>
          <w:sz w:val="24"/>
        </w:rPr>
        <w:t>37.政府采购合同公告</w:t>
      </w:r>
    </w:p>
    <w:p w14:paraId="5FEEEB57">
      <w:pPr>
        <w:pStyle w:val="20"/>
        <w:snapToGrid w:val="0"/>
        <w:spacing w:line="360" w:lineRule="auto"/>
        <w:ind w:firstLine="420" w:firstLineChars="200"/>
        <w:rPr>
          <w:rFonts w:hAnsi="宋体"/>
          <w:color w:val="auto"/>
          <w:sz w:val="21"/>
        </w:rPr>
      </w:pPr>
      <w:r>
        <w:rPr>
          <w:rFonts w:hint="eastAsia" w:hAnsi="宋体"/>
          <w:color w:val="auto"/>
          <w:sz w:val="21"/>
        </w:rPr>
        <w:t>采购人或者受托采购代理机构应当自政府采购合同签订之日起2个工作日内，将政府采购合同在省级以上人民政府财政部门指定的媒体上公告，</w:t>
      </w:r>
      <w:r>
        <w:rPr>
          <w:rFonts w:hAnsi="宋体"/>
          <w:color w:val="auto"/>
          <w:sz w:val="21"/>
        </w:rPr>
        <w:t>但政府采购合同中涉及国家秘密、商业秘密的内容除外。</w:t>
      </w:r>
    </w:p>
    <w:p w14:paraId="6D53EDA9">
      <w:pPr>
        <w:pStyle w:val="7"/>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rPr>
        <w:t>3</w:t>
      </w:r>
      <w:r>
        <w:rPr>
          <w:rFonts w:ascii="黑体" w:hAnsi="黑体" w:eastAsia="黑体"/>
          <w:color w:val="auto"/>
          <w:sz w:val="24"/>
        </w:rPr>
        <w:t>8.</w:t>
      </w:r>
      <w:r>
        <w:rPr>
          <w:rFonts w:hint="eastAsia" w:ascii="黑体" w:hAnsi="黑体" w:eastAsia="黑体"/>
          <w:color w:val="auto"/>
          <w:sz w:val="24"/>
        </w:rPr>
        <w:t xml:space="preserve"> 询问、质疑和投诉</w:t>
      </w:r>
    </w:p>
    <w:p w14:paraId="61F620A4">
      <w:pPr>
        <w:pStyle w:val="8"/>
        <w:spacing w:line="360" w:lineRule="auto"/>
        <w:rPr>
          <w:rFonts w:ascii="宋体" w:hAnsi="宋体"/>
          <w:color w:val="auto"/>
          <w:szCs w:val="21"/>
        </w:rPr>
      </w:pPr>
      <w:r>
        <w:rPr>
          <w:rFonts w:ascii="宋体" w:hAnsi="宋体"/>
          <w:color w:val="auto"/>
          <w:szCs w:val="21"/>
        </w:rPr>
        <w:t>38.1</w:t>
      </w:r>
      <w:r>
        <w:rPr>
          <w:rFonts w:hint="eastAsia" w:ascii="宋体" w:hAnsi="宋体"/>
          <w:color w:val="auto"/>
          <w:szCs w:val="21"/>
        </w:rPr>
        <w:t>供应商对政府采购活动事项有疑问的，可以向采购人提出询问，采购人或者采购代理机构应当在3个工作日内对供应商依法提出的询问作出答复，但答复的内容不得涉及商业秘密。</w:t>
      </w:r>
    </w:p>
    <w:p w14:paraId="0EE7892D">
      <w:pPr>
        <w:pStyle w:val="7"/>
        <w:keepNext w:val="0"/>
        <w:keepLines w:val="0"/>
        <w:spacing w:before="0" w:after="0" w:line="360" w:lineRule="auto"/>
        <w:ind w:firstLine="315" w:firstLineChars="150"/>
        <w:rPr>
          <w:rFonts w:ascii="宋体" w:hAnsi="宋体"/>
          <w:b w:val="0"/>
          <w:color w:val="auto"/>
          <w:sz w:val="21"/>
          <w:szCs w:val="21"/>
        </w:rPr>
      </w:pPr>
      <w:r>
        <w:rPr>
          <w:rFonts w:ascii="宋体" w:hAnsi="宋体"/>
          <w:b w:val="0"/>
          <w:color w:val="auto"/>
          <w:sz w:val="21"/>
          <w:szCs w:val="21"/>
        </w:rPr>
        <w:t>38</w:t>
      </w:r>
      <w:r>
        <w:rPr>
          <w:rFonts w:hint="eastAsia" w:ascii="宋体" w:hAnsi="宋体"/>
          <w:b w:val="0"/>
          <w:color w:val="auto"/>
          <w:sz w:val="21"/>
          <w:szCs w:val="21"/>
        </w:rPr>
        <w:t>.</w:t>
      </w:r>
      <w:r>
        <w:rPr>
          <w:rFonts w:ascii="宋体" w:hAnsi="宋体"/>
          <w:b w:val="0"/>
          <w:color w:val="auto"/>
          <w:sz w:val="21"/>
          <w:szCs w:val="21"/>
        </w:rPr>
        <w:t>2</w:t>
      </w:r>
      <w:r>
        <w:rPr>
          <w:rFonts w:hint="eastAsia" w:ascii="宋体" w:hAnsi="宋体"/>
          <w:b w:val="0"/>
          <w:color w:val="auto"/>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46D1478E">
      <w:pPr>
        <w:pStyle w:val="20"/>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1</w:t>
      </w:r>
      <w:r>
        <w:rPr>
          <w:rFonts w:hAnsi="宋体"/>
          <w:color w:val="auto"/>
          <w:sz w:val="21"/>
        </w:rPr>
        <w:t>）对可以质疑的</w:t>
      </w:r>
      <w:r>
        <w:rPr>
          <w:rFonts w:hint="eastAsia" w:hAnsi="宋体"/>
          <w:color w:val="auto"/>
          <w:sz w:val="21"/>
        </w:rPr>
        <w:t>招标</w:t>
      </w:r>
      <w:r>
        <w:rPr>
          <w:rFonts w:hAnsi="宋体"/>
          <w:color w:val="auto"/>
          <w:sz w:val="21"/>
        </w:rPr>
        <w:t>文件提出质疑的，为收到</w:t>
      </w:r>
      <w:r>
        <w:rPr>
          <w:rFonts w:hint="eastAsia" w:hAnsi="宋体"/>
          <w:color w:val="auto"/>
          <w:sz w:val="21"/>
        </w:rPr>
        <w:t>招标</w:t>
      </w:r>
      <w:r>
        <w:rPr>
          <w:rFonts w:hAnsi="宋体"/>
          <w:color w:val="auto"/>
          <w:sz w:val="21"/>
        </w:rPr>
        <w:t>文件之日</w:t>
      </w:r>
      <w:r>
        <w:rPr>
          <w:rFonts w:hint="eastAsia" w:hAnsi="宋体"/>
          <w:color w:val="auto"/>
          <w:sz w:val="21"/>
        </w:rPr>
        <w:t>或者招标文件公告期限届满之日</w:t>
      </w:r>
      <w:r>
        <w:rPr>
          <w:rFonts w:hAnsi="宋体"/>
          <w:color w:val="auto"/>
          <w:sz w:val="21"/>
        </w:rPr>
        <w:t>；</w:t>
      </w:r>
    </w:p>
    <w:p w14:paraId="28E84780">
      <w:pPr>
        <w:pStyle w:val="20"/>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2</w:t>
      </w:r>
      <w:r>
        <w:rPr>
          <w:rFonts w:hAnsi="宋体"/>
          <w:color w:val="auto"/>
          <w:sz w:val="21"/>
        </w:rPr>
        <w:t>）对</w:t>
      </w:r>
      <w:r>
        <w:rPr>
          <w:rFonts w:hint="eastAsia" w:hAnsi="宋体"/>
          <w:color w:val="auto"/>
          <w:sz w:val="21"/>
        </w:rPr>
        <w:t>采购</w:t>
      </w:r>
      <w:r>
        <w:rPr>
          <w:rFonts w:hAnsi="宋体"/>
          <w:color w:val="auto"/>
          <w:sz w:val="21"/>
        </w:rPr>
        <w:t>过程提出质疑的，为各采购程序环节结束之日；</w:t>
      </w:r>
    </w:p>
    <w:p w14:paraId="29220A62">
      <w:pPr>
        <w:pStyle w:val="20"/>
        <w:snapToGrid w:val="0"/>
        <w:spacing w:line="360" w:lineRule="auto"/>
        <w:ind w:firstLine="420" w:firstLineChars="200"/>
        <w:rPr>
          <w:rFonts w:hAnsi="宋体"/>
          <w:color w:val="auto"/>
          <w:sz w:val="21"/>
        </w:rPr>
      </w:pPr>
      <w:r>
        <w:rPr>
          <w:rFonts w:hAnsi="宋体"/>
          <w:color w:val="auto"/>
          <w:sz w:val="21"/>
        </w:rPr>
        <w:t>（</w:t>
      </w:r>
      <w:r>
        <w:rPr>
          <w:rFonts w:hint="eastAsia" w:hAnsi="宋体"/>
          <w:color w:val="auto"/>
          <w:sz w:val="21"/>
        </w:rPr>
        <w:t>3</w:t>
      </w:r>
      <w:r>
        <w:rPr>
          <w:rFonts w:hAnsi="宋体"/>
          <w:color w:val="auto"/>
          <w:sz w:val="21"/>
        </w:rPr>
        <w:t>）对中标结果提出质疑的，为中标结果公告期限届满之日。</w:t>
      </w:r>
      <w:bookmarkStart w:id="154" w:name="_9.2质疑、投诉应当采用书面形式，质疑函、投诉书均应明确阐述招标文件、"/>
      <w:bookmarkEnd w:id="154"/>
    </w:p>
    <w:p w14:paraId="71328774">
      <w:pPr>
        <w:pStyle w:val="20"/>
        <w:snapToGrid w:val="0"/>
        <w:spacing w:line="360" w:lineRule="auto"/>
        <w:ind w:firstLine="420" w:firstLineChars="200"/>
        <w:rPr>
          <w:rFonts w:hAnsi="宋体"/>
          <w:color w:val="auto"/>
          <w:sz w:val="21"/>
        </w:rPr>
      </w:pPr>
      <w:r>
        <w:rPr>
          <w:rFonts w:hAnsi="宋体"/>
          <w:color w:val="auto"/>
          <w:sz w:val="21"/>
        </w:rPr>
        <w:t>38</w:t>
      </w:r>
      <w:r>
        <w:rPr>
          <w:rFonts w:hint="eastAsia" w:hAnsi="宋体"/>
          <w:color w:val="auto"/>
          <w:sz w:val="21"/>
        </w:rPr>
        <w:t>.</w:t>
      </w:r>
      <w:r>
        <w:rPr>
          <w:rFonts w:hAnsi="宋体"/>
          <w:color w:val="auto"/>
          <w:sz w:val="21"/>
        </w:rPr>
        <w:t>3</w:t>
      </w:r>
      <w:r>
        <w:rPr>
          <w:rFonts w:hAnsi="宋体"/>
          <w:bCs/>
          <w:color w:val="auto"/>
          <w:sz w:val="21"/>
        </w:rPr>
        <w:t>供应商提出质疑应当提交质疑函和必要的证明材料</w:t>
      </w:r>
      <w:r>
        <w:rPr>
          <w:rFonts w:hint="eastAsia" w:hAnsi="宋体"/>
          <w:bCs/>
          <w:color w:val="auto"/>
          <w:sz w:val="21"/>
        </w:rPr>
        <w:t>，</w:t>
      </w:r>
      <w:r>
        <w:rPr>
          <w:rFonts w:hAnsi="宋体"/>
          <w:bCs/>
          <w:color w:val="auto"/>
          <w:sz w:val="21"/>
        </w:rPr>
        <w:t>针对同一采购程序环节的质疑</w:t>
      </w:r>
      <w:r>
        <w:rPr>
          <w:rFonts w:hint="eastAsia" w:hAnsi="宋体"/>
          <w:bCs/>
          <w:color w:val="auto"/>
          <w:sz w:val="21"/>
        </w:rPr>
        <w:t>必须</w:t>
      </w:r>
      <w:r>
        <w:rPr>
          <w:rFonts w:hAnsi="宋体"/>
          <w:bCs/>
          <w:color w:val="auto"/>
          <w:sz w:val="21"/>
        </w:rPr>
        <w:t>在法定质疑期内一次性提出。质疑函应当包括下列内容</w:t>
      </w:r>
      <w:r>
        <w:rPr>
          <w:rFonts w:hint="eastAsia" w:hAnsi="宋体"/>
          <w:bCs/>
          <w:color w:val="auto"/>
          <w:sz w:val="21"/>
        </w:rPr>
        <w:t>（格式见第六章）</w:t>
      </w:r>
      <w:r>
        <w:rPr>
          <w:rFonts w:hAnsi="宋体"/>
          <w:bCs/>
          <w:color w:val="auto"/>
          <w:sz w:val="21"/>
        </w:rPr>
        <w:t>：</w:t>
      </w:r>
    </w:p>
    <w:p w14:paraId="395691C1">
      <w:pPr>
        <w:pStyle w:val="20"/>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1</w:t>
      </w:r>
      <w:r>
        <w:rPr>
          <w:rFonts w:hAnsi="宋体"/>
          <w:bCs/>
          <w:color w:val="auto"/>
          <w:sz w:val="21"/>
        </w:rPr>
        <w:t>）供应商的姓名或者名称、地址、邮编、联系人及联系电话；</w:t>
      </w:r>
    </w:p>
    <w:p w14:paraId="5740CDB2">
      <w:pPr>
        <w:pStyle w:val="20"/>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2</w:t>
      </w:r>
      <w:r>
        <w:rPr>
          <w:rFonts w:hAnsi="宋体"/>
          <w:bCs/>
          <w:color w:val="auto"/>
          <w:sz w:val="21"/>
        </w:rPr>
        <w:t>）质疑项目的名称、编号；</w:t>
      </w:r>
    </w:p>
    <w:p w14:paraId="553FB690">
      <w:pPr>
        <w:pStyle w:val="20"/>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3</w:t>
      </w:r>
      <w:r>
        <w:rPr>
          <w:rFonts w:hAnsi="宋体"/>
          <w:bCs/>
          <w:color w:val="auto"/>
          <w:sz w:val="21"/>
        </w:rPr>
        <w:t>）具体、明确的质疑事项和与质疑事项相关的请求；</w:t>
      </w:r>
    </w:p>
    <w:p w14:paraId="1BB17EDF">
      <w:pPr>
        <w:pStyle w:val="20"/>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4</w:t>
      </w:r>
      <w:r>
        <w:rPr>
          <w:rFonts w:hAnsi="宋体"/>
          <w:bCs/>
          <w:color w:val="auto"/>
          <w:sz w:val="21"/>
        </w:rPr>
        <w:t>）事实依据；</w:t>
      </w:r>
    </w:p>
    <w:p w14:paraId="3EB244B6">
      <w:pPr>
        <w:pStyle w:val="20"/>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5</w:t>
      </w:r>
      <w:r>
        <w:rPr>
          <w:rFonts w:hAnsi="宋体"/>
          <w:bCs/>
          <w:color w:val="auto"/>
          <w:sz w:val="21"/>
        </w:rPr>
        <w:t>）必要的法律依据；</w:t>
      </w:r>
    </w:p>
    <w:p w14:paraId="0DBCB723">
      <w:pPr>
        <w:pStyle w:val="20"/>
        <w:snapToGrid w:val="0"/>
        <w:spacing w:line="360" w:lineRule="auto"/>
        <w:ind w:firstLine="420" w:firstLineChars="200"/>
        <w:rPr>
          <w:rFonts w:hAnsi="宋体"/>
          <w:bCs/>
          <w:color w:val="auto"/>
          <w:sz w:val="21"/>
        </w:rPr>
      </w:pPr>
      <w:r>
        <w:rPr>
          <w:rFonts w:hAnsi="宋体"/>
          <w:bCs/>
          <w:color w:val="auto"/>
          <w:sz w:val="21"/>
        </w:rPr>
        <w:t>（</w:t>
      </w:r>
      <w:r>
        <w:rPr>
          <w:rFonts w:hint="eastAsia" w:hAnsi="宋体"/>
          <w:bCs/>
          <w:color w:val="auto"/>
          <w:sz w:val="21"/>
        </w:rPr>
        <w:t>6</w:t>
      </w:r>
      <w:r>
        <w:rPr>
          <w:rFonts w:hAnsi="宋体"/>
          <w:bCs/>
          <w:color w:val="auto"/>
          <w:sz w:val="21"/>
        </w:rPr>
        <w:t>）提出质疑的日期。</w:t>
      </w:r>
    </w:p>
    <w:p w14:paraId="503F7AC7">
      <w:pPr>
        <w:pStyle w:val="20"/>
        <w:snapToGrid w:val="0"/>
        <w:spacing w:line="360" w:lineRule="auto"/>
        <w:ind w:firstLine="420" w:firstLineChars="200"/>
        <w:rPr>
          <w:rFonts w:hAnsi="宋体"/>
          <w:bCs/>
          <w:color w:val="auto"/>
          <w:sz w:val="21"/>
        </w:rPr>
      </w:pPr>
      <w:r>
        <w:rPr>
          <w:rFonts w:hAnsi="宋体"/>
          <w:bCs/>
          <w:color w:val="auto"/>
          <w:sz w:val="21"/>
        </w:rPr>
        <w:t>供应商为自然人的，应当由本人签字；供应商为法人或者其他组织的，应当由法定代表人、主要负责人，或者其委托代理人签字或者盖章，并加盖公章</w:t>
      </w:r>
      <w:r>
        <w:rPr>
          <w:rFonts w:hint="eastAsia" w:hAnsi="宋体"/>
          <w:bCs/>
          <w:color w:val="auto"/>
          <w:sz w:val="21"/>
        </w:rPr>
        <w:t>。</w:t>
      </w:r>
    </w:p>
    <w:p w14:paraId="343C11D1">
      <w:pPr>
        <w:pStyle w:val="7"/>
        <w:keepNext w:val="0"/>
        <w:keepLines w:val="0"/>
        <w:snapToGrid w:val="0"/>
        <w:spacing w:before="0" w:after="0" w:line="360" w:lineRule="auto"/>
        <w:ind w:firstLine="420" w:firstLineChars="200"/>
        <w:rPr>
          <w:rFonts w:ascii="宋体" w:hAnsi="宋体"/>
          <w:b w:val="0"/>
          <w:bCs/>
          <w:color w:val="auto"/>
          <w:sz w:val="21"/>
          <w:szCs w:val="21"/>
        </w:rPr>
      </w:pPr>
      <w:r>
        <w:rPr>
          <w:rFonts w:ascii="宋体" w:hAnsi="宋体"/>
          <w:b w:val="0"/>
          <w:color w:val="auto"/>
          <w:sz w:val="21"/>
          <w:szCs w:val="21"/>
        </w:rPr>
        <w:t>3</w:t>
      </w:r>
      <w:r>
        <w:rPr>
          <w:rFonts w:ascii="宋体" w:hAnsi="宋体"/>
          <w:b w:val="0"/>
          <w:bCs/>
          <w:color w:val="auto"/>
          <w:sz w:val="21"/>
          <w:szCs w:val="21"/>
        </w:rPr>
        <w:t>8.4</w:t>
      </w:r>
      <w:r>
        <w:rPr>
          <w:rFonts w:hint="eastAsia" w:ascii="宋体" w:hAnsi="宋体"/>
          <w:b w:val="0"/>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14:paraId="662153CD">
      <w:pPr>
        <w:pStyle w:val="20"/>
        <w:snapToGrid w:val="0"/>
        <w:spacing w:line="360" w:lineRule="auto"/>
        <w:rPr>
          <w:rFonts w:hAnsi="宋体"/>
          <w:bCs/>
          <w:color w:val="auto"/>
          <w:sz w:val="21"/>
        </w:rPr>
      </w:pPr>
      <w:r>
        <w:rPr>
          <w:rFonts w:hint="eastAsia" w:hAnsi="宋体"/>
          <w:bCs/>
          <w:color w:val="auto"/>
          <w:sz w:val="21"/>
        </w:rPr>
        <w:t>　　（一）对招标文件提出的质疑，依法通过澄清或者修改可以继续开展采购活动的，澄清或者修改招标文件后继续开展采购活动；否则应当修改招标文件后重新开展采购活动。</w:t>
      </w:r>
    </w:p>
    <w:p w14:paraId="2FAB38EE">
      <w:pPr>
        <w:pStyle w:val="20"/>
        <w:snapToGrid w:val="0"/>
        <w:spacing w:line="360" w:lineRule="auto"/>
        <w:rPr>
          <w:rFonts w:hAnsi="宋体"/>
          <w:bCs/>
          <w:color w:val="auto"/>
          <w:sz w:val="21"/>
        </w:rPr>
      </w:pPr>
      <w:r>
        <w:rPr>
          <w:rFonts w:hint="eastAsia" w:hAnsi="宋体"/>
          <w:bCs/>
          <w:color w:val="auto"/>
          <w:sz w:val="21"/>
        </w:rPr>
        <w:t>　　（二）对采购过程、中标结果提出的质疑，合格供应商符合法定数量时，可以从合格的中标候选人中另行确定中标供应商的，应当依法另行确定中标供应商；否则应当重新开展采购活动。</w:t>
      </w:r>
    </w:p>
    <w:p w14:paraId="0CA24C9E">
      <w:pPr>
        <w:pStyle w:val="20"/>
        <w:snapToGrid w:val="0"/>
        <w:spacing w:line="360" w:lineRule="auto"/>
        <w:ind w:firstLine="420"/>
        <w:rPr>
          <w:rFonts w:hAnsi="宋体"/>
          <w:bCs/>
          <w:color w:val="auto"/>
          <w:sz w:val="21"/>
        </w:rPr>
      </w:pPr>
      <w:r>
        <w:rPr>
          <w:rFonts w:hint="eastAsia" w:hAnsi="宋体"/>
          <w:bCs/>
          <w:color w:val="auto"/>
          <w:sz w:val="21"/>
        </w:rPr>
        <w:t>质疑答复导致中标结果改变的，采购人或者采购代理机构应当将有关情况书面报告本级财政部门。</w:t>
      </w:r>
    </w:p>
    <w:p w14:paraId="00812401">
      <w:pPr>
        <w:pStyle w:val="20"/>
        <w:snapToGrid w:val="0"/>
        <w:spacing w:line="360" w:lineRule="auto"/>
        <w:ind w:firstLine="420" w:firstLineChars="200"/>
        <w:rPr>
          <w:rFonts w:hAnsi="宋体"/>
          <w:color w:val="auto"/>
          <w:sz w:val="21"/>
        </w:rPr>
      </w:pPr>
      <w:r>
        <w:rPr>
          <w:rFonts w:hAnsi="宋体"/>
          <w:color w:val="auto"/>
          <w:sz w:val="21"/>
        </w:rPr>
        <w:t>38</w:t>
      </w:r>
      <w:r>
        <w:rPr>
          <w:rFonts w:hint="eastAsia" w:hAnsi="宋体"/>
          <w:color w:val="auto"/>
          <w:sz w:val="21"/>
        </w:rPr>
        <w:t>.</w:t>
      </w:r>
      <w:r>
        <w:rPr>
          <w:rFonts w:hAnsi="宋体"/>
          <w:color w:val="auto"/>
          <w:sz w:val="21"/>
        </w:rPr>
        <w:t>5</w:t>
      </w:r>
      <w:r>
        <w:rPr>
          <w:rFonts w:hint="eastAsia" w:hAnsi="宋体"/>
          <w:color w:val="auto"/>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w:t>
      </w:r>
      <w:r>
        <w:rPr>
          <w:rFonts w:hint="eastAsia" w:hAnsi="宋体"/>
          <w:color w:val="auto"/>
        </w:rPr>
        <w:t>（格式见第六章）</w:t>
      </w:r>
      <w:r>
        <w:rPr>
          <w:rFonts w:hint="eastAsia" w:hAnsi="宋体"/>
          <w:color w:val="auto"/>
          <w:sz w:val="21"/>
        </w:rPr>
        <w:t>。</w:t>
      </w:r>
    </w:p>
    <w:p w14:paraId="4E060A29">
      <w:pPr>
        <w:pStyle w:val="5"/>
        <w:keepNext w:val="0"/>
        <w:keepLines w:val="0"/>
        <w:spacing w:before="240" w:after="240" w:line="415" w:lineRule="auto"/>
        <w:jc w:val="center"/>
        <w:rPr>
          <w:color w:val="auto"/>
        </w:rPr>
      </w:pPr>
      <w:bookmarkStart w:id="155" w:name="_八、其他事项"/>
      <w:bookmarkEnd w:id="155"/>
      <w:r>
        <w:rPr>
          <w:rFonts w:hint="eastAsia"/>
          <w:color w:val="auto"/>
        </w:rPr>
        <w:t>八、其他事项</w:t>
      </w:r>
    </w:p>
    <w:p w14:paraId="0CFDC996">
      <w:pPr>
        <w:pStyle w:val="7"/>
        <w:keepNext w:val="0"/>
        <w:keepLines w:val="0"/>
        <w:spacing w:before="0" w:after="0" w:line="360" w:lineRule="auto"/>
        <w:ind w:left="420" w:leftChars="200"/>
        <w:rPr>
          <w:rFonts w:ascii="黑体" w:hAnsi="黑体" w:eastAsia="黑体"/>
          <w:color w:val="auto"/>
          <w:sz w:val="24"/>
        </w:rPr>
      </w:pPr>
      <w:bookmarkStart w:id="156" w:name="_42.代理服务费"/>
      <w:bookmarkEnd w:id="156"/>
      <w:r>
        <w:rPr>
          <w:rFonts w:hint="eastAsia" w:ascii="黑体" w:hAnsi="黑体" w:eastAsia="黑体"/>
          <w:color w:val="auto"/>
          <w:sz w:val="24"/>
        </w:rPr>
        <w:t>3</w:t>
      </w:r>
      <w:r>
        <w:rPr>
          <w:rFonts w:ascii="黑体" w:hAnsi="黑体" w:eastAsia="黑体"/>
          <w:color w:val="auto"/>
          <w:sz w:val="24"/>
        </w:rPr>
        <w:t>9</w:t>
      </w:r>
      <w:r>
        <w:rPr>
          <w:rFonts w:hint="eastAsia" w:ascii="黑体" w:hAnsi="黑体" w:eastAsia="黑体"/>
          <w:color w:val="auto"/>
          <w:sz w:val="24"/>
        </w:rPr>
        <w:t>.代理服务费</w:t>
      </w:r>
    </w:p>
    <w:p w14:paraId="07F54D3C">
      <w:pPr>
        <w:pStyle w:val="7"/>
        <w:keepNext w:val="0"/>
        <w:keepLines w:val="0"/>
        <w:spacing w:before="0" w:after="0" w:line="360" w:lineRule="auto"/>
        <w:ind w:left="420" w:leftChars="200"/>
        <w:rPr>
          <w:rFonts w:ascii="宋体" w:hAnsi="宋体"/>
          <w:b w:val="0"/>
          <w:color w:val="auto"/>
          <w:sz w:val="21"/>
          <w:szCs w:val="21"/>
        </w:rPr>
      </w:pPr>
      <w:r>
        <w:rPr>
          <w:rFonts w:hint="eastAsia" w:ascii="宋体" w:hAnsi="宋体"/>
          <w:b w:val="0"/>
          <w:color w:val="auto"/>
          <w:sz w:val="21"/>
          <w:szCs w:val="21"/>
        </w:rPr>
        <w:t>3</w:t>
      </w:r>
      <w:r>
        <w:rPr>
          <w:rFonts w:ascii="宋体" w:hAnsi="宋体"/>
          <w:b w:val="0"/>
          <w:color w:val="auto"/>
          <w:sz w:val="21"/>
          <w:szCs w:val="21"/>
        </w:rPr>
        <w:t>9</w:t>
      </w:r>
      <w:r>
        <w:rPr>
          <w:rFonts w:hint="eastAsia" w:ascii="宋体" w:hAnsi="宋体"/>
          <w:b w:val="0"/>
          <w:color w:val="auto"/>
          <w:sz w:val="21"/>
          <w:szCs w:val="21"/>
        </w:rPr>
        <w:t>.1代理服务收取标准及缴费账户详见“投标人须知前附表”。</w:t>
      </w:r>
    </w:p>
    <w:p w14:paraId="4F30EA74">
      <w:pPr>
        <w:pStyle w:val="7"/>
        <w:keepNext w:val="0"/>
        <w:keepLines w:val="0"/>
        <w:spacing w:before="0" w:after="0" w:line="360" w:lineRule="auto"/>
        <w:ind w:left="420" w:leftChars="200"/>
        <w:rPr>
          <w:rFonts w:ascii="宋体" w:hAnsi="宋体"/>
          <w:color w:val="auto"/>
          <w:szCs w:val="21"/>
        </w:rPr>
      </w:pPr>
      <w:r>
        <w:rPr>
          <w:rFonts w:hint="eastAsia" w:ascii="宋体" w:hAnsi="宋体"/>
          <w:color w:val="auto"/>
          <w:sz w:val="21"/>
          <w:szCs w:val="21"/>
        </w:rPr>
        <w:t>3</w:t>
      </w:r>
      <w:r>
        <w:rPr>
          <w:rFonts w:ascii="宋体" w:hAnsi="宋体"/>
          <w:color w:val="auto"/>
          <w:sz w:val="21"/>
          <w:szCs w:val="21"/>
        </w:rPr>
        <w:t>9</w:t>
      </w:r>
      <w:r>
        <w:rPr>
          <w:rFonts w:hint="eastAsia" w:ascii="宋体" w:hAnsi="宋体"/>
          <w:color w:val="auto"/>
          <w:sz w:val="21"/>
          <w:szCs w:val="21"/>
        </w:rPr>
        <w:t>.2代理服务收费标准：</w:t>
      </w:r>
    </w:p>
    <w:tbl>
      <w:tblPr>
        <w:tblStyle w:val="3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3"/>
        <w:gridCol w:w="1670"/>
        <w:gridCol w:w="1697"/>
        <w:gridCol w:w="1668"/>
      </w:tblGrid>
      <w:tr w14:paraId="0B67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Borders>
              <w:tl2br w:val="single" w:color="auto" w:sz="4" w:space="0"/>
            </w:tcBorders>
          </w:tcPr>
          <w:p w14:paraId="59F058D7">
            <w:pPr>
              <w:spacing w:line="360" w:lineRule="auto"/>
              <w:rPr>
                <w:rFonts w:ascii="宋体" w:hAnsi="宋体"/>
                <w:color w:val="auto"/>
                <w:szCs w:val="21"/>
              </w:rPr>
            </w:pPr>
            <w:r>
              <w:rPr>
                <w:rFonts w:hint="eastAsia" w:ascii="宋体" w:hAnsi="宋体"/>
                <w:color w:val="auto"/>
                <w:szCs w:val="21"/>
              </w:rPr>
              <w:t xml:space="preserve">               费率</w:t>
            </w:r>
          </w:p>
          <w:p w14:paraId="042B8516">
            <w:pPr>
              <w:spacing w:line="360" w:lineRule="auto"/>
              <w:rPr>
                <w:rFonts w:ascii="宋体" w:hAnsi="宋体"/>
                <w:color w:val="auto"/>
                <w:szCs w:val="21"/>
              </w:rPr>
            </w:pPr>
            <w:r>
              <w:rPr>
                <w:rFonts w:hint="eastAsia" w:ascii="宋体" w:hAnsi="宋体"/>
                <w:color w:val="auto"/>
                <w:szCs w:val="21"/>
              </w:rPr>
              <w:t>金额</w:t>
            </w:r>
          </w:p>
        </w:tc>
        <w:tc>
          <w:tcPr>
            <w:tcW w:w="1670" w:type="dxa"/>
            <w:vAlign w:val="center"/>
          </w:tcPr>
          <w:p w14:paraId="138E7064">
            <w:pPr>
              <w:spacing w:line="360" w:lineRule="auto"/>
              <w:ind w:firstLine="105" w:firstLineChars="50"/>
              <w:jc w:val="center"/>
              <w:rPr>
                <w:rFonts w:ascii="宋体" w:hAnsi="宋体"/>
                <w:color w:val="auto"/>
                <w:szCs w:val="21"/>
              </w:rPr>
            </w:pPr>
            <w:r>
              <w:rPr>
                <w:rFonts w:hint="eastAsia" w:ascii="宋体" w:hAnsi="宋体"/>
                <w:color w:val="auto"/>
                <w:szCs w:val="21"/>
              </w:rPr>
              <w:t>货物招标</w:t>
            </w:r>
          </w:p>
        </w:tc>
        <w:tc>
          <w:tcPr>
            <w:tcW w:w="1697" w:type="dxa"/>
            <w:vAlign w:val="center"/>
          </w:tcPr>
          <w:p w14:paraId="5549AF43">
            <w:pPr>
              <w:spacing w:line="360" w:lineRule="auto"/>
              <w:jc w:val="center"/>
              <w:rPr>
                <w:rFonts w:ascii="宋体" w:hAnsi="宋体"/>
                <w:color w:val="auto"/>
                <w:szCs w:val="21"/>
              </w:rPr>
            </w:pPr>
            <w:r>
              <w:rPr>
                <w:rFonts w:hint="eastAsia" w:ascii="宋体" w:hAnsi="宋体"/>
                <w:color w:val="auto"/>
                <w:szCs w:val="21"/>
              </w:rPr>
              <w:t>服务招标</w:t>
            </w:r>
          </w:p>
        </w:tc>
        <w:tc>
          <w:tcPr>
            <w:tcW w:w="1668" w:type="dxa"/>
            <w:vAlign w:val="center"/>
          </w:tcPr>
          <w:p w14:paraId="6A5910BA">
            <w:pPr>
              <w:spacing w:line="360" w:lineRule="auto"/>
              <w:jc w:val="center"/>
              <w:rPr>
                <w:rFonts w:ascii="宋体" w:hAnsi="宋体"/>
                <w:color w:val="auto"/>
                <w:szCs w:val="21"/>
              </w:rPr>
            </w:pPr>
            <w:r>
              <w:rPr>
                <w:rFonts w:hint="eastAsia" w:ascii="宋体" w:hAnsi="宋体"/>
                <w:color w:val="auto"/>
                <w:szCs w:val="21"/>
              </w:rPr>
              <w:t>工程招标</w:t>
            </w:r>
          </w:p>
        </w:tc>
      </w:tr>
      <w:tr w14:paraId="20EB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6761F723">
            <w:pPr>
              <w:spacing w:line="360" w:lineRule="auto"/>
              <w:rPr>
                <w:rFonts w:ascii="宋体" w:hAnsi="宋体"/>
                <w:color w:val="auto"/>
                <w:szCs w:val="21"/>
              </w:rPr>
            </w:pPr>
            <w:r>
              <w:rPr>
                <w:rFonts w:hint="eastAsia" w:ascii="宋体" w:hAnsi="宋体"/>
                <w:color w:val="auto"/>
                <w:szCs w:val="21"/>
              </w:rPr>
              <w:t>100万元以下</w:t>
            </w:r>
          </w:p>
        </w:tc>
        <w:tc>
          <w:tcPr>
            <w:tcW w:w="1670" w:type="dxa"/>
          </w:tcPr>
          <w:p w14:paraId="00D497FF">
            <w:pPr>
              <w:spacing w:line="360" w:lineRule="auto"/>
              <w:jc w:val="center"/>
              <w:rPr>
                <w:rFonts w:ascii="宋体" w:hAnsi="宋体"/>
                <w:color w:val="auto"/>
                <w:szCs w:val="21"/>
              </w:rPr>
            </w:pPr>
            <w:r>
              <w:rPr>
                <w:rFonts w:ascii="宋体" w:hAnsi="宋体" w:cs="宋体"/>
                <w:color w:val="auto"/>
                <w:kern w:val="0"/>
                <w:szCs w:val="21"/>
              </w:rPr>
              <w:t>1.5%</w:t>
            </w:r>
          </w:p>
        </w:tc>
        <w:tc>
          <w:tcPr>
            <w:tcW w:w="1697" w:type="dxa"/>
          </w:tcPr>
          <w:p w14:paraId="7C64EE21">
            <w:pPr>
              <w:spacing w:line="360" w:lineRule="auto"/>
              <w:ind w:firstLine="210" w:firstLineChars="100"/>
              <w:jc w:val="center"/>
              <w:rPr>
                <w:rFonts w:ascii="宋体" w:hAnsi="宋体"/>
                <w:color w:val="auto"/>
                <w:szCs w:val="21"/>
              </w:rPr>
            </w:pPr>
            <w:r>
              <w:rPr>
                <w:rFonts w:ascii="宋体" w:hAnsi="宋体" w:cs="宋体"/>
                <w:color w:val="auto"/>
                <w:kern w:val="0"/>
                <w:szCs w:val="21"/>
              </w:rPr>
              <w:t>1.5%</w:t>
            </w:r>
          </w:p>
        </w:tc>
        <w:tc>
          <w:tcPr>
            <w:tcW w:w="1668" w:type="dxa"/>
          </w:tcPr>
          <w:p w14:paraId="47EF3747">
            <w:pPr>
              <w:spacing w:line="360" w:lineRule="auto"/>
              <w:ind w:firstLine="210" w:firstLineChars="100"/>
              <w:jc w:val="center"/>
              <w:rPr>
                <w:rFonts w:ascii="宋体" w:hAnsi="宋体"/>
                <w:color w:val="auto"/>
                <w:szCs w:val="21"/>
              </w:rPr>
            </w:pPr>
            <w:r>
              <w:rPr>
                <w:rFonts w:ascii="宋体" w:hAnsi="宋体" w:cs="宋体"/>
                <w:color w:val="auto"/>
                <w:kern w:val="0"/>
                <w:szCs w:val="21"/>
              </w:rPr>
              <w:t>1.0%</w:t>
            </w:r>
          </w:p>
        </w:tc>
      </w:tr>
      <w:tr w14:paraId="619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2C501F39">
            <w:pPr>
              <w:spacing w:line="360" w:lineRule="auto"/>
              <w:rPr>
                <w:rFonts w:ascii="宋体" w:hAnsi="宋体"/>
                <w:color w:val="auto"/>
                <w:szCs w:val="21"/>
              </w:rPr>
            </w:pPr>
            <w:r>
              <w:rPr>
                <w:rFonts w:hint="eastAsia" w:ascii="宋体" w:hAnsi="宋体"/>
                <w:color w:val="auto"/>
                <w:szCs w:val="21"/>
              </w:rPr>
              <w:t>100万元～500万元</w:t>
            </w:r>
          </w:p>
        </w:tc>
        <w:tc>
          <w:tcPr>
            <w:tcW w:w="1670" w:type="dxa"/>
          </w:tcPr>
          <w:p w14:paraId="5D6C5914">
            <w:pPr>
              <w:spacing w:line="360" w:lineRule="auto"/>
              <w:ind w:firstLine="210" w:firstLineChars="100"/>
              <w:jc w:val="center"/>
              <w:rPr>
                <w:rFonts w:ascii="宋体" w:hAnsi="宋体"/>
                <w:color w:val="auto"/>
                <w:szCs w:val="21"/>
              </w:rPr>
            </w:pPr>
            <w:r>
              <w:rPr>
                <w:rFonts w:ascii="宋体" w:hAnsi="宋体" w:cs="宋体"/>
                <w:color w:val="auto"/>
                <w:kern w:val="0"/>
                <w:szCs w:val="21"/>
              </w:rPr>
              <w:t>1.1%</w:t>
            </w:r>
          </w:p>
        </w:tc>
        <w:tc>
          <w:tcPr>
            <w:tcW w:w="1697" w:type="dxa"/>
          </w:tcPr>
          <w:p w14:paraId="14C43D8D">
            <w:pPr>
              <w:spacing w:line="360" w:lineRule="auto"/>
              <w:ind w:firstLine="210" w:firstLineChars="100"/>
              <w:jc w:val="center"/>
              <w:rPr>
                <w:rFonts w:ascii="宋体" w:hAnsi="宋体"/>
                <w:color w:val="auto"/>
                <w:szCs w:val="21"/>
              </w:rPr>
            </w:pPr>
            <w:r>
              <w:rPr>
                <w:rFonts w:ascii="宋体" w:hAnsi="宋体" w:cs="宋体"/>
                <w:color w:val="auto"/>
                <w:kern w:val="0"/>
                <w:szCs w:val="21"/>
              </w:rPr>
              <w:t>0.8%</w:t>
            </w:r>
          </w:p>
        </w:tc>
        <w:tc>
          <w:tcPr>
            <w:tcW w:w="1668" w:type="dxa"/>
          </w:tcPr>
          <w:p w14:paraId="237F6DC5">
            <w:pPr>
              <w:spacing w:line="360" w:lineRule="auto"/>
              <w:ind w:firstLine="210" w:firstLineChars="100"/>
              <w:jc w:val="center"/>
              <w:rPr>
                <w:rFonts w:ascii="宋体" w:hAnsi="宋体"/>
                <w:color w:val="auto"/>
                <w:szCs w:val="21"/>
              </w:rPr>
            </w:pPr>
            <w:r>
              <w:rPr>
                <w:rFonts w:ascii="宋体" w:hAnsi="宋体" w:cs="宋体"/>
                <w:color w:val="auto"/>
                <w:kern w:val="0"/>
                <w:szCs w:val="21"/>
              </w:rPr>
              <w:t>0.7%</w:t>
            </w:r>
          </w:p>
        </w:tc>
      </w:tr>
      <w:tr w14:paraId="6864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53995908">
            <w:pPr>
              <w:spacing w:line="360" w:lineRule="auto"/>
              <w:rPr>
                <w:rFonts w:ascii="宋体" w:hAnsi="宋体"/>
                <w:color w:val="auto"/>
                <w:szCs w:val="21"/>
              </w:rPr>
            </w:pPr>
            <w:r>
              <w:rPr>
                <w:rFonts w:hint="eastAsia" w:ascii="宋体" w:hAnsi="宋体"/>
                <w:color w:val="auto"/>
                <w:szCs w:val="21"/>
              </w:rPr>
              <w:t>500万元～1000万元</w:t>
            </w:r>
          </w:p>
        </w:tc>
        <w:tc>
          <w:tcPr>
            <w:tcW w:w="1670" w:type="dxa"/>
          </w:tcPr>
          <w:p w14:paraId="26BE3049">
            <w:pPr>
              <w:spacing w:line="360" w:lineRule="auto"/>
              <w:jc w:val="center"/>
              <w:rPr>
                <w:rFonts w:ascii="宋体" w:hAnsi="宋体"/>
                <w:color w:val="auto"/>
                <w:szCs w:val="21"/>
              </w:rPr>
            </w:pPr>
            <w:r>
              <w:rPr>
                <w:rFonts w:ascii="宋体" w:hAnsi="宋体" w:cs="宋体"/>
                <w:color w:val="auto"/>
                <w:kern w:val="0"/>
                <w:szCs w:val="21"/>
              </w:rPr>
              <w:t>0.8%</w:t>
            </w:r>
          </w:p>
        </w:tc>
        <w:tc>
          <w:tcPr>
            <w:tcW w:w="1697" w:type="dxa"/>
          </w:tcPr>
          <w:p w14:paraId="256CEA0E">
            <w:pPr>
              <w:spacing w:line="360" w:lineRule="auto"/>
              <w:ind w:firstLine="210" w:firstLineChars="100"/>
              <w:jc w:val="center"/>
              <w:rPr>
                <w:rFonts w:ascii="宋体" w:hAnsi="宋体"/>
                <w:color w:val="auto"/>
                <w:szCs w:val="21"/>
              </w:rPr>
            </w:pPr>
            <w:r>
              <w:rPr>
                <w:rFonts w:ascii="宋体" w:hAnsi="宋体" w:cs="宋体"/>
                <w:color w:val="auto"/>
                <w:kern w:val="0"/>
                <w:szCs w:val="21"/>
              </w:rPr>
              <w:t>0.45%</w:t>
            </w:r>
          </w:p>
        </w:tc>
        <w:tc>
          <w:tcPr>
            <w:tcW w:w="1668" w:type="dxa"/>
          </w:tcPr>
          <w:p w14:paraId="5A7717B8">
            <w:pPr>
              <w:spacing w:line="360" w:lineRule="auto"/>
              <w:ind w:firstLine="210" w:firstLineChars="100"/>
              <w:jc w:val="center"/>
              <w:rPr>
                <w:rFonts w:ascii="宋体" w:hAnsi="宋体"/>
                <w:color w:val="auto"/>
                <w:szCs w:val="21"/>
              </w:rPr>
            </w:pPr>
            <w:r>
              <w:rPr>
                <w:rFonts w:ascii="宋体" w:hAnsi="宋体" w:cs="宋体"/>
                <w:color w:val="auto"/>
                <w:kern w:val="0"/>
                <w:szCs w:val="21"/>
              </w:rPr>
              <w:t>0.55%</w:t>
            </w:r>
          </w:p>
        </w:tc>
      </w:tr>
      <w:tr w14:paraId="71D4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1A121EA4">
            <w:pPr>
              <w:spacing w:line="360" w:lineRule="auto"/>
              <w:rPr>
                <w:rFonts w:ascii="宋体" w:hAnsi="宋体"/>
                <w:color w:val="auto"/>
                <w:szCs w:val="21"/>
              </w:rPr>
            </w:pPr>
            <w:r>
              <w:rPr>
                <w:rFonts w:hint="eastAsia" w:ascii="宋体" w:hAnsi="宋体"/>
                <w:color w:val="auto"/>
                <w:szCs w:val="21"/>
              </w:rPr>
              <w:t>1000万元～5000万元</w:t>
            </w:r>
          </w:p>
        </w:tc>
        <w:tc>
          <w:tcPr>
            <w:tcW w:w="1670" w:type="dxa"/>
          </w:tcPr>
          <w:p w14:paraId="2F1DB8F8">
            <w:pPr>
              <w:spacing w:line="360" w:lineRule="auto"/>
              <w:ind w:firstLine="210" w:firstLineChars="100"/>
              <w:jc w:val="center"/>
              <w:rPr>
                <w:rFonts w:ascii="宋体" w:hAnsi="宋体"/>
                <w:color w:val="auto"/>
                <w:szCs w:val="21"/>
              </w:rPr>
            </w:pPr>
            <w:r>
              <w:rPr>
                <w:rFonts w:ascii="宋体" w:hAnsi="宋体" w:cs="宋体"/>
                <w:color w:val="auto"/>
                <w:kern w:val="0"/>
                <w:szCs w:val="21"/>
              </w:rPr>
              <w:t>0.5%</w:t>
            </w:r>
          </w:p>
        </w:tc>
        <w:tc>
          <w:tcPr>
            <w:tcW w:w="1697" w:type="dxa"/>
          </w:tcPr>
          <w:p w14:paraId="7004888F">
            <w:pPr>
              <w:spacing w:line="360" w:lineRule="auto"/>
              <w:ind w:firstLine="210" w:firstLineChars="100"/>
              <w:jc w:val="center"/>
              <w:rPr>
                <w:rFonts w:ascii="宋体" w:hAnsi="宋体"/>
                <w:color w:val="auto"/>
                <w:szCs w:val="21"/>
              </w:rPr>
            </w:pPr>
            <w:r>
              <w:rPr>
                <w:rFonts w:ascii="宋体" w:hAnsi="宋体" w:cs="宋体"/>
                <w:color w:val="auto"/>
                <w:kern w:val="0"/>
                <w:szCs w:val="21"/>
              </w:rPr>
              <w:t>0.25%</w:t>
            </w:r>
          </w:p>
        </w:tc>
        <w:tc>
          <w:tcPr>
            <w:tcW w:w="1668" w:type="dxa"/>
          </w:tcPr>
          <w:p w14:paraId="740F7DFC">
            <w:pPr>
              <w:spacing w:line="360" w:lineRule="auto"/>
              <w:ind w:firstLine="210" w:firstLineChars="100"/>
              <w:jc w:val="center"/>
              <w:rPr>
                <w:rFonts w:ascii="宋体" w:hAnsi="宋体"/>
                <w:color w:val="auto"/>
                <w:szCs w:val="21"/>
              </w:rPr>
            </w:pPr>
            <w:r>
              <w:rPr>
                <w:rFonts w:ascii="宋体" w:hAnsi="宋体" w:cs="宋体"/>
                <w:color w:val="auto"/>
                <w:kern w:val="0"/>
                <w:szCs w:val="21"/>
              </w:rPr>
              <w:t>0.35%</w:t>
            </w:r>
          </w:p>
        </w:tc>
      </w:tr>
      <w:tr w14:paraId="6AC8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33345A35">
            <w:pPr>
              <w:spacing w:line="360" w:lineRule="auto"/>
              <w:rPr>
                <w:rFonts w:ascii="宋体" w:hAnsi="宋体"/>
                <w:color w:val="auto"/>
                <w:szCs w:val="21"/>
              </w:rPr>
            </w:pPr>
            <w:r>
              <w:rPr>
                <w:rFonts w:hint="eastAsia" w:ascii="宋体" w:hAnsi="宋体"/>
                <w:color w:val="auto"/>
                <w:szCs w:val="21"/>
              </w:rPr>
              <w:t>5000万元～1亿元</w:t>
            </w:r>
          </w:p>
        </w:tc>
        <w:tc>
          <w:tcPr>
            <w:tcW w:w="1670" w:type="dxa"/>
          </w:tcPr>
          <w:p w14:paraId="2D420D6A">
            <w:pPr>
              <w:spacing w:line="360" w:lineRule="auto"/>
              <w:ind w:firstLine="210" w:firstLineChars="100"/>
              <w:jc w:val="center"/>
              <w:rPr>
                <w:rFonts w:ascii="宋体" w:hAnsi="宋体"/>
                <w:color w:val="auto"/>
                <w:szCs w:val="21"/>
              </w:rPr>
            </w:pPr>
            <w:r>
              <w:rPr>
                <w:rFonts w:ascii="宋体" w:hAnsi="宋体" w:cs="宋体"/>
                <w:color w:val="auto"/>
                <w:kern w:val="0"/>
                <w:szCs w:val="21"/>
              </w:rPr>
              <w:t>0.25%</w:t>
            </w:r>
          </w:p>
        </w:tc>
        <w:tc>
          <w:tcPr>
            <w:tcW w:w="1697" w:type="dxa"/>
          </w:tcPr>
          <w:p w14:paraId="13D7CBFC">
            <w:pPr>
              <w:spacing w:line="360" w:lineRule="auto"/>
              <w:ind w:firstLine="210" w:firstLineChars="100"/>
              <w:jc w:val="center"/>
              <w:rPr>
                <w:rFonts w:ascii="宋体" w:hAnsi="宋体"/>
                <w:color w:val="auto"/>
                <w:szCs w:val="21"/>
              </w:rPr>
            </w:pPr>
            <w:r>
              <w:rPr>
                <w:rFonts w:ascii="宋体" w:hAnsi="宋体" w:cs="宋体"/>
                <w:color w:val="auto"/>
                <w:kern w:val="0"/>
                <w:szCs w:val="21"/>
              </w:rPr>
              <w:t>0.1%</w:t>
            </w:r>
          </w:p>
        </w:tc>
        <w:tc>
          <w:tcPr>
            <w:tcW w:w="1668" w:type="dxa"/>
          </w:tcPr>
          <w:p w14:paraId="05A9B435">
            <w:pPr>
              <w:spacing w:line="360" w:lineRule="auto"/>
              <w:ind w:firstLine="210" w:firstLineChars="100"/>
              <w:jc w:val="center"/>
              <w:rPr>
                <w:rFonts w:ascii="宋体" w:hAnsi="宋体"/>
                <w:color w:val="auto"/>
                <w:szCs w:val="21"/>
              </w:rPr>
            </w:pPr>
            <w:r>
              <w:rPr>
                <w:rFonts w:ascii="宋体" w:hAnsi="宋体" w:cs="宋体"/>
                <w:color w:val="auto"/>
                <w:kern w:val="0"/>
                <w:szCs w:val="21"/>
              </w:rPr>
              <w:t>0.2%</w:t>
            </w:r>
          </w:p>
        </w:tc>
      </w:tr>
      <w:tr w14:paraId="3852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784E896C">
            <w:pPr>
              <w:spacing w:line="360" w:lineRule="auto"/>
              <w:rPr>
                <w:rFonts w:ascii="宋体" w:hAnsi="宋体"/>
                <w:color w:val="auto"/>
                <w:szCs w:val="21"/>
              </w:rPr>
            </w:pPr>
            <w:r>
              <w:rPr>
                <w:rFonts w:hint="eastAsia" w:ascii="宋体" w:hAnsi="宋体"/>
                <w:color w:val="auto"/>
                <w:szCs w:val="21"/>
              </w:rPr>
              <w:t>1亿元～5亿元</w:t>
            </w:r>
          </w:p>
        </w:tc>
        <w:tc>
          <w:tcPr>
            <w:tcW w:w="1670" w:type="dxa"/>
          </w:tcPr>
          <w:p w14:paraId="0E46317B">
            <w:pPr>
              <w:spacing w:line="360" w:lineRule="auto"/>
              <w:ind w:firstLine="210" w:firstLineChars="100"/>
              <w:jc w:val="center"/>
              <w:rPr>
                <w:rFonts w:ascii="宋体" w:hAnsi="宋体"/>
                <w:color w:val="auto"/>
                <w:szCs w:val="21"/>
              </w:rPr>
            </w:pPr>
            <w:r>
              <w:rPr>
                <w:rFonts w:hint="eastAsia" w:ascii="宋体" w:hAnsi="宋体"/>
                <w:color w:val="auto"/>
                <w:szCs w:val="21"/>
              </w:rPr>
              <w:t>0.05%</w:t>
            </w:r>
          </w:p>
        </w:tc>
        <w:tc>
          <w:tcPr>
            <w:tcW w:w="1697" w:type="dxa"/>
          </w:tcPr>
          <w:p w14:paraId="7F061DD3">
            <w:pPr>
              <w:spacing w:line="360" w:lineRule="auto"/>
              <w:jc w:val="center"/>
              <w:rPr>
                <w:rFonts w:ascii="宋体" w:hAnsi="宋体"/>
                <w:color w:val="auto"/>
                <w:szCs w:val="21"/>
              </w:rPr>
            </w:pPr>
            <w:r>
              <w:rPr>
                <w:rFonts w:hint="eastAsia" w:ascii="宋体" w:hAnsi="宋体"/>
                <w:color w:val="auto"/>
                <w:szCs w:val="21"/>
              </w:rPr>
              <w:t>0.05%</w:t>
            </w:r>
          </w:p>
        </w:tc>
        <w:tc>
          <w:tcPr>
            <w:tcW w:w="1668" w:type="dxa"/>
          </w:tcPr>
          <w:p w14:paraId="47CEB1DE">
            <w:pPr>
              <w:spacing w:line="360" w:lineRule="auto"/>
              <w:jc w:val="center"/>
              <w:rPr>
                <w:rFonts w:ascii="宋体" w:hAnsi="宋体"/>
                <w:color w:val="auto"/>
                <w:szCs w:val="21"/>
              </w:rPr>
            </w:pPr>
            <w:r>
              <w:rPr>
                <w:rFonts w:hint="eastAsia" w:ascii="宋体" w:hAnsi="宋体"/>
                <w:color w:val="auto"/>
                <w:szCs w:val="21"/>
              </w:rPr>
              <w:t>0.05%</w:t>
            </w:r>
          </w:p>
        </w:tc>
      </w:tr>
      <w:tr w14:paraId="3B2A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3594BE0A">
            <w:pPr>
              <w:spacing w:line="360" w:lineRule="auto"/>
              <w:rPr>
                <w:rFonts w:ascii="宋体" w:hAnsi="宋体"/>
                <w:color w:val="auto"/>
                <w:szCs w:val="21"/>
              </w:rPr>
            </w:pPr>
            <w:r>
              <w:rPr>
                <w:rFonts w:hint="eastAsia" w:ascii="宋体" w:hAnsi="宋体"/>
                <w:color w:val="auto"/>
                <w:szCs w:val="21"/>
              </w:rPr>
              <w:t>5亿元～10亿元</w:t>
            </w:r>
          </w:p>
        </w:tc>
        <w:tc>
          <w:tcPr>
            <w:tcW w:w="1670" w:type="dxa"/>
          </w:tcPr>
          <w:p w14:paraId="0D43B138">
            <w:pPr>
              <w:spacing w:line="360" w:lineRule="auto"/>
              <w:ind w:firstLine="105" w:firstLineChars="50"/>
              <w:jc w:val="center"/>
              <w:rPr>
                <w:rFonts w:ascii="宋体" w:hAnsi="宋体"/>
                <w:color w:val="auto"/>
                <w:szCs w:val="21"/>
              </w:rPr>
            </w:pPr>
            <w:r>
              <w:rPr>
                <w:rFonts w:hint="eastAsia" w:ascii="宋体" w:hAnsi="宋体"/>
                <w:color w:val="auto"/>
                <w:szCs w:val="21"/>
              </w:rPr>
              <w:t>0.035%</w:t>
            </w:r>
          </w:p>
        </w:tc>
        <w:tc>
          <w:tcPr>
            <w:tcW w:w="1697" w:type="dxa"/>
          </w:tcPr>
          <w:p w14:paraId="5070FDF9">
            <w:pPr>
              <w:spacing w:line="360" w:lineRule="auto"/>
              <w:jc w:val="center"/>
              <w:rPr>
                <w:rFonts w:ascii="宋体" w:hAnsi="宋体"/>
                <w:color w:val="auto"/>
                <w:szCs w:val="21"/>
              </w:rPr>
            </w:pPr>
            <w:r>
              <w:rPr>
                <w:rFonts w:hint="eastAsia" w:ascii="宋体" w:hAnsi="宋体"/>
                <w:color w:val="auto"/>
                <w:szCs w:val="21"/>
              </w:rPr>
              <w:t>0.035%</w:t>
            </w:r>
          </w:p>
        </w:tc>
        <w:tc>
          <w:tcPr>
            <w:tcW w:w="1668" w:type="dxa"/>
          </w:tcPr>
          <w:p w14:paraId="3358CD40">
            <w:pPr>
              <w:spacing w:line="360" w:lineRule="auto"/>
              <w:ind w:firstLine="105" w:firstLineChars="50"/>
              <w:jc w:val="center"/>
              <w:rPr>
                <w:rFonts w:ascii="宋体" w:hAnsi="宋体"/>
                <w:color w:val="auto"/>
                <w:szCs w:val="21"/>
              </w:rPr>
            </w:pPr>
            <w:r>
              <w:rPr>
                <w:rFonts w:hint="eastAsia" w:ascii="宋体" w:hAnsi="宋体"/>
                <w:color w:val="auto"/>
                <w:szCs w:val="21"/>
              </w:rPr>
              <w:t>0.035%</w:t>
            </w:r>
          </w:p>
        </w:tc>
      </w:tr>
      <w:tr w14:paraId="2813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7769A6F4">
            <w:pPr>
              <w:spacing w:line="360" w:lineRule="auto"/>
              <w:rPr>
                <w:rFonts w:ascii="宋体" w:hAnsi="宋体"/>
                <w:color w:val="auto"/>
                <w:szCs w:val="21"/>
              </w:rPr>
            </w:pPr>
            <w:r>
              <w:rPr>
                <w:rFonts w:hint="eastAsia" w:ascii="宋体" w:hAnsi="宋体"/>
                <w:color w:val="auto"/>
                <w:szCs w:val="21"/>
              </w:rPr>
              <w:t>10亿元～50亿元</w:t>
            </w:r>
          </w:p>
        </w:tc>
        <w:tc>
          <w:tcPr>
            <w:tcW w:w="1670" w:type="dxa"/>
          </w:tcPr>
          <w:p w14:paraId="7990CAB0">
            <w:pPr>
              <w:spacing w:line="360" w:lineRule="auto"/>
              <w:ind w:firstLine="105" w:firstLineChars="50"/>
              <w:jc w:val="center"/>
              <w:rPr>
                <w:rFonts w:ascii="宋体" w:hAnsi="宋体"/>
                <w:color w:val="auto"/>
                <w:szCs w:val="21"/>
              </w:rPr>
            </w:pPr>
            <w:r>
              <w:rPr>
                <w:rFonts w:hint="eastAsia" w:ascii="宋体" w:hAnsi="宋体"/>
                <w:color w:val="auto"/>
                <w:szCs w:val="21"/>
              </w:rPr>
              <w:t>0.008%</w:t>
            </w:r>
          </w:p>
        </w:tc>
        <w:tc>
          <w:tcPr>
            <w:tcW w:w="1697" w:type="dxa"/>
          </w:tcPr>
          <w:p w14:paraId="7AAE5EC9">
            <w:pPr>
              <w:spacing w:line="360" w:lineRule="auto"/>
              <w:ind w:firstLine="210" w:firstLineChars="100"/>
              <w:jc w:val="center"/>
              <w:rPr>
                <w:rFonts w:ascii="宋体" w:hAnsi="宋体"/>
                <w:color w:val="auto"/>
                <w:szCs w:val="21"/>
              </w:rPr>
            </w:pPr>
            <w:r>
              <w:rPr>
                <w:rFonts w:hint="eastAsia" w:ascii="宋体" w:hAnsi="宋体"/>
                <w:color w:val="auto"/>
                <w:szCs w:val="21"/>
              </w:rPr>
              <w:t>0.008%</w:t>
            </w:r>
          </w:p>
        </w:tc>
        <w:tc>
          <w:tcPr>
            <w:tcW w:w="1668" w:type="dxa"/>
          </w:tcPr>
          <w:p w14:paraId="682D1585">
            <w:pPr>
              <w:spacing w:line="360" w:lineRule="auto"/>
              <w:ind w:firstLine="105" w:firstLineChars="50"/>
              <w:jc w:val="center"/>
              <w:rPr>
                <w:rFonts w:ascii="宋体" w:hAnsi="宋体"/>
                <w:color w:val="auto"/>
                <w:szCs w:val="21"/>
              </w:rPr>
            </w:pPr>
            <w:r>
              <w:rPr>
                <w:rFonts w:hint="eastAsia" w:ascii="宋体" w:hAnsi="宋体"/>
                <w:color w:val="auto"/>
                <w:szCs w:val="21"/>
              </w:rPr>
              <w:t>0.008%</w:t>
            </w:r>
          </w:p>
        </w:tc>
      </w:tr>
      <w:tr w14:paraId="0C8E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5647AA7A">
            <w:pPr>
              <w:spacing w:line="360" w:lineRule="auto"/>
              <w:rPr>
                <w:rFonts w:ascii="宋体" w:hAnsi="宋体"/>
                <w:color w:val="auto"/>
                <w:szCs w:val="21"/>
              </w:rPr>
            </w:pPr>
            <w:r>
              <w:rPr>
                <w:rFonts w:hint="eastAsia" w:ascii="宋体" w:hAnsi="宋体"/>
                <w:color w:val="auto"/>
                <w:szCs w:val="21"/>
              </w:rPr>
              <w:t>50亿元～100亿元</w:t>
            </w:r>
          </w:p>
        </w:tc>
        <w:tc>
          <w:tcPr>
            <w:tcW w:w="1670" w:type="dxa"/>
          </w:tcPr>
          <w:p w14:paraId="7332D5A9">
            <w:pPr>
              <w:spacing w:line="360" w:lineRule="auto"/>
              <w:jc w:val="center"/>
              <w:rPr>
                <w:rFonts w:ascii="宋体" w:hAnsi="宋体"/>
                <w:color w:val="auto"/>
                <w:szCs w:val="21"/>
              </w:rPr>
            </w:pPr>
            <w:r>
              <w:rPr>
                <w:rFonts w:hint="eastAsia" w:ascii="宋体" w:hAnsi="宋体"/>
                <w:color w:val="auto"/>
                <w:szCs w:val="21"/>
              </w:rPr>
              <w:t>0.006%</w:t>
            </w:r>
          </w:p>
        </w:tc>
        <w:tc>
          <w:tcPr>
            <w:tcW w:w="1697" w:type="dxa"/>
          </w:tcPr>
          <w:p w14:paraId="73241118">
            <w:pPr>
              <w:spacing w:line="360" w:lineRule="auto"/>
              <w:ind w:firstLine="210" w:firstLineChars="100"/>
              <w:jc w:val="center"/>
              <w:rPr>
                <w:rFonts w:ascii="宋体" w:hAnsi="宋体"/>
                <w:color w:val="auto"/>
                <w:szCs w:val="21"/>
              </w:rPr>
            </w:pPr>
            <w:r>
              <w:rPr>
                <w:rFonts w:hint="eastAsia" w:ascii="宋体" w:hAnsi="宋体"/>
                <w:color w:val="auto"/>
                <w:szCs w:val="21"/>
              </w:rPr>
              <w:t>0.006%</w:t>
            </w:r>
          </w:p>
        </w:tc>
        <w:tc>
          <w:tcPr>
            <w:tcW w:w="1668" w:type="dxa"/>
          </w:tcPr>
          <w:p w14:paraId="3D51D8B2">
            <w:pPr>
              <w:spacing w:line="360" w:lineRule="auto"/>
              <w:ind w:firstLine="105" w:firstLineChars="50"/>
              <w:jc w:val="center"/>
              <w:rPr>
                <w:rFonts w:ascii="宋体" w:hAnsi="宋体"/>
                <w:color w:val="auto"/>
                <w:szCs w:val="21"/>
              </w:rPr>
            </w:pPr>
            <w:r>
              <w:rPr>
                <w:rFonts w:hint="eastAsia" w:ascii="宋体" w:hAnsi="宋体"/>
                <w:color w:val="auto"/>
                <w:szCs w:val="21"/>
              </w:rPr>
              <w:t>0.006%</w:t>
            </w:r>
          </w:p>
        </w:tc>
      </w:tr>
      <w:tr w14:paraId="4FD9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3" w:type="dxa"/>
          </w:tcPr>
          <w:p w14:paraId="5101556D">
            <w:pPr>
              <w:spacing w:line="360" w:lineRule="auto"/>
              <w:rPr>
                <w:rFonts w:ascii="宋体" w:hAnsi="宋体"/>
                <w:color w:val="auto"/>
                <w:szCs w:val="21"/>
              </w:rPr>
            </w:pPr>
            <w:r>
              <w:rPr>
                <w:rFonts w:hint="eastAsia" w:ascii="宋体" w:hAnsi="宋体"/>
                <w:color w:val="auto"/>
                <w:szCs w:val="21"/>
              </w:rPr>
              <w:t>100亿以上</w:t>
            </w:r>
          </w:p>
        </w:tc>
        <w:tc>
          <w:tcPr>
            <w:tcW w:w="1670" w:type="dxa"/>
          </w:tcPr>
          <w:p w14:paraId="28C2E22F">
            <w:pPr>
              <w:spacing w:line="360" w:lineRule="auto"/>
              <w:jc w:val="center"/>
              <w:rPr>
                <w:rFonts w:ascii="宋体" w:hAnsi="宋体"/>
                <w:color w:val="auto"/>
                <w:szCs w:val="21"/>
              </w:rPr>
            </w:pPr>
            <w:r>
              <w:rPr>
                <w:rFonts w:hint="eastAsia" w:ascii="宋体" w:hAnsi="宋体"/>
                <w:color w:val="auto"/>
                <w:szCs w:val="21"/>
              </w:rPr>
              <w:t>0.004%</w:t>
            </w:r>
          </w:p>
        </w:tc>
        <w:tc>
          <w:tcPr>
            <w:tcW w:w="1697" w:type="dxa"/>
          </w:tcPr>
          <w:p w14:paraId="185DB812">
            <w:pPr>
              <w:spacing w:line="360" w:lineRule="auto"/>
              <w:ind w:firstLine="210" w:firstLineChars="100"/>
              <w:jc w:val="center"/>
              <w:rPr>
                <w:rFonts w:ascii="宋体" w:hAnsi="宋体"/>
                <w:color w:val="auto"/>
                <w:szCs w:val="21"/>
              </w:rPr>
            </w:pPr>
            <w:r>
              <w:rPr>
                <w:rFonts w:hint="eastAsia" w:ascii="宋体" w:hAnsi="宋体"/>
                <w:color w:val="auto"/>
                <w:szCs w:val="21"/>
              </w:rPr>
              <w:t>0.004%</w:t>
            </w:r>
          </w:p>
        </w:tc>
        <w:tc>
          <w:tcPr>
            <w:tcW w:w="1668" w:type="dxa"/>
          </w:tcPr>
          <w:p w14:paraId="7E32F7B9">
            <w:pPr>
              <w:spacing w:line="360" w:lineRule="auto"/>
              <w:ind w:firstLine="105" w:firstLineChars="50"/>
              <w:jc w:val="center"/>
              <w:rPr>
                <w:rFonts w:ascii="宋体" w:hAnsi="宋体"/>
                <w:color w:val="auto"/>
                <w:szCs w:val="21"/>
              </w:rPr>
            </w:pPr>
            <w:r>
              <w:rPr>
                <w:rFonts w:hint="eastAsia" w:ascii="宋体" w:hAnsi="宋体"/>
                <w:color w:val="auto"/>
                <w:szCs w:val="21"/>
              </w:rPr>
              <w:t>0.004%</w:t>
            </w:r>
          </w:p>
        </w:tc>
      </w:tr>
    </w:tbl>
    <w:p w14:paraId="1CA298FE">
      <w:pPr>
        <w:spacing w:line="360" w:lineRule="auto"/>
        <w:ind w:firstLine="420" w:firstLineChars="200"/>
        <w:rPr>
          <w:rFonts w:hAnsi="宋体" w:cs="宋体"/>
          <w:color w:val="auto"/>
        </w:rPr>
      </w:pPr>
      <w:r>
        <w:rPr>
          <w:rFonts w:hint="eastAsia" w:ascii="宋体" w:hAnsi="宋体"/>
          <w:color w:val="auto"/>
          <w:szCs w:val="21"/>
        </w:rPr>
        <w:t>注：招标代理服务收费按差额定率累进法计算。</w:t>
      </w:r>
    </w:p>
    <w:p w14:paraId="32CC0B81">
      <w:pPr>
        <w:pStyle w:val="20"/>
        <w:snapToGrid w:val="0"/>
        <w:spacing w:line="360" w:lineRule="auto"/>
        <w:ind w:firstLine="420" w:firstLineChars="200"/>
        <w:rPr>
          <w:rFonts w:hAnsi="宋体" w:cs="宋体"/>
          <w:color w:val="auto"/>
          <w:sz w:val="21"/>
        </w:rPr>
      </w:pPr>
    </w:p>
    <w:p w14:paraId="31FE229F">
      <w:pPr>
        <w:pStyle w:val="7"/>
        <w:keepNext w:val="0"/>
        <w:keepLines w:val="0"/>
        <w:spacing w:before="0" w:after="0" w:line="360" w:lineRule="auto"/>
        <w:ind w:left="420" w:leftChars="200"/>
        <w:rPr>
          <w:rFonts w:ascii="黑体" w:hAnsi="黑体" w:eastAsia="黑体"/>
          <w:color w:val="auto"/>
          <w:sz w:val="24"/>
        </w:rPr>
      </w:pPr>
      <w:r>
        <w:rPr>
          <w:rFonts w:ascii="黑体" w:hAnsi="黑体" w:eastAsia="黑体"/>
          <w:color w:val="auto"/>
          <w:sz w:val="24"/>
        </w:rPr>
        <w:t>40. 需要补充的其他内容</w:t>
      </w:r>
    </w:p>
    <w:p w14:paraId="6E5DDB58">
      <w:pPr>
        <w:pStyle w:val="20"/>
        <w:spacing w:line="360" w:lineRule="auto"/>
        <w:ind w:firstLine="420" w:firstLineChars="200"/>
        <w:rPr>
          <w:rFonts w:hAnsi="宋体" w:cs="宋体"/>
          <w:color w:val="auto"/>
          <w:sz w:val="21"/>
        </w:rPr>
      </w:pPr>
      <w:r>
        <w:rPr>
          <w:rFonts w:hint="eastAsia" w:hAnsi="宋体" w:cs="宋体"/>
          <w:color w:val="auto"/>
          <w:sz w:val="21"/>
        </w:rPr>
        <w:t>40.1本招标文件解释规则详见“投标人须知前附表”。</w:t>
      </w:r>
    </w:p>
    <w:p w14:paraId="699E1EB5">
      <w:pPr>
        <w:pStyle w:val="20"/>
        <w:spacing w:line="360" w:lineRule="auto"/>
        <w:ind w:firstLine="420" w:firstLineChars="200"/>
        <w:rPr>
          <w:rFonts w:hAnsi="宋体" w:cs="宋体"/>
          <w:color w:val="auto"/>
          <w:sz w:val="21"/>
        </w:rPr>
      </w:pPr>
      <w:r>
        <w:rPr>
          <w:rFonts w:hint="eastAsia" w:hAnsi="宋体" w:cs="宋体"/>
          <w:color w:val="auto"/>
          <w:sz w:val="21"/>
        </w:rPr>
        <w:t>40.2 其他事项详见“投标人须知前附表”。</w:t>
      </w:r>
    </w:p>
    <w:p w14:paraId="668C6419">
      <w:pPr>
        <w:pStyle w:val="20"/>
        <w:spacing w:line="360" w:lineRule="auto"/>
        <w:ind w:firstLine="420" w:firstLineChars="200"/>
        <w:rPr>
          <w:rFonts w:hAnsi="宋体" w:cs="宋体"/>
          <w:color w:val="auto"/>
          <w:sz w:val="21"/>
        </w:rPr>
      </w:pPr>
      <w:r>
        <w:rPr>
          <w:rFonts w:hint="eastAsia" w:hAnsi="宋体" w:cs="宋体"/>
          <w:color w:val="auto"/>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3973C82">
      <w:pPr>
        <w:pStyle w:val="20"/>
        <w:spacing w:line="360" w:lineRule="auto"/>
        <w:ind w:firstLine="420" w:firstLineChars="200"/>
        <w:rPr>
          <w:rFonts w:hAnsi="宋体" w:cs="宋体"/>
          <w:color w:val="auto"/>
          <w:sz w:val="21"/>
        </w:rPr>
      </w:pPr>
      <w:r>
        <w:rPr>
          <w:rFonts w:hint="eastAsia" w:hAnsi="宋体" w:cs="宋体"/>
          <w:color w:val="auto"/>
          <w:sz w:val="21"/>
        </w:rPr>
        <w:t>（1）在货物采购项目中，货物由中小企业制造，即货物由中小企业生产且使用该中小企业商号或者注册商标，不对其中涉及的工程承建商和服务的承接商作出要求；</w:t>
      </w:r>
    </w:p>
    <w:p w14:paraId="15C8DD6E">
      <w:pPr>
        <w:pStyle w:val="20"/>
        <w:spacing w:line="360" w:lineRule="auto"/>
        <w:ind w:firstLine="420" w:firstLineChars="200"/>
        <w:rPr>
          <w:rFonts w:hAnsi="宋体" w:cs="宋体"/>
          <w:color w:val="auto"/>
          <w:sz w:val="21"/>
        </w:rPr>
      </w:pPr>
      <w:r>
        <w:rPr>
          <w:rFonts w:hint="eastAsia" w:hAnsi="宋体" w:cs="宋体"/>
          <w:color w:val="auto"/>
          <w:sz w:val="21"/>
        </w:rPr>
        <w:t>（2）在工程采购项目中，工程由中小企业承建，即工程施工单位为中小企业，不对其中涉及的货物的制造商和服务的承接商作出要求；</w:t>
      </w:r>
    </w:p>
    <w:p w14:paraId="7533EF2B">
      <w:pPr>
        <w:pStyle w:val="20"/>
        <w:spacing w:line="360" w:lineRule="auto"/>
        <w:ind w:firstLine="420" w:firstLineChars="200"/>
        <w:rPr>
          <w:rFonts w:hAnsi="宋体" w:cs="宋体"/>
          <w:color w:val="auto"/>
          <w:sz w:val="21"/>
        </w:rPr>
      </w:pPr>
      <w:r>
        <w:rPr>
          <w:rFonts w:hint="eastAsia" w:hAnsi="宋体" w:cs="宋体"/>
          <w:color w:val="auto"/>
          <w:sz w:val="21"/>
        </w:rPr>
        <w:t>（3）在服务采购项目中，服务由中小企业承接，即提供服务的人员为中小企业依照《中华人民共和国劳动合同法》订立劳动合同的从业人员，不对其中涉及的货物的制造商和工程承建商作出要求。</w:t>
      </w:r>
    </w:p>
    <w:p w14:paraId="3C25ECAC">
      <w:pPr>
        <w:pStyle w:val="20"/>
        <w:spacing w:line="360" w:lineRule="auto"/>
        <w:ind w:firstLine="420" w:firstLineChars="200"/>
        <w:rPr>
          <w:rFonts w:hAnsi="宋体" w:cs="宋体"/>
          <w:color w:val="auto"/>
          <w:sz w:val="21"/>
        </w:rPr>
      </w:pPr>
      <w:r>
        <w:rPr>
          <w:rFonts w:hint="eastAsia" w:hAnsi="宋体" w:cs="宋体"/>
          <w:color w:val="auto"/>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693A3EE">
      <w:pPr>
        <w:pStyle w:val="20"/>
        <w:spacing w:line="360" w:lineRule="auto"/>
        <w:ind w:firstLine="420" w:firstLineChars="200"/>
        <w:rPr>
          <w:rFonts w:hAnsi="宋体"/>
          <w:color w:val="auto"/>
          <w:sz w:val="21"/>
        </w:rPr>
      </w:pPr>
      <w:r>
        <w:rPr>
          <w:rFonts w:hint="eastAsia" w:hAnsi="宋体"/>
          <w:color w:val="auto"/>
          <w:sz w:val="21"/>
        </w:rPr>
        <w:t>依据</w:t>
      </w:r>
      <w:r>
        <w:rPr>
          <w:rFonts w:hint="eastAsia" w:hAnsi="宋体" w:cs="宋体"/>
          <w:color w:val="auto"/>
          <w:sz w:val="21"/>
        </w:rPr>
        <w:t>本招标文件</w:t>
      </w:r>
      <w:r>
        <w:rPr>
          <w:rFonts w:hint="eastAsia" w:hAnsi="宋体"/>
          <w:color w:val="auto"/>
          <w:sz w:val="21"/>
        </w:rPr>
        <w:t>规定享受扶持政策获得政府采购合同的，小微企业不得将合同分包给大中型企业，中型企业不得将合同分包给大型企业。</w:t>
      </w:r>
    </w:p>
    <w:p w14:paraId="3EC14033">
      <w:pPr>
        <w:pStyle w:val="20"/>
        <w:spacing w:line="360" w:lineRule="auto"/>
        <w:ind w:firstLine="420" w:firstLineChars="200"/>
        <w:rPr>
          <w:rFonts w:hAnsi="宋体"/>
          <w:color w:val="auto"/>
          <w:sz w:val="21"/>
        </w:rPr>
      </w:pPr>
    </w:p>
    <w:p w14:paraId="0AADAE16">
      <w:pPr>
        <w:pStyle w:val="20"/>
        <w:snapToGrid w:val="0"/>
        <w:ind w:left="351" w:hanging="420"/>
        <w:rPr>
          <w:rFonts w:ascii="黑体" w:hAnsi="黑体" w:eastAsia="黑体" w:cs="黑体"/>
          <w:color w:val="auto"/>
          <w:sz w:val="32"/>
          <w:szCs w:val="32"/>
        </w:rPr>
      </w:pPr>
      <w:r>
        <w:rPr>
          <w:rFonts w:hAnsi="宋体"/>
          <w:color w:val="auto"/>
          <w:sz w:val="21"/>
        </w:rPr>
        <w:br w:type="page"/>
      </w:r>
      <w:r>
        <w:rPr>
          <w:rFonts w:hint="eastAsia" w:ascii="黑体" w:hAnsi="黑体" w:eastAsia="黑体" w:cs="黑体"/>
          <w:color w:val="auto"/>
          <w:sz w:val="32"/>
          <w:szCs w:val="32"/>
        </w:rPr>
        <w:t>附件：</w:t>
      </w:r>
    </w:p>
    <w:p w14:paraId="27D62EF7">
      <w:pPr>
        <w:jc w:val="center"/>
        <w:rPr>
          <w:rFonts w:ascii="宋体" w:hAnsi="宋体" w:cs="宋体"/>
          <w:b/>
          <w:bCs/>
          <w:color w:val="auto"/>
          <w:sz w:val="32"/>
          <w:szCs w:val="32"/>
        </w:rPr>
      </w:pPr>
      <w:r>
        <w:rPr>
          <w:rFonts w:hint="eastAsia" w:ascii="宋体" w:hAnsi="宋体" w:cs="宋体"/>
          <w:b/>
          <w:bCs/>
          <w:color w:val="auto"/>
          <w:sz w:val="32"/>
          <w:szCs w:val="32"/>
        </w:rPr>
        <w:t>政府采购项目履约保证金退付意见书</w:t>
      </w:r>
    </w:p>
    <w:p w14:paraId="09785F5A">
      <w:pPr>
        <w:jc w:val="center"/>
        <w:rPr>
          <w:rFonts w:ascii="黑体" w:hAnsi="黑体" w:eastAsia="黑体"/>
          <w:color w:val="auto"/>
          <w:sz w:val="18"/>
          <w:szCs w:val="18"/>
        </w:rPr>
      </w:pPr>
      <w:r>
        <w:rPr>
          <w:rFonts w:hint="eastAsia" w:ascii="黑体" w:hAnsi="黑体" w:eastAsia="黑体"/>
          <w:color w:val="auto"/>
          <w:sz w:val="18"/>
          <w:szCs w:val="18"/>
        </w:rPr>
        <w:t>（本项目如有，可以参考使用）</w:t>
      </w:r>
    </w:p>
    <w:tbl>
      <w:tblPr>
        <w:tblStyle w:val="37"/>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8CD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195DA320">
            <w:pPr>
              <w:jc w:val="center"/>
              <w:rPr>
                <w:color w:val="auto"/>
                <w:sz w:val="24"/>
              </w:rPr>
            </w:pPr>
            <w:r>
              <w:rPr>
                <w:rFonts w:hint="eastAsia"/>
                <w:color w:val="auto"/>
                <w:sz w:val="24"/>
              </w:rPr>
              <w:t>供</w:t>
            </w:r>
          </w:p>
          <w:p w14:paraId="34E36B00">
            <w:pPr>
              <w:jc w:val="center"/>
              <w:rPr>
                <w:color w:val="auto"/>
                <w:sz w:val="24"/>
              </w:rPr>
            </w:pPr>
            <w:r>
              <w:rPr>
                <w:rFonts w:hint="eastAsia"/>
                <w:color w:val="auto"/>
                <w:sz w:val="24"/>
              </w:rPr>
              <w:t>应</w:t>
            </w:r>
          </w:p>
          <w:p w14:paraId="4772CED2">
            <w:pPr>
              <w:jc w:val="center"/>
              <w:rPr>
                <w:color w:val="auto"/>
                <w:sz w:val="24"/>
              </w:rPr>
            </w:pPr>
            <w:r>
              <w:rPr>
                <w:rFonts w:hint="eastAsia"/>
                <w:color w:val="auto"/>
                <w:sz w:val="24"/>
              </w:rPr>
              <w:t>商</w:t>
            </w:r>
          </w:p>
          <w:p w14:paraId="4D3BDFF2">
            <w:pPr>
              <w:jc w:val="center"/>
              <w:rPr>
                <w:color w:val="auto"/>
                <w:sz w:val="24"/>
              </w:rPr>
            </w:pPr>
            <w:r>
              <w:rPr>
                <w:rFonts w:hint="eastAsia"/>
                <w:color w:val="auto"/>
                <w:sz w:val="24"/>
              </w:rPr>
              <w:t>申</w:t>
            </w:r>
          </w:p>
          <w:p w14:paraId="5C9992E0">
            <w:pPr>
              <w:jc w:val="center"/>
              <w:rPr>
                <w:color w:val="auto"/>
                <w:sz w:val="24"/>
              </w:rPr>
            </w:pPr>
            <w:r>
              <w:rPr>
                <w:rFonts w:hint="eastAsia"/>
                <w:color w:val="auto"/>
                <w:sz w:val="24"/>
              </w:rPr>
              <w:t>请</w:t>
            </w:r>
          </w:p>
        </w:tc>
        <w:tc>
          <w:tcPr>
            <w:tcW w:w="8009" w:type="dxa"/>
            <w:vAlign w:val="center"/>
          </w:tcPr>
          <w:p w14:paraId="15EBF20F">
            <w:pPr>
              <w:rPr>
                <w:color w:val="auto"/>
                <w:sz w:val="24"/>
              </w:rPr>
            </w:pPr>
            <w:r>
              <w:rPr>
                <w:rFonts w:hint="eastAsia"/>
                <w:color w:val="auto"/>
                <w:sz w:val="24"/>
              </w:rPr>
              <w:t>项目编号：</w:t>
            </w:r>
          </w:p>
        </w:tc>
      </w:tr>
      <w:tr w14:paraId="492E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0B71952B">
            <w:pPr>
              <w:rPr>
                <w:color w:val="auto"/>
                <w:sz w:val="24"/>
              </w:rPr>
            </w:pPr>
          </w:p>
        </w:tc>
        <w:tc>
          <w:tcPr>
            <w:tcW w:w="8009" w:type="dxa"/>
            <w:vAlign w:val="center"/>
          </w:tcPr>
          <w:p w14:paraId="5B6C3B36">
            <w:pPr>
              <w:rPr>
                <w:color w:val="auto"/>
                <w:sz w:val="24"/>
              </w:rPr>
            </w:pPr>
            <w:r>
              <w:rPr>
                <w:rFonts w:hint="eastAsia"/>
                <w:color w:val="auto"/>
                <w:sz w:val="24"/>
              </w:rPr>
              <w:t>项目名称：</w:t>
            </w:r>
          </w:p>
        </w:tc>
      </w:tr>
      <w:tr w14:paraId="6303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1D4D7DD0">
            <w:pPr>
              <w:rPr>
                <w:color w:val="auto"/>
                <w:sz w:val="24"/>
              </w:rPr>
            </w:pPr>
          </w:p>
        </w:tc>
        <w:tc>
          <w:tcPr>
            <w:tcW w:w="8009" w:type="dxa"/>
          </w:tcPr>
          <w:p w14:paraId="6817937B">
            <w:pPr>
              <w:rPr>
                <w:color w:val="auto"/>
                <w:sz w:val="24"/>
              </w:rPr>
            </w:pPr>
          </w:p>
          <w:p w14:paraId="2CC5CBF4">
            <w:pPr>
              <w:ind w:firstLine="480" w:firstLineChars="200"/>
              <w:rPr>
                <w:color w:val="auto"/>
                <w:sz w:val="24"/>
              </w:rPr>
            </w:pPr>
            <w:r>
              <w:rPr>
                <w:rFonts w:hint="eastAsia"/>
                <w:color w:val="auto"/>
                <w:sz w:val="24"/>
              </w:rPr>
              <w:t>该项目已于年月日验收并交付使用。根据合同规定，该项目的履约保证金期限于年月日已满，请将履约保证金</w:t>
            </w:r>
          </w:p>
          <w:p w14:paraId="078C9BA2">
            <w:pPr>
              <w:rPr>
                <w:color w:val="auto"/>
                <w:sz w:val="24"/>
              </w:rPr>
            </w:pPr>
            <w:r>
              <w:rPr>
                <w:rFonts w:hint="eastAsia"/>
                <w:color w:val="auto"/>
                <w:sz w:val="24"/>
              </w:rPr>
              <w:t>（大写）¥（小写）退付到达以下账户。</w:t>
            </w:r>
          </w:p>
          <w:p w14:paraId="3F053465">
            <w:pPr>
              <w:rPr>
                <w:color w:val="auto"/>
                <w:sz w:val="24"/>
              </w:rPr>
            </w:pPr>
            <w:r>
              <w:rPr>
                <w:rFonts w:hint="eastAsia"/>
                <w:color w:val="auto"/>
                <w:sz w:val="24"/>
              </w:rPr>
              <w:t>单位名称：</w:t>
            </w:r>
          </w:p>
          <w:p w14:paraId="37CEC4E9">
            <w:pPr>
              <w:rPr>
                <w:color w:val="auto"/>
                <w:sz w:val="24"/>
              </w:rPr>
            </w:pPr>
            <w:r>
              <w:rPr>
                <w:rFonts w:hint="eastAsia"/>
                <w:color w:val="auto"/>
                <w:sz w:val="24"/>
              </w:rPr>
              <w:t>开户银行：</w:t>
            </w:r>
          </w:p>
          <w:p w14:paraId="25DB0D07">
            <w:pPr>
              <w:rPr>
                <w:color w:val="auto"/>
                <w:sz w:val="24"/>
              </w:rPr>
            </w:pPr>
            <w:r>
              <w:rPr>
                <w:rFonts w:hint="eastAsia"/>
                <w:color w:val="auto"/>
                <w:sz w:val="24"/>
              </w:rPr>
              <w:t>账号：</w:t>
            </w:r>
          </w:p>
          <w:p w14:paraId="2BB539E2">
            <w:pPr>
              <w:rPr>
                <w:color w:val="auto"/>
                <w:sz w:val="24"/>
              </w:rPr>
            </w:pPr>
            <w:r>
              <w:rPr>
                <w:rFonts w:hint="eastAsia"/>
                <w:color w:val="auto"/>
                <w:sz w:val="24"/>
              </w:rPr>
              <w:t>联系人及电话：</w:t>
            </w:r>
          </w:p>
          <w:p w14:paraId="3D271A9C">
            <w:pPr>
              <w:rPr>
                <w:color w:val="auto"/>
                <w:sz w:val="24"/>
              </w:rPr>
            </w:pPr>
          </w:p>
          <w:p w14:paraId="5CBB7085">
            <w:pPr>
              <w:jc w:val="center"/>
              <w:rPr>
                <w:color w:val="auto"/>
                <w:sz w:val="24"/>
              </w:rPr>
            </w:pPr>
            <w:r>
              <w:rPr>
                <w:rFonts w:hint="eastAsia"/>
                <w:color w:val="auto"/>
                <w:sz w:val="24"/>
              </w:rPr>
              <w:t>供应商公章：</w:t>
            </w:r>
          </w:p>
          <w:p w14:paraId="72826164">
            <w:pPr>
              <w:jc w:val="center"/>
              <w:rPr>
                <w:color w:val="auto"/>
                <w:sz w:val="24"/>
              </w:rPr>
            </w:pPr>
            <w:r>
              <w:rPr>
                <w:rFonts w:hint="eastAsia"/>
                <w:color w:val="auto"/>
                <w:sz w:val="24"/>
              </w:rPr>
              <w:t>年月日</w:t>
            </w:r>
          </w:p>
        </w:tc>
      </w:tr>
      <w:tr w14:paraId="5131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259DE1B5">
            <w:pPr>
              <w:jc w:val="center"/>
              <w:rPr>
                <w:color w:val="auto"/>
                <w:sz w:val="24"/>
              </w:rPr>
            </w:pPr>
            <w:r>
              <w:rPr>
                <w:rFonts w:hint="eastAsia"/>
                <w:color w:val="auto"/>
                <w:sz w:val="24"/>
              </w:rPr>
              <w:t>采</w:t>
            </w:r>
          </w:p>
          <w:p w14:paraId="398AB371">
            <w:pPr>
              <w:jc w:val="center"/>
              <w:rPr>
                <w:color w:val="auto"/>
                <w:sz w:val="24"/>
              </w:rPr>
            </w:pPr>
            <w:r>
              <w:rPr>
                <w:rFonts w:hint="eastAsia"/>
                <w:color w:val="auto"/>
                <w:sz w:val="24"/>
              </w:rPr>
              <w:t>购</w:t>
            </w:r>
          </w:p>
          <w:p w14:paraId="7E383BB8">
            <w:pPr>
              <w:jc w:val="center"/>
              <w:rPr>
                <w:color w:val="auto"/>
                <w:sz w:val="24"/>
              </w:rPr>
            </w:pPr>
            <w:r>
              <w:rPr>
                <w:rFonts w:hint="eastAsia"/>
                <w:color w:val="auto"/>
                <w:sz w:val="24"/>
              </w:rPr>
              <w:t>单</w:t>
            </w:r>
          </w:p>
          <w:p w14:paraId="777E8298">
            <w:pPr>
              <w:jc w:val="center"/>
              <w:rPr>
                <w:color w:val="auto"/>
                <w:sz w:val="24"/>
              </w:rPr>
            </w:pPr>
            <w:r>
              <w:rPr>
                <w:rFonts w:hint="eastAsia"/>
                <w:color w:val="auto"/>
                <w:sz w:val="24"/>
              </w:rPr>
              <w:t>位</w:t>
            </w:r>
          </w:p>
          <w:p w14:paraId="3EACAF41">
            <w:pPr>
              <w:jc w:val="center"/>
              <w:rPr>
                <w:color w:val="auto"/>
                <w:sz w:val="24"/>
              </w:rPr>
            </w:pPr>
            <w:r>
              <w:rPr>
                <w:rFonts w:hint="eastAsia"/>
                <w:color w:val="auto"/>
                <w:sz w:val="24"/>
              </w:rPr>
              <w:t>意</w:t>
            </w:r>
          </w:p>
          <w:p w14:paraId="1AE546EA">
            <w:pPr>
              <w:jc w:val="center"/>
              <w:rPr>
                <w:color w:val="auto"/>
                <w:sz w:val="24"/>
              </w:rPr>
            </w:pPr>
            <w:r>
              <w:rPr>
                <w:rFonts w:hint="eastAsia"/>
                <w:color w:val="auto"/>
                <w:sz w:val="24"/>
              </w:rPr>
              <w:t>见</w:t>
            </w:r>
          </w:p>
        </w:tc>
        <w:tc>
          <w:tcPr>
            <w:tcW w:w="8009" w:type="dxa"/>
          </w:tcPr>
          <w:p w14:paraId="7B3CF19F">
            <w:pPr>
              <w:rPr>
                <w:color w:val="auto"/>
                <w:sz w:val="24"/>
              </w:rPr>
            </w:pPr>
          </w:p>
          <w:p w14:paraId="5CC2D354">
            <w:pPr>
              <w:rPr>
                <w:color w:val="auto"/>
                <w:sz w:val="24"/>
              </w:rPr>
            </w:pPr>
            <w:r>
              <w:rPr>
                <w:rFonts w:hint="eastAsia"/>
                <w:color w:val="auto"/>
                <w:sz w:val="24"/>
              </w:rPr>
              <w:t>退付意见：是否同意退付履约保证金及退付金额：</w:t>
            </w:r>
          </w:p>
          <w:p w14:paraId="34C792ED">
            <w:pPr>
              <w:rPr>
                <w:color w:val="auto"/>
                <w:sz w:val="24"/>
              </w:rPr>
            </w:pPr>
          </w:p>
          <w:p w14:paraId="0A688B0E">
            <w:pPr>
              <w:rPr>
                <w:color w:val="auto"/>
                <w:sz w:val="24"/>
              </w:rPr>
            </w:pPr>
          </w:p>
          <w:p w14:paraId="5FFC00AF">
            <w:pPr>
              <w:rPr>
                <w:color w:val="auto"/>
                <w:sz w:val="24"/>
              </w:rPr>
            </w:pPr>
            <w:r>
              <w:rPr>
                <w:rFonts w:hint="eastAsia"/>
                <w:color w:val="auto"/>
                <w:sz w:val="24"/>
              </w:rPr>
              <w:t>联系人及电话：</w:t>
            </w:r>
          </w:p>
          <w:p w14:paraId="14BF42A7">
            <w:pPr>
              <w:rPr>
                <w:color w:val="auto"/>
                <w:sz w:val="24"/>
              </w:rPr>
            </w:pPr>
          </w:p>
          <w:p w14:paraId="635BDE37">
            <w:pPr>
              <w:ind w:firstLine="4560" w:firstLineChars="1900"/>
              <w:rPr>
                <w:color w:val="auto"/>
                <w:sz w:val="24"/>
              </w:rPr>
            </w:pPr>
            <w:r>
              <w:rPr>
                <w:rFonts w:hint="eastAsia"/>
                <w:color w:val="auto"/>
                <w:sz w:val="24"/>
              </w:rPr>
              <w:t>采购单位公章：</w:t>
            </w:r>
          </w:p>
          <w:p w14:paraId="5700C3AA">
            <w:pPr>
              <w:jc w:val="center"/>
              <w:rPr>
                <w:color w:val="auto"/>
                <w:sz w:val="24"/>
              </w:rPr>
            </w:pPr>
            <w:r>
              <w:rPr>
                <w:rFonts w:hint="eastAsia"/>
                <w:color w:val="auto"/>
                <w:sz w:val="24"/>
              </w:rPr>
              <w:t>年月日</w:t>
            </w:r>
          </w:p>
        </w:tc>
      </w:tr>
      <w:tr w14:paraId="6E80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45CDF1C6">
            <w:pPr>
              <w:jc w:val="center"/>
              <w:rPr>
                <w:color w:val="auto"/>
                <w:sz w:val="24"/>
              </w:rPr>
            </w:pPr>
            <w:r>
              <w:rPr>
                <w:rFonts w:hint="eastAsia"/>
                <w:color w:val="auto"/>
                <w:sz w:val="24"/>
              </w:rPr>
              <w:t>财</w:t>
            </w:r>
          </w:p>
          <w:p w14:paraId="2678A878">
            <w:pPr>
              <w:jc w:val="center"/>
              <w:rPr>
                <w:color w:val="auto"/>
                <w:sz w:val="24"/>
              </w:rPr>
            </w:pPr>
            <w:r>
              <w:rPr>
                <w:rFonts w:hint="eastAsia"/>
                <w:color w:val="auto"/>
                <w:sz w:val="24"/>
              </w:rPr>
              <w:t>务</w:t>
            </w:r>
          </w:p>
          <w:p w14:paraId="21CDEFD5">
            <w:pPr>
              <w:jc w:val="center"/>
              <w:rPr>
                <w:color w:val="auto"/>
                <w:sz w:val="24"/>
              </w:rPr>
            </w:pPr>
            <w:r>
              <w:rPr>
                <w:rFonts w:hint="eastAsia"/>
                <w:color w:val="auto"/>
                <w:sz w:val="24"/>
              </w:rPr>
              <w:t>部</w:t>
            </w:r>
          </w:p>
          <w:p w14:paraId="7B29C897">
            <w:pPr>
              <w:jc w:val="center"/>
              <w:rPr>
                <w:color w:val="auto"/>
                <w:sz w:val="24"/>
              </w:rPr>
            </w:pPr>
            <w:r>
              <w:rPr>
                <w:rFonts w:hint="eastAsia"/>
                <w:color w:val="auto"/>
                <w:sz w:val="24"/>
              </w:rPr>
              <w:t>门</w:t>
            </w:r>
          </w:p>
          <w:p w14:paraId="07148E82">
            <w:pPr>
              <w:jc w:val="center"/>
              <w:rPr>
                <w:color w:val="auto"/>
                <w:sz w:val="24"/>
              </w:rPr>
            </w:pPr>
            <w:r>
              <w:rPr>
                <w:rFonts w:hint="eastAsia"/>
                <w:color w:val="auto"/>
                <w:sz w:val="24"/>
              </w:rPr>
              <w:t>意</w:t>
            </w:r>
          </w:p>
          <w:p w14:paraId="30B0D00B">
            <w:pPr>
              <w:jc w:val="center"/>
              <w:rPr>
                <w:color w:val="auto"/>
                <w:sz w:val="24"/>
              </w:rPr>
            </w:pPr>
            <w:r>
              <w:rPr>
                <w:rFonts w:hint="eastAsia"/>
                <w:color w:val="auto"/>
                <w:sz w:val="24"/>
              </w:rPr>
              <w:t>见</w:t>
            </w:r>
          </w:p>
        </w:tc>
        <w:tc>
          <w:tcPr>
            <w:tcW w:w="8009" w:type="dxa"/>
          </w:tcPr>
          <w:p w14:paraId="794E2F0F">
            <w:pPr>
              <w:rPr>
                <w:color w:val="auto"/>
                <w:sz w:val="24"/>
              </w:rPr>
            </w:pPr>
            <w:r>
              <w:rPr>
                <w:rFonts w:hint="eastAsia"/>
                <w:color w:val="auto"/>
                <w:sz w:val="24"/>
              </w:rPr>
              <w:t>此表于年月日收到。</w:t>
            </w:r>
          </w:p>
          <w:p w14:paraId="2EEAC592">
            <w:pPr>
              <w:rPr>
                <w:color w:val="auto"/>
                <w:sz w:val="24"/>
              </w:rPr>
            </w:pPr>
          </w:p>
          <w:p w14:paraId="2D71D902">
            <w:pPr>
              <w:rPr>
                <w:color w:val="auto"/>
                <w:sz w:val="24"/>
              </w:rPr>
            </w:pPr>
            <w:r>
              <w:rPr>
                <w:rFonts w:hint="eastAsia"/>
                <w:color w:val="auto"/>
                <w:sz w:val="24"/>
              </w:rPr>
              <w:t>会计审核：</w:t>
            </w:r>
          </w:p>
          <w:p w14:paraId="0D0E86AA">
            <w:pPr>
              <w:rPr>
                <w:color w:val="auto"/>
                <w:sz w:val="24"/>
              </w:rPr>
            </w:pPr>
          </w:p>
          <w:p w14:paraId="35A2B76A">
            <w:pPr>
              <w:rPr>
                <w:color w:val="auto"/>
                <w:sz w:val="24"/>
              </w:rPr>
            </w:pPr>
            <w:r>
              <w:rPr>
                <w:rFonts w:hint="eastAsia"/>
                <w:color w:val="auto"/>
                <w:sz w:val="24"/>
              </w:rPr>
              <w:t>财务负责人审核：</w:t>
            </w:r>
          </w:p>
          <w:p w14:paraId="7DE3B90C">
            <w:pPr>
              <w:rPr>
                <w:color w:val="auto"/>
                <w:sz w:val="24"/>
              </w:rPr>
            </w:pPr>
          </w:p>
          <w:p w14:paraId="3E6760A3">
            <w:pPr>
              <w:rPr>
                <w:color w:val="auto"/>
                <w:sz w:val="24"/>
              </w:rPr>
            </w:pPr>
            <w:r>
              <w:rPr>
                <w:rFonts w:hint="eastAsia"/>
                <w:color w:val="auto"/>
                <w:sz w:val="24"/>
              </w:rPr>
              <w:t>单位负责人签字：</w:t>
            </w:r>
          </w:p>
          <w:p w14:paraId="462994BF">
            <w:pPr>
              <w:rPr>
                <w:color w:val="auto"/>
                <w:sz w:val="24"/>
              </w:rPr>
            </w:pPr>
          </w:p>
          <w:p w14:paraId="3F3BE356">
            <w:pPr>
              <w:rPr>
                <w:color w:val="auto"/>
                <w:sz w:val="24"/>
              </w:rPr>
            </w:pPr>
            <w:r>
              <w:rPr>
                <w:rFonts w:hint="eastAsia"/>
                <w:color w:val="auto"/>
                <w:sz w:val="24"/>
              </w:rPr>
              <w:t>出纳办理转账日期：</w:t>
            </w:r>
          </w:p>
        </w:tc>
      </w:tr>
    </w:tbl>
    <w:p w14:paraId="4AB63A1F">
      <w:pPr>
        <w:pStyle w:val="2"/>
        <w:ind w:left="420" w:leftChars="114" w:hanging="181" w:hangingChars="100"/>
        <w:rPr>
          <w:rFonts w:hAnsi="宋体"/>
          <w:color w:val="auto"/>
        </w:rPr>
      </w:pPr>
      <w:r>
        <w:rPr>
          <w:rFonts w:hint="eastAsia" w:ascii="宋体"/>
          <w:b/>
          <w:bCs/>
          <w:color w:val="auto"/>
          <w:sz w:val="18"/>
          <w:szCs w:val="18"/>
        </w:rPr>
        <w:t>注：供应商凭经采购单位审批的退付意见书到履约保证金收取单位财务部门办理履约保证金退付事宜。</w:t>
      </w:r>
    </w:p>
    <w:p w14:paraId="2657C259">
      <w:pPr>
        <w:pStyle w:val="20"/>
        <w:spacing w:line="360" w:lineRule="auto"/>
        <w:ind w:firstLine="400" w:firstLineChars="200"/>
        <w:rPr>
          <w:rFonts w:hAnsi="宋体"/>
          <w:color w:val="auto"/>
        </w:rPr>
      </w:pPr>
      <w:r>
        <w:rPr>
          <w:rFonts w:hAnsi="宋体"/>
          <w:color w:val="auto"/>
        </w:rPr>
        <w:br w:type="page"/>
      </w:r>
    </w:p>
    <w:p w14:paraId="241D68AC">
      <w:pPr>
        <w:pStyle w:val="20"/>
        <w:snapToGrid w:val="0"/>
        <w:spacing w:before="120" w:after="120"/>
        <w:rPr>
          <w:rFonts w:hAnsi="宋体"/>
          <w:color w:val="auto"/>
        </w:rPr>
      </w:pPr>
    </w:p>
    <w:p w14:paraId="7E4947D1">
      <w:pPr>
        <w:pStyle w:val="20"/>
        <w:snapToGrid w:val="0"/>
        <w:spacing w:before="120" w:after="120"/>
        <w:rPr>
          <w:rFonts w:hAnsi="宋体"/>
          <w:color w:val="auto"/>
        </w:rPr>
      </w:pPr>
    </w:p>
    <w:p w14:paraId="79A94989">
      <w:pPr>
        <w:pStyle w:val="20"/>
        <w:snapToGrid w:val="0"/>
        <w:spacing w:before="120" w:after="120"/>
        <w:rPr>
          <w:rFonts w:hAnsi="宋体"/>
          <w:color w:val="auto"/>
        </w:rPr>
      </w:pPr>
    </w:p>
    <w:p w14:paraId="1E123EB3">
      <w:pPr>
        <w:pStyle w:val="20"/>
        <w:snapToGrid w:val="0"/>
        <w:spacing w:before="120" w:after="120"/>
        <w:rPr>
          <w:rFonts w:hAnsi="宋体"/>
          <w:color w:val="auto"/>
        </w:rPr>
      </w:pPr>
    </w:p>
    <w:p w14:paraId="1BEF17F4">
      <w:pPr>
        <w:pStyle w:val="20"/>
        <w:snapToGrid w:val="0"/>
        <w:spacing w:before="120" w:after="120"/>
        <w:rPr>
          <w:rFonts w:hAnsi="宋体"/>
          <w:color w:val="auto"/>
        </w:rPr>
      </w:pPr>
    </w:p>
    <w:p w14:paraId="579A938A">
      <w:pPr>
        <w:pStyle w:val="20"/>
        <w:snapToGrid w:val="0"/>
        <w:spacing w:before="120" w:after="120"/>
        <w:rPr>
          <w:rFonts w:hAnsi="宋体"/>
          <w:color w:val="auto"/>
        </w:rPr>
      </w:pPr>
    </w:p>
    <w:p w14:paraId="231D6CE3">
      <w:pPr>
        <w:pStyle w:val="20"/>
        <w:snapToGrid w:val="0"/>
        <w:spacing w:before="120" w:after="120"/>
        <w:rPr>
          <w:rFonts w:hAnsi="宋体"/>
          <w:color w:val="auto"/>
        </w:rPr>
      </w:pPr>
    </w:p>
    <w:p w14:paraId="2A3BC746">
      <w:pPr>
        <w:pStyle w:val="20"/>
        <w:snapToGrid w:val="0"/>
        <w:spacing w:before="120" w:after="120"/>
        <w:rPr>
          <w:rFonts w:hAnsi="宋体"/>
          <w:color w:val="auto"/>
        </w:rPr>
      </w:pPr>
    </w:p>
    <w:p w14:paraId="1B8D25AF">
      <w:pPr>
        <w:pStyle w:val="20"/>
        <w:snapToGrid w:val="0"/>
        <w:spacing w:before="120" w:after="120"/>
        <w:rPr>
          <w:rFonts w:hAnsi="宋体"/>
          <w:color w:val="auto"/>
        </w:rPr>
      </w:pPr>
    </w:p>
    <w:p w14:paraId="534D14C1">
      <w:pPr>
        <w:pStyle w:val="20"/>
        <w:snapToGrid w:val="0"/>
        <w:spacing w:before="120" w:after="120"/>
        <w:rPr>
          <w:rFonts w:hAnsi="宋体"/>
          <w:color w:val="auto"/>
        </w:rPr>
      </w:pPr>
    </w:p>
    <w:p w14:paraId="09AECE3A">
      <w:pPr>
        <w:pStyle w:val="20"/>
        <w:snapToGrid w:val="0"/>
        <w:spacing w:before="120" w:after="120"/>
        <w:rPr>
          <w:rFonts w:hAnsi="宋体"/>
          <w:color w:val="auto"/>
        </w:rPr>
      </w:pPr>
    </w:p>
    <w:p w14:paraId="013357A9">
      <w:pPr>
        <w:pStyle w:val="20"/>
        <w:snapToGrid w:val="0"/>
        <w:spacing w:before="120" w:after="120"/>
        <w:rPr>
          <w:rFonts w:hAnsi="宋体"/>
          <w:color w:val="auto"/>
        </w:rPr>
      </w:pPr>
    </w:p>
    <w:p w14:paraId="7AEE098F">
      <w:pPr>
        <w:pStyle w:val="20"/>
        <w:snapToGrid w:val="0"/>
        <w:spacing w:before="120" w:after="120"/>
        <w:rPr>
          <w:rFonts w:hAnsi="宋体"/>
          <w:color w:val="auto"/>
        </w:rPr>
      </w:pPr>
    </w:p>
    <w:p w14:paraId="12692C57">
      <w:pPr>
        <w:pStyle w:val="3"/>
        <w:jc w:val="center"/>
        <w:rPr>
          <w:color w:val="auto"/>
        </w:rPr>
      </w:pPr>
      <w:bookmarkStart w:id="157" w:name="_Toc254970548"/>
      <w:bookmarkStart w:id="158" w:name="_Toc254970689"/>
      <w:bookmarkStart w:id="159" w:name="_Toc330456896"/>
      <w:bookmarkStart w:id="160" w:name="_Toc15687"/>
      <w:r>
        <w:rPr>
          <w:rFonts w:hint="eastAsia"/>
          <w:color w:val="auto"/>
        </w:rPr>
        <w:t>第四章评标方法及评标标准</w:t>
      </w:r>
      <w:bookmarkEnd w:id="157"/>
      <w:bookmarkEnd w:id="158"/>
      <w:bookmarkEnd w:id="159"/>
      <w:bookmarkEnd w:id="160"/>
    </w:p>
    <w:p w14:paraId="6E25F030">
      <w:pPr>
        <w:rPr>
          <w:color w:val="auto"/>
        </w:rPr>
      </w:pPr>
      <w:bookmarkStart w:id="161" w:name="_Toc254970690"/>
      <w:bookmarkStart w:id="162" w:name="_Toc254970549"/>
    </w:p>
    <w:bookmarkEnd w:id="161"/>
    <w:bookmarkEnd w:id="162"/>
    <w:p w14:paraId="58AAE839">
      <w:pPr>
        <w:rPr>
          <w:color w:val="auto"/>
        </w:rPr>
      </w:pPr>
    </w:p>
    <w:p w14:paraId="02B02FFE">
      <w:pPr>
        <w:rPr>
          <w:color w:val="auto"/>
        </w:rPr>
      </w:pPr>
    </w:p>
    <w:p w14:paraId="347CC67B">
      <w:pPr>
        <w:rPr>
          <w:color w:val="auto"/>
        </w:rPr>
      </w:pPr>
    </w:p>
    <w:p w14:paraId="27F24249">
      <w:pPr>
        <w:rPr>
          <w:color w:val="auto"/>
        </w:rPr>
      </w:pPr>
    </w:p>
    <w:p w14:paraId="4848C216">
      <w:pPr>
        <w:rPr>
          <w:color w:val="auto"/>
        </w:rPr>
      </w:pPr>
    </w:p>
    <w:p w14:paraId="74F24D92">
      <w:pPr>
        <w:rPr>
          <w:color w:val="auto"/>
        </w:rPr>
      </w:pPr>
    </w:p>
    <w:p w14:paraId="707A91B1">
      <w:pPr>
        <w:rPr>
          <w:color w:val="auto"/>
        </w:rPr>
      </w:pPr>
    </w:p>
    <w:p w14:paraId="764349BC">
      <w:pPr>
        <w:rPr>
          <w:color w:val="auto"/>
        </w:rPr>
      </w:pPr>
    </w:p>
    <w:p w14:paraId="2A19BBBF">
      <w:pPr>
        <w:spacing w:beforeLines="50" w:afterLines="50" w:line="400" w:lineRule="exact"/>
        <w:rPr>
          <w:rFonts w:ascii="宋体" w:hAnsi="宋体"/>
          <w:b/>
          <w:color w:val="auto"/>
          <w:sz w:val="24"/>
        </w:rPr>
      </w:pPr>
    </w:p>
    <w:p w14:paraId="6D9405E5">
      <w:pPr>
        <w:spacing w:beforeLines="50" w:afterLines="50" w:line="400" w:lineRule="exact"/>
        <w:rPr>
          <w:rFonts w:ascii="宋体" w:hAnsi="宋体"/>
          <w:b/>
          <w:color w:val="auto"/>
          <w:sz w:val="24"/>
        </w:rPr>
      </w:pPr>
    </w:p>
    <w:p w14:paraId="57E8FF67">
      <w:pPr>
        <w:pStyle w:val="20"/>
        <w:spacing w:line="360" w:lineRule="exact"/>
        <w:rPr>
          <w:rFonts w:hAnsi="宋体"/>
          <w:b/>
          <w:color w:val="auto"/>
          <w:sz w:val="24"/>
        </w:rPr>
      </w:pPr>
    </w:p>
    <w:p w14:paraId="665C3A31">
      <w:pPr>
        <w:pStyle w:val="20"/>
        <w:spacing w:line="360" w:lineRule="exact"/>
        <w:rPr>
          <w:rFonts w:hAnsi="宋体"/>
          <w:b/>
          <w:color w:val="auto"/>
          <w:sz w:val="24"/>
        </w:rPr>
      </w:pPr>
    </w:p>
    <w:p w14:paraId="3742D2B5">
      <w:pPr>
        <w:pStyle w:val="20"/>
        <w:spacing w:line="360" w:lineRule="exact"/>
        <w:rPr>
          <w:rFonts w:hAnsi="宋体"/>
          <w:b/>
          <w:color w:val="auto"/>
          <w:sz w:val="24"/>
        </w:rPr>
      </w:pPr>
    </w:p>
    <w:p w14:paraId="68287ED0">
      <w:pPr>
        <w:pStyle w:val="20"/>
        <w:spacing w:line="360" w:lineRule="exact"/>
        <w:rPr>
          <w:rFonts w:hAnsi="宋体"/>
          <w:b/>
          <w:color w:val="auto"/>
          <w:sz w:val="24"/>
        </w:rPr>
      </w:pPr>
    </w:p>
    <w:p w14:paraId="4FE7F239">
      <w:pPr>
        <w:pStyle w:val="20"/>
        <w:spacing w:line="360" w:lineRule="exact"/>
        <w:rPr>
          <w:rFonts w:hAnsi="宋体"/>
          <w:b/>
          <w:color w:val="auto"/>
          <w:sz w:val="24"/>
        </w:rPr>
      </w:pPr>
    </w:p>
    <w:p w14:paraId="3F55B399">
      <w:pPr>
        <w:pStyle w:val="20"/>
        <w:spacing w:line="360" w:lineRule="exact"/>
        <w:rPr>
          <w:rFonts w:hAnsi="宋体"/>
          <w:b/>
          <w:color w:val="auto"/>
          <w:sz w:val="24"/>
        </w:rPr>
      </w:pPr>
    </w:p>
    <w:p w14:paraId="3027ED28">
      <w:pPr>
        <w:pStyle w:val="20"/>
        <w:spacing w:line="360" w:lineRule="exact"/>
        <w:rPr>
          <w:rFonts w:hAnsi="宋体"/>
          <w:b/>
          <w:color w:val="auto"/>
          <w:sz w:val="24"/>
        </w:rPr>
      </w:pPr>
    </w:p>
    <w:p w14:paraId="0EB9E5A4">
      <w:pPr>
        <w:pStyle w:val="20"/>
        <w:spacing w:line="360" w:lineRule="exact"/>
        <w:rPr>
          <w:rFonts w:hAnsi="宋体"/>
          <w:bCs/>
          <w:color w:val="auto"/>
        </w:rPr>
      </w:pPr>
    </w:p>
    <w:p w14:paraId="0B3D7E77">
      <w:pPr>
        <w:pStyle w:val="5"/>
        <w:keepNext w:val="0"/>
        <w:keepLines w:val="0"/>
        <w:jc w:val="center"/>
        <w:rPr>
          <w:rFonts w:hint="eastAsia"/>
          <w:color w:val="auto"/>
        </w:rPr>
      </w:pPr>
    </w:p>
    <w:p w14:paraId="2591AF71">
      <w:pPr>
        <w:pStyle w:val="5"/>
        <w:keepNext w:val="0"/>
        <w:keepLines w:val="0"/>
        <w:jc w:val="center"/>
        <w:rPr>
          <w:color w:val="auto"/>
        </w:rPr>
      </w:pPr>
      <w:r>
        <w:rPr>
          <w:rFonts w:hint="eastAsia"/>
          <w:color w:val="auto"/>
        </w:rPr>
        <w:t>一、评标方法</w:t>
      </w:r>
    </w:p>
    <w:p w14:paraId="19A946F9">
      <w:pPr>
        <w:pStyle w:val="20"/>
        <w:spacing w:line="360" w:lineRule="auto"/>
        <w:ind w:firstLine="420"/>
        <w:rPr>
          <w:rFonts w:hAnsi="宋体"/>
          <w:color w:val="auto"/>
          <w:sz w:val="21"/>
        </w:rPr>
      </w:pPr>
      <w:r>
        <w:rPr>
          <w:rFonts w:hint="eastAsia" w:hAnsi="宋体"/>
          <w:color w:val="auto"/>
          <w:sz w:val="21"/>
        </w:rPr>
        <w:t>综合评分法，是指投标文件满足招标文件全部实质性要求，且按照评审因素的量化指标评审得分最高的投标人为中标候选人的评标方法。</w:t>
      </w:r>
    </w:p>
    <w:p w14:paraId="544BCBD5">
      <w:pPr>
        <w:pStyle w:val="20"/>
        <w:spacing w:line="360" w:lineRule="auto"/>
        <w:ind w:firstLine="420"/>
        <w:rPr>
          <w:rFonts w:hAnsi="宋体"/>
          <w:color w:val="auto"/>
          <w:sz w:val="21"/>
        </w:rPr>
      </w:pPr>
      <w:r>
        <w:rPr>
          <w:rFonts w:hint="eastAsia" w:hAnsi="宋体"/>
          <w:color w:val="auto"/>
          <w:sz w:val="21"/>
        </w:rPr>
        <w:t>最低评标价法，是指投标文件满足招标文件全部实质性要求，且投标报价最低的投标人为中标候选人的评标方法。</w:t>
      </w:r>
    </w:p>
    <w:p w14:paraId="2434E79B">
      <w:pPr>
        <w:pStyle w:val="5"/>
        <w:keepNext w:val="0"/>
        <w:keepLines w:val="0"/>
        <w:jc w:val="center"/>
        <w:rPr>
          <w:color w:val="auto"/>
        </w:rPr>
      </w:pPr>
      <w:r>
        <w:rPr>
          <w:rFonts w:hint="eastAsia"/>
          <w:color w:val="auto"/>
        </w:rPr>
        <w:t>二、评标程序</w:t>
      </w:r>
    </w:p>
    <w:p w14:paraId="5FDF148C">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1.符合性审查</w:t>
      </w:r>
    </w:p>
    <w:p w14:paraId="7937BD3B">
      <w:pPr>
        <w:pStyle w:val="20"/>
        <w:snapToGrid w:val="0"/>
        <w:spacing w:line="360" w:lineRule="auto"/>
        <w:ind w:left="-69" w:firstLine="420"/>
        <w:rPr>
          <w:rFonts w:hAnsi="宋体"/>
          <w:b/>
          <w:color w:val="auto"/>
          <w:kern w:val="2"/>
          <w:sz w:val="21"/>
        </w:rPr>
      </w:pPr>
      <w:r>
        <w:rPr>
          <w:rFonts w:hint="eastAsia" w:hAnsi="宋体"/>
          <w:b/>
          <w:color w:val="auto"/>
          <w:kern w:val="2"/>
          <w:sz w:val="21"/>
        </w:rPr>
        <w:t>评标委员会应当对符合资格的投标人的投标文件进行投标报价、商务、技术等实质性内容符合性审查，以确定其是否满足招标文件的实质性要求。</w:t>
      </w:r>
    </w:p>
    <w:p w14:paraId="4884BF02">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w:t>
      </w:r>
      <w:r>
        <w:rPr>
          <w:rFonts w:ascii="宋体" w:hAnsi="宋体"/>
          <w:color w:val="auto"/>
          <w:sz w:val="21"/>
          <w:szCs w:val="21"/>
        </w:rPr>
        <w:t>.</w:t>
      </w:r>
      <w:r>
        <w:rPr>
          <w:rFonts w:hint="eastAsia" w:ascii="宋体" w:hAnsi="宋体"/>
          <w:color w:val="auto"/>
          <w:sz w:val="21"/>
          <w:szCs w:val="21"/>
        </w:rPr>
        <w:t>符合性审查不通过而导致投标无效的情形</w:t>
      </w:r>
    </w:p>
    <w:p w14:paraId="7948FF33">
      <w:pPr>
        <w:snapToGrid w:val="0"/>
        <w:spacing w:line="360" w:lineRule="auto"/>
        <w:ind w:firstLine="422" w:firstLineChars="200"/>
        <w:rPr>
          <w:rFonts w:ascii="宋体" w:hAnsi="宋体"/>
          <w:b/>
          <w:color w:val="auto"/>
          <w:szCs w:val="21"/>
        </w:rPr>
      </w:pPr>
      <w:r>
        <w:rPr>
          <w:rFonts w:hint="eastAsia" w:ascii="宋体" w:hAnsi="宋体"/>
          <w:b/>
          <w:color w:val="auto"/>
          <w:szCs w:val="21"/>
        </w:rPr>
        <w:t>投标人的投标文件中存在对招标文件的任何实质性要求和条件的负偏离，将被视为投标无效。</w:t>
      </w:r>
    </w:p>
    <w:p w14:paraId="2A1DBF4E">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2.1在报价评审时，如发现下列情形之一的，将被视为投标无效：</w:t>
      </w:r>
    </w:p>
    <w:p w14:paraId="31648A83">
      <w:pPr>
        <w:pStyle w:val="8"/>
        <w:numPr>
          <w:ilvl w:val="0"/>
          <w:numId w:val="1"/>
        </w:numPr>
        <w:spacing w:line="360" w:lineRule="auto"/>
        <w:ind w:firstLine="398" w:firstLineChars="200"/>
        <w:rPr>
          <w:rFonts w:ascii="宋体" w:hAnsi="宋体"/>
          <w:b/>
          <w:color w:val="auto"/>
          <w:spacing w:val="-6"/>
          <w:szCs w:val="21"/>
        </w:rPr>
      </w:pPr>
      <w:r>
        <w:rPr>
          <w:rFonts w:hint="eastAsia" w:ascii="宋体" w:hAnsi="宋体"/>
          <w:b/>
          <w:color w:val="auto"/>
          <w:spacing w:val="-6"/>
          <w:szCs w:val="21"/>
        </w:rPr>
        <w:t>报价文件未提供“投标人须知前附表”第13条“报价文件”规定中“必须提供”的文件资料的；</w:t>
      </w:r>
    </w:p>
    <w:p w14:paraId="00F1FF68">
      <w:pPr>
        <w:pStyle w:val="8"/>
        <w:numPr>
          <w:ilvl w:val="0"/>
          <w:numId w:val="1"/>
        </w:numPr>
        <w:spacing w:line="360" w:lineRule="auto"/>
        <w:ind w:firstLine="422" w:firstLineChars="200"/>
        <w:rPr>
          <w:rFonts w:ascii="宋体" w:hAnsi="宋体"/>
          <w:b/>
          <w:color w:val="auto"/>
          <w:szCs w:val="21"/>
        </w:rPr>
      </w:pPr>
      <w:r>
        <w:rPr>
          <w:rFonts w:hint="eastAsia" w:ascii="宋体" w:hAnsi="宋体"/>
          <w:b/>
          <w:color w:val="auto"/>
          <w:szCs w:val="21"/>
        </w:rPr>
        <w:t>未采用人民币报价或者未按照招标文件标明的币种报价的；</w:t>
      </w:r>
    </w:p>
    <w:p w14:paraId="4D7B6BA1">
      <w:pPr>
        <w:pStyle w:val="8"/>
        <w:numPr>
          <w:ilvl w:val="0"/>
          <w:numId w:val="1"/>
        </w:numPr>
        <w:spacing w:line="360" w:lineRule="auto"/>
        <w:ind w:left="-69" w:firstLine="422"/>
        <w:rPr>
          <w:rFonts w:ascii="宋体" w:hAnsi="宋体"/>
          <w:b/>
          <w:color w:val="auto"/>
          <w:spacing w:val="-6"/>
          <w:szCs w:val="21"/>
        </w:rPr>
      </w:pPr>
      <w:r>
        <w:rPr>
          <w:rFonts w:hint="eastAsia" w:ascii="宋体" w:hAnsi="宋体"/>
          <w:b/>
          <w:color w:val="auto"/>
          <w:spacing w:val="-6"/>
          <w:szCs w:val="21"/>
        </w:rPr>
        <w:t>各分标报价超出招标文件相应分标规定最高限价，或者超出相应分标采购预算金额的；</w:t>
      </w:r>
    </w:p>
    <w:p w14:paraId="0BD76134">
      <w:pPr>
        <w:pStyle w:val="8"/>
        <w:numPr>
          <w:ilvl w:val="0"/>
          <w:numId w:val="1"/>
        </w:numPr>
        <w:spacing w:line="360" w:lineRule="auto"/>
        <w:ind w:firstLine="422" w:firstLineChars="200"/>
        <w:rPr>
          <w:rFonts w:ascii="宋体" w:hAnsi="宋体"/>
          <w:b/>
          <w:color w:val="auto"/>
          <w:szCs w:val="21"/>
        </w:rPr>
      </w:pPr>
      <w:r>
        <w:rPr>
          <w:rFonts w:hint="eastAsia" w:ascii="宋体" w:hAnsi="宋体"/>
          <w:b/>
          <w:color w:val="auto"/>
          <w:szCs w:val="21"/>
        </w:rPr>
        <w:t>投标人未就所投</w:t>
      </w:r>
      <w:r>
        <w:rPr>
          <w:rFonts w:hint="eastAsia" w:ascii="宋体" w:hAnsi="宋体"/>
          <w:b/>
          <w:color w:val="auto"/>
          <w:szCs w:val="21"/>
          <w:lang w:val="en-US" w:eastAsia="zh-CN"/>
        </w:rPr>
        <w:t>项目</w:t>
      </w:r>
      <w:r>
        <w:rPr>
          <w:rFonts w:hint="eastAsia" w:ascii="宋体" w:hAnsi="宋体"/>
          <w:b/>
          <w:color w:val="auto"/>
          <w:szCs w:val="21"/>
        </w:rPr>
        <w:t>进行报价或者存在漏项报价；投标人未就所投</w:t>
      </w:r>
      <w:r>
        <w:rPr>
          <w:rFonts w:hint="eastAsia" w:ascii="宋体" w:hAnsi="宋体"/>
          <w:b/>
          <w:color w:val="auto"/>
          <w:szCs w:val="21"/>
          <w:lang w:val="en-US" w:eastAsia="zh-CN"/>
        </w:rPr>
        <w:t>项目</w:t>
      </w:r>
      <w:r>
        <w:rPr>
          <w:rFonts w:hint="eastAsia" w:ascii="宋体" w:hAnsi="宋体"/>
          <w:b/>
          <w:color w:val="auto"/>
          <w:szCs w:val="21"/>
        </w:rPr>
        <w:t>的全部内容作完整唯一总价报价；存在有选择、有条件报价的（招标文件允许有备选方案或者其他约定的除外）；</w:t>
      </w:r>
    </w:p>
    <w:p w14:paraId="04BA1E74">
      <w:pPr>
        <w:pStyle w:val="8"/>
        <w:numPr>
          <w:ilvl w:val="0"/>
          <w:numId w:val="1"/>
        </w:numPr>
        <w:spacing w:line="360" w:lineRule="auto"/>
        <w:ind w:firstLine="422" w:firstLineChars="200"/>
        <w:rPr>
          <w:rFonts w:ascii="宋体" w:hAnsi="宋体"/>
          <w:b/>
          <w:color w:val="auto"/>
          <w:szCs w:val="21"/>
        </w:rPr>
      </w:pPr>
      <w:r>
        <w:rPr>
          <w:rFonts w:hint="eastAsia" w:ascii="宋体" w:hAnsi="宋体"/>
          <w:b/>
          <w:color w:val="auto"/>
          <w:szCs w:val="21"/>
        </w:rPr>
        <w:t>修正后的报价，投标人不确认的；</w:t>
      </w:r>
    </w:p>
    <w:p w14:paraId="55F0E09C">
      <w:pPr>
        <w:pStyle w:val="8"/>
        <w:numPr>
          <w:ilvl w:val="0"/>
          <w:numId w:val="1"/>
        </w:numPr>
        <w:spacing w:line="360" w:lineRule="auto"/>
        <w:ind w:firstLine="422" w:firstLineChars="200"/>
        <w:rPr>
          <w:rFonts w:ascii="宋体" w:hAnsi="宋体"/>
          <w:b/>
          <w:color w:val="auto"/>
          <w:szCs w:val="21"/>
        </w:rPr>
      </w:pPr>
      <w:r>
        <w:rPr>
          <w:rFonts w:hint="eastAsia" w:ascii="宋体" w:hAnsi="宋体"/>
          <w:b/>
          <w:color w:val="auto"/>
          <w:szCs w:val="21"/>
        </w:rPr>
        <w:t>投标人属于本章第</w:t>
      </w:r>
      <w:r>
        <w:rPr>
          <w:rFonts w:ascii="宋体" w:hAnsi="宋体"/>
          <w:b/>
          <w:color w:val="auto"/>
          <w:szCs w:val="21"/>
        </w:rPr>
        <w:t>5.1</w:t>
      </w:r>
      <w:r>
        <w:rPr>
          <w:rFonts w:hint="eastAsia" w:ascii="宋体" w:hAnsi="宋体"/>
          <w:b/>
          <w:color w:val="auto"/>
          <w:szCs w:val="21"/>
        </w:rPr>
        <w:t>条（2）或者第5</w:t>
      </w:r>
      <w:r>
        <w:rPr>
          <w:rFonts w:ascii="宋体" w:hAnsi="宋体"/>
          <w:b/>
          <w:color w:val="auto"/>
          <w:szCs w:val="21"/>
        </w:rPr>
        <w:t>.2条</w:t>
      </w:r>
      <w:r>
        <w:rPr>
          <w:rFonts w:hint="eastAsia" w:ascii="宋体" w:hAnsi="宋体"/>
          <w:b/>
          <w:color w:val="auto"/>
          <w:szCs w:val="21"/>
        </w:rPr>
        <w:t>（2）项情形的。</w:t>
      </w:r>
    </w:p>
    <w:p w14:paraId="1A9EC8EA">
      <w:pPr>
        <w:pStyle w:val="8"/>
        <w:numPr>
          <w:ilvl w:val="0"/>
          <w:numId w:val="1"/>
        </w:numPr>
        <w:spacing w:line="360" w:lineRule="auto"/>
        <w:ind w:firstLine="398" w:firstLineChars="200"/>
        <w:rPr>
          <w:rFonts w:ascii="宋体" w:hAnsi="宋体"/>
          <w:b/>
          <w:color w:val="auto"/>
          <w:szCs w:val="21"/>
        </w:rPr>
      </w:pPr>
      <w:r>
        <w:rPr>
          <w:rFonts w:hint="eastAsia" w:ascii="宋体" w:hAnsi="宋体"/>
          <w:b/>
          <w:color w:val="auto"/>
          <w:spacing w:val="-6"/>
          <w:szCs w:val="21"/>
        </w:rPr>
        <w:t>报价文件</w:t>
      </w:r>
      <w:r>
        <w:rPr>
          <w:rFonts w:hint="eastAsia" w:ascii="宋体" w:hAnsi="宋体"/>
          <w:b/>
          <w:color w:val="auto"/>
          <w:szCs w:val="21"/>
        </w:rPr>
        <w:t>响应的标的数量及单位与招标文件要求实质性不一致的。</w:t>
      </w:r>
    </w:p>
    <w:p w14:paraId="65E64EC6">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2.2在商务及技术评审时，如发现下列情形之一的，将被视为投标无效：</w:t>
      </w:r>
    </w:p>
    <w:p w14:paraId="07ED5FD8">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投标文件未按招标文件要求签署、盖章的；</w:t>
      </w:r>
    </w:p>
    <w:p w14:paraId="6F589D2F">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 xml:space="preserve">委托代理人未能出具有效身份证或者出具的身份证与授权委托书中的信息不符的； </w:t>
      </w:r>
    </w:p>
    <w:p w14:paraId="1195B49B">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为无效投标保证金的或者未按照招标文件的规定提交投标保证金的；</w:t>
      </w:r>
    </w:p>
    <w:p w14:paraId="6CD690C2">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投标文件未提供“投标人须知前附表”第13条“商务及技术文件”规定中“必须提供”或者“委托时必须提供”的文件资料的；</w:t>
      </w:r>
    </w:p>
    <w:p w14:paraId="32D9B8A6">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商务要求评审允许负偏离的条款数超过“投标人须知前附表”规定项数的；</w:t>
      </w:r>
    </w:p>
    <w:p w14:paraId="735FE1EC">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投标文件的实质性内容未使用中文表述、使用计量单位不符合招标文件要求的；</w:t>
      </w:r>
    </w:p>
    <w:p w14:paraId="31BE2025">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投标文件中的文件资料因填写不齐全或者内容虚假或者出现其他情形而导致被评标委员会认定无效的；</w:t>
      </w:r>
    </w:p>
    <w:p w14:paraId="59DD26CB">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投标文件含有采购人不能接受的附加条件的；</w:t>
      </w:r>
    </w:p>
    <w:p w14:paraId="6ACA458C">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属于投标人须知正文第</w:t>
      </w:r>
      <w:r>
        <w:rPr>
          <w:rFonts w:ascii="宋体" w:hAnsi="宋体"/>
          <w:b/>
          <w:color w:val="auto"/>
          <w:szCs w:val="21"/>
        </w:rPr>
        <w:t>9.2</w:t>
      </w:r>
      <w:r>
        <w:rPr>
          <w:rFonts w:hint="eastAsia" w:ascii="宋体" w:hAnsi="宋体"/>
          <w:b/>
          <w:color w:val="auto"/>
          <w:szCs w:val="21"/>
        </w:rPr>
        <w:t>条情形的；</w:t>
      </w:r>
    </w:p>
    <w:p w14:paraId="1721CBB4">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投标文件标注的项目名称或者项目编号与招标文件标注的项目名称或者项目编号不一致的；</w:t>
      </w:r>
    </w:p>
    <w:p w14:paraId="0780DB74">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投标文件中承诺的投标有效期低于招标文件要求的期限的；</w:t>
      </w:r>
    </w:p>
    <w:p w14:paraId="0F1CE9A2">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虚假投标，或者出现其他情形而导致被评标委员会认定无效的；</w:t>
      </w:r>
    </w:p>
    <w:p w14:paraId="41C205C1">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招标文件未载明允许提供备选（替代）投标方案或明确不允许提供备选（替代）标方案时，投标人提供了备选（替代）投标方案的；</w:t>
      </w:r>
    </w:p>
    <w:p w14:paraId="4B6022CF">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未响应招标文件实质性要求的。</w:t>
      </w:r>
    </w:p>
    <w:p w14:paraId="19824794">
      <w:pPr>
        <w:numPr>
          <w:ilvl w:val="0"/>
          <w:numId w:val="2"/>
        </w:numPr>
        <w:snapToGrid w:val="0"/>
        <w:spacing w:line="360" w:lineRule="auto"/>
        <w:ind w:firstLine="422" w:firstLineChars="200"/>
        <w:rPr>
          <w:rFonts w:ascii="宋体" w:hAnsi="宋体"/>
          <w:b/>
          <w:color w:val="auto"/>
          <w:szCs w:val="21"/>
        </w:rPr>
      </w:pPr>
      <w:r>
        <w:rPr>
          <w:rFonts w:hint="eastAsia" w:ascii="宋体" w:hAnsi="宋体"/>
          <w:b/>
          <w:color w:val="auto"/>
          <w:szCs w:val="21"/>
        </w:rPr>
        <w:t>法律、法规和招标文件规定的其他无效情形。</w:t>
      </w:r>
    </w:p>
    <w:p w14:paraId="08D812DC">
      <w:pPr>
        <w:pStyle w:val="7"/>
        <w:keepNext w:val="0"/>
        <w:keepLines w:val="0"/>
        <w:spacing w:before="0" w:after="0" w:line="360" w:lineRule="auto"/>
        <w:ind w:left="420" w:leftChars="200"/>
        <w:rPr>
          <w:rFonts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澄清补正</w:t>
      </w:r>
    </w:p>
    <w:p w14:paraId="7087D115">
      <w:pPr>
        <w:spacing w:line="360" w:lineRule="auto"/>
        <w:ind w:firstLine="420" w:firstLineChars="200"/>
        <w:rPr>
          <w:rFonts w:ascii="宋体" w:hAnsi="宋体" w:cs="Courier New"/>
          <w:b/>
          <w:color w:val="auto"/>
          <w:szCs w:val="21"/>
        </w:rPr>
      </w:pPr>
      <w:r>
        <w:rPr>
          <w:rFonts w:hint="eastAsia" w:ascii="宋体" w:hAnsi="宋体" w:cs="Courier New"/>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55128D2">
      <w:pPr>
        <w:spacing w:line="360" w:lineRule="auto"/>
        <w:ind w:firstLine="420" w:firstLineChars="200"/>
        <w:rPr>
          <w:rFonts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37BB208">
      <w:pPr>
        <w:spacing w:line="360" w:lineRule="auto"/>
        <w:ind w:firstLine="420" w:firstLineChars="200"/>
        <w:rPr>
          <w:rFonts w:ascii="宋体" w:hAnsi="宋体" w:cs="Courier New"/>
          <w:color w:val="auto"/>
          <w:szCs w:val="21"/>
        </w:rPr>
      </w:pPr>
      <w:r>
        <w:rPr>
          <w:rFonts w:hint="eastAsia" w:ascii="宋体" w:hAnsi="宋体" w:cs="Courier New"/>
          <w:color w:val="auto"/>
          <w:szCs w:val="21"/>
        </w:rPr>
        <w:t>未按评标委员会的要求作出明确澄清、说明或者更正的投标人的投标文件将按照有利于采购人的原则由评标委员会进行判定。</w:t>
      </w:r>
    </w:p>
    <w:p w14:paraId="7E985823">
      <w:pPr>
        <w:pStyle w:val="7"/>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投标文件修正</w:t>
      </w:r>
    </w:p>
    <w:p w14:paraId="11777774">
      <w:pPr>
        <w:pStyle w:val="7"/>
        <w:keepNext w:val="0"/>
        <w:keepLines w:val="0"/>
        <w:spacing w:before="0" w:after="0" w:line="360" w:lineRule="auto"/>
        <w:ind w:left="420" w:leftChars="200"/>
        <w:rPr>
          <w:rFonts w:ascii="宋体" w:hAnsi="宋体"/>
          <w:b w:val="0"/>
          <w:color w:val="auto"/>
          <w:sz w:val="21"/>
          <w:szCs w:val="21"/>
        </w:rPr>
      </w:pPr>
      <w:r>
        <w:rPr>
          <w:rFonts w:ascii="宋体" w:hAnsi="宋体"/>
          <w:b w:val="0"/>
          <w:color w:val="auto"/>
          <w:sz w:val="21"/>
          <w:szCs w:val="21"/>
        </w:rPr>
        <w:t>4</w:t>
      </w:r>
      <w:r>
        <w:rPr>
          <w:rFonts w:hint="eastAsia" w:ascii="宋体" w:hAnsi="宋体"/>
          <w:b w:val="0"/>
          <w:color w:val="auto"/>
          <w:sz w:val="21"/>
          <w:szCs w:val="21"/>
        </w:rPr>
        <w:t xml:space="preserve">.1投标文件报价出现前后不一致的，按照下列规定修正： </w:t>
      </w:r>
    </w:p>
    <w:p w14:paraId="42BB055F">
      <w:pPr>
        <w:pStyle w:val="20"/>
        <w:snapToGrid w:val="0"/>
        <w:spacing w:line="360" w:lineRule="auto"/>
        <w:ind w:firstLine="420" w:firstLineChars="200"/>
        <w:rPr>
          <w:rFonts w:hAnsi="宋体"/>
          <w:color w:val="auto"/>
          <w:sz w:val="21"/>
        </w:rPr>
      </w:pPr>
      <w:r>
        <w:rPr>
          <w:rFonts w:hint="eastAsia" w:hAnsi="宋体"/>
          <w:color w:val="auto"/>
          <w:sz w:val="21"/>
        </w:rPr>
        <w:t>（1）投标文件中开标一览表（报价表）内容与投标文件中相应内容不一致的，以开标一览表（报价表）为准；</w:t>
      </w:r>
    </w:p>
    <w:p w14:paraId="441EF450">
      <w:pPr>
        <w:pStyle w:val="20"/>
        <w:snapToGrid w:val="0"/>
        <w:spacing w:line="360" w:lineRule="auto"/>
        <w:ind w:firstLine="420" w:firstLineChars="200"/>
        <w:rPr>
          <w:rFonts w:hAnsi="宋体"/>
          <w:color w:val="auto"/>
          <w:sz w:val="21"/>
        </w:rPr>
      </w:pPr>
      <w:r>
        <w:rPr>
          <w:rFonts w:hint="eastAsia" w:hAnsi="宋体"/>
          <w:color w:val="auto"/>
          <w:sz w:val="21"/>
        </w:rPr>
        <w:t>（2）大写金额和小写金额不一致的，以大写金额为准；</w:t>
      </w:r>
    </w:p>
    <w:p w14:paraId="2CA1F9A6">
      <w:pPr>
        <w:pStyle w:val="20"/>
        <w:snapToGrid w:val="0"/>
        <w:spacing w:line="360" w:lineRule="auto"/>
        <w:ind w:firstLine="420" w:firstLineChars="200"/>
        <w:rPr>
          <w:rFonts w:hAnsi="宋体"/>
          <w:color w:val="auto"/>
          <w:sz w:val="21"/>
        </w:rPr>
      </w:pPr>
      <w:r>
        <w:rPr>
          <w:rFonts w:hint="eastAsia" w:hAnsi="宋体"/>
          <w:color w:val="auto"/>
          <w:sz w:val="21"/>
        </w:rPr>
        <w:t>（3）单价金额小数点或者百分比有明显错位的，以开标一览表的总价为准，并修改单价；</w:t>
      </w:r>
    </w:p>
    <w:p w14:paraId="409F85B1">
      <w:pPr>
        <w:pStyle w:val="20"/>
        <w:snapToGrid w:val="0"/>
        <w:spacing w:line="360" w:lineRule="auto"/>
        <w:ind w:firstLine="420" w:firstLineChars="200"/>
        <w:rPr>
          <w:rFonts w:hAnsi="宋体"/>
          <w:color w:val="auto"/>
          <w:sz w:val="21"/>
        </w:rPr>
      </w:pPr>
      <w:r>
        <w:rPr>
          <w:rFonts w:hint="eastAsia" w:hAnsi="宋体"/>
          <w:color w:val="auto"/>
          <w:sz w:val="21"/>
        </w:rPr>
        <w:t>（4）总价金额与按单价汇总金额不一致的，以单价金额计算结果为准。</w:t>
      </w:r>
    </w:p>
    <w:p w14:paraId="07E32D7B">
      <w:pPr>
        <w:pStyle w:val="20"/>
        <w:snapToGrid w:val="0"/>
        <w:spacing w:line="360" w:lineRule="auto"/>
        <w:ind w:firstLine="420" w:firstLineChars="200"/>
        <w:rPr>
          <w:rFonts w:hAnsi="宋体"/>
          <w:color w:val="auto"/>
          <w:sz w:val="21"/>
        </w:rPr>
      </w:pPr>
      <w:r>
        <w:rPr>
          <w:rFonts w:hint="eastAsia" w:hAnsi="宋体"/>
          <w:color w:val="auto"/>
          <w:sz w:val="21"/>
        </w:rPr>
        <w:t>同时出现两种以上不一致的，按照以上（1）-（4）规定的顺序修正。修正后的报价经投标人确认后产生约束力，投标人不确认的，</w:t>
      </w:r>
      <w:r>
        <w:rPr>
          <w:rFonts w:hint="eastAsia" w:hAnsi="宋体"/>
          <w:b/>
          <w:color w:val="auto"/>
          <w:kern w:val="2"/>
          <w:sz w:val="21"/>
        </w:rPr>
        <w:t>其投标无效</w:t>
      </w:r>
      <w:r>
        <w:rPr>
          <w:rFonts w:hint="eastAsia" w:hAnsi="宋体"/>
          <w:color w:val="auto"/>
          <w:sz w:val="21"/>
        </w:rPr>
        <w:t>。</w:t>
      </w:r>
    </w:p>
    <w:p w14:paraId="5D7FDB7D">
      <w:pPr>
        <w:pStyle w:val="7"/>
        <w:keepNext w:val="0"/>
        <w:keepLines w:val="0"/>
        <w:spacing w:before="0" w:after="0" w:line="360" w:lineRule="auto"/>
        <w:rPr>
          <w:rFonts w:ascii="宋体" w:hAnsi="宋体"/>
          <w:b w:val="0"/>
          <w:color w:val="auto"/>
          <w:sz w:val="21"/>
          <w:szCs w:val="21"/>
        </w:rPr>
      </w:pPr>
      <w:r>
        <w:rPr>
          <w:rFonts w:ascii="宋体" w:hAnsi="宋体"/>
          <w:b w:val="0"/>
          <w:color w:val="auto"/>
          <w:sz w:val="21"/>
          <w:szCs w:val="21"/>
        </w:rPr>
        <w:t xml:space="preserve">    4</w:t>
      </w:r>
      <w:r>
        <w:rPr>
          <w:rFonts w:hint="eastAsia" w:ascii="宋体" w:hAnsi="宋体"/>
          <w:b w:val="0"/>
          <w:color w:val="auto"/>
          <w:sz w:val="21"/>
          <w:szCs w:val="21"/>
        </w:rPr>
        <w:t>.2经投标人确认修正后的报价若超过采购预算金额或者最高限价，</w:t>
      </w:r>
      <w:r>
        <w:rPr>
          <w:rFonts w:hint="eastAsia" w:ascii="宋体" w:hAnsi="宋体"/>
          <w:color w:val="auto"/>
          <w:sz w:val="21"/>
          <w:szCs w:val="21"/>
        </w:rPr>
        <w:t>投标人的投标文件作无效投标处理</w:t>
      </w:r>
      <w:r>
        <w:rPr>
          <w:rFonts w:hint="eastAsia" w:ascii="宋体" w:hAnsi="宋体"/>
          <w:b w:val="0"/>
          <w:color w:val="auto"/>
          <w:sz w:val="21"/>
          <w:szCs w:val="21"/>
        </w:rPr>
        <w:t>。</w:t>
      </w:r>
    </w:p>
    <w:p w14:paraId="02B141F9">
      <w:pPr>
        <w:snapToGrid w:val="0"/>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.3经投标人确认修正后的报价作为签订合同的依据，并以此报价计算价格分。</w:t>
      </w:r>
    </w:p>
    <w:p w14:paraId="4D42BBAA">
      <w:pPr>
        <w:pStyle w:val="7"/>
        <w:keepNext w:val="0"/>
        <w:keepLines w:val="0"/>
        <w:spacing w:before="0" w:after="0" w:line="360" w:lineRule="auto"/>
        <w:ind w:left="420" w:leftChars="200"/>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比较与评价</w:t>
      </w:r>
    </w:p>
    <w:p w14:paraId="26C45F11">
      <w:pPr>
        <w:snapToGrid w:val="0"/>
        <w:spacing w:line="360" w:lineRule="auto"/>
        <w:ind w:firstLine="420" w:firstLineChars="200"/>
        <w:rPr>
          <w:rFonts w:ascii="宋体" w:hAnsi="宋体"/>
          <w:color w:val="auto"/>
          <w:szCs w:val="21"/>
        </w:rPr>
      </w:pPr>
      <w:r>
        <w:rPr>
          <w:rFonts w:hint="eastAsia" w:ascii="宋体" w:hAnsi="宋体"/>
          <w:color w:val="auto"/>
          <w:szCs w:val="21"/>
        </w:rPr>
        <w:t>5.1采用综合评分法的</w:t>
      </w:r>
    </w:p>
    <w:p w14:paraId="3BB53E14">
      <w:pPr>
        <w:snapToGrid w:val="0"/>
        <w:spacing w:line="360" w:lineRule="auto"/>
        <w:ind w:firstLine="420" w:firstLineChars="200"/>
        <w:rPr>
          <w:rFonts w:ascii="宋体" w:hAnsi="宋体"/>
          <w:color w:val="auto"/>
          <w:szCs w:val="21"/>
        </w:rPr>
      </w:pPr>
      <w:r>
        <w:rPr>
          <w:rFonts w:hint="eastAsia" w:ascii="宋体" w:hAnsi="宋体"/>
          <w:color w:val="auto"/>
          <w:szCs w:val="21"/>
        </w:rPr>
        <w:t>（1）评标委员会按照招标文件中规定的评标方法及评标标准，对符合性审查合格的投标文件进行商务和技术评估，综合比较与评价。</w:t>
      </w:r>
    </w:p>
    <w:p w14:paraId="6435CAE6">
      <w:pPr>
        <w:snapToGrid w:val="0"/>
        <w:spacing w:line="360" w:lineRule="auto"/>
        <w:ind w:firstLine="420" w:firstLineChars="200"/>
        <w:rPr>
          <w:rFonts w:ascii="宋体" w:hAnsi="宋体"/>
          <w:color w:val="auto"/>
          <w:szCs w:val="21"/>
        </w:rPr>
      </w:pPr>
      <w:r>
        <w:rPr>
          <w:rFonts w:hint="eastAsia" w:ascii="宋体" w:hAnsi="宋体"/>
          <w:color w:val="auto"/>
          <w:szCs w:val="21"/>
        </w:rPr>
        <w:t>（2）评标委员会独立对每个投标人的投标文件进行评价，并汇总每个投标人的得分。</w:t>
      </w:r>
    </w:p>
    <w:p w14:paraId="01DA9E7F">
      <w:pPr>
        <w:snapToGrid w:val="0"/>
        <w:spacing w:line="360" w:lineRule="auto"/>
        <w:ind w:firstLine="420" w:firstLineChars="200"/>
        <w:rPr>
          <w:rFonts w:ascii="宋体" w:hAnsi="宋体"/>
          <w:b/>
          <w:color w:val="auto"/>
          <w:szCs w:val="21"/>
        </w:rPr>
      </w:pPr>
      <w:r>
        <w:rPr>
          <w:rFonts w:hint="eastAsia" w:ascii="宋体"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rPr>
        <w:t>投标人不能证明其报价合理性的，评标委员会应当将其作为无效投标处理。</w:t>
      </w:r>
    </w:p>
    <w:p w14:paraId="4D59B1BC">
      <w:pPr>
        <w:snapToGrid w:val="0"/>
        <w:spacing w:line="360" w:lineRule="auto"/>
        <w:ind w:firstLine="420" w:firstLineChars="200"/>
        <w:rPr>
          <w:rFonts w:ascii="宋体" w:hAnsi="宋体"/>
          <w:color w:val="auto"/>
          <w:szCs w:val="21"/>
        </w:rPr>
      </w:pPr>
      <w:r>
        <w:rPr>
          <w:rFonts w:hint="eastAsia" w:ascii="宋体" w:hAnsi="宋体"/>
          <w:color w:val="auto"/>
          <w:szCs w:val="21"/>
        </w:rPr>
        <w:t>（3）评标委员会按照招标文件中规定的评标方法和标准计算各投标人的报价得分。在计算过程中，不得去掉最高报价或者最低报价。</w:t>
      </w:r>
    </w:p>
    <w:p w14:paraId="4423AA2F">
      <w:pPr>
        <w:snapToGrid w:val="0"/>
        <w:spacing w:line="360" w:lineRule="auto"/>
        <w:ind w:firstLine="420" w:firstLineChars="200"/>
        <w:rPr>
          <w:rFonts w:ascii="宋体" w:hAnsi="宋体"/>
          <w:color w:val="auto"/>
          <w:szCs w:val="21"/>
        </w:rPr>
      </w:pPr>
      <w:r>
        <w:rPr>
          <w:rFonts w:hint="eastAsia" w:ascii="宋体" w:hAnsi="宋体"/>
          <w:color w:val="auto"/>
          <w:szCs w:val="21"/>
        </w:rPr>
        <w:t>（4）各投标人的得分为所有评委的有效评分的算术平均数。</w:t>
      </w:r>
    </w:p>
    <w:p w14:paraId="52E50B65">
      <w:pPr>
        <w:snapToGrid w:val="0"/>
        <w:spacing w:line="360" w:lineRule="auto"/>
        <w:ind w:firstLine="420" w:firstLineChars="200"/>
        <w:rPr>
          <w:rFonts w:ascii="宋体" w:hAnsi="宋体"/>
          <w:color w:val="auto"/>
          <w:szCs w:val="21"/>
        </w:rPr>
      </w:pPr>
      <w:r>
        <w:rPr>
          <w:rFonts w:hint="eastAsia" w:ascii="宋体" w:hAnsi="宋体"/>
          <w:color w:val="auto"/>
          <w:szCs w:val="21"/>
        </w:rPr>
        <w:t>（5）评标委员会按照招标文件中的规定推荐中标候选人。</w:t>
      </w:r>
    </w:p>
    <w:p w14:paraId="54F7E4F1">
      <w:pPr>
        <w:snapToGrid w:val="0"/>
        <w:spacing w:line="360" w:lineRule="auto"/>
        <w:ind w:firstLine="420" w:firstLineChars="200"/>
        <w:rPr>
          <w:rFonts w:ascii="宋体" w:hAnsi="宋体"/>
          <w:color w:val="auto"/>
          <w:szCs w:val="21"/>
        </w:rPr>
      </w:pPr>
      <w:r>
        <w:rPr>
          <w:rFonts w:hint="eastAsia" w:ascii="宋体" w:hAnsi="宋体"/>
          <w:color w:val="auto"/>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EDCE038">
      <w:pPr>
        <w:snapToGrid w:val="0"/>
        <w:spacing w:line="360" w:lineRule="auto"/>
        <w:ind w:firstLine="420" w:firstLineChars="200"/>
        <w:rPr>
          <w:rFonts w:ascii="宋体" w:hAnsi="宋体"/>
          <w:color w:val="auto"/>
          <w:szCs w:val="21"/>
        </w:rPr>
      </w:pPr>
      <w:r>
        <w:rPr>
          <w:rFonts w:hint="eastAsia" w:ascii="宋体" w:hAnsi="宋体"/>
          <w:color w:val="auto"/>
          <w:szCs w:val="21"/>
        </w:rPr>
        <w:t>5.2采用</w:t>
      </w:r>
      <w:r>
        <w:rPr>
          <w:rFonts w:hint="eastAsia" w:hAnsi="宋体"/>
          <w:color w:val="auto"/>
        </w:rPr>
        <w:t>最低评标报法</w:t>
      </w:r>
      <w:r>
        <w:rPr>
          <w:rFonts w:hint="eastAsia" w:ascii="宋体" w:hAnsi="宋体"/>
          <w:color w:val="auto"/>
          <w:szCs w:val="21"/>
        </w:rPr>
        <w:t>的</w:t>
      </w:r>
    </w:p>
    <w:p w14:paraId="41C48DF2">
      <w:pPr>
        <w:snapToGrid w:val="0"/>
        <w:spacing w:line="360" w:lineRule="auto"/>
        <w:ind w:firstLine="424" w:firstLineChars="202"/>
        <w:jc w:val="left"/>
        <w:rPr>
          <w:rFonts w:ascii="宋体" w:hAnsi="宋体"/>
          <w:color w:val="auto"/>
          <w:szCs w:val="21"/>
        </w:rPr>
      </w:pPr>
      <w:r>
        <w:rPr>
          <w:rFonts w:hint="eastAsia" w:ascii="宋体" w:hAnsi="宋体"/>
          <w:color w:val="auto"/>
          <w:szCs w:val="21"/>
        </w:rPr>
        <w:t>（1）评标委员会按照招标文件中规定的评标方法及评标标准，对符合性审查合格的投标文件报价进行比较。</w:t>
      </w:r>
    </w:p>
    <w:p w14:paraId="106FCB8D">
      <w:pPr>
        <w:snapToGrid w:val="0"/>
        <w:spacing w:line="360" w:lineRule="auto"/>
        <w:ind w:firstLine="424" w:firstLineChars="202"/>
        <w:jc w:val="left"/>
        <w:rPr>
          <w:rFonts w:ascii="宋体" w:hAnsi="宋体"/>
          <w:b/>
          <w:color w:val="auto"/>
          <w:szCs w:val="21"/>
        </w:rPr>
      </w:pPr>
      <w:r>
        <w:rPr>
          <w:rFonts w:hint="eastAsia" w:ascii="宋体" w:hAnsi="宋体"/>
          <w:color w:val="auto"/>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rPr>
        <w:t>投标人不能证明其报价合理性的，评标委员会将其作为无效投标处理。</w:t>
      </w:r>
    </w:p>
    <w:p w14:paraId="76F74E42">
      <w:pPr>
        <w:snapToGrid w:val="0"/>
        <w:spacing w:line="360" w:lineRule="auto"/>
        <w:ind w:firstLine="424" w:firstLineChars="202"/>
        <w:jc w:val="left"/>
        <w:rPr>
          <w:rFonts w:ascii="宋体" w:hAnsi="宋体"/>
          <w:color w:val="auto"/>
          <w:szCs w:val="21"/>
        </w:rPr>
      </w:pPr>
      <w:r>
        <w:rPr>
          <w:rFonts w:hint="eastAsia" w:ascii="宋体" w:hAnsi="宋体"/>
          <w:color w:val="auto"/>
          <w:szCs w:val="21"/>
        </w:rPr>
        <w:t>（3）评标委员会按照招标文件中的规定推荐中标候选人。</w:t>
      </w:r>
    </w:p>
    <w:p w14:paraId="37D35E6B">
      <w:pPr>
        <w:snapToGrid w:val="0"/>
        <w:spacing w:line="360" w:lineRule="auto"/>
        <w:ind w:firstLine="424" w:firstLineChars="202"/>
        <w:jc w:val="left"/>
        <w:rPr>
          <w:rFonts w:ascii="宋体" w:hAnsi="宋体"/>
          <w:color w:val="auto"/>
          <w:szCs w:val="21"/>
        </w:rPr>
      </w:pPr>
      <w:r>
        <w:rPr>
          <w:rFonts w:hint="eastAsia" w:ascii="宋体" w:hAnsi="宋体"/>
          <w:color w:val="auto"/>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bookmarkStart w:id="163" w:name="_Hlk71707917"/>
    </w:p>
    <w:p w14:paraId="26A12D7C">
      <w:pPr>
        <w:snapToGrid w:val="0"/>
        <w:spacing w:line="360" w:lineRule="auto"/>
        <w:ind w:firstLine="424" w:firstLineChars="202"/>
        <w:jc w:val="left"/>
        <w:rPr>
          <w:rFonts w:ascii="宋体" w:hAnsi="宋体"/>
          <w:color w:val="auto"/>
          <w:szCs w:val="21"/>
        </w:rPr>
      </w:pPr>
    </w:p>
    <w:p w14:paraId="3015A73F">
      <w:pPr>
        <w:snapToGrid/>
        <w:spacing w:line="240" w:lineRule="auto"/>
        <w:jc w:val="left"/>
        <w:rPr>
          <w:rFonts w:ascii="宋体" w:hAnsi="宋体" w:cs="宋体"/>
          <w:b/>
          <w:bCs/>
          <w:color w:val="auto"/>
          <w:sz w:val="32"/>
          <w:szCs w:val="32"/>
        </w:rPr>
      </w:pPr>
      <w:r>
        <w:rPr>
          <w:rFonts w:ascii="宋体" w:hAnsi="宋体" w:cs="宋体"/>
          <w:b/>
          <w:bCs/>
          <w:color w:val="auto"/>
          <w:sz w:val="32"/>
          <w:szCs w:val="32"/>
        </w:rPr>
        <w:br w:type="page"/>
      </w:r>
    </w:p>
    <w:p w14:paraId="520AB78A">
      <w:pPr>
        <w:snapToGrid w:val="0"/>
        <w:spacing w:line="360" w:lineRule="auto"/>
        <w:jc w:val="center"/>
        <w:rPr>
          <w:color w:val="auto"/>
        </w:rPr>
      </w:pPr>
      <w:r>
        <w:rPr>
          <w:rFonts w:ascii="宋体" w:hAnsi="宋体" w:cs="宋体"/>
          <w:b/>
          <w:bCs/>
          <w:color w:val="auto"/>
          <w:sz w:val="32"/>
          <w:szCs w:val="32"/>
        </w:rPr>
        <w:t>三</w:t>
      </w:r>
      <w:r>
        <w:rPr>
          <w:rFonts w:hint="eastAsia" w:ascii="宋体" w:hAnsi="宋体" w:cs="宋体"/>
          <w:b/>
          <w:bCs/>
          <w:color w:val="auto"/>
          <w:sz w:val="32"/>
          <w:szCs w:val="32"/>
        </w:rPr>
        <w:t>、评标标准</w:t>
      </w:r>
    </w:p>
    <w:p w14:paraId="1BBCD9CB">
      <w:pPr>
        <w:pStyle w:val="5"/>
        <w:jc w:val="center"/>
        <w:rPr>
          <w:b/>
          <w:bCs/>
          <w:color w:val="auto"/>
          <w:sz w:val="28"/>
          <w:szCs w:val="28"/>
        </w:rPr>
      </w:pPr>
      <w:r>
        <w:rPr>
          <w:rFonts w:hint="eastAsia"/>
          <w:color w:val="auto"/>
        </w:rPr>
        <w:t>综合评分法</w:t>
      </w:r>
      <w:bookmarkEnd w:id="163"/>
    </w:p>
    <w:tbl>
      <w:tblPr>
        <w:tblStyle w:val="3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64"/>
        <w:gridCol w:w="1801"/>
        <w:gridCol w:w="4960"/>
      </w:tblGrid>
      <w:tr w14:paraId="53C2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67" w:type="dxa"/>
            <w:gridSpan w:val="2"/>
            <w:vAlign w:val="center"/>
          </w:tcPr>
          <w:p w14:paraId="0635FF35">
            <w:pPr>
              <w:adjustRightInd w:val="0"/>
              <w:spacing w:line="360" w:lineRule="exact"/>
              <w:jc w:val="center"/>
              <w:textAlignment w:val="baseline"/>
              <w:rPr>
                <w:rFonts w:ascii="宋体" w:hAnsi="宋体"/>
                <w:b/>
                <w:color w:val="auto"/>
                <w:szCs w:val="21"/>
              </w:rPr>
            </w:pPr>
            <w:r>
              <w:rPr>
                <w:rFonts w:hint="eastAsia" w:ascii="宋体" w:hAnsi="宋体"/>
                <w:b/>
                <w:color w:val="auto"/>
                <w:szCs w:val="21"/>
              </w:rPr>
              <w:t>序号</w:t>
            </w:r>
          </w:p>
        </w:tc>
        <w:tc>
          <w:tcPr>
            <w:tcW w:w="1801" w:type="dxa"/>
            <w:vAlign w:val="center"/>
          </w:tcPr>
          <w:p w14:paraId="7761B348">
            <w:pPr>
              <w:adjustRightInd w:val="0"/>
              <w:spacing w:line="360" w:lineRule="exact"/>
              <w:jc w:val="center"/>
              <w:textAlignment w:val="baseline"/>
              <w:rPr>
                <w:rFonts w:ascii="宋体" w:hAnsi="宋体"/>
                <w:b/>
                <w:color w:val="auto"/>
                <w:szCs w:val="21"/>
              </w:rPr>
            </w:pPr>
            <w:r>
              <w:rPr>
                <w:rFonts w:hint="eastAsia" w:ascii="宋体" w:hAnsi="宋体"/>
                <w:b/>
                <w:color w:val="auto"/>
                <w:szCs w:val="21"/>
              </w:rPr>
              <w:t>评审因素</w:t>
            </w:r>
          </w:p>
        </w:tc>
        <w:tc>
          <w:tcPr>
            <w:tcW w:w="4960" w:type="dxa"/>
            <w:vAlign w:val="center"/>
          </w:tcPr>
          <w:p w14:paraId="3DFE2838">
            <w:pPr>
              <w:adjustRightInd w:val="0"/>
              <w:spacing w:line="360" w:lineRule="exact"/>
              <w:jc w:val="center"/>
              <w:textAlignment w:val="baseline"/>
              <w:rPr>
                <w:rFonts w:ascii="宋体" w:hAnsi="宋体"/>
                <w:b/>
                <w:color w:val="auto"/>
                <w:szCs w:val="21"/>
              </w:rPr>
            </w:pPr>
            <w:r>
              <w:rPr>
                <w:rFonts w:hint="eastAsia" w:ascii="宋体" w:hAnsi="宋体"/>
                <w:b/>
                <w:color w:val="auto"/>
                <w:szCs w:val="21"/>
              </w:rPr>
              <w:t>评标标准</w:t>
            </w:r>
          </w:p>
        </w:tc>
      </w:tr>
      <w:tr w14:paraId="79FC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Align w:val="center"/>
          </w:tcPr>
          <w:p w14:paraId="3A305E77">
            <w:pPr>
              <w:adjustRightInd w:val="0"/>
              <w:spacing w:line="360" w:lineRule="exact"/>
              <w:jc w:val="center"/>
              <w:textAlignment w:val="baseline"/>
              <w:rPr>
                <w:rFonts w:ascii="宋体" w:hAnsi="宋体"/>
                <w:color w:val="auto"/>
                <w:szCs w:val="21"/>
              </w:rPr>
            </w:pPr>
            <w:r>
              <w:rPr>
                <w:rFonts w:hint="eastAsia" w:ascii="宋体" w:hAnsi="宋体"/>
                <w:color w:val="auto"/>
                <w:szCs w:val="21"/>
              </w:rPr>
              <w:t>1</w:t>
            </w:r>
          </w:p>
        </w:tc>
        <w:tc>
          <w:tcPr>
            <w:tcW w:w="1264" w:type="dxa"/>
            <w:vAlign w:val="center"/>
          </w:tcPr>
          <w:p w14:paraId="48D23C83">
            <w:pPr>
              <w:adjustRightInd w:val="0"/>
              <w:spacing w:line="360" w:lineRule="exact"/>
              <w:jc w:val="center"/>
              <w:textAlignment w:val="baseline"/>
              <w:rPr>
                <w:rFonts w:ascii="宋体" w:hAnsi="宋体"/>
                <w:b/>
                <w:bCs/>
                <w:color w:val="auto"/>
                <w:szCs w:val="21"/>
              </w:rPr>
            </w:pPr>
            <w:r>
              <w:rPr>
                <w:rFonts w:hint="eastAsia" w:ascii="宋体" w:hAnsi="宋体"/>
                <w:b/>
                <w:bCs/>
                <w:color w:val="auto"/>
                <w:szCs w:val="21"/>
              </w:rPr>
              <w:t>价格分</w:t>
            </w:r>
          </w:p>
          <w:p w14:paraId="07B5B53C">
            <w:pPr>
              <w:adjustRightInd w:val="0"/>
              <w:spacing w:line="360" w:lineRule="exact"/>
              <w:jc w:val="center"/>
              <w:textAlignment w:val="baseline"/>
              <w:rPr>
                <w:rFonts w:ascii="宋体" w:hAnsi="宋体"/>
                <w:b/>
                <w:bCs/>
                <w:color w:val="auto"/>
                <w:szCs w:val="21"/>
              </w:rPr>
            </w:pPr>
            <w:r>
              <w:rPr>
                <w:rFonts w:hint="eastAsia" w:ascii="宋体" w:hAnsi="宋体"/>
                <w:b/>
                <w:bCs/>
                <w:color w:val="auto"/>
                <w:szCs w:val="21"/>
              </w:rPr>
              <w:t>（满分</w:t>
            </w:r>
            <w:r>
              <w:rPr>
                <w:rFonts w:ascii="宋体" w:hAnsi="宋体"/>
                <w:b/>
                <w:bCs/>
                <w:color w:val="auto"/>
                <w:szCs w:val="21"/>
                <w:u w:val="single"/>
              </w:rPr>
              <w:t>10</w:t>
            </w:r>
            <w:r>
              <w:rPr>
                <w:rFonts w:hint="eastAsia" w:ascii="宋体" w:hAnsi="宋体"/>
                <w:b/>
                <w:bCs/>
                <w:color w:val="auto"/>
                <w:szCs w:val="21"/>
              </w:rPr>
              <w:t>分）</w:t>
            </w:r>
          </w:p>
        </w:tc>
        <w:tc>
          <w:tcPr>
            <w:tcW w:w="1801" w:type="dxa"/>
            <w:vAlign w:val="center"/>
          </w:tcPr>
          <w:p w14:paraId="2DAFDEE8">
            <w:pPr>
              <w:adjustRightInd w:val="0"/>
              <w:spacing w:line="360" w:lineRule="exact"/>
              <w:jc w:val="center"/>
              <w:textAlignment w:val="baseline"/>
              <w:rPr>
                <w:rFonts w:ascii="宋体" w:hAnsi="宋体"/>
                <w:bCs/>
                <w:color w:val="auto"/>
                <w:szCs w:val="21"/>
              </w:rPr>
            </w:pPr>
            <w:r>
              <w:rPr>
                <w:rFonts w:hint="eastAsia" w:ascii="宋体" w:hAnsi="宋体"/>
                <w:bCs/>
                <w:color w:val="auto"/>
                <w:szCs w:val="21"/>
              </w:rPr>
              <w:t>投标报价（</w:t>
            </w:r>
            <w:r>
              <w:rPr>
                <w:rFonts w:ascii="宋体" w:hAnsi="宋体"/>
                <w:bCs/>
                <w:color w:val="auto"/>
                <w:szCs w:val="21"/>
                <w:u w:val="single"/>
              </w:rPr>
              <w:t>10</w:t>
            </w:r>
            <w:r>
              <w:rPr>
                <w:rFonts w:hint="eastAsia" w:ascii="宋体" w:hAnsi="宋体"/>
                <w:bCs/>
                <w:color w:val="auto"/>
                <w:szCs w:val="21"/>
              </w:rPr>
              <w:t>分）</w:t>
            </w:r>
          </w:p>
        </w:tc>
        <w:tc>
          <w:tcPr>
            <w:tcW w:w="4960" w:type="dxa"/>
            <w:vAlign w:val="center"/>
          </w:tcPr>
          <w:p w14:paraId="41711335">
            <w:pPr>
              <w:snapToGrid w:val="0"/>
              <w:spacing w:line="360" w:lineRule="atLeast"/>
              <w:ind w:firstLine="233" w:firstLineChars="111"/>
              <w:rPr>
                <w:rFonts w:ascii="宋体" w:hAnsi="宋体"/>
                <w:bCs/>
                <w:color w:val="auto"/>
                <w:szCs w:val="21"/>
              </w:rPr>
            </w:pPr>
            <w:r>
              <w:rPr>
                <w:rFonts w:hint="eastAsia" w:ascii="宋体" w:hAnsi="宋体"/>
                <w:bCs/>
                <w:color w:val="auto"/>
                <w:szCs w:val="21"/>
              </w:rPr>
              <w:t>（1）评标报价为</w:t>
            </w:r>
            <w:r>
              <w:rPr>
                <w:rFonts w:hint="eastAsia"/>
                <w:color w:val="auto"/>
                <w:spacing w:val="11"/>
                <w:lang w:val="en-US" w:eastAsia="zh-CN"/>
              </w:rPr>
              <w:t>投标人</w:t>
            </w:r>
            <w:r>
              <w:rPr>
                <w:color w:val="auto"/>
                <w:spacing w:val="11"/>
              </w:rPr>
              <w:t>的最后报价</w:t>
            </w:r>
            <w:r>
              <w:rPr>
                <w:rFonts w:hint="eastAsia" w:ascii="宋体" w:hAnsi="宋体"/>
                <w:bCs/>
                <w:color w:val="auto"/>
                <w:szCs w:val="21"/>
              </w:rPr>
              <w:t>进行政策性扣除后的价格，评标报价只是作为评标时使用。最终</w:t>
            </w:r>
            <w:r>
              <w:rPr>
                <w:color w:val="auto"/>
                <w:spacing w:val="11"/>
              </w:rPr>
              <w:t>成交供应商的成交金额</w:t>
            </w:r>
            <w:r>
              <w:rPr>
                <w:rFonts w:hint="eastAsia" w:ascii="宋体" w:hAnsi="宋体"/>
                <w:bCs/>
                <w:color w:val="auto"/>
                <w:szCs w:val="21"/>
              </w:rPr>
              <w:t>等于投标报价。</w:t>
            </w:r>
          </w:p>
          <w:p w14:paraId="7DE997BF">
            <w:pPr>
              <w:snapToGrid w:val="0"/>
              <w:spacing w:line="360" w:lineRule="atLeast"/>
              <w:ind w:firstLine="233" w:firstLineChars="111"/>
              <w:rPr>
                <w:rFonts w:ascii="宋体" w:hAnsi="宋体"/>
                <w:bCs/>
                <w:color w:val="auto"/>
                <w:szCs w:val="21"/>
              </w:rPr>
            </w:pPr>
            <w:r>
              <w:rPr>
                <w:rFonts w:hint="eastAsia" w:ascii="宋体" w:hAnsi="宋体"/>
                <w:bCs/>
                <w:color w:val="auto"/>
                <w:szCs w:val="21"/>
              </w:rPr>
              <w:t>（2）政策性扣除计算方法。</w:t>
            </w:r>
          </w:p>
          <w:p w14:paraId="1CA951DD">
            <w:pPr>
              <w:snapToGrid w:val="0"/>
              <w:spacing w:line="360" w:lineRule="atLeast"/>
              <w:ind w:firstLine="443" w:firstLineChars="211"/>
              <w:rPr>
                <w:rFonts w:ascii="宋体" w:hAnsi="宋体"/>
                <w:color w:val="auto"/>
                <w:szCs w:val="21"/>
              </w:rPr>
            </w:pPr>
            <w:r>
              <w:rPr>
                <w:rFonts w:hint="eastAsia" w:ascii="宋体" w:hAnsi="宋体"/>
                <w:bCs/>
                <w:color w:val="auto"/>
                <w:szCs w:val="21"/>
              </w:rPr>
              <w:t>根据《政府采购促进中小企业发展管理办法》（财库〔2020〕46号）及《广西壮族自治区财政厅关于贯彻落实政府采购支持中小企业发展政策的通知》（桂财采〔2022〕31号）的规定，投标人在其投标文件中提供《中小企业声明函》，且服务全部由小微企业承接，对其投标报价给予10%的扣除，扣除后的价格为评标报价，即评标报价=投标报价×（1-</w:t>
            </w:r>
            <w:r>
              <w:rPr>
                <w:rFonts w:ascii="宋体" w:hAnsi="宋体"/>
                <w:bCs/>
                <w:color w:val="auto"/>
                <w:szCs w:val="21"/>
              </w:rPr>
              <w:t>1</w:t>
            </w:r>
            <w:r>
              <w:rPr>
                <w:rFonts w:hint="eastAsia" w:ascii="宋体" w:hAnsi="宋体"/>
                <w:bCs/>
                <w:color w:val="auto"/>
                <w:szCs w:val="21"/>
              </w:rPr>
              <w:t>0%）。接受大中型企业与小微企业组成联合体的采购项目，联合协议约定小微企业的合同份额占到合同总金额30%以上的，采购人、采购代理机构应当对联合体或者大中型企业的报价给予 4% 的扣除，用扣除后的价格参加评审，扣除后的价格为评标报价，即评标报价=投标报价×（1- 4%）。除上述情况外，评标报价=投标报价。</w:t>
            </w:r>
          </w:p>
          <w:p w14:paraId="16D203C2">
            <w:pPr>
              <w:snapToGrid w:val="0"/>
              <w:spacing w:line="360" w:lineRule="atLeast"/>
              <w:ind w:firstLine="233" w:firstLineChars="111"/>
              <w:rPr>
                <w:rFonts w:ascii="宋体" w:hAnsi="宋体"/>
                <w:bCs/>
                <w:color w:val="auto"/>
                <w:szCs w:val="21"/>
              </w:rPr>
            </w:pPr>
            <w:r>
              <w:rPr>
                <w:rFonts w:hint="eastAsia" w:ascii="宋体" w:hAnsi="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olor w:val="auto"/>
                <w:szCs w:val="21"/>
              </w:rPr>
              <w:t>监狱企业参加政府采购活动时，应当提供由省级以上监狱管理局、戒毒管理局（含新疆生产建设兵团）出具的属于监狱企业的证明文件。</w:t>
            </w:r>
            <w:r>
              <w:rPr>
                <w:rFonts w:hint="eastAsia" w:ascii="宋体" w:hAnsi="宋体"/>
                <w:bCs/>
                <w:color w:val="auto"/>
                <w:szCs w:val="21"/>
              </w:rPr>
              <w:t>监狱企业属于小型、微型企业的，不重复享受政策。</w:t>
            </w:r>
          </w:p>
          <w:p w14:paraId="1A663004">
            <w:pPr>
              <w:snapToGrid w:val="0"/>
              <w:spacing w:line="360" w:lineRule="atLeast"/>
              <w:ind w:firstLine="233" w:firstLineChars="111"/>
              <w:rPr>
                <w:rFonts w:hint="eastAsia" w:ascii="宋体" w:hAnsi="宋体"/>
                <w:b/>
                <w:bCs w:val="0"/>
                <w:color w:val="auto"/>
                <w:szCs w:val="21"/>
              </w:rPr>
            </w:pPr>
            <w:r>
              <w:rPr>
                <w:rFonts w:hint="eastAsia" w:ascii="宋体" w:hAnsi="宋体"/>
                <w:color w:val="auto"/>
                <w:szCs w:val="21"/>
              </w:rPr>
              <w:t>（4）按照</w:t>
            </w:r>
            <w:r>
              <w:rPr>
                <w:rFonts w:hint="eastAsia" w:ascii="宋体" w:hAnsi="宋体"/>
                <w:bCs/>
                <w:color w:val="auto"/>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olor w:val="auto"/>
                <w:szCs w:val="21"/>
              </w:rPr>
              <w:t>残疾人福利性单位参加政府采购活动时，应当提供该通知规定的《残疾人福利性单位声明函》，并对声明的真实性负责。</w:t>
            </w:r>
            <w:r>
              <w:rPr>
                <w:rFonts w:hint="eastAsia" w:ascii="宋体" w:hAnsi="宋体"/>
                <w:bCs/>
                <w:color w:val="auto"/>
                <w:szCs w:val="21"/>
              </w:rPr>
              <w:t>残疾人福利性单位属于小型、微型企业的，不重复享受政策。</w:t>
            </w:r>
          </w:p>
          <w:p w14:paraId="4E7866E3">
            <w:pPr>
              <w:snapToGrid w:val="0"/>
              <w:spacing w:line="360" w:lineRule="atLeast"/>
              <w:ind w:firstLine="233" w:firstLineChars="111"/>
              <w:rPr>
                <w:rFonts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5</w:t>
            </w:r>
            <w:r>
              <w:rPr>
                <w:rFonts w:hint="eastAsia" w:ascii="宋体" w:hAnsi="宋体"/>
                <w:bCs/>
                <w:color w:val="auto"/>
                <w:szCs w:val="21"/>
              </w:rPr>
              <w:t>）满足招标文件要求且评标报价最低的评标报价为评标基准价，其价格分为满分10分。</w:t>
            </w:r>
          </w:p>
          <w:p w14:paraId="13BAE3F2">
            <w:pPr>
              <w:spacing w:line="360" w:lineRule="atLeast"/>
              <w:ind w:firstLine="233" w:firstLineChars="111"/>
              <w:rPr>
                <w:rFonts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6</w:t>
            </w:r>
            <w:r>
              <w:rPr>
                <w:rFonts w:hint="eastAsia" w:ascii="宋体" w:hAnsi="宋体"/>
                <w:bCs/>
                <w:color w:val="auto"/>
                <w:szCs w:val="21"/>
              </w:rPr>
              <w:t>）价格分计算公式：</w:t>
            </w:r>
          </w:p>
          <w:p w14:paraId="4442B643">
            <w:pPr>
              <w:spacing w:line="360" w:lineRule="atLeast"/>
              <w:ind w:firstLine="233" w:firstLineChars="111"/>
              <w:rPr>
                <w:rFonts w:ascii="宋体" w:hAnsi="宋体"/>
                <w:bCs/>
                <w:color w:val="auto"/>
                <w:szCs w:val="21"/>
              </w:rPr>
            </w:pPr>
            <w:r>
              <w:rPr>
                <w:rFonts w:hint="eastAsia" w:ascii="宋体" w:hAnsi="宋体"/>
                <w:bCs/>
                <w:color w:val="auto"/>
                <w:szCs w:val="21"/>
              </w:rPr>
              <w:t>报价得分=（基准价/投标报价）×10分。</w:t>
            </w:r>
          </w:p>
        </w:tc>
      </w:tr>
      <w:tr w14:paraId="06C7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restart"/>
            <w:vAlign w:val="center"/>
          </w:tcPr>
          <w:p w14:paraId="748A766E">
            <w:pPr>
              <w:adjustRightInd w:val="0"/>
              <w:snapToGrid w:val="0"/>
              <w:spacing w:line="360" w:lineRule="exact"/>
              <w:jc w:val="center"/>
              <w:textAlignment w:val="baseline"/>
              <w:rPr>
                <w:rFonts w:ascii="宋体" w:hAnsi="宋体"/>
                <w:color w:val="auto"/>
                <w:szCs w:val="21"/>
              </w:rPr>
            </w:pPr>
            <w:r>
              <w:rPr>
                <w:rFonts w:hint="eastAsia" w:ascii="宋体" w:hAnsi="宋体"/>
                <w:color w:val="auto"/>
                <w:szCs w:val="21"/>
              </w:rPr>
              <w:t>2</w:t>
            </w:r>
          </w:p>
        </w:tc>
        <w:tc>
          <w:tcPr>
            <w:tcW w:w="1264" w:type="dxa"/>
            <w:vMerge w:val="restart"/>
            <w:vAlign w:val="center"/>
          </w:tcPr>
          <w:p w14:paraId="03760E8E">
            <w:pPr>
              <w:adjustRightInd w:val="0"/>
              <w:snapToGrid w:val="0"/>
              <w:spacing w:line="360" w:lineRule="exact"/>
              <w:ind w:left="-105" w:leftChars="-50" w:right="-105" w:rightChars="-50"/>
              <w:jc w:val="center"/>
              <w:textAlignment w:val="baseline"/>
              <w:rPr>
                <w:rFonts w:ascii="宋体" w:hAnsi="宋体"/>
                <w:b/>
                <w:color w:val="auto"/>
                <w:spacing w:val="-18"/>
                <w:szCs w:val="21"/>
              </w:rPr>
            </w:pPr>
            <w:r>
              <w:rPr>
                <w:rFonts w:hint="eastAsia" w:ascii="宋体" w:hAnsi="宋体"/>
                <w:b/>
                <w:bCs/>
                <w:color w:val="auto"/>
                <w:szCs w:val="21"/>
              </w:rPr>
              <w:t>技术分（满分7</w:t>
            </w:r>
            <w:r>
              <w:rPr>
                <w:rFonts w:ascii="宋体" w:hAnsi="宋体"/>
                <w:b/>
                <w:bCs/>
                <w:color w:val="auto"/>
                <w:szCs w:val="21"/>
              </w:rPr>
              <w:t>0</w:t>
            </w:r>
            <w:r>
              <w:rPr>
                <w:rFonts w:hint="eastAsia" w:ascii="宋体" w:hAnsi="宋体"/>
                <w:b/>
                <w:bCs/>
                <w:color w:val="auto"/>
                <w:szCs w:val="21"/>
              </w:rPr>
              <w:t>分）</w:t>
            </w:r>
          </w:p>
        </w:tc>
        <w:tc>
          <w:tcPr>
            <w:tcW w:w="1801" w:type="dxa"/>
            <w:vAlign w:val="center"/>
          </w:tcPr>
          <w:p w14:paraId="7BDF5DB6">
            <w:pPr>
              <w:adjustRightInd w:val="0"/>
              <w:spacing w:line="360" w:lineRule="exact"/>
              <w:jc w:val="center"/>
              <w:textAlignment w:val="baseline"/>
              <w:rPr>
                <w:rFonts w:ascii="宋体" w:hAnsi="宋体"/>
                <w:color w:val="auto"/>
                <w:kern w:val="0"/>
                <w:szCs w:val="21"/>
              </w:rPr>
            </w:pPr>
            <w:r>
              <w:rPr>
                <w:rFonts w:hint="eastAsia"/>
                <w:b/>
                <w:bCs/>
                <w:color w:val="auto"/>
                <w:szCs w:val="21"/>
              </w:rPr>
              <w:t>项目的理解、技术建议可行性及路面检测评价方案分（满分 10 分）</w:t>
            </w:r>
          </w:p>
        </w:tc>
        <w:tc>
          <w:tcPr>
            <w:tcW w:w="4960" w:type="dxa"/>
          </w:tcPr>
          <w:p w14:paraId="6E0577B1">
            <w:pPr>
              <w:adjustRightInd w:val="0"/>
              <w:spacing w:line="400" w:lineRule="exact"/>
              <w:ind w:firstLine="420" w:firstLineChars="200"/>
              <w:textAlignment w:val="baseline"/>
              <w:rPr>
                <w:rFonts w:ascii="宋体" w:hAnsi="宋体"/>
                <w:color w:val="auto"/>
                <w:szCs w:val="21"/>
              </w:rPr>
            </w:pPr>
            <w:r>
              <w:rPr>
                <w:rFonts w:hint="eastAsia" w:ascii="宋体" w:hAnsi="宋体"/>
                <w:color w:val="auto"/>
                <w:szCs w:val="21"/>
              </w:rPr>
              <w:t>一档（4分）：理解本项目服务工作内容及要求，能提供初步的服务方案、技术建议及检测评价方案。</w:t>
            </w:r>
          </w:p>
          <w:p w14:paraId="3CCDA11D">
            <w:pPr>
              <w:adjustRightInd w:val="0"/>
              <w:spacing w:line="400" w:lineRule="exact"/>
              <w:ind w:firstLine="420" w:firstLineChars="200"/>
              <w:textAlignment w:val="baseline"/>
              <w:rPr>
                <w:rFonts w:ascii="宋体" w:hAnsi="宋体"/>
                <w:color w:val="auto"/>
                <w:szCs w:val="21"/>
              </w:rPr>
            </w:pPr>
            <w:r>
              <w:rPr>
                <w:rFonts w:hint="eastAsia" w:ascii="宋体" w:hAnsi="宋体"/>
                <w:color w:val="auto"/>
                <w:szCs w:val="21"/>
              </w:rPr>
              <w:t>二档（7分）：理解本项目服务工作内容及要求，提供的服务方案内容齐全（含具体的服务方案、技术建议及检测评价方案），并可根据项目特点提供有具体的重点、难点分析，根据分析进一步提供技术建议及检测方案，明确采用的检测标准、检测方法。</w:t>
            </w:r>
          </w:p>
          <w:p w14:paraId="42217CFD">
            <w:pPr>
              <w:adjustRightInd w:val="0"/>
              <w:spacing w:line="400" w:lineRule="exact"/>
              <w:ind w:firstLine="420" w:firstLineChars="200"/>
              <w:textAlignment w:val="baseline"/>
              <w:rPr>
                <w:rFonts w:ascii="宋体" w:hAnsi="宋体"/>
                <w:color w:val="auto"/>
                <w:szCs w:val="21"/>
              </w:rPr>
            </w:pPr>
            <w:r>
              <w:rPr>
                <w:rFonts w:hint="eastAsia" w:ascii="宋体" w:hAnsi="宋体"/>
                <w:color w:val="auto"/>
                <w:szCs w:val="21"/>
              </w:rPr>
              <w:t>三档（10分）：满足二档要求，能够借助信息化等科学手段确保项目实施过程的可控性，并提供有具体的保密性措施，能够防范信息泄露安全；同时，能够提供具体的质量保障措施，确保服务质量及检测评价工作质量。</w:t>
            </w:r>
          </w:p>
          <w:p w14:paraId="40BDFD7C">
            <w:pPr>
              <w:adjustRightInd w:val="0"/>
              <w:spacing w:line="400" w:lineRule="exact"/>
              <w:ind w:firstLine="422" w:firstLineChars="200"/>
              <w:textAlignment w:val="baseline"/>
              <w:rPr>
                <w:rFonts w:ascii="宋体" w:hAnsi="宋体"/>
                <w:color w:val="auto"/>
                <w:szCs w:val="21"/>
              </w:rPr>
            </w:pPr>
            <w:r>
              <w:rPr>
                <w:rFonts w:hint="eastAsia" w:ascii="宋体" w:hAnsi="宋体"/>
                <w:b/>
                <w:color w:val="auto"/>
                <w:szCs w:val="21"/>
              </w:rPr>
              <w:t>注：不符合最低入档要求的不得分。</w:t>
            </w:r>
          </w:p>
        </w:tc>
      </w:tr>
      <w:tr w14:paraId="53DD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vAlign w:val="center"/>
          </w:tcPr>
          <w:p w14:paraId="1D0DD5A4">
            <w:pPr>
              <w:adjustRightInd w:val="0"/>
              <w:snapToGrid w:val="0"/>
              <w:spacing w:line="360" w:lineRule="exact"/>
              <w:jc w:val="center"/>
              <w:textAlignment w:val="baseline"/>
              <w:rPr>
                <w:rFonts w:ascii="宋体" w:hAnsi="宋体"/>
                <w:color w:val="auto"/>
                <w:szCs w:val="21"/>
              </w:rPr>
            </w:pPr>
          </w:p>
        </w:tc>
        <w:tc>
          <w:tcPr>
            <w:tcW w:w="1264" w:type="dxa"/>
            <w:vMerge w:val="continue"/>
            <w:vAlign w:val="center"/>
          </w:tcPr>
          <w:p w14:paraId="5EE246E8">
            <w:pPr>
              <w:adjustRightInd w:val="0"/>
              <w:snapToGrid w:val="0"/>
              <w:spacing w:line="360" w:lineRule="exact"/>
              <w:ind w:left="-105" w:leftChars="-50" w:right="-105" w:rightChars="-50"/>
              <w:jc w:val="center"/>
              <w:textAlignment w:val="baseline"/>
              <w:rPr>
                <w:rFonts w:ascii="宋体" w:hAnsi="宋体"/>
                <w:b/>
                <w:bCs/>
                <w:color w:val="auto"/>
                <w:szCs w:val="21"/>
              </w:rPr>
            </w:pPr>
          </w:p>
        </w:tc>
        <w:tc>
          <w:tcPr>
            <w:tcW w:w="1801" w:type="dxa"/>
            <w:vAlign w:val="center"/>
          </w:tcPr>
          <w:p w14:paraId="6579E448">
            <w:pPr>
              <w:adjustRightInd w:val="0"/>
              <w:spacing w:line="360" w:lineRule="exact"/>
              <w:jc w:val="center"/>
              <w:textAlignment w:val="baseline"/>
              <w:rPr>
                <w:rFonts w:ascii="宋体" w:hAnsi="宋体"/>
                <w:color w:val="auto"/>
                <w:szCs w:val="21"/>
              </w:rPr>
            </w:pPr>
            <w:r>
              <w:rPr>
                <w:rFonts w:hint="eastAsia"/>
                <w:b/>
                <w:bCs/>
                <w:color w:val="auto"/>
                <w:szCs w:val="21"/>
              </w:rPr>
              <w:t>工作和组织实施方案分（满分 12 分）</w:t>
            </w:r>
          </w:p>
        </w:tc>
        <w:tc>
          <w:tcPr>
            <w:tcW w:w="4960" w:type="dxa"/>
          </w:tcPr>
          <w:p w14:paraId="2E9F6FC6">
            <w:pPr>
              <w:spacing w:line="360" w:lineRule="exact"/>
              <w:ind w:firstLine="420" w:firstLineChars="200"/>
              <w:rPr>
                <w:rFonts w:ascii="宋体" w:hAnsi="宋体"/>
                <w:bCs/>
                <w:color w:val="auto"/>
                <w:kern w:val="0"/>
                <w:szCs w:val="21"/>
              </w:rPr>
            </w:pPr>
            <w:r>
              <w:rPr>
                <w:rFonts w:hint="eastAsia" w:ascii="宋体" w:hAnsi="宋体"/>
                <w:bCs/>
                <w:color w:val="auto"/>
                <w:kern w:val="0"/>
                <w:szCs w:val="21"/>
              </w:rPr>
              <w:t>一档（4分）：能够结合项目及人员要求，提供组织架构，并有具体的人员分工安排、工作内容、工作方案及工作进度计划，</w:t>
            </w:r>
            <w:r>
              <w:rPr>
                <w:rFonts w:hint="eastAsia" w:ascii="宋体" w:hAnsi="宋体"/>
                <w:color w:val="auto"/>
                <w:szCs w:val="21"/>
              </w:rPr>
              <w:t>确保项目按期完成并通过验收</w:t>
            </w:r>
            <w:r>
              <w:rPr>
                <w:rFonts w:hint="eastAsia" w:ascii="宋体" w:hAnsi="宋体"/>
                <w:bCs/>
                <w:color w:val="auto"/>
                <w:kern w:val="0"/>
                <w:szCs w:val="21"/>
              </w:rPr>
              <w:t>。</w:t>
            </w:r>
          </w:p>
          <w:p w14:paraId="27B909C8">
            <w:pPr>
              <w:spacing w:line="360" w:lineRule="exact"/>
              <w:ind w:firstLine="420" w:firstLineChars="200"/>
              <w:rPr>
                <w:rFonts w:ascii="宋体" w:hAnsi="宋体"/>
                <w:bCs/>
                <w:color w:val="auto"/>
                <w:kern w:val="0"/>
                <w:szCs w:val="21"/>
              </w:rPr>
            </w:pPr>
            <w:r>
              <w:rPr>
                <w:rFonts w:hint="eastAsia" w:ascii="宋体" w:hAnsi="宋体"/>
                <w:bCs/>
                <w:color w:val="auto"/>
                <w:kern w:val="0"/>
                <w:szCs w:val="21"/>
              </w:rPr>
              <w:t>二档（8分）：满足一档要求，能够根据项目关键问题及特殊状况提供预判，并提供相应的处理方案或解决措施；同时，能够提供数据科学分析，</w:t>
            </w:r>
            <w:r>
              <w:rPr>
                <w:rFonts w:hint="eastAsia" w:ascii="宋体" w:hAnsi="宋体"/>
                <w:color w:val="auto"/>
                <w:szCs w:val="21"/>
              </w:rPr>
              <w:t>确保检测结果的真实性及可靠性。</w:t>
            </w:r>
          </w:p>
          <w:p w14:paraId="6885CE91">
            <w:pPr>
              <w:adjustRightInd w:val="0"/>
              <w:spacing w:line="400" w:lineRule="exact"/>
              <w:ind w:firstLine="420" w:firstLineChars="200"/>
              <w:textAlignment w:val="baseline"/>
              <w:rPr>
                <w:rFonts w:ascii="宋体" w:hAnsi="宋体"/>
                <w:color w:val="auto"/>
                <w:szCs w:val="21"/>
              </w:rPr>
            </w:pPr>
            <w:r>
              <w:rPr>
                <w:rFonts w:hint="eastAsia" w:ascii="宋体" w:hAnsi="宋体"/>
                <w:bCs/>
                <w:color w:val="auto"/>
                <w:kern w:val="0"/>
                <w:szCs w:val="21"/>
              </w:rPr>
              <w:t>三档（12分）：满足二档要求，提供具体的技术调查组织实施流程，包括外业准备、内业处理，工作流程清晰严谨，内外业衔接紧密。</w:t>
            </w:r>
          </w:p>
          <w:p w14:paraId="1A276B17">
            <w:pPr>
              <w:spacing w:line="360" w:lineRule="exact"/>
              <w:ind w:firstLine="422" w:firstLineChars="200"/>
              <w:rPr>
                <w:rFonts w:ascii="宋体" w:hAnsi="宋体"/>
                <w:b/>
                <w:bCs/>
                <w:color w:val="auto"/>
                <w:kern w:val="0"/>
                <w:szCs w:val="21"/>
              </w:rPr>
            </w:pPr>
            <w:r>
              <w:rPr>
                <w:rFonts w:hint="eastAsia" w:ascii="宋体" w:hAnsi="宋体"/>
                <w:b/>
                <w:color w:val="auto"/>
                <w:szCs w:val="21"/>
              </w:rPr>
              <w:t>注：不符合最低入档要求的不得分。</w:t>
            </w:r>
          </w:p>
        </w:tc>
      </w:tr>
      <w:tr w14:paraId="4F41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vAlign w:val="center"/>
          </w:tcPr>
          <w:p w14:paraId="3831D7E8">
            <w:pPr>
              <w:adjustRightInd w:val="0"/>
              <w:snapToGrid w:val="0"/>
              <w:spacing w:line="360" w:lineRule="exact"/>
              <w:jc w:val="center"/>
              <w:textAlignment w:val="baseline"/>
              <w:rPr>
                <w:rFonts w:ascii="宋体" w:hAnsi="宋体"/>
                <w:color w:val="auto"/>
                <w:szCs w:val="21"/>
              </w:rPr>
            </w:pPr>
          </w:p>
        </w:tc>
        <w:tc>
          <w:tcPr>
            <w:tcW w:w="1264" w:type="dxa"/>
            <w:vMerge w:val="continue"/>
            <w:vAlign w:val="center"/>
          </w:tcPr>
          <w:p w14:paraId="49E039D7">
            <w:pPr>
              <w:adjustRightInd w:val="0"/>
              <w:snapToGrid w:val="0"/>
              <w:spacing w:line="360" w:lineRule="exact"/>
              <w:ind w:left="-105" w:leftChars="-50" w:right="-105" w:rightChars="-50"/>
              <w:jc w:val="center"/>
              <w:textAlignment w:val="baseline"/>
              <w:rPr>
                <w:rFonts w:ascii="宋体" w:hAnsi="宋体"/>
                <w:b/>
                <w:bCs/>
                <w:color w:val="auto"/>
                <w:szCs w:val="21"/>
              </w:rPr>
            </w:pPr>
          </w:p>
        </w:tc>
        <w:tc>
          <w:tcPr>
            <w:tcW w:w="1801" w:type="dxa"/>
            <w:vAlign w:val="center"/>
          </w:tcPr>
          <w:p w14:paraId="417BD261">
            <w:pPr>
              <w:adjustRightInd w:val="0"/>
              <w:spacing w:line="360" w:lineRule="exact"/>
              <w:jc w:val="center"/>
              <w:textAlignment w:val="baseline"/>
              <w:rPr>
                <w:rFonts w:ascii="宋体" w:hAnsi="宋体"/>
                <w:color w:val="auto"/>
                <w:szCs w:val="21"/>
              </w:rPr>
            </w:pPr>
            <w:r>
              <w:rPr>
                <w:rFonts w:hint="eastAsia"/>
                <w:b/>
                <w:bCs/>
                <w:color w:val="auto"/>
                <w:szCs w:val="21"/>
              </w:rPr>
              <w:t>项目质量和安全保障方案分（12 分）</w:t>
            </w:r>
          </w:p>
        </w:tc>
        <w:tc>
          <w:tcPr>
            <w:tcW w:w="4960" w:type="dxa"/>
          </w:tcPr>
          <w:p w14:paraId="50892B89">
            <w:pPr>
              <w:spacing w:line="400" w:lineRule="exact"/>
              <w:ind w:firstLine="420"/>
              <w:rPr>
                <w:rFonts w:ascii="宋体" w:hAnsi="宋体"/>
                <w:bCs/>
                <w:color w:val="auto"/>
                <w:szCs w:val="21"/>
              </w:rPr>
            </w:pPr>
            <w:r>
              <w:rPr>
                <w:rFonts w:hint="eastAsia" w:ascii="宋体" w:hAnsi="宋体"/>
                <w:bCs/>
                <w:color w:val="auto"/>
                <w:szCs w:val="21"/>
              </w:rPr>
              <w:t>一档（</w:t>
            </w:r>
            <w:r>
              <w:rPr>
                <w:rFonts w:ascii="宋体" w:hAnsi="宋体"/>
                <w:bCs/>
                <w:color w:val="auto"/>
                <w:szCs w:val="21"/>
              </w:rPr>
              <w:t>4</w:t>
            </w:r>
            <w:r>
              <w:rPr>
                <w:rFonts w:hint="eastAsia" w:ascii="宋体" w:hAnsi="宋体"/>
                <w:bCs/>
                <w:color w:val="auto"/>
                <w:szCs w:val="21"/>
              </w:rPr>
              <w:t>分）：提供项目质量和安全保障方案，但质量安全控制体系和质量安全保障措施不明确。</w:t>
            </w:r>
          </w:p>
          <w:p w14:paraId="41C64B4A">
            <w:pPr>
              <w:spacing w:line="400" w:lineRule="exact"/>
              <w:ind w:firstLine="420"/>
              <w:rPr>
                <w:rFonts w:ascii="宋体" w:hAnsi="宋体"/>
                <w:bCs/>
                <w:color w:val="auto"/>
                <w:szCs w:val="21"/>
              </w:rPr>
            </w:pPr>
            <w:r>
              <w:rPr>
                <w:rFonts w:hint="eastAsia" w:ascii="宋体" w:hAnsi="宋体"/>
                <w:bCs/>
                <w:color w:val="auto"/>
                <w:szCs w:val="21"/>
              </w:rPr>
              <w:t>二档（</w:t>
            </w:r>
            <w:r>
              <w:rPr>
                <w:rFonts w:ascii="宋体" w:hAnsi="宋体"/>
                <w:bCs/>
                <w:color w:val="auto"/>
                <w:szCs w:val="21"/>
              </w:rPr>
              <w:t>8</w:t>
            </w:r>
            <w:r>
              <w:rPr>
                <w:rFonts w:hint="eastAsia" w:ascii="宋体" w:hAnsi="宋体"/>
                <w:bCs/>
                <w:color w:val="auto"/>
                <w:szCs w:val="21"/>
              </w:rPr>
              <w:t>分）：提供项目质量和安全保障方案，有具体且明确的质量安全控制办法，并有具体的保证措施。</w:t>
            </w:r>
          </w:p>
          <w:p w14:paraId="0EBB41E7">
            <w:pPr>
              <w:spacing w:line="400" w:lineRule="exact"/>
              <w:ind w:firstLine="420"/>
              <w:rPr>
                <w:rFonts w:ascii="宋体" w:hAnsi="宋体"/>
                <w:b/>
                <w:color w:val="auto"/>
                <w:szCs w:val="21"/>
                <w:u w:val="single"/>
              </w:rPr>
            </w:pPr>
            <w:r>
              <w:rPr>
                <w:rFonts w:hint="eastAsia" w:ascii="宋体" w:hAnsi="宋体"/>
                <w:bCs/>
                <w:color w:val="auto"/>
                <w:szCs w:val="21"/>
              </w:rPr>
              <w:t>三档（12分）：满足二档要求，并有质量安全控制重点分析，且有解决方案及办法。质量保障方案应具体包含质量保障方针、质量保障体系建立流程、质量控制环节、完成本项目的质量管理体系和措施、数据准确性和一致性保证措施、数据公正性保证措施、项目质保流程等内容。安全保障方案应具体包含建立安全保障体系的思路、安全管理目标、方针和依据、安全管理组织机构、安全管理规章制度、安全保障体系、安全管理保障措施、检测前安全措施、现场检测安全措施、安全生产预案等内容。</w:t>
            </w:r>
          </w:p>
          <w:p w14:paraId="22DDCB54">
            <w:pPr>
              <w:spacing w:line="360" w:lineRule="exact"/>
              <w:ind w:firstLine="422" w:firstLineChars="200"/>
              <w:rPr>
                <w:rFonts w:ascii="宋体" w:hAnsi="宋体"/>
                <w:b/>
                <w:bCs/>
                <w:color w:val="auto"/>
                <w:kern w:val="0"/>
                <w:szCs w:val="21"/>
              </w:rPr>
            </w:pPr>
            <w:r>
              <w:rPr>
                <w:rFonts w:hint="eastAsia" w:ascii="宋体" w:hAnsi="宋体"/>
                <w:b/>
                <w:bCs/>
                <w:color w:val="auto"/>
                <w:szCs w:val="21"/>
              </w:rPr>
              <w:t>注：</w:t>
            </w:r>
            <w:r>
              <w:rPr>
                <w:rFonts w:hint="eastAsia" w:ascii="宋体" w:hAnsi="宋体"/>
                <w:b/>
                <w:color w:val="auto"/>
                <w:szCs w:val="21"/>
              </w:rPr>
              <w:t>不符合最低入档要求的不得分。</w:t>
            </w:r>
          </w:p>
        </w:tc>
      </w:tr>
      <w:tr w14:paraId="3793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vAlign w:val="center"/>
          </w:tcPr>
          <w:p w14:paraId="78654B1A">
            <w:pPr>
              <w:adjustRightInd w:val="0"/>
              <w:snapToGrid w:val="0"/>
              <w:spacing w:line="360" w:lineRule="exact"/>
              <w:jc w:val="center"/>
              <w:textAlignment w:val="baseline"/>
              <w:rPr>
                <w:rFonts w:ascii="宋体" w:hAnsi="宋体"/>
                <w:color w:val="auto"/>
                <w:szCs w:val="21"/>
              </w:rPr>
            </w:pPr>
          </w:p>
        </w:tc>
        <w:tc>
          <w:tcPr>
            <w:tcW w:w="1264" w:type="dxa"/>
            <w:vMerge w:val="continue"/>
            <w:vAlign w:val="center"/>
          </w:tcPr>
          <w:p w14:paraId="1AF58C8D">
            <w:pPr>
              <w:adjustRightInd w:val="0"/>
              <w:snapToGrid w:val="0"/>
              <w:spacing w:line="360" w:lineRule="exact"/>
              <w:ind w:left="-105" w:leftChars="-50" w:right="-105" w:rightChars="-50"/>
              <w:jc w:val="center"/>
              <w:textAlignment w:val="baseline"/>
              <w:rPr>
                <w:rFonts w:ascii="宋体" w:hAnsi="宋体"/>
                <w:b/>
                <w:bCs/>
                <w:color w:val="auto"/>
                <w:szCs w:val="21"/>
              </w:rPr>
            </w:pPr>
          </w:p>
        </w:tc>
        <w:tc>
          <w:tcPr>
            <w:tcW w:w="1801" w:type="dxa"/>
            <w:vAlign w:val="center"/>
          </w:tcPr>
          <w:p w14:paraId="1025D87D">
            <w:pPr>
              <w:adjustRightInd w:val="0"/>
              <w:spacing w:line="360" w:lineRule="exact"/>
              <w:jc w:val="center"/>
              <w:textAlignment w:val="baseline"/>
              <w:rPr>
                <w:rFonts w:ascii="宋体" w:hAnsi="宋体"/>
                <w:color w:val="auto"/>
                <w:szCs w:val="21"/>
              </w:rPr>
            </w:pPr>
            <w:r>
              <w:rPr>
                <w:rFonts w:hint="eastAsia"/>
                <w:b/>
                <w:bCs/>
                <w:color w:val="auto"/>
                <w:szCs w:val="21"/>
              </w:rPr>
              <w:t>服务承诺方案分（满分 6 分）</w:t>
            </w:r>
          </w:p>
        </w:tc>
        <w:tc>
          <w:tcPr>
            <w:tcW w:w="4960" w:type="dxa"/>
          </w:tcPr>
          <w:p w14:paraId="63CC46D2">
            <w:pPr>
              <w:spacing w:line="360" w:lineRule="exact"/>
              <w:ind w:firstLine="420" w:firstLineChars="200"/>
              <w:rPr>
                <w:rFonts w:ascii="宋体" w:hAnsi="宋体"/>
                <w:bCs/>
                <w:color w:val="auto"/>
                <w:kern w:val="0"/>
                <w:szCs w:val="21"/>
              </w:rPr>
            </w:pPr>
            <w:r>
              <w:rPr>
                <w:rFonts w:hint="eastAsia" w:ascii="宋体" w:hAnsi="宋体"/>
                <w:bCs/>
                <w:color w:val="auto"/>
                <w:kern w:val="0"/>
                <w:szCs w:val="21"/>
              </w:rPr>
              <w:t>一档（2分）：仅满足</w:t>
            </w:r>
            <w:r>
              <w:rPr>
                <w:rFonts w:hint="eastAsia" w:ascii="宋体" w:hAnsi="宋体"/>
                <w:bCs/>
                <w:color w:val="auto"/>
                <w:kern w:val="0"/>
                <w:szCs w:val="21"/>
                <w:lang w:val="en-US" w:eastAsia="zh-CN"/>
              </w:rPr>
              <w:t>招标</w:t>
            </w:r>
            <w:r>
              <w:rPr>
                <w:rFonts w:hint="eastAsia" w:ascii="宋体" w:hAnsi="宋体"/>
                <w:bCs/>
                <w:color w:val="auto"/>
                <w:kern w:val="0"/>
                <w:szCs w:val="21"/>
              </w:rPr>
              <w:t>文件要求。</w:t>
            </w:r>
          </w:p>
          <w:p w14:paraId="043B7CB0">
            <w:pPr>
              <w:spacing w:line="360" w:lineRule="exact"/>
              <w:ind w:firstLine="420" w:firstLineChars="200"/>
              <w:rPr>
                <w:rFonts w:ascii="宋体" w:hAnsi="宋体"/>
                <w:bCs/>
                <w:color w:val="auto"/>
                <w:kern w:val="0"/>
                <w:szCs w:val="21"/>
              </w:rPr>
            </w:pPr>
            <w:r>
              <w:rPr>
                <w:rFonts w:hint="eastAsia" w:ascii="宋体" w:hAnsi="宋体"/>
                <w:bCs/>
                <w:color w:val="auto"/>
                <w:kern w:val="0"/>
                <w:szCs w:val="21"/>
              </w:rPr>
              <w:t>二档（4分）：满足</w:t>
            </w:r>
            <w:r>
              <w:rPr>
                <w:rFonts w:hint="eastAsia" w:ascii="宋体" w:hAnsi="宋体"/>
                <w:bCs/>
                <w:color w:val="auto"/>
                <w:kern w:val="0"/>
                <w:szCs w:val="21"/>
                <w:lang w:val="en-US" w:eastAsia="zh-CN"/>
              </w:rPr>
              <w:t>招标</w:t>
            </w:r>
            <w:r>
              <w:rPr>
                <w:rFonts w:hint="eastAsia" w:ascii="宋体" w:hAnsi="宋体"/>
                <w:bCs/>
                <w:color w:val="auto"/>
                <w:kern w:val="0"/>
                <w:szCs w:val="21"/>
              </w:rPr>
              <w:t>文件要求，并能提供后续服务方案（含后续技术支持的具体服务内容承诺、后续技术人员配备等）。</w:t>
            </w:r>
          </w:p>
          <w:p w14:paraId="3A784BEB">
            <w:pPr>
              <w:spacing w:line="360" w:lineRule="exact"/>
              <w:ind w:firstLine="420" w:firstLineChars="200"/>
              <w:rPr>
                <w:rFonts w:ascii="宋体" w:hAnsi="宋体"/>
                <w:bCs/>
                <w:color w:val="auto"/>
                <w:kern w:val="0"/>
                <w:szCs w:val="21"/>
              </w:rPr>
            </w:pPr>
            <w:r>
              <w:rPr>
                <w:rFonts w:hint="eastAsia" w:ascii="宋体" w:hAnsi="宋体"/>
                <w:bCs/>
                <w:color w:val="auto"/>
                <w:kern w:val="0"/>
                <w:szCs w:val="21"/>
              </w:rPr>
              <w:t>三档（6分）：满足二档要求，服务承诺明确及有效且服务措施到位，切合服务实际，同时有利于项目的后期保障；建立针对本项目的服务体系，技术服务、检测质量、定期回访和安全生产等承诺措施；服务及时且优于</w:t>
            </w:r>
            <w:r>
              <w:rPr>
                <w:rFonts w:hint="eastAsia" w:ascii="宋体" w:hAnsi="宋体"/>
                <w:bCs/>
                <w:color w:val="auto"/>
                <w:kern w:val="0"/>
                <w:szCs w:val="21"/>
                <w:lang w:val="en-US" w:eastAsia="zh-CN"/>
              </w:rPr>
              <w:t>招标</w:t>
            </w:r>
            <w:r>
              <w:rPr>
                <w:rFonts w:hint="eastAsia" w:ascii="宋体" w:hAnsi="宋体"/>
                <w:bCs/>
                <w:color w:val="auto"/>
                <w:kern w:val="0"/>
                <w:szCs w:val="21"/>
              </w:rPr>
              <w:t>文件要求，并提供有优惠服务承诺。</w:t>
            </w:r>
          </w:p>
          <w:p w14:paraId="23B4CD2D">
            <w:pPr>
              <w:spacing w:line="360" w:lineRule="exact"/>
              <w:ind w:firstLine="422" w:firstLineChars="200"/>
              <w:rPr>
                <w:rFonts w:ascii="宋体" w:hAnsi="宋体"/>
                <w:b/>
                <w:color w:val="auto"/>
                <w:szCs w:val="21"/>
              </w:rPr>
            </w:pPr>
            <w:r>
              <w:rPr>
                <w:rFonts w:hint="eastAsia" w:ascii="宋体" w:hAnsi="宋体"/>
                <w:b/>
                <w:bCs/>
                <w:color w:val="auto"/>
                <w:szCs w:val="21"/>
              </w:rPr>
              <w:t>注：</w:t>
            </w:r>
            <w:r>
              <w:rPr>
                <w:rFonts w:hint="eastAsia" w:ascii="宋体" w:hAnsi="宋体"/>
                <w:b/>
                <w:color w:val="auto"/>
                <w:szCs w:val="21"/>
              </w:rPr>
              <w:t>不符合最低入档要求的不得分。</w:t>
            </w:r>
          </w:p>
          <w:p w14:paraId="3E6023A6">
            <w:pPr>
              <w:rPr>
                <w:color w:val="auto"/>
              </w:rPr>
            </w:pPr>
          </w:p>
        </w:tc>
      </w:tr>
      <w:tr w14:paraId="4213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vAlign w:val="center"/>
          </w:tcPr>
          <w:p w14:paraId="08A967EB">
            <w:pPr>
              <w:adjustRightInd w:val="0"/>
              <w:snapToGrid w:val="0"/>
              <w:spacing w:line="360" w:lineRule="exact"/>
              <w:jc w:val="center"/>
              <w:textAlignment w:val="baseline"/>
              <w:rPr>
                <w:rFonts w:ascii="宋体" w:hAnsi="宋体"/>
                <w:color w:val="auto"/>
                <w:szCs w:val="21"/>
              </w:rPr>
            </w:pPr>
          </w:p>
        </w:tc>
        <w:tc>
          <w:tcPr>
            <w:tcW w:w="1264" w:type="dxa"/>
            <w:vMerge w:val="continue"/>
            <w:vAlign w:val="center"/>
          </w:tcPr>
          <w:p w14:paraId="6ED9DD12">
            <w:pPr>
              <w:adjustRightInd w:val="0"/>
              <w:snapToGrid w:val="0"/>
              <w:spacing w:line="360" w:lineRule="exact"/>
              <w:ind w:left="-105" w:leftChars="-50" w:right="-105" w:rightChars="-50"/>
              <w:jc w:val="center"/>
              <w:textAlignment w:val="baseline"/>
              <w:rPr>
                <w:rFonts w:ascii="宋体" w:hAnsi="宋体"/>
                <w:b/>
                <w:bCs/>
                <w:color w:val="auto"/>
                <w:szCs w:val="21"/>
              </w:rPr>
            </w:pPr>
          </w:p>
        </w:tc>
        <w:tc>
          <w:tcPr>
            <w:tcW w:w="1801" w:type="dxa"/>
            <w:vAlign w:val="center"/>
          </w:tcPr>
          <w:p w14:paraId="180D2751">
            <w:pPr>
              <w:adjustRightInd w:val="0"/>
              <w:spacing w:line="360" w:lineRule="exact"/>
              <w:jc w:val="center"/>
              <w:textAlignment w:val="baseline"/>
              <w:rPr>
                <w:b/>
                <w:bCs/>
                <w:color w:val="auto"/>
                <w:szCs w:val="21"/>
                <w:highlight w:val="none"/>
              </w:rPr>
            </w:pPr>
            <w:r>
              <w:rPr>
                <w:rFonts w:hint="eastAsia" w:ascii="宋体" w:hAnsi="宋体"/>
                <w:b/>
                <w:bCs/>
                <w:color w:val="auto"/>
                <w:szCs w:val="21"/>
                <w:highlight w:val="none"/>
              </w:rPr>
              <w:t>拟投入本项目人员情况（</w:t>
            </w:r>
            <w:r>
              <w:rPr>
                <w:rFonts w:ascii="宋体" w:hAnsi="宋体"/>
                <w:b/>
                <w:bCs/>
                <w:color w:val="auto"/>
                <w:szCs w:val="21"/>
                <w:highlight w:val="none"/>
              </w:rPr>
              <w:t>满分</w:t>
            </w:r>
            <w:r>
              <w:rPr>
                <w:rFonts w:hint="default" w:ascii="宋体" w:hAnsi="宋体"/>
                <w:b/>
                <w:bCs/>
                <w:color w:val="auto"/>
                <w:szCs w:val="21"/>
                <w:highlight w:val="none"/>
                <w:lang w:val="en-US"/>
              </w:rPr>
              <w:t>17</w:t>
            </w:r>
            <w:r>
              <w:rPr>
                <w:rFonts w:ascii="宋体" w:hAnsi="宋体"/>
                <w:b/>
                <w:bCs/>
                <w:color w:val="auto"/>
                <w:szCs w:val="21"/>
                <w:highlight w:val="none"/>
              </w:rPr>
              <w:t>分</w:t>
            </w:r>
            <w:r>
              <w:rPr>
                <w:rFonts w:hint="eastAsia" w:ascii="宋体" w:hAnsi="宋体"/>
                <w:b/>
                <w:bCs/>
                <w:color w:val="auto"/>
                <w:szCs w:val="21"/>
                <w:highlight w:val="none"/>
              </w:rPr>
              <w:t>）</w:t>
            </w:r>
          </w:p>
        </w:tc>
        <w:tc>
          <w:tcPr>
            <w:tcW w:w="4960" w:type="dxa"/>
          </w:tcPr>
          <w:p w14:paraId="474E4BAD">
            <w:pPr>
              <w:numPr>
                <w:ilvl w:val="0"/>
                <w:numId w:val="3"/>
              </w:numPr>
              <w:spacing w:line="3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项目负责人（</w:t>
            </w:r>
            <w:r>
              <w:rPr>
                <w:rFonts w:hint="default" w:ascii="宋体" w:hAnsi="宋体"/>
                <w:bCs/>
                <w:color w:val="auto"/>
                <w:kern w:val="0"/>
                <w:szCs w:val="21"/>
                <w:highlight w:val="none"/>
                <w:lang w:val="en-US"/>
              </w:rPr>
              <w:t>5</w:t>
            </w:r>
            <w:r>
              <w:rPr>
                <w:rFonts w:hint="eastAsia" w:ascii="宋体" w:hAnsi="宋体"/>
                <w:bCs/>
                <w:color w:val="auto"/>
                <w:kern w:val="0"/>
                <w:szCs w:val="21"/>
                <w:highlight w:val="none"/>
              </w:rPr>
              <w:t>分）：</w:t>
            </w:r>
          </w:p>
          <w:p w14:paraId="7D1F8C4B">
            <w:pPr>
              <w:spacing w:line="3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①每具有1个公路技术状况检测评定项目业绩的得1分，最多得</w:t>
            </w:r>
            <w:r>
              <w:rPr>
                <w:rFonts w:hint="eastAsia" w:ascii="宋体" w:hAnsi="宋体"/>
                <w:bCs/>
                <w:color w:val="auto"/>
                <w:kern w:val="0"/>
                <w:szCs w:val="21"/>
                <w:highlight w:val="none"/>
                <w:lang w:val="en-US" w:eastAsia="zh-CN"/>
              </w:rPr>
              <w:t>4</w:t>
            </w:r>
            <w:r>
              <w:rPr>
                <w:rFonts w:hint="eastAsia" w:ascii="宋体" w:hAnsi="宋体"/>
                <w:bCs/>
                <w:color w:val="auto"/>
                <w:kern w:val="0"/>
                <w:szCs w:val="21"/>
                <w:highlight w:val="none"/>
              </w:rPr>
              <w:t>分。</w:t>
            </w:r>
          </w:p>
          <w:p w14:paraId="5DDBD93B">
            <w:pPr>
              <w:spacing w:line="360" w:lineRule="exact"/>
              <w:ind w:firstLine="420" w:firstLineChars="200"/>
              <w:rPr>
                <w:color w:val="auto"/>
                <w:highlight w:val="none"/>
              </w:rPr>
            </w:pPr>
            <w:r>
              <w:rPr>
                <w:rFonts w:hint="eastAsia" w:ascii="宋体" w:hAnsi="宋体"/>
                <w:bCs/>
                <w:color w:val="auto"/>
                <w:kern w:val="0"/>
                <w:szCs w:val="21"/>
                <w:highlight w:val="none"/>
              </w:rPr>
              <w:t>②具有</w:t>
            </w:r>
            <w:r>
              <w:rPr>
                <w:rFonts w:hint="eastAsia" w:ascii="宋体" w:hAnsi="宋体"/>
                <w:b/>
                <w:bCs w:val="0"/>
                <w:color w:val="auto"/>
                <w:kern w:val="0"/>
                <w:szCs w:val="21"/>
                <w:highlight w:val="none"/>
                <w:lang w:val="en-US" w:eastAsia="zh-CN"/>
              </w:rPr>
              <w:t>公路</w:t>
            </w:r>
            <w:r>
              <w:rPr>
                <w:rFonts w:hint="eastAsia" w:ascii="宋体" w:hAnsi="宋体"/>
                <w:b/>
                <w:bCs w:val="0"/>
                <w:color w:val="auto"/>
                <w:kern w:val="0"/>
                <w:szCs w:val="21"/>
                <w:highlight w:val="none"/>
                <w:lang w:eastAsia="zh-CN"/>
              </w:rPr>
              <w:t>工程</w:t>
            </w:r>
            <w:r>
              <w:rPr>
                <w:rFonts w:hint="eastAsia" w:ascii="宋体" w:hAnsi="宋体"/>
                <w:b/>
                <w:bCs w:val="0"/>
                <w:color w:val="auto"/>
                <w:kern w:val="0"/>
                <w:szCs w:val="21"/>
                <w:highlight w:val="none"/>
                <w:lang w:val="en-US" w:eastAsia="zh-CN"/>
              </w:rPr>
              <w:t>相关专业</w:t>
            </w:r>
            <w:r>
              <w:rPr>
                <w:rFonts w:hint="eastAsia" w:ascii="宋体" w:hAnsi="宋体"/>
                <w:bCs/>
                <w:color w:val="auto"/>
                <w:kern w:val="0"/>
                <w:szCs w:val="21"/>
                <w:highlight w:val="none"/>
              </w:rPr>
              <w:t>高级工程师职称证书的得1分；最多得</w:t>
            </w:r>
            <w:r>
              <w:rPr>
                <w:rFonts w:hint="eastAsia" w:ascii="宋体" w:hAnsi="宋体"/>
                <w:bCs/>
                <w:color w:val="auto"/>
                <w:kern w:val="0"/>
                <w:szCs w:val="21"/>
                <w:highlight w:val="none"/>
                <w:lang w:val="en-US" w:eastAsia="zh-CN"/>
              </w:rPr>
              <w:t>1</w:t>
            </w:r>
            <w:r>
              <w:rPr>
                <w:rFonts w:hint="eastAsia" w:ascii="宋体" w:hAnsi="宋体"/>
                <w:bCs/>
                <w:color w:val="auto"/>
                <w:kern w:val="0"/>
                <w:szCs w:val="21"/>
                <w:highlight w:val="none"/>
              </w:rPr>
              <w:t>分。</w:t>
            </w:r>
          </w:p>
          <w:p w14:paraId="489362A9">
            <w:pPr>
              <w:numPr>
                <w:ilvl w:val="0"/>
                <w:numId w:val="3"/>
              </w:numPr>
              <w:spacing w:line="3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项目技术负责人（</w:t>
            </w:r>
            <w:r>
              <w:rPr>
                <w:rFonts w:hint="default" w:ascii="宋体" w:hAnsi="宋体"/>
                <w:bCs/>
                <w:color w:val="auto"/>
                <w:kern w:val="0"/>
                <w:szCs w:val="21"/>
                <w:highlight w:val="none"/>
                <w:lang w:val="en-US"/>
              </w:rPr>
              <w:t>5</w:t>
            </w:r>
            <w:r>
              <w:rPr>
                <w:rFonts w:hint="eastAsia" w:ascii="宋体" w:hAnsi="宋体"/>
                <w:bCs/>
                <w:color w:val="auto"/>
                <w:kern w:val="0"/>
                <w:szCs w:val="21"/>
                <w:highlight w:val="none"/>
              </w:rPr>
              <w:t>分）：</w:t>
            </w:r>
          </w:p>
          <w:p w14:paraId="17BB37B6">
            <w:pPr>
              <w:spacing w:line="3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①每具有1个公路技术状况检测评定业绩的得1分，最多得</w:t>
            </w:r>
            <w:r>
              <w:rPr>
                <w:rFonts w:hint="eastAsia" w:ascii="宋体" w:hAnsi="宋体"/>
                <w:bCs/>
                <w:color w:val="auto"/>
                <w:kern w:val="0"/>
                <w:szCs w:val="21"/>
                <w:highlight w:val="none"/>
                <w:lang w:val="en-US" w:eastAsia="zh-CN"/>
              </w:rPr>
              <w:t>4</w:t>
            </w:r>
            <w:r>
              <w:rPr>
                <w:rFonts w:hint="eastAsia" w:ascii="宋体" w:hAnsi="宋体"/>
                <w:bCs/>
                <w:color w:val="auto"/>
                <w:kern w:val="0"/>
                <w:szCs w:val="21"/>
                <w:highlight w:val="none"/>
              </w:rPr>
              <w:t>分。</w:t>
            </w:r>
          </w:p>
          <w:p w14:paraId="105E6190">
            <w:pPr>
              <w:spacing w:line="360" w:lineRule="exact"/>
              <w:ind w:firstLine="420" w:firstLineChars="200"/>
              <w:rPr>
                <w:color w:val="auto"/>
                <w:highlight w:val="none"/>
              </w:rPr>
            </w:pPr>
            <w:r>
              <w:rPr>
                <w:rFonts w:hint="eastAsia" w:ascii="宋体" w:hAnsi="宋体"/>
                <w:bCs/>
                <w:color w:val="auto"/>
                <w:kern w:val="0"/>
                <w:szCs w:val="21"/>
                <w:highlight w:val="none"/>
              </w:rPr>
              <w:t>②具有</w:t>
            </w:r>
            <w:r>
              <w:rPr>
                <w:rFonts w:hint="eastAsia" w:ascii="宋体" w:hAnsi="宋体"/>
                <w:b/>
                <w:bCs w:val="0"/>
                <w:color w:val="auto"/>
                <w:kern w:val="0"/>
                <w:szCs w:val="21"/>
                <w:highlight w:val="none"/>
                <w:lang w:val="en-US" w:eastAsia="zh-CN"/>
              </w:rPr>
              <w:t>公路</w:t>
            </w:r>
            <w:r>
              <w:rPr>
                <w:rFonts w:hint="eastAsia" w:ascii="宋体" w:hAnsi="宋体"/>
                <w:b/>
                <w:bCs w:val="0"/>
                <w:color w:val="auto"/>
                <w:kern w:val="0"/>
                <w:szCs w:val="21"/>
                <w:highlight w:val="none"/>
                <w:lang w:eastAsia="zh-CN"/>
              </w:rPr>
              <w:t>工程</w:t>
            </w:r>
            <w:r>
              <w:rPr>
                <w:rFonts w:hint="eastAsia" w:ascii="宋体" w:hAnsi="宋体"/>
                <w:b/>
                <w:bCs w:val="0"/>
                <w:color w:val="auto"/>
                <w:kern w:val="0"/>
                <w:szCs w:val="21"/>
                <w:highlight w:val="none"/>
                <w:lang w:val="en-US" w:eastAsia="zh-CN"/>
              </w:rPr>
              <w:t>相关专业</w:t>
            </w:r>
            <w:r>
              <w:rPr>
                <w:rFonts w:hint="eastAsia" w:ascii="宋体" w:hAnsi="宋体"/>
                <w:bCs/>
                <w:color w:val="auto"/>
                <w:kern w:val="0"/>
                <w:szCs w:val="21"/>
                <w:highlight w:val="none"/>
              </w:rPr>
              <w:t>高级工程师职称证书的得1分；，最多得</w:t>
            </w:r>
            <w:r>
              <w:rPr>
                <w:rFonts w:hint="eastAsia" w:ascii="宋体" w:hAnsi="宋体"/>
                <w:bCs/>
                <w:color w:val="auto"/>
                <w:kern w:val="0"/>
                <w:szCs w:val="21"/>
                <w:highlight w:val="none"/>
                <w:lang w:val="en-US" w:eastAsia="zh-CN"/>
              </w:rPr>
              <w:t>1</w:t>
            </w:r>
            <w:r>
              <w:rPr>
                <w:rFonts w:hint="eastAsia" w:ascii="宋体" w:hAnsi="宋体"/>
                <w:bCs/>
                <w:color w:val="auto"/>
                <w:kern w:val="0"/>
                <w:szCs w:val="21"/>
                <w:highlight w:val="none"/>
              </w:rPr>
              <w:t>分。</w:t>
            </w:r>
          </w:p>
          <w:p w14:paraId="2B5AB99C">
            <w:pPr>
              <w:numPr>
                <w:ilvl w:val="0"/>
                <w:numId w:val="3"/>
              </w:numPr>
              <w:spacing w:line="3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检测工程师（3.5分）：</w:t>
            </w:r>
          </w:p>
          <w:p w14:paraId="2B4DFD11">
            <w:pPr>
              <w:spacing w:line="360" w:lineRule="exact"/>
              <w:ind w:firstLine="420" w:firstLineChars="200"/>
              <w:rPr>
                <w:rFonts w:ascii="宋体" w:hAnsi="宋体" w:cs="宋体"/>
                <w:color w:val="auto"/>
                <w:szCs w:val="21"/>
                <w:highlight w:val="none"/>
              </w:rPr>
            </w:pPr>
            <w:r>
              <w:rPr>
                <w:rFonts w:hint="eastAsia" w:ascii="宋体" w:hAnsi="宋体"/>
                <w:bCs/>
                <w:color w:val="auto"/>
                <w:kern w:val="0"/>
                <w:szCs w:val="21"/>
                <w:highlight w:val="none"/>
              </w:rPr>
              <w:t>①拟投入的5名持证检测工程师，具有工程师或以上职称的，每人得0.2分，最多得1分。拟投入的检测工程师中有担任过同类工程检测项目检测工程师的，每人得0.5分，最多得1分。此项满分2分</w:t>
            </w:r>
            <w:r>
              <w:rPr>
                <w:rFonts w:hint="eastAsia" w:ascii="宋体" w:hAnsi="宋体" w:cs="宋体"/>
                <w:color w:val="auto"/>
                <w:szCs w:val="21"/>
                <w:highlight w:val="none"/>
              </w:rPr>
              <w:t>；</w:t>
            </w:r>
          </w:p>
          <w:p w14:paraId="07615061">
            <w:pPr>
              <w:spacing w:line="360" w:lineRule="exact"/>
              <w:ind w:firstLine="420" w:firstLineChars="200"/>
              <w:rPr>
                <w:rFonts w:ascii="宋体" w:hAnsi="宋体" w:cs="宋体"/>
                <w:color w:val="auto"/>
                <w:szCs w:val="21"/>
                <w:highlight w:val="none"/>
              </w:rPr>
            </w:pPr>
            <w:r>
              <w:rPr>
                <w:rFonts w:hint="eastAsia" w:ascii="宋体" w:hAnsi="宋体"/>
                <w:bCs/>
                <w:color w:val="auto"/>
                <w:kern w:val="0"/>
                <w:szCs w:val="21"/>
                <w:highlight w:val="none"/>
              </w:rPr>
              <w:t>②</w:t>
            </w:r>
            <w:r>
              <w:rPr>
                <w:rFonts w:hint="eastAsia" w:ascii="宋体" w:hAnsi="宋体" w:cs="宋体"/>
                <w:color w:val="auto"/>
                <w:szCs w:val="21"/>
                <w:highlight w:val="none"/>
              </w:rPr>
              <w:t>每多增加1名具有有效的持有交通运输部门颁发的试验检测工程师证书(公路</w:t>
            </w:r>
            <w:r>
              <w:rPr>
                <w:rFonts w:hint="eastAsia" w:ascii="宋体" w:hAnsi="宋体" w:cs="宋体"/>
                <w:color w:val="auto"/>
                <w:szCs w:val="21"/>
                <w:highlight w:val="none"/>
                <w:lang w:eastAsia="zh-CN"/>
              </w:rPr>
              <w:t>或道路</w:t>
            </w:r>
            <w:r>
              <w:rPr>
                <w:rFonts w:hint="eastAsia" w:ascii="宋体" w:hAnsi="宋体" w:cs="宋体"/>
                <w:color w:val="auto"/>
                <w:szCs w:val="21"/>
                <w:highlight w:val="none"/>
              </w:rPr>
              <w:t>专业)或交通运输部职业资格中心颁发的公路水运工程试验检测师证书（道路工程）资格证书得0.3分，最多可加1.5分。</w:t>
            </w:r>
          </w:p>
          <w:p w14:paraId="397EE7DB">
            <w:pPr>
              <w:numPr>
                <w:ilvl w:val="0"/>
                <w:numId w:val="3"/>
              </w:num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检测员（3.5分）：</w:t>
            </w:r>
          </w:p>
          <w:p w14:paraId="39E445FC">
            <w:pPr>
              <w:spacing w:line="360" w:lineRule="exact"/>
              <w:ind w:firstLine="420" w:firstLineChars="200"/>
              <w:rPr>
                <w:rFonts w:ascii="宋体" w:hAnsi="宋体" w:cs="宋体"/>
                <w:color w:val="auto"/>
                <w:szCs w:val="21"/>
                <w:highlight w:val="none"/>
              </w:rPr>
            </w:pPr>
            <w:r>
              <w:rPr>
                <w:rFonts w:hint="eastAsia" w:ascii="宋体" w:hAnsi="宋体"/>
                <w:bCs/>
                <w:color w:val="auto"/>
                <w:kern w:val="0"/>
                <w:szCs w:val="21"/>
                <w:highlight w:val="none"/>
              </w:rPr>
              <w:t>①拟投入5名持证</w:t>
            </w:r>
            <w:r>
              <w:rPr>
                <w:rFonts w:hint="eastAsia" w:ascii="宋体" w:hAnsi="宋体" w:cs="宋体"/>
                <w:color w:val="auto"/>
                <w:szCs w:val="21"/>
                <w:highlight w:val="none"/>
              </w:rPr>
              <w:t>检测员，具有助理工程师或以上职称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每人得0.2分，最多得1分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拟投入的检测员中有担任过</w:t>
            </w:r>
            <w:r>
              <w:rPr>
                <w:rFonts w:hint="eastAsia" w:ascii="宋体" w:hAnsi="宋体" w:cs="宋体"/>
                <w:color w:val="auto"/>
                <w:szCs w:val="21"/>
                <w:highlight w:val="none"/>
              </w:rPr>
              <w:t>同类工程检测</w:t>
            </w:r>
            <w:r>
              <w:rPr>
                <w:rFonts w:hint="eastAsia" w:ascii="宋体" w:hAnsi="宋体" w:cs="宋体"/>
                <w:color w:val="auto"/>
                <w:szCs w:val="21"/>
                <w:highlight w:val="none"/>
                <w:lang w:val="en-US" w:eastAsia="zh-CN"/>
              </w:rPr>
              <w:t>项目检测员的，每人得0.5分，</w:t>
            </w:r>
            <w:r>
              <w:rPr>
                <w:rFonts w:hint="eastAsia" w:ascii="宋体" w:hAnsi="宋体"/>
                <w:bCs/>
                <w:color w:val="auto"/>
                <w:kern w:val="0"/>
                <w:szCs w:val="21"/>
                <w:highlight w:val="none"/>
              </w:rPr>
              <w:t>最多得1分。此项满分2分</w:t>
            </w:r>
            <w:r>
              <w:rPr>
                <w:rFonts w:hint="eastAsia" w:ascii="宋体" w:hAnsi="宋体" w:cs="宋体"/>
                <w:color w:val="auto"/>
                <w:szCs w:val="21"/>
                <w:highlight w:val="none"/>
              </w:rPr>
              <w:t>；</w:t>
            </w:r>
          </w:p>
          <w:p w14:paraId="204D3C1A">
            <w:pPr>
              <w:spacing w:line="360" w:lineRule="exact"/>
              <w:ind w:firstLine="420" w:firstLineChars="200"/>
              <w:rPr>
                <w:rFonts w:ascii="宋体" w:hAnsi="宋体" w:cs="宋体"/>
                <w:color w:val="auto"/>
                <w:szCs w:val="21"/>
                <w:highlight w:val="none"/>
              </w:rPr>
            </w:pPr>
            <w:r>
              <w:rPr>
                <w:rFonts w:hint="eastAsia" w:ascii="宋体" w:hAnsi="宋体"/>
                <w:bCs/>
                <w:color w:val="auto"/>
                <w:kern w:val="0"/>
                <w:szCs w:val="21"/>
                <w:highlight w:val="none"/>
              </w:rPr>
              <w:t>②</w:t>
            </w:r>
            <w:r>
              <w:rPr>
                <w:rFonts w:hint="eastAsia" w:ascii="宋体" w:hAnsi="宋体" w:cs="宋体"/>
                <w:color w:val="auto"/>
                <w:szCs w:val="21"/>
                <w:highlight w:val="none"/>
              </w:rPr>
              <w:t>每多增加1名具有有效的持有交通运输部门颁发的试验检测</w:t>
            </w:r>
            <w:r>
              <w:rPr>
                <w:rFonts w:hint="eastAsia" w:ascii="宋体" w:hAnsi="宋体" w:cs="宋体"/>
                <w:color w:val="auto"/>
                <w:szCs w:val="21"/>
                <w:highlight w:val="none"/>
                <w:lang w:eastAsia="zh-CN"/>
              </w:rPr>
              <w:t>员</w:t>
            </w:r>
            <w:r>
              <w:rPr>
                <w:rFonts w:hint="eastAsia" w:ascii="宋体" w:hAnsi="宋体" w:cs="宋体"/>
                <w:color w:val="auto"/>
                <w:szCs w:val="21"/>
                <w:highlight w:val="none"/>
              </w:rPr>
              <w:t>证书(公路</w:t>
            </w:r>
            <w:r>
              <w:rPr>
                <w:rFonts w:hint="eastAsia" w:ascii="宋体" w:hAnsi="宋体" w:cs="宋体"/>
                <w:color w:val="auto"/>
                <w:szCs w:val="21"/>
                <w:highlight w:val="none"/>
                <w:lang w:eastAsia="zh-CN"/>
              </w:rPr>
              <w:t>或道路</w:t>
            </w:r>
            <w:r>
              <w:rPr>
                <w:rFonts w:hint="eastAsia" w:ascii="宋体" w:hAnsi="宋体" w:cs="宋体"/>
                <w:color w:val="auto"/>
                <w:szCs w:val="21"/>
                <w:highlight w:val="none"/>
              </w:rPr>
              <w:t>专业)</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试验检测工程师证书(公路</w:t>
            </w:r>
            <w:r>
              <w:rPr>
                <w:rFonts w:hint="eastAsia" w:ascii="宋体" w:hAnsi="宋体" w:cs="宋体"/>
                <w:color w:val="auto"/>
                <w:szCs w:val="21"/>
                <w:highlight w:val="none"/>
                <w:lang w:eastAsia="zh-CN"/>
              </w:rPr>
              <w:t>或道路</w:t>
            </w:r>
            <w:r>
              <w:rPr>
                <w:rFonts w:hint="eastAsia" w:ascii="宋体" w:hAnsi="宋体" w:cs="宋体"/>
                <w:color w:val="auto"/>
                <w:szCs w:val="21"/>
                <w:highlight w:val="none"/>
              </w:rPr>
              <w:t>专业)或交通运输部职业资格中心颁发的公路水运工程助理试验检测师（道路工程）资格证书</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公路水运工程试验检测师证书（道路工程）得0.3分，最多加1.5分。</w:t>
            </w:r>
          </w:p>
          <w:p w14:paraId="6E96A2A5">
            <w:pPr>
              <w:spacing w:line="360" w:lineRule="exac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21C731A5">
            <w:pPr>
              <w:spacing w:line="360" w:lineRule="exact"/>
              <w:rPr>
                <w:rFonts w:ascii="宋体" w:hAnsi="宋体" w:cs="宋体"/>
                <w:b/>
                <w:color w:val="auto"/>
                <w:szCs w:val="21"/>
                <w:highlight w:val="none"/>
              </w:rPr>
            </w:pPr>
            <w:r>
              <w:rPr>
                <w:rFonts w:hint="eastAsia" w:ascii="宋体" w:hAnsi="宋体" w:cs="宋体"/>
                <w:b/>
                <w:color w:val="auto"/>
                <w:szCs w:val="21"/>
                <w:highlight w:val="none"/>
              </w:rPr>
              <w:t>1.所有从事现场试验检测人员要求身体状况必须能满足工地现场工作需要。</w:t>
            </w:r>
          </w:p>
          <w:p w14:paraId="4DD47753">
            <w:pPr>
              <w:spacing w:line="360" w:lineRule="exact"/>
              <w:rPr>
                <w:rFonts w:ascii="宋体" w:hAnsi="宋体" w:cs="宋体"/>
                <w:b/>
                <w:color w:val="auto"/>
                <w:szCs w:val="21"/>
                <w:highlight w:val="none"/>
              </w:rPr>
            </w:pPr>
            <w:r>
              <w:rPr>
                <w:rFonts w:hint="eastAsia" w:ascii="宋体" w:hAnsi="宋体" w:cs="宋体"/>
                <w:b/>
                <w:color w:val="auto"/>
                <w:szCs w:val="21"/>
                <w:highlight w:val="none"/>
              </w:rPr>
              <w:t>2.检测经验</w:t>
            </w:r>
            <w:r>
              <w:rPr>
                <w:rFonts w:hint="eastAsia" w:ascii="宋体" w:hAnsi="宋体" w:cs="宋体"/>
                <w:b/>
                <w:color w:val="auto"/>
                <w:szCs w:val="21"/>
                <w:highlight w:val="none"/>
                <w:lang w:val="en-US" w:eastAsia="zh-CN"/>
              </w:rPr>
              <w:t>年限</w:t>
            </w:r>
            <w:r>
              <w:rPr>
                <w:rFonts w:hint="eastAsia" w:ascii="宋体" w:hAnsi="宋体" w:cs="宋体"/>
                <w:b/>
                <w:color w:val="auto"/>
                <w:szCs w:val="21"/>
                <w:highlight w:val="none"/>
              </w:rPr>
              <w:t>以公路水运工程质量试验检测管理信息系统（</w:t>
            </w:r>
            <w:r>
              <w:rPr>
                <w:rFonts w:ascii="宋体" w:hAnsi="宋体" w:cs="宋体"/>
                <w:b/>
                <w:color w:val="auto"/>
                <w:szCs w:val="21"/>
                <w:highlight w:val="none"/>
              </w:rPr>
              <w:t>https://www.ttiis.cn/</w:t>
            </w:r>
            <w:r>
              <w:rPr>
                <w:rFonts w:hint="eastAsia" w:ascii="宋体" w:hAnsi="宋体" w:cs="宋体"/>
                <w:b/>
                <w:color w:val="auto"/>
                <w:szCs w:val="21"/>
                <w:highlight w:val="none"/>
              </w:rPr>
              <w:t>）的查询结果为准，</w:t>
            </w:r>
            <w:r>
              <w:rPr>
                <w:rFonts w:hint="eastAsia" w:ascii="宋体" w:hAnsi="宋体" w:cs="宋体"/>
                <w:b/>
                <w:color w:val="auto"/>
                <w:szCs w:val="21"/>
                <w:highlight w:val="none"/>
                <w:lang w:val="en-US" w:eastAsia="zh-CN"/>
              </w:rPr>
              <w:t>投标人</w:t>
            </w:r>
            <w:r>
              <w:rPr>
                <w:rFonts w:hint="eastAsia" w:ascii="宋体" w:hAnsi="宋体" w:cs="宋体"/>
                <w:b/>
                <w:color w:val="auto"/>
                <w:szCs w:val="21"/>
                <w:highlight w:val="none"/>
              </w:rPr>
              <w:t>须于投标文件中提供体现网址的网站查询结果页面截图。</w:t>
            </w:r>
          </w:p>
          <w:p w14:paraId="4F5F6E79">
            <w:pPr>
              <w:spacing w:line="36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.同类工程检测指公路（国、省、县、乡、村道）路面检测或评定项目（须同时包含路面破损PCI、路面行驶质量RQI两项指标）。</w:t>
            </w:r>
          </w:p>
          <w:p w14:paraId="6D0FCAE8">
            <w:pPr>
              <w:spacing w:line="360" w:lineRule="exact"/>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4.项目负责人和技术负责人的业绩证明材料须提供有效的中标通知书或合同扫描件或业主单位出具的能清晰体现对应的名字证明材料，并加盖供应商电子公章，否则不得分。</w:t>
            </w:r>
          </w:p>
          <w:p w14:paraId="228321E8">
            <w:pPr>
              <w:spacing w:line="360" w:lineRule="exact"/>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5.公路工程相关专业指：路桥、公路工程、桥梁工程、交通土建、交通工程、道路工程、土木工程、隧道工程、市政桥梁工程等专业。</w:t>
            </w:r>
          </w:p>
          <w:p w14:paraId="69F62B97">
            <w:pPr>
              <w:spacing w:line="360" w:lineRule="exact"/>
              <w:rPr>
                <w:rFonts w:ascii="宋体" w:hAnsi="宋体"/>
                <w:bCs/>
                <w:color w:val="auto"/>
                <w:szCs w:val="21"/>
                <w:highlight w:val="none"/>
              </w:rPr>
            </w:pP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以上人员持有的试验检测资格证书须在供应商单位注册，投标文件中必须提供符合上述持证要求的相关证件：身份证扫描件、职称证或公路工程试验检测工程师证或公路工程试验检测员证扫描件、投标供应商近3个月（</w:t>
            </w:r>
            <w:r>
              <w:rPr>
                <w:rFonts w:ascii="宋体" w:hAnsi="宋体" w:cs="宋体"/>
                <w:b/>
                <w:color w:val="auto"/>
                <w:szCs w:val="21"/>
                <w:highlight w:val="none"/>
              </w:rPr>
              <w:t>2025年</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月至</w:t>
            </w:r>
            <w:r>
              <w:rPr>
                <w:rFonts w:ascii="宋体" w:hAnsi="宋体" w:cs="宋体"/>
                <w:b/>
                <w:color w:val="auto"/>
                <w:szCs w:val="21"/>
                <w:highlight w:val="none"/>
              </w:rPr>
              <w:t>2025年</w:t>
            </w:r>
            <w:r>
              <w:rPr>
                <w:rFonts w:hint="eastAsia" w:ascii="宋体" w:hAnsi="宋体" w:cs="宋体"/>
                <w:b/>
                <w:color w:val="auto"/>
                <w:szCs w:val="21"/>
                <w:highlight w:val="none"/>
                <w:lang w:val="en-US" w:eastAsia="zh-CN"/>
              </w:rPr>
              <w:t>6</w:t>
            </w:r>
            <w:r>
              <w:rPr>
                <w:rFonts w:ascii="宋体" w:hAnsi="宋体" w:cs="宋体"/>
                <w:b/>
                <w:color w:val="auto"/>
                <w:szCs w:val="21"/>
                <w:highlight w:val="none"/>
              </w:rPr>
              <w:t>月）内至少一个月为其缴纳的社保</w:t>
            </w:r>
            <w:r>
              <w:rPr>
                <w:rFonts w:hint="eastAsia" w:ascii="宋体" w:hAnsi="宋体" w:cs="宋体"/>
                <w:b/>
                <w:color w:val="auto"/>
                <w:szCs w:val="21"/>
                <w:highlight w:val="none"/>
              </w:rPr>
              <w:t>（至少缴纳养老保险）相关证明扫描件</w:t>
            </w:r>
            <w:r>
              <w:rPr>
                <w:rFonts w:hint="eastAsia" w:ascii="宋体" w:hAnsi="宋体"/>
                <w:b/>
                <w:bCs/>
                <w:color w:val="auto"/>
                <w:kern w:val="0"/>
                <w:szCs w:val="21"/>
                <w:highlight w:val="none"/>
              </w:rPr>
              <w:t>。</w:t>
            </w:r>
          </w:p>
        </w:tc>
      </w:tr>
      <w:tr w14:paraId="7C19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5" w:hRule="atLeast"/>
          <w:jc w:val="center"/>
        </w:trPr>
        <w:tc>
          <w:tcPr>
            <w:tcW w:w="503" w:type="dxa"/>
            <w:vMerge w:val="continue"/>
            <w:vAlign w:val="center"/>
          </w:tcPr>
          <w:p w14:paraId="497C72D7">
            <w:pPr>
              <w:adjustRightInd w:val="0"/>
              <w:snapToGrid w:val="0"/>
              <w:spacing w:line="360" w:lineRule="exact"/>
              <w:jc w:val="center"/>
              <w:textAlignment w:val="baseline"/>
              <w:rPr>
                <w:rFonts w:ascii="宋体" w:hAnsi="宋体"/>
                <w:color w:val="auto"/>
                <w:szCs w:val="21"/>
              </w:rPr>
            </w:pPr>
          </w:p>
        </w:tc>
        <w:tc>
          <w:tcPr>
            <w:tcW w:w="1264" w:type="dxa"/>
            <w:vMerge w:val="continue"/>
            <w:vAlign w:val="center"/>
          </w:tcPr>
          <w:p w14:paraId="0DEA05DA">
            <w:pPr>
              <w:adjustRightInd w:val="0"/>
              <w:snapToGrid w:val="0"/>
              <w:spacing w:line="360" w:lineRule="exact"/>
              <w:ind w:left="-105" w:leftChars="-50" w:right="-105" w:rightChars="-50"/>
              <w:jc w:val="center"/>
              <w:textAlignment w:val="baseline"/>
              <w:rPr>
                <w:rFonts w:ascii="宋体" w:hAnsi="宋体"/>
                <w:b/>
                <w:bCs/>
                <w:color w:val="auto"/>
                <w:szCs w:val="21"/>
              </w:rPr>
            </w:pPr>
          </w:p>
        </w:tc>
        <w:tc>
          <w:tcPr>
            <w:tcW w:w="1801" w:type="dxa"/>
            <w:vAlign w:val="center"/>
          </w:tcPr>
          <w:p w14:paraId="32C6C606">
            <w:pPr>
              <w:spacing w:line="360" w:lineRule="exact"/>
              <w:jc w:val="center"/>
              <w:rPr>
                <w:rFonts w:ascii="宋体" w:hAnsi="宋体"/>
                <w:b/>
                <w:bCs/>
                <w:color w:val="auto"/>
                <w:szCs w:val="21"/>
                <w:highlight w:val="none"/>
              </w:rPr>
            </w:pPr>
            <w:r>
              <w:rPr>
                <w:rFonts w:hint="eastAsia" w:ascii="宋体" w:hAnsi="宋体"/>
                <w:b/>
                <w:bCs/>
                <w:color w:val="auto"/>
                <w:szCs w:val="21"/>
                <w:highlight w:val="none"/>
              </w:rPr>
              <w:t>拟投入设备（</w:t>
            </w:r>
            <w:r>
              <w:rPr>
                <w:rFonts w:ascii="宋体" w:hAnsi="宋体"/>
                <w:b/>
                <w:bCs/>
                <w:color w:val="auto"/>
                <w:szCs w:val="21"/>
                <w:highlight w:val="none"/>
              </w:rPr>
              <w:t>满分</w:t>
            </w:r>
            <w:r>
              <w:rPr>
                <w:rFonts w:hint="eastAsia" w:ascii="宋体" w:hAnsi="宋体"/>
                <w:b/>
                <w:bCs/>
                <w:color w:val="auto"/>
                <w:szCs w:val="21"/>
                <w:highlight w:val="none"/>
              </w:rPr>
              <w:t>1</w:t>
            </w:r>
            <w:r>
              <w:rPr>
                <w:rFonts w:hint="default" w:ascii="宋体" w:hAnsi="宋体"/>
                <w:b/>
                <w:bCs/>
                <w:color w:val="auto"/>
                <w:szCs w:val="21"/>
                <w:highlight w:val="none"/>
                <w:lang w:val="en-US"/>
              </w:rPr>
              <w:t>3</w:t>
            </w:r>
            <w:r>
              <w:rPr>
                <w:rFonts w:ascii="宋体" w:hAnsi="宋体"/>
                <w:b/>
                <w:bCs/>
                <w:color w:val="auto"/>
                <w:szCs w:val="21"/>
                <w:highlight w:val="none"/>
              </w:rPr>
              <w:t>分</w:t>
            </w:r>
            <w:r>
              <w:rPr>
                <w:rFonts w:hint="eastAsia" w:ascii="宋体" w:hAnsi="宋体"/>
                <w:b/>
                <w:bCs/>
                <w:color w:val="auto"/>
                <w:szCs w:val="21"/>
                <w:highlight w:val="none"/>
              </w:rPr>
              <w:t>）</w:t>
            </w:r>
          </w:p>
        </w:tc>
        <w:tc>
          <w:tcPr>
            <w:tcW w:w="4960" w:type="dxa"/>
          </w:tcPr>
          <w:p w14:paraId="3C96968C">
            <w:pPr>
              <w:numPr>
                <w:ilvl w:val="-1"/>
                <w:numId w:val="0"/>
              </w:numPr>
              <w:spacing w:line="3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lang w:val="en-US" w:eastAsia="zh-CN"/>
              </w:rPr>
              <w:t>（1）投标人</w:t>
            </w:r>
            <w:r>
              <w:rPr>
                <w:rFonts w:hint="eastAsia" w:ascii="宋体" w:hAnsi="宋体"/>
                <w:bCs/>
                <w:color w:val="auto"/>
                <w:kern w:val="0"/>
                <w:szCs w:val="21"/>
                <w:highlight w:val="none"/>
              </w:rPr>
              <w:t>提供</w:t>
            </w:r>
            <w:r>
              <w:rPr>
                <w:rFonts w:hint="eastAsia" w:ascii="宋体" w:hAnsi="宋体"/>
                <w:bCs/>
                <w:color w:val="auto"/>
                <w:kern w:val="0"/>
                <w:szCs w:val="21"/>
                <w:highlight w:val="none"/>
                <w:lang w:val="en-US" w:eastAsia="zh-CN"/>
              </w:rPr>
              <w:t>的检测设备满足最低要求且为投标人自有时得7分；投标人</w:t>
            </w:r>
            <w:r>
              <w:rPr>
                <w:rFonts w:hint="eastAsia" w:ascii="宋体" w:hAnsi="宋体"/>
                <w:bCs/>
                <w:color w:val="auto"/>
                <w:kern w:val="0"/>
                <w:szCs w:val="21"/>
                <w:highlight w:val="none"/>
              </w:rPr>
              <w:t>提供</w:t>
            </w:r>
            <w:r>
              <w:rPr>
                <w:rFonts w:hint="eastAsia" w:ascii="宋体" w:hAnsi="宋体"/>
                <w:bCs/>
                <w:color w:val="auto"/>
                <w:kern w:val="0"/>
                <w:szCs w:val="21"/>
                <w:highlight w:val="none"/>
                <w:lang w:val="en-US" w:eastAsia="zh-CN"/>
              </w:rPr>
              <w:t>的检测设备满足最低要求但为投标人租赁时不得分</w:t>
            </w:r>
            <w:r>
              <w:rPr>
                <w:rFonts w:hint="eastAsia" w:ascii="宋体" w:hAnsi="宋体"/>
                <w:bCs/>
                <w:color w:val="auto"/>
                <w:kern w:val="0"/>
                <w:szCs w:val="21"/>
                <w:highlight w:val="none"/>
              </w:rPr>
              <w:t>。</w:t>
            </w:r>
          </w:p>
          <w:p w14:paraId="1996F0C5">
            <w:pPr>
              <w:spacing w:line="360" w:lineRule="exact"/>
              <w:ind w:firstLine="420" w:firstLineChars="200"/>
              <w:rPr>
                <w:rFonts w:hint="eastAsia" w:ascii="宋体" w:hAnsi="宋体" w:eastAsia="宋体"/>
                <w:bCs/>
                <w:color w:val="auto"/>
                <w:kern w:val="0"/>
                <w:szCs w:val="21"/>
                <w:highlight w:val="none"/>
                <w:lang w:eastAsia="zh-CN"/>
              </w:rPr>
            </w:pPr>
            <w:r>
              <w:rPr>
                <w:rFonts w:hint="eastAsia" w:ascii="宋体" w:hAnsi="宋体"/>
                <w:bCs/>
                <w:color w:val="auto"/>
                <w:szCs w:val="21"/>
                <w:highlight w:val="none"/>
              </w:rPr>
              <w:t xml:space="preserve"> （2）</w:t>
            </w:r>
            <w:r>
              <w:rPr>
                <w:rFonts w:hint="eastAsia" w:ascii="宋体" w:hAnsi="宋体"/>
                <w:bCs/>
                <w:color w:val="auto"/>
                <w:szCs w:val="21"/>
                <w:highlight w:val="none"/>
                <w:lang w:val="en-US" w:eastAsia="zh-CN"/>
              </w:rPr>
              <w:t>在满足最低要求的基础上，</w:t>
            </w:r>
            <w:r>
              <w:rPr>
                <w:rFonts w:hint="eastAsia" w:ascii="宋体" w:hAnsi="宋体"/>
                <w:bCs/>
                <w:color w:val="auto"/>
                <w:kern w:val="0"/>
                <w:szCs w:val="21"/>
                <w:highlight w:val="none"/>
              </w:rPr>
              <w:t>每增加1台自有或租赁的多功能路况快速检测设备得2分，最多可加6分</w:t>
            </w:r>
            <w:r>
              <w:rPr>
                <w:rFonts w:hint="eastAsia" w:ascii="宋体" w:hAnsi="宋体"/>
                <w:bCs/>
                <w:color w:val="auto"/>
                <w:kern w:val="0"/>
                <w:szCs w:val="21"/>
                <w:highlight w:val="none"/>
                <w:lang w:eastAsia="zh-CN"/>
              </w:rPr>
              <w:t>。</w:t>
            </w:r>
          </w:p>
          <w:p w14:paraId="38327829">
            <w:pPr>
              <w:spacing w:line="3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设备功能：（1）能快速检测道路平整度IRI，国际平整度指标（IRI）、平整度标准差（σ）、行驶质量指数（RQI）、可兼容（CPMS）路面质量管理系统，可对路面进行快速自动检测与现场计算机数据分析与评价。（2）路面破损指数PCI进行检测，系统对路面进行自动图像采集、存储分析和处理破损数据。</w:t>
            </w:r>
          </w:p>
          <w:p w14:paraId="07F90953">
            <w:pPr>
              <w:spacing w:line="360" w:lineRule="exact"/>
              <w:ind w:firstLine="420" w:firstLineChars="200"/>
              <w:rPr>
                <w:rStyle w:val="43"/>
                <w:color w:val="auto"/>
                <w:highlight w:val="none"/>
              </w:rPr>
            </w:pPr>
            <w:r>
              <w:rPr>
                <w:rFonts w:hint="eastAsia" w:ascii="宋体" w:hAnsi="宋体"/>
                <w:bCs/>
                <w:color w:val="auto"/>
                <w:kern w:val="0"/>
                <w:szCs w:val="21"/>
                <w:highlight w:val="none"/>
              </w:rPr>
              <w:t>符合标准：多功能路况快速检测设备要符合现行《多功能路况快速检测设备》（GB/T 26764-2024）标准。</w:t>
            </w:r>
          </w:p>
          <w:p w14:paraId="369C0343">
            <w:pPr>
              <w:spacing w:line="360" w:lineRule="exact"/>
              <w:ind w:firstLine="422" w:firstLineChars="200"/>
              <w:rPr>
                <w:color w:val="auto"/>
                <w:highlight w:val="none"/>
              </w:rPr>
            </w:pPr>
            <w:r>
              <w:rPr>
                <w:rFonts w:hint="eastAsia" w:ascii="宋体" w:hAnsi="宋体"/>
                <w:b/>
                <w:bCs/>
                <w:color w:val="auto"/>
                <w:kern w:val="0"/>
                <w:szCs w:val="21"/>
                <w:highlight w:val="none"/>
              </w:rPr>
              <w:t>注：1.须在投标文件中提供证明材料：</w:t>
            </w:r>
            <w:r>
              <w:rPr>
                <w:rFonts w:hint="eastAsia" w:ascii="宋体" w:hAnsi="宋体"/>
                <w:b/>
                <w:bCs/>
                <w:color w:val="auto"/>
                <w:kern w:val="0"/>
                <w:szCs w:val="21"/>
                <w:highlight w:val="none"/>
                <w:lang w:val="en-US" w:eastAsia="zh-CN"/>
              </w:rPr>
              <w:t>投标人</w:t>
            </w:r>
            <w:r>
              <w:rPr>
                <w:rFonts w:hint="eastAsia" w:ascii="宋体" w:hAnsi="宋体"/>
                <w:b/>
                <w:bCs/>
                <w:color w:val="auto"/>
                <w:kern w:val="0"/>
                <w:szCs w:val="21"/>
                <w:highlight w:val="none"/>
              </w:rPr>
              <w:t>自有设备提供发票</w:t>
            </w:r>
            <w:r>
              <w:rPr>
                <w:rFonts w:hint="eastAsia" w:ascii="宋体" w:hAnsi="宋体"/>
                <w:b/>
                <w:bCs/>
                <w:color w:val="auto"/>
                <w:kern w:val="0"/>
                <w:szCs w:val="21"/>
                <w:highlight w:val="none"/>
                <w:lang w:val="en-US" w:eastAsia="zh-CN"/>
              </w:rPr>
              <w:t>或</w:t>
            </w:r>
            <w:r>
              <w:rPr>
                <w:rFonts w:hint="eastAsia" w:ascii="宋体" w:hAnsi="宋体"/>
                <w:b/>
                <w:bCs/>
                <w:color w:val="auto"/>
                <w:kern w:val="0"/>
                <w:szCs w:val="21"/>
                <w:highlight w:val="none"/>
              </w:rPr>
              <w:t>购置合同、检测设备行驶证、检定校准证书等扫描件；</w:t>
            </w:r>
            <w:r>
              <w:rPr>
                <w:rFonts w:hint="eastAsia" w:ascii="宋体" w:hAnsi="宋体"/>
                <w:b/>
                <w:bCs/>
                <w:color w:val="auto"/>
                <w:kern w:val="0"/>
                <w:szCs w:val="21"/>
                <w:highlight w:val="none"/>
                <w:lang w:val="en-US" w:eastAsia="zh-CN"/>
              </w:rPr>
              <w:t>投标人</w:t>
            </w:r>
            <w:r>
              <w:rPr>
                <w:rFonts w:hint="eastAsia" w:ascii="宋体" w:hAnsi="宋体"/>
                <w:b/>
                <w:bCs/>
                <w:color w:val="auto"/>
                <w:kern w:val="0"/>
                <w:szCs w:val="21"/>
                <w:highlight w:val="none"/>
              </w:rPr>
              <w:t>租赁设备需提供设备租赁合同及发票、检测设备行驶证、检定校准证书等扫描件，并加盖</w:t>
            </w:r>
            <w:r>
              <w:rPr>
                <w:rFonts w:hint="eastAsia" w:ascii="宋体" w:hAnsi="宋体"/>
                <w:b/>
                <w:color w:val="auto"/>
                <w:szCs w:val="21"/>
                <w:highlight w:val="none"/>
                <w:lang w:val="en-US" w:eastAsia="zh-CN"/>
              </w:rPr>
              <w:t>投标人</w:t>
            </w:r>
            <w:r>
              <w:rPr>
                <w:rFonts w:hint="eastAsia" w:ascii="宋体" w:hAnsi="宋体"/>
                <w:b/>
                <w:color w:val="auto"/>
                <w:szCs w:val="21"/>
                <w:highlight w:val="none"/>
              </w:rPr>
              <w:t>电</w:t>
            </w:r>
            <w:r>
              <w:rPr>
                <w:rFonts w:hint="eastAsia" w:ascii="宋体" w:hAnsi="宋体"/>
                <w:b/>
                <w:bCs/>
                <w:color w:val="auto"/>
                <w:kern w:val="0"/>
                <w:szCs w:val="21"/>
                <w:highlight w:val="none"/>
              </w:rPr>
              <w:t>电子公章，否则不得分。</w:t>
            </w:r>
          </w:p>
        </w:tc>
      </w:tr>
      <w:tr w14:paraId="2BE5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restart"/>
            <w:vAlign w:val="center"/>
          </w:tcPr>
          <w:p w14:paraId="5596A977">
            <w:pPr>
              <w:snapToGrid w:val="0"/>
              <w:spacing w:line="360" w:lineRule="exact"/>
              <w:jc w:val="center"/>
              <w:rPr>
                <w:rFonts w:ascii="宋体" w:hAnsi="宋体"/>
                <w:color w:val="auto"/>
                <w:szCs w:val="21"/>
              </w:rPr>
            </w:pPr>
            <w:r>
              <w:rPr>
                <w:rFonts w:hint="eastAsia" w:ascii="宋体" w:hAnsi="宋体"/>
                <w:color w:val="auto"/>
                <w:szCs w:val="21"/>
              </w:rPr>
              <w:t>3</w:t>
            </w:r>
          </w:p>
        </w:tc>
        <w:tc>
          <w:tcPr>
            <w:tcW w:w="1264" w:type="dxa"/>
            <w:vMerge w:val="restart"/>
            <w:vAlign w:val="center"/>
          </w:tcPr>
          <w:p w14:paraId="35753C31">
            <w:pPr>
              <w:snapToGrid w:val="0"/>
              <w:spacing w:line="360" w:lineRule="exact"/>
              <w:jc w:val="center"/>
              <w:rPr>
                <w:rFonts w:ascii="宋体" w:hAnsi="宋体"/>
                <w:b/>
                <w:color w:val="auto"/>
                <w:szCs w:val="21"/>
              </w:rPr>
            </w:pPr>
            <w:r>
              <w:rPr>
                <w:rFonts w:hint="eastAsia" w:ascii="宋体" w:hAnsi="宋体"/>
                <w:b/>
                <w:color w:val="auto"/>
                <w:szCs w:val="21"/>
              </w:rPr>
              <w:t>商务分</w:t>
            </w:r>
            <w:r>
              <w:rPr>
                <w:rFonts w:hint="eastAsia" w:ascii="宋体" w:hAnsi="宋体"/>
                <w:b/>
                <w:bCs/>
                <w:color w:val="auto"/>
                <w:szCs w:val="21"/>
              </w:rPr>
              <w:t>（</w:t>
            </w:r>
            <w:r>
              <w:rPr>
                <w:rFonts w:hint="eastAsia" w:ascii="宋体" w:hAnsi="宋体"/>
                <w:b/>
                <w:color w:val="auto"/>
                <w:szCs w:val="21"/>
              </w:rPr>
              <w:t>满分</w:t>
            </w:r>
            <w:r>
              <w:rPr>
                <w:rFonts w:hint="eastAsia" w:ascii="宋体" w:hAnsi="宋体"/>
                <w:b/>
                <w:color w:val="auto"/>
                <w:szCs w:val="21"/>
                <w:u w:val="single"/>
              </w:rPr>
              <w:t>2</w:t>
            </w:r>
            <w:r>
              <w:rPr>
                <w:rFonts w:ascii="宋体" w:hAnsi="宋体"/>
                <w:b/>
                <w:color w:val="auto"/>
                <w:szCs w:val="21"/>
                <w:u w:val="single"/>
              </w:rPr>
              <w:t>0</w:t>
            </w:r>
            <w:r>
              <w:rPr>
                <w:rFonts w:hint="eastAsia" w:ascii="宋体" w:hAnsi="宋体"/>
                <w:b/>
                <w:color w:val="auto"/>
                <w:szCs w:val="21"/>
              </w:rPr>
              <w:t>分</w:t>
            </w:r>
            <w:r>
              <w:rPr>
                <w:rFonts w:hint="eastAsia" w:ascii="宋体" w:hAnsi="宋体"/>
                <w:b/>
                <w:bCs/>
                <w:color w:val="auto"/>
                <w:szCs w:val="21"/>
              </w:rPr>
              <w:t>）</w:t>
            </w:r>
          </w:p>
        </w:tc>
        <w:tc>
          <w:tcPr>
            <w:tcW w:w="1801" w:type="dxa"/>
            <w:vAlign w:val="center"/>
          </w:tcPr>
          <w:p w14:paraId="5CA5C350">
            <w:pPr>
              <w:snapToGrid w:val="0"/>
              <w:spacing w:line="360" w:lineRule="exact"/>
              <w:jc w:val="center"/>
              <w:rPr>
                <w:rFonts w:ascii="宋体" w:hAnsi="宋体"/>
                <w:b/>
                <w:color w:val="auto"/>
                <w:szCs w:val="21"/>
                <w:highlight w:val="none"/>
              </w:rPr>
            </w:pPr>
            <w:r>
              <w:rPr>
                <w:rFonts w:hint="eastAsia"/>
                <w:b/>
                <w:bCs/>
                <w:color w:val="auto"/>
                <w:szCs w:val="21"/>
                <w:highlight w:val="none"/>
              </w:rPr>
              <w:t xml:space="preserve">业绩分（满分 </w:t>
            </w:r>
            <w:r>
              <w:rPr>
                <w:rFonts w:hint="eastAsia"/>
                <w:b/>
                <w:bCs/>
                <w:color w:val="auto"/>
                <w:szCs w:val="21"/>
                <w:highlight w:val="none"/>
                <w:lang w:val="en-US" w:eastAsia="zh-CN"/>
              </w:rPr>
              <w:t>10</w:t>
            </w:r>
            <w:r>
              <w:rPr>
                <w:rFonts w:hint="eastAsia"/>
                <w:b/>
                <w:bCs/>
                <w:color w:val="auto"/>
                <w:szCs w:val="21"/>
                <w:highlight w:val="none"/>
              </w:rPr>
              <w:t>分）</w:t>
            </w:r>
          </w:p>
        </w:tc>
        <w:tc>
          <w:tcPr>
            <w:tcW w:w="4960" w:type="dxa"/>
          </w:tcPr>
          <w:p w14:paraId="2450E7EA">
            <w:pPr>
              <w:numPr>
                <w:ilvl w:val="255"/>
                <w:numId w:val="0"/>
              </w:numPr>
              <w:spacing w:line="360" w:lineRule="exact"/>
              <w:ind w:firstLine="420" w:firstLineChars="200"/>
              <w:rPr>
                <w:color w:val="auto"/>
                <w:szCs w:val="21"/>
                <w:highlight w:val="none"/>
              </w:rPr>
            </w:pPr>
            <w:r>
              <w:rPr>
                <w:rFonts w:hint="eastAsia"/>
                <w:color w:val="auto"/>
                <w:szCs w:val="21"/>
                <w:highlight w:val="none"/>
              </w:rPr>
              <w:t>（1）</w:t>
            </w:r>
            <w:r>
              <w:rPr>
                <w:rFonts w:hint="eastAsia"/>
                <w:color w:val="auto"/>
                <w:szCs w:val="21"/>
                <w:highlight w:val="none"/>
                <w:lang w:val="en-US" w:eastAsia="zh-CN"/>
              </w:rPr>
              <w:t>投标人</w:t>
            </w:r>
            <w:r>
              <w:rPr>
                <w:rFonts w:hint="eastAsia" w:hAnsi="宋体"/>
                <w:bCs/>
                <w:color w:val="auto"/>
                <w:highlight w:val="none"/>
              </w:rPr>
              <w:t>在2020年1月1日至今</w:t>
            </w:r>
            <w:r>
              <w:rPr>
                <w:rFonts w:hint="eastAsia"/>
                <w:color w:val="auto"/>
                <w:szCs w:val="21"/>
                <w:highlight w:val="none"/>
              </w:rPr>
              <w:t>在国内每完成过一个公路（国、省、县、乡、村道）路面检测或评定项目（须同时包含路面破损PCI、路面行驶质量RQI两项指标）得</w:t>
            </w:r>
            <w:r>
              <w:rPr>
                <w:rFonts w:hint="eastAsia"/>
                <w:color w:val="auto"/>
                <w:szCs w:val="21"/>
                <w:highlight w:val="none"/>
                <w:lang w:val="en-US" w:eastAsia="zh-CN"/>
              </w:rPr>
              <w:t>1</w:t>
            </w:r>
            <w:r>
              <w:rPr>
                <w:rFonts w:hint="eastAsia"/>
                <w:color w:val="auto"/>
                <w:szCs w:val="21"/>
                <w:highlight w:val="none"/>
              </w:rPr>
              <w:t>分，最高得</w:t>
            </w:r>
            <w:r>
              <w:rPr>
                <w:rFonts w:hint="eastAsia"/>
                <w:color w:val="auto"/>
                <w:szCs w:val="21"/>
                <w:highlight w:val="none"/>
                <w:lang w:val="en-US" w:eastAsia="zh-CN"/>
              </w:rPr>
              <w:t>7</w:t>
            </w:r>
            <w:r>
              <w:rPr>
                <w:rFonts w:hint="eastAsia"/>
                <w:color w:val="auto"/>
                <w:szCs w:val="21"/>
                <w:highlight w:val="none"/>
              </w:rPr>
              <w:t>分。</w:t>
            </w:r>
          </w:p>
          <w:p w14:paraId="1A680893">
            <w:pPr>
              <w:pStyle w:val="20"/>
              <w:spacing w:line="420" w:lineRule="exact"/>
              <w:ind w:firstLine="420" w:firstLineChars="200"/>
              <w:rPr>
                <w:rFonts w:hint="eastAsia" w:eastAsia="宋体"/>
                <w:color w:val="auto"/>
                <w:sz w:val="21"/>
                <w:szCs w:val="21"/>
                <w:highlight w:val="none"/>
                <w:lang w:eastAsia="zh-CN"/>
              </w:rPr>
            </w:pPr>
            <w:r>
              <w:rPr>
                <w:rFonts w:hint="eastAsia" w:hAnsi="宋体"/>
                <w:bCs/>
                <w:color w:val="auto"/>
                <w:sz w:val="21"/>
                <w:szCs w:val="21"/>
                <w:highlight w:val="none"/>
                <w:lang w:eastAsia="zh-CN"/>
              </w:rPr>
              <w:t>（</w:t>
            </w:r>
            <w:r>
              <w:rPr>
                <w:rFonts w:hint="eastAsia" w:hAnsi="宋体"/>
                <w:bCs/>
                <w:color w:val="auto"/>
                <w:sz w:val="21"/>
                <w:szCs w:val="21"/>
                <w:highlight w:val="none"/>
                <w:lang w:val="en-US" w:eastAsia="zh-CN"/>
              </w:rPr>
              <w:t>2</w:t>
            </w:r>
            <w:r>
              <w:rPr>
                <w:rFonts w:hint="eastAsia" w:hAnsi="宋体"/>
                <w:bCs/>
                <w:color w:val="auto"/>
                <w:sz w:val="21"/>
                <w:szCs w:val="21"/>
                <w:highlight w:val="none"/>
                <w:lang w:eastAsia="zh-CN"/>
              </w:rPr>
              <w:t>）</w:t>
            </w:r>
            <w:r>
              <w:rPr>
                <w:rFonts w:hint="eastAsia"/>
                <w:color w:val="auto"/>
                <w:sz w:val="21"/>
                <w:szCs w:val="21"/>
                <w:highlight w:val="none"/>
                <w:lang w:val="en-US" w:eastAsia="zh-CN"/>
              </w:rPr>
              <w:t>投标人</w:t>
            </w:r>
            <w:r>
              <w:rPr>
                <w:rFonts w:hint="eastAsia" w:hAnsi="宋体"/>
                <w:bCs/>
                <w:color w:val="auto"/>
                <w:sz w:val="21"/>
                <w:szCs w:val="21"/>
                <w:highlight w:val="none"/>
              </w:rPr>
              <w:t>在2020年1月1日至今</w:t>
            </w:r>
            <w:r>
              <w:rPr>
                <w:rFonts w:hint="eastAsia"/>
                <w:color w:val="auto"/>
                <w:sz w:val="21"/>
                <w:szCs w:val="21"/>
                <w:highlight w:val="none"/>
              </w:rPr>
              <w:t>参与过</w:t>
            </w:r>
            <w:r>
              <w:rPr>
                <w:rFonts w:hint="eastAsia"/>
                <w:color w:val="auto"/>
                <w:sz w:val="21"/>
                <w:szCs w:val="21"/>
                <w:highlight w:val="none"/>
                <w:lang w:eastAsia="zh-CN"/>
              </w:rPr>
              <w:t>公路网路况</w:t>
            </w:r>
            <w:r>
              <w:rPr>
                <w:rFonts w:hint="eastAsia"/>
                <w:color w:val="auto"/>
                <w:sz w:val="21"/>
                <w:szCs w:val="21"/>
                <w:highlight w:val="none"/>
              </w:rPr>
              <w:t>技术状况监测项目的，每个项目得</w:t>
            </w:r>
            <w:r>
              <w:rPr>
                <w:rFonts w:hint="eastAsia"/>
                <w:color w:val="auto"/>
                <w:sz w:val="21"/>
                <w:szCs w:val="21"/>
                <w:highlight w:val="none"/>
                <w:lang w:val="en-US" w:eastAsia="zh-CN"/>
              </w:rPr>
              <w:t>3</w:t>
            </w:r>
            <w:r>
              <w:rPr>
                <w:rFonts w:hint="eastAsia"/>
                <w:color w:val="auto"/>
                <w:sz w:val="21"/>
                <w:szCs w:val="21"/>
                <w:highlight w:val="none"/>
              </w:rPr>
              <w:t>分，最高得</w:t>
            </w:r>
            <w:r>
              <w:rPr>
                <w:rFonts w:hint="eastAsia"/>
                <w:color w:val="auto"/>
                <w:sz w:val="21"/>
                <w:szCs w:val="21"/>
                <w:highlight w:val="none"/>
                <w:lang w:val="en-US" w:eastAsia="zh-CN"/>
              </w:rPr>
              <w:t>3</w:t>
            </w:r>
            <w:r>
              <w:rPr>
                <w:rFonts w:hint="eastAsia"/>
                <w:color w:val="auto"/>
                <w:sz w:val="21"/>
                <w:szCs w:val="21"/>
                <w:highlight w:val="none"/>
              </w:rPr>
              <w:t>分。</w:t>
            </w:r>
          </w:p>
          <w:p w14:paraId="281CC57D">
            <w:pPr>
              <w:spacing w:line="360" w:lineRule="exact"/>
              <w:ind w:firstLine="420" w:firstLineChars="200"/>
              <w:rPr>
                <w:color w:val="auto"/>
                <w:highlight w:val="none"/>
              </w:rPr>
            </w:pPr>
            <w:r>
              <w:rPr>
                <w:rFonts w:hint="eastAsia" w:ascii="宋体" w:hAnsi="宋体"/>
                <w:bCs/>
                <w:color w:val="auto"/>
                <w:kern w:val="0"/>
                <w:szCs w:val="21"/>
                <w:highlight w:val="none"/>
              </w:rPr>
              <w:t>（3）本项满分1</w:t>
            </w:r>
            <w:r>
              <w:rPr>
                <w:rFonts w:hint="eastAsia" w:ascii="宋体" w:hAnsi="宋体"/>
                <w:bCs/>
                <w:color w:val="auto"/>
                <w:kern w:val="0"/>
                <w:szCs w:val="21"/>
                <w:highlight w:val="none"/>
                <w:lang w:val="en-US" w:eastAsia="zh-CN"/>
              </w:rPr>
              <w:t>0</w:t>
            </w:r>
            <w:r>
              <w:rPr>
                <w:rFonts w:hint="eastAsia" w:ascii="宋体" w:hAnsi="宋体"/>
                <w:bCs/>
                <w:color w:val="auto"/>
                <w:kern w:val="0"/>
                <w:szCs w:val="21"/>
                <w:highlight w:val="none"/>
              </w:rPr>
              <w:t>分。</w:t>
            </w:r>
          </w:p>
          <w:p w14:paraId="010BB9F1">
            <w:pPr>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注：须在投标文件中提供有效的中标通知书或合同扫描件，并加盖</w:t>
            </w:r>
            <w:r>
              <w:rPr>
                <w:rFonts w:hint="eastAsia" w:ascii="宋体" w:hAnsi="宋体"/>
                <w:b/>
                <w:color w:val="auto"/>
                <w:szCs w:val="21"/>
                <w:highlight w:val="none"/>
                <w:lang w:val="en-US" w:eastAsia="zh-CN"/>
              </w:rPr>
              <w:t>投标人</w:t>
            </w:r>
            <w:r>
              <w:rPr>
                <w:rFonts w:hint="eastAsia" w:ascii="宋体" w:hAnsi="宋体"/>
                <w:b/>
                <w:color w:val="auto"/>
                <w:szCs w:val="21"/>
                <w:highlight w:val="none"/>
              </w:rPr>
              <w:t>电子公章，否则不得分。</w:t>
            </w:r>
          </w:p>
        </w:tc>
      </w:tr>
      <w:tr w14:paraId="6D1A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03" w:type="dxa"/>
            <w:vMerge w:val="continue"/>
            <w:vAlign w:val="center"/>
          </w:tcPr>
          <w:p w14:paraId="09E76D8A">
            <w:pPr>
              <w:snapToGrid w:val="0"/>
              <w:spacing w:line="360" w:lineRule="exact"/>
              <w:jc w:val="center"/>
              <w:rPr>
                <w:rFonts w:ascii="宋体" w:hAnsi="宋体"/>
                <w:color w:val="auto"/>
                <w:szCs w:val="21"/>
              </w:rPr>
            </w:pPr>
          </w:p>
        </w:tc>
        <w:tc>
          <w:tcPr>
            <w:tcW w:w="1264" w:type="dxa"/>
            <w:vMerge w:val="continue"/>
            <w:vAlign w:val="center"/>
          </w:tcPr>
          <w:p w14:paraId="10FCF443">
            <w:pPr>
              <w:snapToGrid w:val="0"/>
              <w:spacing w:line="360" w:lineRule="exact"/>
              <w:jc w:val="center"/>
              <w:rPr>
                <w:rFonts w:ascii="宋体" w:hAnsi="宋体"/>
                <w:b/>
                <w:color w:val="auto"/>
                <w:szCs w:val="21"/>
              </w:rPr>
            </w:pPr>
          </w:p>
        </w:tc>
        <w:tc>
          <w:tcPr>
            <w:tcW w:w="1801" w:type="dxa"/>
            <w:vAlign w:val="center"/>
          </w:tcPr>
          <w:p w14:paraId="7C580124">
            <w:pPr>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其他（</w:t>
            </w:r>
            <w:r>
              <w:rPr>
                <w:rFonts w:hint="eastAsia" w:ascii="宋体" w:hAnsi="宋体"/>
                <w:b/>
                <w:color w:val="auto"/>
                <w:szCs w:val="21"/>
                <w:highlight w:val="none"/>
                <w:lang w:val="en-US" w:eastAsia="zh-CN"/>
              </w:rPr>
              <w:t>10</w:t>
            </w:r>
            <w:r>
              <w:rPr>
                <w:rFonts w:hint="eastAsia" w:ascii="宋体" w:hAnsi="宋体"/>
                <w:b/>
                <w:color w:val="auto"/>
                <w:szCs w:val="21"/>
                <w:highlight w:val="none"/>
              </w:rPr>
              <w:t>分）</w:t>
            </w:r>
          </w:p>
        </w:tc>
        <w:tc>
          <w:tcPr>
            <w:tcW w:w="4960" w:type="dxa"/>
          </w:tcPr>
          <w:p w14:paraId="3D0ADEDD">
            <w:pPr>
              <w:pStyle w:val="8"/>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highlight w:val="none"/>
              </w:rPr>
              <w:t>（1）</w:t>
            </w:r>
            <w:r>
              <w:rPr>
                <w:rFonts w:hint="eastAsia"/>
                <w:color w:val="auto"/>
                <w:szCs w:val="21"/>
                <w:highlight w:val="none"/>
                <w:lang w:val="en-US" w:eastAsia="zh-CN"/>
              </w:rPr>
              <w:t>投标人</w:t>
            </w:r>
            <w:r>
              <w:rPr>
                <w:rFonts w:hint="eastAsia" w:ascii="宋体" w:hAnsi="宋体" w:cs="宋体"/>
                <w:color w:val="auto"/>
                <w:highlight w:val="none"/>
              </w:rPr>
              <w:t xml:space="preserve">具有有效的质量管理体系认证证书的得 </w:t>
            </w:r>
            <w:r>
              <w:rPr>
                <w:rFonts w:hint="eastAsia" w:ascii="宋体" w:hAnsi="宋体" w:cs="宋体"/>
                <w:color w:val="auto"/>
                <w:highlight w:val="none"/>
                <w:lang w:val="en-US" w:eastAsia="zh-CN"/>
              </w:rPr>
              <w:t>1</w:t>
            </w:r>
            <w:r>
              <w:rPr>
                <w:rFonts w:hint="eastAsia" w:ascii="宋体" w:hAnsi="宋体" w:cs="宋体"/>
                <w:color w:val="auto"/>
                <w:highlight w:val="none"/>
              </w:rPr>
              <w:t>分、环境管理体系认证证书的得</w:t>
            </w:r>
            <w:r>
              <w:rPr>
                <w:rFonts w:hint="eastAsia" w:ascii="宋体" w:hAnsi="宋体" w:cs="宋体"/>
                <w:color w:val="auto"/>
                <w:highlight w:val="none"/>
                <w:lang w:val="en-US" w:eastAsia="zh-CN"/>
              </w:rPr>
              <w:t>1</w:t>
            </w:r>
            <w:r>
              <w:rPr>
                <w:rFonts w:hint="eastAsia" w:ascii="宋体" w:hAnsi="宋体" w:cs="宋体"/>
                <w:color w:val="auto"/>
                <w:highlight w:val="none"/>
              </w:rPr>
              <w:t xml:space="preserve">分、职业健康安全管理体系认证证书的得 </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、企业诚信管理体系的</w:t>
            </w:r>
            <w:r>
              <w:rPr>
                <w:rFonts w:hint="eastAsia" w:ascii="宋体" w:hAnsi="宋体" w:cs="宋体"/>
                <w:color w:val="auto"/>
                <w:highlight w:val="none"/>
                <w:lang w:val="en-US" w:eastAsia="zh-CN"/>
              </w:rPr>
              <w:t>1分</w:t>
            </w:r>
            <w:r>
              <w:rPr>
                <w:rFonts w:hint="eastAsia" w:ascii="宋体" w:hAnsi="宋体" w:cs="宋体"/>
                <w:color w:val="auto"/>
                <w:highlight w:val="none"/>
              </w:rPr>
              <w:t>，满分</w:t>
            </w:r>
            <w:r>
              <w:rPr>
                <w:rFonts w:hint="eastAsia" w:ascii="宋体" w:hAnsi="宋体" w:cs="宋体"/>
                <w:color w:val="auto"/>
                <w:highlight w:val="none"/>
                <w:lang w:val="en-US" w:eastAsia="zh-CN"/>
              </w:rPr>
              <w:t>4</w:t>
            </w:r>
            <w:r>
              <w:rPr>
                <w:rFonts w:hint="eastAsia" w:ascii="宋体" w:hAnsi="宋体" w:cs="宋体"/>
                <w:color w:val="auto"/>
                <w:highlight w:val="none"/>
              </w:rPr>
              <w:t>分。</w:t>
            </w:r>
          </w:p>
          <w:p w14:paraId="5D605723">
            <w:pPr>
              <w:pStyle w:val="8"/>
              <w:ind w:firstLine="420" w:firstLineChars="200"/>
              <w:rPr>
                <w:rFonts w:hint="eastAsia" w:ascii="宋体" w:hAnsi="宋体" w:eastAsia="宋体" w:cs="宋体"/>
                <w:b/>
                <w:bCs/>
                <w:color w:val="auto"/>
                <w:highlight w:val="none"/>
                <w:lang w:eastAsia="zh-CN"/>
              </w:rPr>
            </w:pP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2</w:t>
            </w:r>
            <w:r>
              <w:rPr>
                <w:rFonts w:hint="eastAsia" w:asciiTheme="minorEastAsia" w:hAnsiTheme="minorEastAsia" w:eastAsiaTheme="minorEastAsia" w:cstheme="minorEastAsia"/>
                <w:b w:val="0"/>
                <w:bCs w:val="0"/>
                <w:color w:val="auto"/>
                <w:szCs w:val="21"/>
                <w:highlight w:val="none"/>
                <w:lang w:eastAsia="zh-CN"/>
              </w:rPr>
              <w:t>）</w:t>
            </w:r>
            <w:r>
              <w:rPr>
                <w:rFonts w:hint="eastAsia" w:ascii="宋体" w:hAnsi="Courier New"/>
                <w:color w:val="auto"/>
                <w:szCs w:val="21"/>
                <w:highlight w:val="none"/>
              </w:rPr>
              <w:t>投标人每参与过1个与公路相关的国家标准或公路行业标准或地方标准或</w:t>
            </w:r>
            <w:r>
              <w:rPr>
                <w:rFonts w:ascii="宋体" w:hAnsi="Courier New"/>
                <w:color w:val="auto"/>
                <w:szCs w:val="21"/>
                <w:highlight w:val="none"/>
              </w:rPr>
              <w:t>团体标准</w:t>
            </w:r>
            <w:r>
              <w:rPr>
                <w:rFonts w:hint="eastAsia" w:ascii="宋体" w:hAnsi="Courier New"/>
                <w:color w:val="auto"/>
                <w:szCs w:val="21"/>
                <w:highlight w:val="none"/>
              </w:rPr>
              <w:t>规范编制得</w:t>
            </w:r>
            <w:r>
              <w:rPr>
                <w:rFonts w:hint="eastAsia" w:ascii="宋体" w:hAnsi="Courier New"/>
                <w:color w:val="auto"/>
                <w:szCs w:val="21"/>
                <w:highlight w:val="none"/>
                <w:lang w:val="en-US" w:eastAsia="zh-CN"/>
              </w:rPr>
              <w:t>3</w:t>
            </w:r>
            <w:r>
              <w:rPr>
                <w:rFonts w:hint="eastAsia" w:ascii="宋体" w:hAnsi="Courier New"/>
                <w:color w:val="auto"/>
                <w:szCs w:val="21"/>
                <w:highlight w:val="none"/>
              </w:rPr>
              <w:t>分，满分</w:t>
            </w:r>
            <w:r>
              <w:rPr>
                <w:rFonts w:hint="eastAsia" w:ascii="宋体" w:hAnsi="Courier New"/>
                <w:color w:val="auto"/>
                <w:szCs w:val="21"/>
                <w:highlight w:val="none"/>
                <w:lang w:val="en-US" w:eastAsia="zh-CN"/>
              </w:rPr>
              <w:t>6</w:t>
            </w:r>
            <w:r>
              <w:rPr>
                <w:rFonts w:hint="eastAsia" w:ascii="宋体" w:hAnsi="Courier New"/>
                <w:color w:val="auto"/>
                <w:szCs w:val="21"/>
                <w:highlight w:val="none"/>
              </w:rPr>
              <w:t>分</w:t>
            </w:r>
            <w:r>
              <w:rPr>
                <w:rFonts w:ascii="宋体" w:hAnsi="Courier New"/>
                <w:color w:val="auto"/>
                <w:szCs w:val="21"/>
                <w:highlight w:val="none"/>
              </w:rPr>
              <w:t>。</w:t>
            </w:r>
          </w:p>
          <w:p w14:paraId="6C982FD8">
            <w:pPr>
              <w:pStyle w:val="8"/>
              <w:widowControl/>
              <w:jc w:val="left"/>
              <w:rPr>
                <w:rFonts w:ascii="宋体" w:hAnsi="宋体"/>
                <w:color w:val="auto"/>
                <w:szCs w:val="21"/>
                <w:highlight w:val="none"/>
              </w:rPr>
            </w:pPr>
            <w:r>
              <w:rPr>
                <w:rFonts w:hint="eastAsia" w:ascii="宋体" w:hAnsi="宋体" w:cs="宋体"/>
                <w:b/>
                <w:bCs/>
                <w:color w:val="auto"/>
                <w:highlight w:val="none"/>
              </w:rPr>
              <w:t>注：须在投标文件中提供相关认证体系证书的证明材料复印件</w:t>
            </w:r>
            <w:r>
              <w:rPr>
                <w:rFonts w:hint="eastAsia" w:ascii="宋体" w:hAnsi="宋体" w:cs="宋体"/>
                <w:b/>
                <w:bCs/>
                <w:color w:val="auto"/>
                <w:highlight w:val="none"/>
                <w:lang w:eastAsia="zh-CN"/>
              </w:rPr>
              <w:t>，</w:t>
            </w:r>
            <w:r>
              <w:rPr>
                <w:rFonts w:hint="eastAsia" w:ascii="宋体" w:hAnsi="宋体" w:cs="宋体"/>
                <w:b/>
                <w:bCs/>
                <w:color w:val="auto"/>
                <w:highlight w:val="none"/>
              </w:rPr>
              <w:t>并加盖投标人公章，否则不得分</w:t>
            </w:r>
          </w:p>
        </w:tc>
      </w:tr>
      <w:tr w14:paraId="537E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28" w:type="dxa"/>
            <w:gridSpan w:val="4"/>
            <w:vAlign w:val="center"/>
          </w:tcPr>
          <w:p w14:paraId="2D4A80AD">
            <w:pPr>
              <w:pStyle w:val="20"/>
              <w:snapToGrid w:val="0"/>
              <w:spacing w:line="360" w:lineRule="exact"/>
              <w:rPr>
                <w:rFonts w:hAnsi="宋体"/>
                <w:b/>
                <w:bCs/>
                <w:color w:val="auto"/>
                <w:sz w:val="21"/>
              </w:rPr>
            </w:pPr>
            <w:r>
              <w:rPr>
                <w:rFonts w:hint="eastAsia" w:hAnsi="宋体"/>
                <w:b/>
                <w:bCs/>
                <w:color w:val="auto"/>
                <w:sz w:val="21"/>
              </w:rPr>
              <w:t>总得分=1+2+3</w:t>
            </w:r>
          </w:p>
          <w:p w14:paraId="7562B1E4">
            <w:pPr>
              <w:pStyle w:val="20"/>
              <w:snapToGrid w:val="0"/>
              <w:spacing w:line="360" w:lineRule="exact"/>
              <w:rPr>
                <w:rFonts w:hAnsi="宋体"/>
                <w:b/>
                <w:bCs/>
                <w:color w:val="auto"/>
                <w:sz w:val="21"/>
              </w:rPr>
            </w:pPr>
            <w:r>
              <w:rPr>
                <w:rFonts w:hint="eastAsia" w:hAnsi="宋体"/>
                <w:b/>
                <w:bCs/>
                <w:color w:val="auto"/>
                <w:sz w:val="21"/>
              </w:rPr>
              <w:t>备注：本项目为服务类项目，不涉及节能环保政策考核。</w:t>
            </w:r>
          </w:p>
        </w:tc>
      </w:tr>
    </w:tbl>
    <w:p w14:paraId="5216D683">
      <w:pPr>
        <w:pStyle w:val="20"/>
        <w:spacing w:line="400" w:lineRule="exact"/>
        <w:ind w:firstLine="420"/>
        <w:rPr>
          <w:rFonts w:hAnsi="宋体"/>
          <w:bCs/>
          <w:color w:val="auto"/>
          <w:sz w:val="21"/>
        </w:rPr>
      </w:pPr>
      <w:r>
        <w:rPr>
          <w:rFonts w:hint="eastAsia" w:hAnsi="宋体"/>
          <w:bCs/>
          <w:color w:val="auto"/>
          <w:sz w:val="21"/>
        </w:rPr>
        <w:t>注：计分方法按四舍五入取至百分位。</w:t>
      </w:r>
    </w:p>
    <w:p w14:paraId="5AC9BFED">
      <w:pPr>
        <w:pStyle w:val="20"/>
        <w:spacing w:line="400" w:lineRule="exact"/>
        <w:ind w:firstLine="420"/>
        <w:rPr>
          <w:rFonts w:hAnsi="宋体"/>
          <w:bCs/>
          <w:color w:val="auto"/>
          <w:sz w:val="21"/>
        </w:rPr>
      </w:pPr>
    </w:p>
    <w:p w14:paraId="62CF0195">
      <w:pPr>
        <w:pStyle w:val="5"/>
        <w:keepNext w:val="0"/>
        <w:keepLines w:val="0"/>
        <w:jc w:val="center"/>
        <w:rPr>
          <w:color w:val="auto"/>
          <w:sz w:val="30"/>
          <w:szCs w:val="30"/>
        </w:rPr>
      </w:pPr>
      <w:r>
        <w:rPr>
          <w:rFonts w:hint="eastAsia"/>
          <w:color w:val="auto"/>
          <w:sz w:val="30"/>
          <w:szCs w:val="30"/>
        </w:rPr>
        <w:t>四、中标候选人推荐原则</w:t>
      </w:r>
    </w:p>
    <w:p w14:paraId="41D9FBBC">
      <w:pPr>
        <w:pStyle w:val="20"/>
        <w:spacing w:line="360" w:lineRule="auto"/>
        <w:contextualSpacing/>
        <w:rPr>
          <w:rFonts w:hAnsi="宋体"/>
          <w:b/>
          <w:bCs/>
          <w:color w:val="auto"/>
          <w:sz w:val="24"/>
          <w:szCs w:val="24"/>
        </w:rPr>
      </w:pPr>
      <w:r>
        <w:rPr>
          <w:rFonts w:hint="eastAsia" w:hAnsi="宋体"/>
          <w:b/>
          <w:bCs/>
          <w:color w:val="auto"/>
          <w:sz w:val="24"/>
          <w:szCs w:val="24"/>
        </w:rPr>
        <w:t>（一）综合评分法</w:t>
      </w:r>
    </w:p>
    <w:p w14:paraId="428F7A3E">
      <w:pPr>
        <w:pStyle w:val="20"/>
        <w:spacing w:line="360" w:lineRule="auto"/>
        <w:ind w:firstLine="420" w:firstLineChars="200"/>
        <w:contextualSpacing/>
        <w:rPr>
          <w:rFonts w:hAnsi="宋体"/>
          <w:color w:val="auto"/>
          <w:sz w:val="21"/>
        </w:rPr>
      </w:pPr>
      <w:r>
        <w:rPr>
          <w:rFonts w:hint="eastAsia" w:hAnsi="宋体"/>
          <w:color w:val="auto"/>
          <w:sz w:val="21"/>
        </w:rPr>
        <w:t>1</w:t>
      </w:r>
      <w:r>
        <w:rPr>
          <w:rFonts w:hAnsi="宋体"/>
          <w:color w:val="auto"/>
          <w:sz w:val="21"/>
        </w:rPr>
        <w:t>.</w:t>
      </w:r>
      <w:r>
        <w:rPr>
          <w:rFonts w:hint="eastAsia" w:hAnsi="宋体"/>
          <w:color w:val="auto"/>
          <w:sz w:val="21"/>
        </w:rPr>
        <w:t>评标委员会根据原始评标记录和评标结果编写评标报告，并通过电子交易平台向采购人、采购代理机构提交。</w:t>
      </w:r>
    </w:p>
    <w:p w14:paraId="4A3447B8">
      <w:pPr>
        <w:pStyle w:val="20"/>
        <w:spacing w:line="360" w:lineRule="auto"/>
        <w:ind w:firstLine="420" w:firstLineChars="200"/>
        <w:contextualSpacing/>
        <w:rPr>
          <w:rFonts w:hAnsi="宋体"/>
          <w:color w:val="auto"/>
          <w:sz w:val="21"/>
        </w:rPr>
      </w:pPr>
      <w:r>
        <w:rPr>
          <w:rFonts w:hint="eastAsia" w:hAnsi="宋体"/>
          <w:color w:val="auto"/>
          <w:sz w:val="21"/>
        </w:rPr>
        <w:t>2</w:t>
      </w:r>
      <w:r>
        <w:rPr>
          <w:rFonts w:hAnsi="宋体"/>
          <w:color w:val="auto"/>
          <w:sz w:val="21"/>
        </w:rPr>
        <w:t>.</w:t>
      </w:r>
      <w:r>
        <w:rPr>
          <w:rFonts w:hint="eastAsia" w:hAnsi="宋体"/>
          <w:color w:val="auto"/>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hAnsi="宋体"/>
          <w:color w:val="auto"/>
          <w:sz w:val="21"/>
        </w:rPr>
        <w:br w:type="page"/>
      </w:r>
    </w:p>
    <w:p w14:paraId="44310ECC">
      <w:pPr>
        <w:spacing w:beforeLines="50" w:afterLines="50" w:line="400" w:lineRule="exact"/>
        <w:rPr>
          <w:rFonts w:ascii="宋体" w:hAnsi="宋体"/>
          <w:b/>
          <w:color w:val="auto"/>
          <w:sz w:val="24"/>
        </w:rPr>
      </w:pPr>
    </w:p>
    <w:p w14:paraId="38AD39A8">
      <w:pPr>
        <w:spacing w:beforeLines="50" w:afterLines="50" w:line="400" w:lineRule="exact"/>
        <w:rPr>
          <w:rFonts w:ascii="宋体" w:hAnsi="宋体"/>
          <w:b/>
          <w:color w:val="auto"/>
          <w:sz w:val="24"/>
        </w:rPr>
      </w:pPr>
    </w:p>
    <w:p w14:paraId="150B6628">
      <w:pPr>
        <w:spacing w:beforeLines="50" w:afterLines="50" w:line="400" w:lineRule="exact"/>
        <w:rPr>
          <w:rFonts w:ascii="宋体" w:hAnsi="宋体"/>
          <w:b/>
          <w:color w:val="auto"/>
          <w:sz w:val="24"/>
        </w:rPr>
      </w:pPr>
    </w:p>
    <w:p w14:paraId="5786AF45">
      <w:pPr>
        <w:spacing w:beforeLines="50" w:afterLines="50" w:line="400" w:lineRule="exact"/>
        <w:rPr>
          <w:rFonts w:ascii="宋体" w:hAnsi="宋体"/>
          <w:b/>
          <w:color w:val="auto"/>
          <w:sz w:val="24"/>
        </w:rPr>
      </w:pPr>
    </w:p>
    <w:p w14:paraId="0C5B7032">
      <w:pPr>
        <w:spacing w:beforeLines="50" w:afterLines="50" w:line="400" w:lineRule="exact"/>
        <w:rPr>
          <w:rFonts w:ascii="宋体" w:hAnsi="宋体"/>
          <w:b/>
          <w:color w:val="auto"/>
          <w:sz w:val="24"/>
        </w:rPr>
      </w:pPr>
    </w:p>
    <w:p w14:paraId="0F66A838">
      <w:pPr>
        <w:spacing w:beforeLines="50" w:afterLines="50" w:line="400" w:lineRule="exact"/>
        <w:rPr>
          <w:rFonts w:ascii="宋体" w:hAnsi="宋体"/>
          <w:b/>
          <w:color w:val="auto"/>
          <w:sz w:val="24"/>
        </w:rPr>
      </w:pPr>
    </w:p>
    <w:p w14:paraId="7A700DEE">
      <w:pPr>
        <w:spacing w:beforeLines="50" w:afterLines="50" w:line="400" w:lineRule="exact"/>
        <w:rPr>
          <w:rFonts w:ascii="宋体" w:hAnsi="宋体"/>
          <w:b/>
          <w:color w:val="auto"/>
          <w:sz w:val="24"/>
        </w:rPr>
      </w:pPr>
    </w:p>
    <w:p w14:paraId="4E5431E4">
      <w:pPr>
        <w:spacing w:beforeLines="50" w:afterLines="50" w:line="400" w:lineRule="exact"/>
        <w:rPr>
          <w:rFonts w:ascii="宋体" w:hAnsi="宋体"/>
          <w:b/>
          <w:color w:val="auto"/>
          <w:sz w:val="24"/>
        </w:rPr>
      </w:pPr>
    </w:p>
    <w:p w14:paraId="40608159">
      <w:pPr>
        <w:spacing w:beforeLines="50" w:afterLines="50" w:line="400" w:lineRule="exact"/>
        <w:rPr>
          <w:rFonts w:ascii="宋体" w:hAnsi="宋体"/>
          <w:b/>
          <w:color w:val="auto"/>
          <w:sz w:val="24"/>
        </w:rPr>
      </w:pPr>
    </w:p>
    <w:p w14:paraId="4ECDE088">
      <w:pPr>
        <w:spacing w:beforeLines="50" w:afterLines="50" w:line="400" w:lineRule="exact"/>
        <w:rPr>
          <w:rFonts w:ascii="宋体" w:hAnsi="宋体"/>
          <w:b/>
          <w:color w:val="auto"/>
          <w:sz w:val="24"/>
        </w:rPr>
      </w:pPr>
    </w:p>
    <w:p w14:paraId="2CAB6018">
      <w:pPr>
        <w:spacing w:beforeLines="50" w:afterLines="50" w:line="400" w:lineRule="exact"/>
        <w:rPr>
          <w:rFonts w:ascii="宋体" w:hAnsi="宋体"/>
          <w:b/>
          <w:color w:val="auto"/>
          <w:sz w:val="24"/>
        </w:rPr>
      </w:pPr>
    </w:p>
    <w:p w14:paraId="274777C7">
      <w:pPr>
        <w:pStyle w:val="3"/>
        <w:jc w:val="center"/>
        <w:rPr>
          <w:color w:val="auto"/>
        </w:rPr>
      </w:pPr>
      <w:bookmarkStart w:id="164" w:name="_Toc25250"/>
      <w:r>
        <w:rPr>
          <w:rFonts w:hint="eastAsia"/>
          <w:color w:val="auto"/>
        </w:rPr>
        <w:t>第五章拟签订的合同文本</w:t>
      </w:r>
      <w:bookmarkEnd w:id="164"/>
    </w:p>
    <w:p w14:paraId="6FD9144D">
      <w:pPr>
        <w:snapToGrid w:val="0"/>
        <w:jc w:val="center"/>
        <w:rPr>
          <w:rFonts w:ascii="宋体" w:hAnsi="宋体"/>
          <w:bCs/>
          <w:color w:val="auto"/>
          <w:sz w:val="32"/>
          <w:szCs w:val="32"/>
        </w:rPr>
      </w:pPr>
    </w:p>
    <w:p w14:paraId="6C168AEA">
      <w:pPr>
        <w:snapToGrid w:val="0"/>
        <w:jc w:val="center"/>
        <w:rPr>
          <w:rFonts w:ascii="宋体" w:hAnsi="宋体"/>
          <w:bCs/>
          <w:color w:val="auto"/>
          <w:sz w:val="32"/>
          <w:szCs w:val="32"/>
        </w:rPr>
      </w:pPr>
    </w:p>
    <w:p w14:paraId="01E7CED8">
      <w:pPr>
        <w:snapToGrid w:val="0"/>
        <w:jc w:val="center"/>
        <w:rPr>
          <w:rFonts w:ascii="宋体" w:hAnsi="宋体"/>
          <w:bCs/>
          <w:color w:val="auto"/>
          <w:sz w:val="32"/>
          <w:szCs w:val="32"/>
        </w:rPr>
      </w:pPr>
    </w:p>
    <w:p w14:paraId="1BA3EE27">
      <w:pPr>
        <w:snapToGrid w:val="0"/>
        <w:jc w:val="center"/>
        <w:rPr>
          <w:rFonts w:ascii="宋体" w:hAnsi="宋体"/>
          <w:bCs/>
          <w:color w:val="auto"/>
          <w:sz w:val="32"/>
          <w:szCs w:val="32"/>
        </w:rPr>
      </w:pPr>
    </w:p>
    <w:p w14:paraId="5804319F">
      <w:pPr>
        <w:snapToGrid w:val="0"/>
        <w:jc w:val="center"/>
        <w:rPr>
          <w:rFonts w:ascii="宋体" w:hAnsi="宋体"/>
          <w:bCs/>
          <w:color w:val="auto"/>
          <w:sz w:val="32"/>
          <w:szCs w:val="32"/>
        </w:rPr>
      </w:pPr>
    </w:p>
    <w:p w14:paraId="0B7EEC95">
      <w:pPr>
        <w:snapToGrid w:val="0"/>
        <w:jc w:val="center"/>
        <w:rPr>
          <w:rFonts w:ascii="宋体" w:hAnsi="宋体"/>
          <w:bCs/>
          <w:color w:val="auto"/>
          <w:sz w:val="32"/>
          <w:szCs w:val="32"/>
        </w:rPr>
      </w:pPr>
    </w:p>
    <w:p w14:paraId="343FEBBB">
      <w:pPr>
        <w:snapToGrid w:val="0"/>
        <w:jc w:val="center"/>
        <w:rPr>
          <w:rFonts w:ascii="宋体" w:hAnsi="宋体"/>
          <w:bCs/>
          <w:color w:val="auto"/>
          <w:sz w:val="32"/>
          <w:szCs w:val="32"/>
        </w:rPr>
      </w:pPr>
    </w:p>
    <w:p w14:paraId="0855BACA">
      <w:pPr>
        <w:snapToGrid w:val="0"/>
        <w:jc w:val="center"/>
        <w:rPr>
          <w:rFonts w:ascii="宋体" w:hAnsi="宋体"/>
          <w:bCs/>
          <w:color w:val="auto"/>
          <w:sz w:val="32"/>
          <w:szCs w:val="32"/>
        </w:rPr>
      </w:pPr>
    </w:p>
    <w:p w14:paraId="5484423E">
      <w:pPr>
        <w:snapToGrid w:val="0"/>
        <w:jc w:val="center"/>
        <w:rPr>
          <w:rFonts w:ascii="宋体" w:hAnsi="宋体"/>
          <w:bCs/>
          <w:color w:val="auto"/>
          <w:sz w:val="32"/>
          <w:szCs w:val="32"/>
        </w:rPr>
      </w:pPr>
    </w:p>
    <w:p w14:paraId="1ED45814">
      <w:pPr>
        <w:snapToGrid w:val="0"/>
        <w:jc w:val="center"/>
        <w:rPr>
          <w:rFonts w:ascii="宋体" w:hAnsi="宋体"/>
          <w:bCs/>
          <w:color w:val="auto"/>
          <w:sz w:val="32"/>
          <w:szCs w:val="32"/>
        </w:rPr>
      </w:pPr>
    </w:p>
    <w:p w14:paraId="2F56C41F">
      <w:pPr>
        <w:snapToGrid w:val="0"/>
        <w:jc w:val="center"/>
        <w:rPr>
          <w:rFonts w:ascii="宋体" w:hAnsi="宋体"/>
          <w:bCs/>
          <w:color w:val="auto"/>
          <w:sz w:val="32"/>
          <w:szCs w:val="32"/>
        </w:rPr>
      </w:pPr>
    </w:p>
    <w:p w14:paraId="0D80CCA4">
      <w:pPr>
        <w:spacing w:line="520" w:lineRule="exact"/>
        <w:jc w:val="center"/>
        <w:rPr>
          <w:rFonts w:ascii="宋体" w:hAnsi="宋体"/>
          <w:bCs/>
          <w:color w:val="auto"/>
        </w:rPr>
      </w:pPr>
      <w:r>
        <w:rPr>
          <w:rFonts w:ascii="宋体" w:hAnsi="宋体"/>
          <w:bCs/>
          <w:color w:val="auto"/>
        </w:rPr>
        <w:br w:type="page"/>
      </w:r>
    </w:p>
    <w:p w14:paraId="7ACE6883">
      <w:pPr>
        <w:spacing w:line="240" w:lineRule="auto"/>
        <w:jc w:val="both"/>
        <w:rPr>
          <w:rFonts w:ascii="宋体" w:hAnsi="宋体"/>
          <w:bCs/>
          <w:color w:val="auto"/>
        </w:rPr>
      </w:pPr>
    </w:p>
    <w:p w14:paraId="304EDD17">
      <w:pPr>
        <w:spacing w:line="520" w:lineRule="exact"/>
        <w:jc w:val="center"/>
        <w:rPr>
          <w:rFonts w:hint="eastAsia" w:eastAsia="华文中宋"/>
          <w:b/>
          <w:color w:val="auto"/>
          <w:sz w:val="44"/>
          <w:szCs w:val="44"/>
        </w:rPr>
      </w:pPr>
      <w:r>
        <w:rPr>
          <w:rFonts w:hint="eastAsia" w:eastAsia="华文中宋"/>
          <w:b/>
          <w:color w:val="auto"/>
          <w:sz w:val="44"/>
          <w:szCs w:val="44"/>
        </w:rPr>
        <w:t>2025年河池市农村公路路况自动化检测</w:t>
      </w:r>
    </w:p>
    <w:p w14:paraId="4365AAE2">
      <w:pPr>
        <w:spacing w:line="520" w:lineRule="exact"/>
        <w:jc w:val="center"/>
        <w:rPr>
          <w:rFonts w:ascii="宋体" w:hAnsi="宋体" w:cs="Courier New"/>
          <w:b/>
          <w:color w:val="auto"/>
          <w:sz w:val="32"/>
          <w:szCs w:val="32"/>
        </w:rPr>
      </w:pPr>
      <w:r>
        <w:rPr>
          <w:rFonts w:hint="eastAsia" w:eastAsia="华文中宋"/>
          <w:b/>
          <w:color w:val="auto"/>
          <w:sz w:val="44"/>
          <w:szCs w:val="44"/>
          <w:lang w:val="en-US" w:eastAsia="zh-CN"/>
        </w:rPr>
        <w:t>合同书</w:t>
      </w:r>
    </w:p>
    <w:p w14:paraId="59C5F553">
      <w:pPr>
        <w:spacing w:line="520" w:lineRule="exact"/>
        <w:rPr>
          <w:rFonts w:ascii="宋体" w:hAnsi="宋体" w:cs="Courier New"/>
          <w:b/>
          <w:color w:val="auto"/>
          <w:sz w:val="32"/>
          <w:szCs w:val="32"/>
        </w:rPr>
      </w:pPr>
    </w:p>
    <w:p w14:paraId="4C433473">
      <w:pPr>
        <w:snapToGrid w:val="0"/>
        <w:spacing w:line="400" w:lineRule="exact"/>
        <w:jc w:val="center"/>
        <w:rPr>
          <w:rFonts w:ascii="宋体" w:hAnsi="宋体" w:cs="宋体"/>
          <w:b/>
          <w:bCs/>
          <w:color w:val="auto"/>
          <w:sz w:val="32"/>
          <w:szCs w:val="32"/>
        </w:rPr>
      </w:pPr>
    </w:p>
    <w:p w14:paraId="2DF35856">
      <w:pPr>
        <w:snapToGrid w:val="0"/>
        <w:spacing w:line="400" w:lineRule="exact"/>
        <w:ind w:right="480" w:firstLine="5250" w:firstLineChars="2500"/>
        <w:rPr>
          <w:rFonts w:ascii="宋体" w:hAnsi="宋体" w:cs="宋体"/>
          <w:bCs/>
          <w:color w:val="auto"/>
          <w:szCs w:val="21"/>
          <w:u w:val="single"/>
        </w:rPr>
      </w:pPr>
      <w:r>
        <w:rPr>
          <w:rFonts w:hint="eastAsia" w:ascii="宋体" w:hAnsi="宋体" w:cs="宋体"/>
          <w:bCs/>
          <w:color w:val="auto"/>
          <w:szCs w:val="21"/>
        </w:rPr>
        <w:t>合同编号：</w:t>
      </w:r>
    </w:p>
    <w:p w14:paraId="047345D3">
      <w:pPr>
        <w:snapToGrid w:val="0"/>
        <w:spacing w:line="360" w:lineRule="exact"/>
        <w:rPr>
          <w:rFonts w:ascii="宋体" w:hAnsi="宋体" w:cs="宋体"/>
          <w:color w:val="auto"/>
          <w:szCs w:val="21"/>
        </w:rPr>
      </w:pPr>
    </w:p>
    <w:p w14:paraId="346C048C">
      <w:pPr>
        <w:snapToGrid w:val="0"/>
        <w:spacing w:line="360" w:lineRule="auto"/>
        <w:rPr>
          <w:rFonts w:hint="eastAsia" w:ascii="宋体" w:hAnsi="宋体" w:eastAsia="宋体" w:cs="宋体"/>
          <w:color w:val="auto"/>
          <w:szCs w:val="21"/>
          <w:u w:val="single"/>
          <w:lang w:eastAsia="zh-CN"/>
        </w:rPr>
      </w:pPr>
      <w:r>
        <w:rPr>
          <w:rFonts w:hint="eastAsia" w:ascii="宋体" w:hAnsi="宋体" w:cs="宋体"/>
          <w:color w:val="auto"/>
          <w:szCs w:val="21"/>
        </w:rPr>
        <w:t>采购人（甲方）</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pacing w:val="-20"/>
          <w:szCs w:val="21"/>
        </w:rPr>
        <w:t>采 购 计 划 号</w:t>
      </w:r>
      <w:r>
        <w:rPr>
          <w:rFonts w:hint="eastAsia" w:ascii="宋体" w:hAnsi="宋体" w:cs="宋体"/>
          <w:color w:val="auto"/>
          <w:spacing w:val="-20"/>
          <w:szCs w:val="21"/>
          <w:lang w:eastAsia="zh-CN"/>
        </w:rPr>
        <w:t>：</w:t>
      </w:r>
    </w:p>
    <w:p w14:paraId="06F7CF03">
      <w:pPr>
        <w:snapToGrid w:val="0"/>
        <w:spacing w:line="360" w:lineRule="auto"/>
        <w:rPr>
          <w:rFonts w:ascii="宋体" w:hAnsi="宋体" w:cs="宋体"/>
          <w:color w:val="auto"/>
          <w:szCs w:val="21"/>
          <w:u w:val="single"/>
        </w:rPr>
      </w:pPr>
      <w:r>
        <w:rPr>
          <w:rFonts w:hint="eastAsia" w:ascii="宋体" w:hAnsi="宋体" w:cs="宋体"/>
          <w:color w:val="auto"/>
          <w:szCs w:val="21"/>
        </w:rPr>
        <w:t>供应商（乙方）</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pacing w:val="-20"/>
          <w:szCs w:val="21"/>
        </w:rPr>
        <w:t>招  标  编  号</w:t>
      </w:r>
    </w:p>
    <w:p w14:paraId="592ACEAE">
      <w:pPr>
        <w:snapToGrid w:val="0"/>
        <w:spacing w:line="360" w:lineRule="auto"/>
        <w:rPr>
          <w:rFonts w:ascii="宋体" w:hAnsi="宋体" w:cs="宋体"/>
          <w:color w:val="auto"/>
          <w:szCs w:val="21"/>
          <w:u w:val="single"/>
        </w:rPr>
      </w:pPr>
      <w:r>
        <w:rPr>
          <w:rFonts w:hint="eastAsia" w:ascii="宋体" w:hAnsi="宋体" w:cs="宋体"/>
          <w:color w:val="auto"/>
          <w:szCs w:val="21"/>
        </w:rPr>
        <w:t>签</w:t>
      </w:r>
      <w:r>
        <w:rPr>
          <w:rFonts w:hint="eastAsia" w:ascii="宋体" w:hAnsi="宋体" w:cs="宋体"/>
          <w:color w:val="auto"/>
          <w:szCs w:val="21"/>
          <w:lang w:val="en-US" w:eastAsia="zh-CN"/>
        </w:rPr>
        <w:t xml:space="preserve"> </w:t>
      </w:r>
      <w:r>
        <w:rPr>
          <w:rFonts w:hint="eastAsia" w:ascii="宋体" w:hAnsi="宋体" w:cs="宋体"/>
          <w:color w:val="auto"/>
          <w:szCs w:val="21"/>
        </w:rPr>
        <w:t>订</w:t>
      </w:r>
      <w:r>
        <w:rPr>
          <w:rFonts w:hint="eastAsia" w:ascii="宋体" w:hAnsi="宋体" w:cs="宋体"/>
          <w:color w:val="auto"/>
          <w:szCs w:val="21"/>
          <w:lang w:val="en-US" w:eastAsia="zh-CN"/>
        </w:rPr>
        <w:t xml:space="preserve"> </w:t>
      </w:r>
      <w:r>
        <w:rPr>
          <w:rFonts w:hint="eastAsia" w:ascii="宋体" w:hAnsi="宋体" w:cs="宋体"/>
          <w:color w:val="auto"/>
          <w:szCs w:val="21"/>
        </w:rPr>
        <w:t>地</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点 </w:t>
      </w:r>
      <w:r>
        <w:rPr>
          <w:rFonts w:hint="eastAsia" w:ascii="宋体" w:hAnsi="宋体" w:cs="宋体"/>
          <w:color w:val="auto"/>
          <w:szCs w:val="21"/>
          <w:lang w:eastAsia="zh-CN"/>
        </w:rPr>
        <w:t>：</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签 订 时 间</w:t>
      </w:r>
    </w:p>
    <w:p w14:paraId="3B2A1801">
      <w:pPr>
        <w:spacing w:line="360" w:lineRule="auto"/>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（是/否）</w:t>
      </w:r>
      <w:r>
        <w:rPr>
          <w:rFonts w:hint="eastAsia" w:ascii="宋体" w:hAnsi="宋体" w:cs="宋体"/>
          <w:color w:val="auto"/>
          <w:szCs w:val="21"/>
        </w:rPr>
        <w:t>。</w:t>
      </w:r>
    </w:p>
    <w:p w14:paraId="37AE9DBA">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根据《中华人民共和国政府采购法》、《中华人民共和国民法典》等法律、法规规定，按照招标文件规定条款和乙方投标文件及其承诺，甲乙双方签订本合同。</w:t>
      </w:r>
    </w:p>
    <w:p w14:paraId="0C41CAE7">
      <w:pPr>
        <w:spacing w:line="360" w:lineRule="auto"/>
        <w:ind w:firstLine="422" w:firstLineChars="200"/>
        <w:rPr>
          <w:rFonts w:ascii="宋体" w:hAnsi="宋体" w:cs="宋体"/>
          <w:b/>
          <w:color w:val="auto"/>
          <w:szCs w:val="21"/>
        </w:rPr>
      </w:pPr>
      <w:r>
        <w:rPr>
          <w:rFonts w:hint="eastAsia" w:ascii="宋体" w:hAnsi="宋体" w:cs="宋体"/>
          <w:b/>
          <w:color w:val="auto"/>
          <w:szCs w:val="21"/>
        </w:rPr>
        <w:t>第一条　合同标的</w:t>
      </w:r>
    </w:p>
    <w:p w14:paraId="50C831ED">
      <w:pPr>
        <w:spacing w:line="360" w:lineRule="auto"/>
        <w:ind w:firstLine="420" w:firstLineChars="200"/>
        <w:rPr>
          <w:rFonts w:ascii="宋体" w:hAnsi="宋体" w:cs="宋体"/>
          <w:color w:val="auto"/>
          <w:szCs w:val="21"/>
        </w:rPr>
      </w:pPr>
      <w:r>
        <w:rPr>
          <w:rFonts w:hint="eastAsia" w:ascii="宋体" w:hAnsi="宋体" w:cs="宋体"/>
          <w:color w:val="auto"/>
          <w:szCs w:val="21"/>
        </w:rPr>
        <w:t>1、项目一览表</w:t>
      </w:r>
    </w:p>
    <w:tbl>
      <w:tblPr>
        <w:tblStyle w:val="37"/>
        <w:tblW w:w="87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32"/>
        <w:gridCol w:w="2241"/>
        <w:gridCol w:w="1232"/>
        <w:gridCol w:w="1120"/>
        <w:gridCol w:w="1213"/>
        <w:gridCol w:w="1127"/>
      </w:tblGrid>
      <w:tr w14:paraId="64E2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1A462CD9">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132" w:type="dxa"/>
            <w:tcBorders>
              <w:top w:val="single" w:color="auto" w:sz="4" w:space="0"/>
              <w:left w:val="single" w:color="auto" w:sz="4" w:space="0"/>
              <w:bottom w:val="single" w:color="auto" w:sz="4" w:space="0"/>
              <w:right w:val="single" w:color="auto" w:sz="4" w:space="0"/>
            </w:tcBorders>
            <w:noWrap/>
            <w:vAlign w:val="center"/>
          </w:tcPr>
          <w:p w14:paraId="344ADC82">
            <w:pPr>
              <w:spacing w:line="360" w:lineRule="auto"/>
              <w:jc w:val="center"/>
              <w:rPr>
                <w:rFonts w:ascii="宋体" w:hAnsi="宋体" w:cs="宋体"/>
                <w:color w:val="auto"/>
                <w:szCs w:val="21"/>
              </w:rPr>
            </w:pPr>
            <w:r>
              <w:rPr>
                <w:rFonts w:hint="eastAsia" w:ascii="宋体" w:hAnsi="宋体" w:cs="宋体"/>
                <w:color w:val="auto"/>
                <w:szCs w:val="21"/>
              </w:rPr>
              <w:t>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1BA82215">
            <w:pPr>
              <w:spacing w:line="360" w:lineRule="auto"/>
              <w:jc w:val="center"/>
              <w:rPr>
                <w:rFonts w:ascii="宋体" w:hAnsi="宋体" w:cs="宋体"/>
                <w:color w:val="auto"/>
                <w:szCs w:val="21"/>
              </w:rPr>
            </w:pPr>
            <w:r>
              <w:rPr>
                <w:rFonts w:hint="eastAsia" w:ascii="宋体" w:hAnsi="宋体" w:cs="宋体"/>
                <w:color w:val="auto"/>
                <w:szCs w:val="21"/>
              </w:rPr>
              <w:t>服务内容</w:t>
            </w:r>
          </w:p>
        </w:tc>
        <w:tc>
          <w:tcPr>
            <w:tcW w:w="1232" w:type="dxa"/>
            <w:tcBorders>
              <w:top w:val="single" w:color="auto" w:sz="4" w:space="0"/>
              <w:left w:val="single" w:color="auto" w:sz="4" w:space="0"/>
              <w:bottom w:val="single" w:color="auto" w:sz="4" w:space="0"/>
              <w:right w:val="single" w:color="auto" w:sz="4" w:space="0"/>
            </w:tcBorders>
            <w:noWrap/>
            <w:vAlign w:val="center"/>
          </w:tcPr>
          <w:p w14:paraId="472592B1">
            <w:pPr>
              <w:spacing w:line="360" w:lineRule="auto"/>
              <w:jc w:val="center"/>
              <w:rPr>
                <w:rFonts w:ascii="宋体" w:hAnsi="宋体" w:cs="宋体"/>
                <w:color w:val="auto"/>
                <w:szCs w:val="21"/>
              </w:rPr>
            </w:pPr>
            <w:r>
              <w:rPr>
                <w:rFonts w:hint="eastAsia" w:ascii="宋体" w:hAnsi="宋体" w:cs="宋体"/>
                <w:color w:val="auto"/>
                <w:szCs w:val="21"/>
              </w:rPr>
              <w:t>数  量</w:t>
            </w:r>
          </w:p>
        </w:tc>
        <w:tc>
          <w:tcPr>
            <w:tcW w:w="1120" w:type="dxa"/>
            <w:tcBorders>
              <w:top w:val="single" w:color="auto" w:sz="4" w:space="0"/>
              <w:left w:val="single" w:color="auto" w:sz="4" w:space="0"/>
              <w:bottom w:val="single" w:color="auto" w:sz="4" w:space="0"/>
              <w:right w:val="single" w:color="auto" w:sz="4" w:space="0"/>
            </w:tcBorders>
            <w:noWrap/>
            <w:vAlign w:val="center"/>
          </w:tcPr>
          <w:p w14:paraId="5340F4C0">
            <w:pPr>
              <w:spacing w:line="360" w:lineRule="auto"/>
              <w:jc w:val="center"/>
              <w:rPr>
                <w:rFonts w:ascii="宋体" w:hAnsi="宋体" w:cs="宋体"/>
                <w:color w:val="auto"/>
                <w:szCs w:val="21"/>
              </w:rPr>
            </w:pPr>
            <w:r>
              <w:rPr>
                <w:rFonts w:hint="eastAsia" w:ascii="宋体" w:hAnsi="宋体" w:cs="宋体"/>
                <w:color w:val="auto"/>
                <w:szCs w:val="21"/>
              </w:rPr>
              <w:t>单位</w:t>
            </w:r>
          </w:p>
        </w:tc>
        <w:tc>
          <w:tcPr>
            <w:tcW w:w="1213" w:type="dxa"/>
            <w:tcBorders>
              <w:top w:val="single" w:color="auto" w:sz="4" w:space="0"/>
              <w:left w:val="single" w:color="auto" w:sz="4" w:space="0"/>
              <w:bottom w:val="single" w:color="auto" w:sz="4" w:space="0"/>
              <w:right w:val="single" w:color="auto" w:sz="4" w:space="0"/>
            </w:tcBorders>
            <w:noWrap/>
            <w:vAlign w:val="center"/>
          </w:tcPr>
          <w:p w14:paraId="4772DACF">
            <w:pPr>
              <w:spacing w:line="360" w:lineRule="auto"/>
              <w:jc w:val="center"/>
              <w:rPr>
                <w:rFonts w:ascii="宋体" w:hAnsi="宋体" w:cs="宋体"/>
                <w:color w:val="auto"/>
                <w:szCs w:val="21"/>
              </w:rPr>
            </w:pPr>
            <w:r>
              <w:rPr>
                <w:rFonts w:hint="eastAsia" w:ascii="宋体" w:hAnsi="宋体" w:cs="宋体"/>
                <w:color w:val="auto"/>
                <w:szCs w:val="21"/>
              </w:rPr>
              <w:t>单  价</w:t>
            </w:r>
          </w:p>
          <w:p w14:paraId="747CAF47">
            <w:pPr>
              <w:spacing w:line="360" w:lineRule="auto"/>
              <w:jc w:val="center"/>
              <w:rPr>
                <w:rFonts w:ascii="宋体" w:hAnsi="宋体" w:cs="宋体"/>
                <w:color w:val="auto"/>
                <w:szCs w:val="21"/>
              </w:rPr>
            </w:pPr>
            <w:r>
              <w:rPr>
                <w:rFonts w:hint="eastAsia" w:ascii="宋体" w:hAnsi="宋体" w:cs="宋体"/>
                <w:color w:val="auto"/>
                <w:szCs w:val="21"/>
              </w:rPr>
              <w:t>（元）</w:t>
            </w:r>
          </w:p>
        </w:tc>
        <w:tc>
          <w:tcPr>
            <w:tcW w:w="1127" w:type="dxa"/>
            <w:tcBorders>
              <w:top w:val="single" w:color="auto" w:sz="4" w:space="0"/>
              <w:left w:val="single" w:color="auto" w:sz="4" w:space="0"/>
              <w:bottom w:val="single" w:color="auto" w:sz="4" w:space="0"/>
              <w:right w:val="single" w:color="auto" w:sz="4" w:space="0"/>
            </w:tcBorders>
            <w:noWrap/>
            <w:vAlign w:val="center"/>
          </w:tcPr>
          <w:p w14:paraId="401F5061">
            <w:pPr>
              <w:spacing w:line="360" w:lineRule="auto"/>
              <w:jc w:val="center"/>
              <w:rPr>
                <w:rFonts w:ascii="宋体" w:hAnsi="宋体" w:cs="宋体"/>
                <w:color w:val="auto"/>
                <w:szCs w:val="21"/>
              </w:rPr>
            </w:pPr>
            <w:r>
              <w:rPr>
                <w:rFonts w:hint="eastAsia" w:ascii="宋体" w:hAnsi="宋体" w:cs="宋体"/>
                <w:color w:val="auto"/>
                <w:szCs w:val="21"/>
              </w:rPr>
              <w:t>总  价</w:t>
            </w:r>
          </w:p>
          <w:p w14:paraId="039B5850">
            <w:pPr>
              <w:spacing w:line="360" w:lineRule="auto"/>
              <w:jc w:val="center"/>
              <w:rPr>
                <w:rFonts w:ascii="宋体" w:hAnsi="宋体" w:cs="宋体"/>
                <w:color w:val="auto"/>
                <w:szCs w:val="21"/>
              </w:rPr>
            </w:pPr>
            <w:r>
              <w:rPr>
                <w:rFonts w:hint="eastAsia" w:ascii="宋体" w:hAnsi="宋体" w:cs="宋体"/>
                <w:color w:val="auto"/>
                <w:szCs w:val="21"/>
              </w:rPr>
              <w:t>（元）</w:t>
            </w:r>
          </w:p>
        </w:tc>
      </w:tr>
      <w:tr w14:paraId="2333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72" w:type="dxa"/>
            <w:tcBorders>
              <w:top w:val="single" w:color="auto" w:sz="4" w:space="0"/>
              <w:left w:val="single" w:color="auto" w:sz="4" w:space="0"/>
              <w:bottom w:val="single" w:color="auto" w:sz="4" w:space="0"/>
              <w:right w:val="single" w:color="auto" w:sz="4" w:space="0"/>
            </w:tcBorders>
            <w:noWrap/>
            <w:vAlign w:val="center"/>
          </w:tcPr>
          <w:p w14:paraId="353A79A7">
            <w:pPr>
              <w:spacing w:line="360" w:lineRule="auto"/>
              <w:jc w:val="center"/>
              <w:rPr>
                <w:rFonts w:ascii="宋体" w:hAnsi="宋体" w:cs="宋体"/>
                <w:color w:val="auto"/>
                <w:szCs w:val="21"/>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16DDC822">
            <w:pPr>
              <w:spacing w:line="360" w:lineRule="auto"/>
              <w:jc w:val="center"/>
              <w:rPr>
                <w:rFonts w:ascii="宋体" w:hAnsi="宋体" w:cs="宋体"/>
                <w:color w:val="auto"/>
                <w:szCs w:val="21"/>
              </w:rPr>
            </w:pPr>
          </w:p>
        </w:tc>
        <w:tc>
          <w:tcPr>
            <w:tcW w:w="2241" w:type="dxa"/>
            <w:tcBorders>
              <w:top w:val="single" w:color="auto" w:sz="4" w:space="0"/>
              <w:left w:val="single" w:color="auto" w:sz="4" w:space="0"/>
              <w:bottom w:val="single" w:color="auto" w:sz="4" w:space="0"/>
              <w:right w:val="single" w:color="auto" w:sz="4" w:space="0"/>
            </w:tcBorders>
            <w:noWrap/>
            <w:vAlign w:val="center"/>
          </w:tcPr>
          <w:p w14:paraId="09F865B2">
            <w:pPr>
              <w:spacing w:line="360" w:lineRule="auto"/>
              <w:jc w:val="center"/>
              <w:rPr>
                <w:rFonts w:ascii="宋体" w:hAnsi="宋体" w:cs="宋体"/>
                <w:color w:val="auto"/>
                <w:szCs w:val="21"/>
              </w:rPr>
            </w:pPr>
          </w:p>
        </w:tc>
        <w:tc>
          <w:tcPr>
            <w:tcW w:w="1232" w:type="dxa"/>
            <w:tcBorders>
              <w:top w:val="single" w:color="auto" w:sz="4" w:space="0"/>
              <w:left w:val="single" w:color="auto" w:sz="4" w:space="0"/>
              <w:bottom w:val="single" w:color="auto" w:sz="4" w:space="0"/>
              <w:right w:val="single" w:color="auto" w:sz="4" w:space="0"/>
            </w:tcBorders>
            <w:noWrap/>
            <w:vAlign w:val="center"/>
          </w:tcPr>
          <w:p w14:paraId="1A69D114">
            <w:pPr>
              <w:spacing w:line="360" w:lineRule="auto"/>
              <w:jc w:val="center"/>
              <w:rPr>
                <w:rFonts w:ascii="宋体" w:hAnsi="宋体" w:cs="宋体"/>
                <w:color w:val="auto"/>
                <w:szCs w:val="21"/>
              </w:rPr>
            </w:pPr>
          </w:p>
        </w:tc>
        <w:tc>
          <w:tcPr>
            <w:tcW w:w="1120" w:type="dxa"/>
            <w:tcBorders>
              <w:top w:val="single" w:color="auto" w:sz="4" w:space="0"/>
              <w:left w:val="single" w:color="auto" w:sz="4" w:space="0"/>
              <w:bottom w:val="single" w:color="auto" w:sz="4" w:space="0"/>
              <w:right w:val="single" w:color="auto" w:sz="4" w:space="0"/>
            </w:tcBorders>
            <w:noWrap/>
            <w:vAlign w:val="center"/>
          </w:tcPr>
          <w:p w14:paraId="20B85E7A">
            <w:pPr>
              <w:spacing w:line="360" w:lineRule="auto"/>
              <w:jc w:val="center"/>
              <w:rPr>
                <w:rFonts w:ascii="宋体" w:hAnsi="宋体" w:cs="宋体"/>
                <w:color w:val="auto"/>
                <w:szCs w:val="21"/>
              </w:rPr>
            </w:pPr>
          </w:p>
        </w:tc>
        <w:tc>
          <w:tcPr>
            <w:tcW w:w="1213" w:type="dxa"/>
            <w:tcBorders>
              <w:top w:val="single" w:color="auto" w:sz="4" w:space="0"/>
              <w:left w:val="single" w:color="auto" w:sz="4" w:space="0"/>
              <w:bottom w:val="single" w:color="auto" w:sz="4" w:space="0"/>
              <w:right w:val="single" w:color="auto" w:sz="4" w:space="0"/>
            </w:tcBorders>
            <w:noWrap/>
            <w:vAlign w:val="center"/>
          </w:tcPr>
          <w:p w14:paraId="29E51520">
            <w:pPr>
              <w:spacing w:line="360" w:lineRule="auto"/>
              <w:jc w:val="center"/>
              <w:rPr>
                <w:rFonts w:ascii="宋体" w:hAnsi="宋体" w:cs="宋体"/>
                <w:color w:val="auto"/>
                <w:szCs w:val="21"/>
              </w:rPr>
            </w:pPr>
          </w:p>
        </w:tc>
        <w:tc>
          <w:tcPr>
            <w:tcW w:w="1127" w:type="dxa"/>
            <w:tcBorders>
              <w:top w:val="single" w:color="auto" w:sz="4" w:space="0"/>
              <w:left w:val="single" w:color="auto" w:sz="4" w:space="0"/>
              <w:bottom w:val="single" w:color="auto" w:sz="4" w:space="0"/>
              <w:right w:val="single" w:color="auto" w:sz="4" w:space="0"/>
            </w:tcBorders>
            <w:noWrap/>
            <w:vAlign w:val="center"/>
          </w:tcPr>
          <w:p w14:paraId="47C4B9E5">
            <w:pPr>
              <w:spacing w:line="360" w:lineRule="auto"/>
              <w:jc w:val="center"/>
              <w:rPr>
                <w:rFonts w:ascii="宋体" w:hAnsi="宋体" w:cs="宋体"/>
                <w:color w:val="auto"/>
                <w:szCs w:val="21"/>
              </w:rPr>
            </w:pPr>
          </w:p>
        </w:tc>
      </w:tr>
      <w:tr w14:paraId="6973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737" w:type="dxa"/>
            <w:gridSpan w:val="7"/>
            <w:tcBorders>
              <w:top w:val="single" w:color="auto" w:sz="4" w:space="0"/>
              <w:left w:val="single" w:color="auto" w:sz="4" w:space="0"/>
              <w:bottom w:val="single" w:color="auto" w:sz="4" w:space="0"/>
              <w:right w:val="single" w:color="auto" w:sz="4" w:space="0"/>
            </w:tcBorders>
            <w:noWrap/>
            <w:vAlign w:val="center"/>
          </w:tcPr>
          <w:p w14:paraId="0DBA1004">
            <w:pPr>
              <w:spacing w:line="360" w:lineRule="auto"/>
              <w:jc w:val="center"/>
              <w:rPr>
                <w:rFonts w:ascii="宋体" w:hAnsi="宋体" w:cs="宋体"/>
                <w:color w:val="auto"/>
                <w:szCs w:val="21"/>
              </w:rPr>
            </w:pPr>
            <w:r>
              <w:rPr>
                <w:rFonts w:hint="eastAsia" w:ascii="宋体" w:hAnsi="宋体" w:cs="宋体"/>
                <w:color w:val="auto"/>
                <w:szCs w:val="21"/>
              </w:rPr>
              <w:t>详见开标一览表</w:t>
            </w:r>
          </w:p>
        </w:tc>
      </w:tr>
      <w:tr w14:paraId="0F09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8737" w:type="dxa"/>
            <w:gridSpan w:val="7"/>
            <w:tcBorders>
              <w:top w:val="single" w:color="auto" w:sz="4" w:space="0"/>
              <w:left w:val="single" w:color="auto" w:sz="4" w:space="0"/>
              <w:bottom w:val="single" w:color="auto" w:sz="4" w:space="0"/>
              <w:right w:val="single" w:color="auto" w:sz="4" w:space="0"/>
            </w:tcBorders>
            <w:noWrap/>
            <w:vAlign w:val="center"/>
          </w:tcPr>
          <w:p w14:paraId="1396096D">
            <w:pPr>
              <w:spacing w:line="360" w:lineRule="auto"/>
              <w:rPr>
                <w:rFonts w:ascii="宋体" w:hAnsi="宋体" w:cs="宋体"/>
                <w:color w:val="auto"/>
                <w:szCs w:val="21"/>
              </w:rPr>
            </w:pPr>
            <w:r>
              <w:rPr>
                <w:rFonts w:hint="eastAsia" w:ascii="宋体" w:hAnsi="宋体" w:cs="宋体"/>
                <w:color w:val="auto"/>
                <w:szCs w:val="21"/>
              </w:rPr>
              <w:t xml:space="preserve">人民币合计金额（大写）：元整（¥）              </w:t>
            </w:r>
          </w:p>
        </w:tc>
      </w:tr>
    </w:tbl>
    <w:p w14:paraId="11982AC6">
      <w:pPr>
        <w:snapToGrid w:val="0"/>
        <w:spacing w:line="360" w:lineRule="exact"/>
        <w:ind w:firstLine="420" w:firstLineChars="200"/>
        <w:outlineLvl w:val="0"/>
        <w:rPr>
          <w:rFonts w:ascii="宋体" w:hAnsi="宋体" w:cs="宋体"/>
          <w:color w:val="auto"/>
          <w:szCs w:val="21"/>
          <w:lang w:val="zh-CN"/>
        </w:rPr>
      </w:pPr>
      <w:r>
        <w:rPr>
          <w:rFonts w:hint="eastAsia" w:ascii="宋体" w:hAnsi="宋体"/>
          <w:color w:val="auto"/>
          <w:szCs w:val="21"/>
          <w:lang w:val="en-US" w:eastAsia="zh-CN"/>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r>
        <w:rPr>
          <w:rFonts w:hint="eastAsia" w:ascii="宋体" w:hAnsi="宋体" w:cs="宋体"/>
          <w:color w:val="auto"/>
          <w:kern w:val="0"/>
          <w:szCs w:val="21"/>
          <w:lang w:val="zh-CN"/>
        </w:rPr>
        <w:t>。</w:t>
      </w:r>
    </w:p>
    <w:p w14:paraId="535EB13C">
      <w:pPr>
        <w:rPr>
          <w:color w:val="auto"/>
        </w:rPr>
      </w:pPr>
    </w:p>
    <w:p w14:paraId="5E1823AA">
      <w:pPr>
        <w:spacing w:line="360" w:lineRule="auto"/>
        <w:ind w:firstLine="422" w:firstLineChars="200"/>
        <w:rPr>
          <w:rFonts w:ascii="宋体" w:hAnsi="宋体" w:cs="宋体"/>
          <w:b/>
          <w:color w:val="auto"/>
          <w:szCs w:val="21"/>
        </w:rPr>
      </w:pPr>
      <w:r>
        <w:rPr>
          <w:rFonts w:hint="eastAsia" w:ascii="宋体" w:hAnsi="宋体" w:cs="宋体"/>
          <w:b/>
          <w:color w:val="auto"/>
          <w:szCs w:val="21"/>
        </w:rPr>
        <w:t>第二条　质量保证</w:t>
      </w:r>
    </w:p>
    <w:p w14:paraId="11C3AE9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7780CA75">
      <w:pPr>
        <w:spacing w:line="360" w:lineRule="auto"/>
        <w:ind w:firstLine="422" w:firstLineChars="200"/>
        <w:rPr>
          <w:rFonts w:ascii="宋体" w:hAnsi="宋体" w:cs="宋体"/>
          <w:color w:val="auto"/>
          <w:szCs w:val="21"/>
        </w:rPr>
      </w:pPr>
      <w:r>
        <w:rPr>
          <w:rFonts w:hint="eastAsia" w:ascii="宋体" w:hAnsi="宋体" w:cs="宋体"/>
          <w:b/>
          <w:color w:val="auto"/>
          <w:szCs w:val="21"/>
        </w:rPr>
        <w:t>第三条　权利保证</w:t>
      </w:r>
    </w:p>
    <w:p w14:paraId="4FDC721D">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p>
    <w:p w14:paraId="216B7AE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5D421FF">
      <w:pPr>
        <w:spacing w:line="360" w:lineRule="auto"/>
        <w:ind w:firstLine="422" w:firstLineChars="200"/>
        <w:rPr>
          <w:rFonts w:ascii="宋体" w:hAnsi="宋体" w:cs="宋体"/>
          <w:color w:val="auto"/>
          <w:szCs w:val="21"/>
        </w:rPr>
      </w:pPr>
      <w:r>
        <w:rPr>
          <w:rFonts w:hint="eastAsia" w:ascii="宋体" w:hAnsi="宋体" w:cs="宋体"/>
          <w:b/>
          <w:color w:val="auto"/>
          <w:szCs w:val="21"/>
        </w:rPr>
        <w:t>第四条　交付和验收</w:t>
      </w:r>
    </w:p>
    <w:p w14:paraId="37E5DF00">
      <w:pPr>
        <w:spacing w:line="360" w:lineRule="auto"/>
        <w:ind w:firstLine="420" w:firstLineChars="200"/>
        <w:rPr>
          <w:rFonts w:ascii="宋体" w:hAnsi="宋体" w:cs="宋体"/>
          <w:color w:val="auto"/>
          <w:szCs w:val="21"/>
        </w:rPr>
      </w:pPr>
      <w:r>
        <w:rPr>
          <w:rFonts w:hint="eastAsia" w:ascii="宋体" w:hAnsi="宋体" w:cs="宋体"/>
          <w:color w:val="auto"/>
          <w:szCs w:val="21"/>
        </w:rPr>
        <w:t>1、服务期限：</w:t>
      </w:r>
      <w:r>
        <w:rPr>
          <w:rFonts w:hint="eastAsia" w:ascii="宋体" w:hAnsi="宋体" w:cs="宋体"/>
          <w:color w:val="auto"/>
          <w:szCs w:val="21"/>
          <w:u w:val="single"/>
        </w:rPr>
        <w:t xml:space="preserve">           起至          </w:t>
      </w:r>
      <w:r>
        <w:rPr>
          <w:rFonts w:hint="eastAsia" w:ascii="宋体" w:hAnsi="宋体" w:cs="宋体"/>
          <w:color w:val="auto"/>
          <w:szCs w:val="21"/>
        </w:rPr>
        <w:t>，服务地点：</w:t>
      </w:r>
      <w:r>
        <w:rPr>
          <w:rFonts w:hint="eastAsia" w:ascii="宋体" w:hAnsi="宋体" w:cs="宋体"/>
          <w:color w:val="auto"/>
          <w:szCs w:val="21"/>
          <w:u w:val="single"/>
          <w:lang w:val="en-US" w:eastAsia="zh-CN"/>
        </w:rPr>
        <w:t>河池市境</w:t>
      </w:r>
      <w:r>
        <w:rPr>
          <w:rFonts w:hint="eastAsia" w:ascii="宋体" w:hAnsi="宋体" w:cs="宋体"/>
          <w:color w:val="auto"/>
          <w:szCs w:val="21"/>
          <w:u w:val="single"/>
        </w:rPr>
        <w:t>内采购人指定地点</w:t>
      </w:r>
      <w:r>
        <w:rPr>
          <w:rFonts w:hint="eastAsia" w:ascii="宋体" w:hAnsi="宋体" w:cs="宋体"/>
          <w:color w:val="auto"/>
          <w:szCs w:val="21"/>
        </w:rPr>
        <w:t>。</w:t>
      </w:r>
    </w:p>
    <w:p w14:paraId="7CDF2B8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2、乙方应按投标文件的承诺向甲方提供相应的服务，并提供所服务内容的相关技术资料。</w:t>
      </w:r>
    </w:p>
    <w:p w14:paraId="2C548069">
      <w:pPr>
        <w:spacing w:line="360" w:lineRule="auto"/>
        <w:ind w:firstLine="420" w:firstLineChars="200"/>
        <w:rPr>
          <w:rFonts w:ascii="宋体" w:hAnsi="宋体" w:cs="宋体"/>
          <w:color w:val="auto"/>
          <w:szCs w:val="21"/>
        </w:rPr>
      </w:pPr>
      <w:r>
        <w:rPr>
          <w:rFonts w:hint="eastAsia" w:ascii="宋体" w:hAnsi="宋体" w:cs="宋体"/>
          <w:color w:val="auto"/>
          <w:szCs w:val="21"/>
        </w:rPr>
        <w:t>3、乙方提供不符合投标文件和本合同规定的服务成果，甲方有权拒绝接受。</w:t>
      </w:r>
    </w:p>
    <w:p w14:paraId="4FD3A686">
      <w:pPr>
        <w:spacing w:line="360" w:lineRule="auto"/>
        <w:ind w:firstLine="420" w:firstLineChars="200"/>
        <w:rPr>
          <w:rFonts w:ascii="宋体" w:hAnsi="宋体" w:cs="宋体"/>
          <w:color w:val="auto"/>
          <w:szCs w:val="21"/>
        </w:rPr>
      </w:pPr>
      <w:r>
        <w:rPr>
          <w:rFonts w:hint="eastAsia" w:ascii="宋体" w:hAnsi="宋体" w:cs="宋体"/>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D978CEC">
      <w:pPr>
        <w:spacing w:line="360" w:lineRule="auto"/>
        <w:ind w:firstLine="420" w:firstLineChars="200"/>
        <w:rPr>
          <w:rFonts w:ascii="宋体" w:hAnsi="宋体" w:cs="宋体"/>
          <w:color w:val="auto"/>
          <w:szCs w:val="21"/>
        </w:rPr>
      </w:pPr>
      <w:r>
        <w:rPr>
          <w:rFonts w:hint="eastAsia" w:ascii="宋体" w:hAnsi="宋体" w:cs="宋体"/>
          <w:color w:val="auto"/>
          <w:szCs w:val="21"/>
        </w:rPr>
        <w:t>5、甲乙双方应按照《广西壮族自治区政府采购项目履约验收管理办法》、双方合同、投标文件验收。</w:t>
      </w:r>
    </w:p>
    <w:p w14:paraId="6C0EF113">
      <w:pPr>
        <w:spacing w:line="360" w:lineRule="auto"/>
        <w:ind w:firstLine="420" w:firstLineChars="200"/>
        <w:rPr>
          <w:rFonts w:ascii="宋体" w:hAnsi="宋体" w:cs="宋体"/>
          <w:color w:val="auto"/>
          <w:szCs w:val="21"/>
        </w:rPr>
      </w:pPr>
      <w:r>
        <w:rPr>
          <w:rFonts w:hint="eastAsia" w:ascii="宋体" w:hAnsi="宋体" w:cs="宋体"/>
          <w:color w:val="auto"/>
          <w:szCs w:val="21"/>
        </w:rPr>
        <w:t>6、甲方在初步验收或者最终验收过程中如发现乙方提供的服务成果不满足投标文件及本合同规定的，可暂缓向乙方付款，直到乙方及时完善并提交相应的服务成果且经甲方验收合格后，方可办理付款，</w:t>
      </w:r>
      <w:r>
        <w:rPr>
          <w:rFonts w:hint="eastAsia" w:ascii="宋体" w:hAnsi="宋体" w:cs="宋体"/>
          <w:color w:val="auto"/>
        </w:rPr>
        <w:t>项目期限不顺延</w:t>
      </w:r>
      <w:r>
        <w:rPr>
          <w:rFonts w:hint="eastAsia" w:ascii="宋体" w:hAnsi="宋体" w:cs="宋体"/>
          <w:color w:val="auto"/>
          <w:szCs w:val="21"/>
        </w:rPr>
        <w:t>。</w:t>
      </w:r>
    </w:p>
    <w:p w14:paraId="207987C5">
      <w:pPr>
        <w:spacing w:line="360" w:lineRule="auto"/>
        <w:ind w:firstLine="420" w:firstLineChars="200"/>
        <w:rPr>
          <w:rFonts w:ascii="宋体" w:hAnsi="宋体" w:cs="宋体"/>
          <w:color w:val="auto"/>
          <w:szCs w:val="21"/>
        </w:rPr>
      </w:pPr>
      <w:r>
        <w:rPr>
          <w:rFonts w:hint="eastAsia" w:ascii="宋体" w:hAnsi="宋体" w:cs="宋体"/>
          <w:color w:val="auto"/>
          <w:szCs w:val="21"/>
        </w:rPr>
        <w:t>7、甲方验收时以书面形式提出异议的，乙方应自收到甲方书面异议后五个工作日内及时予以解决，否则甲方有权不出具服务验收合格单。</w:t>
      </w:r>
    </w:p>
    <w:p w14:paraId="40F9A167">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第五条  后续服务</w:t>
      </w:r>
    </w:p>
    <w:p w14:paraId="5E715B90">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1、乙方应按照国家有关法律法规和本合同所附的《商务要求偏离表》要求为甲方提供相应的后续服务。</w:t>
      </w:r>
    </w:p>
    <w:p w14:paraId="6923B568">
      <w:pPr>
        <w:spacing w:line="360" w:lineRule="auto"/>
        <w:ind w:firstLine="420" w:firstLineChars="200"/>
        <w:rPr>
          <w:rFonts w:ascii="宋体" w:hAnsi="宋体" w:cs="宋体"/>
          <w:color w:val="auto"/>
          <w:szCs w:val="21"/>
        </w:rPr>
      </w:pPr>
      <w:r>
        <w:rPr>
          <w:rFonts w:hint="eastAsia" w:ascii="宋体" w:hAnsi="宋体" w:cs="宋体"/>
          <w:color w:val="auto"/>
          <w:szCs w:val="21"/>
        </w:rPr>
        <w:t>2、甲方应提供必要测试条件（如场地、电源、水源等）。</w:t>
      </w:r>
    </w:p>
    <w:p w14:paraId="12635AFA">
      <w:pPr>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第六条　付款方式</w:t>
      </w:r>
    </w:p>
    <w:p w14:paraId="3BD15627">
      <w:pPr>
        <w:snapToGrid w:val="0"/>
        <w:spacing w:line="360" w:lineRule="exact"/>
        <w:ind w:firstLine="420" w:firstLineChars="200"/>
        <w:outlineLvl w:val="0"/>
        <w:rPr>
          <w:rFonts w:hint="eastAsia" w:ascii="宋体" w:hAnsi="宋体" w:cs="宋体"/>
          <w:color w:val="auto"/>
          <w:kern w:val="0"/>
          <w:szCs w:val="21"/>
          <w:lang w:val="zh-CN"/>
        </w:rPr>
      </w:pPr>
      <w:r>
        <w:rPr>
          <w:rFonts w:hint="eastAsia"/>
          <w:color w:val="auto"/>
        </w:rPr>
        <w:t xml:space="preserve"> </w:t>
      </w:r>
      <w:r>
        <w:rPr>
          <w:rFonts w:hint="eastAsia"/>
          <w:color w:val="auto"/>
          <w:lang w:val="en-US" w:eastAsia="zh-CN"/>
        </w:rPr>
        <w:t>自合同签订且中标供应商设备进场后，中标供应商递交请款报告并开具正式发票给采购人，采购人应于10个工作日内发请款函至财政部门，申请支付合同金额的50%预付款给中标供应商。余下50%，待中标供应商出具检测报告并经采购人验收合格后，中标供应商开具正式发票给甲方，甲方应于10个工作日内发请款函至财政部门申请拨付</w:t>
      </w:r>
      <w:r>
        <w:rPr>
          <w:rFonts w:hint="eastAsia" w:ascii="宋体" w:hAnsi="宋体" w:cs="宋体"/>
          <w:color w:val="auto"/>
          <w:kern w:val="0"/>
          <w:szCs w:val="21"/>
          <w:lang w:val="zh-CN"/>
        </w:rPr>
        <w:t>。</w:t>
      </w:r>
    </w:p>
    <w:p w14:paraId="095DDD89">
      <w:pPr>
        <w:snapToGrid w:val="0"/>
        <w:spacing w:line="360" w:lineRule="exact"/>
        <w:ind w:firstLine="422" w:firstLineChars="200"/>
        <w:outlineLvl w:val="0"/>
        <w:rPr>
          <w:rFonts w:ascii="宋体" w:hAnsi="宋体" w:cs="宋体"/>
          <w:b/>
          <w:color w:val="auto"/>
          <w:szCs w:val="21"/>
        </w:rPr>
      </w:pPr>
      <w:r>
        <w:rPr>
          <w:rFonts w:hint="eastAsia" w:ascii="宋体" w:hAnsi="宋体" w:cs="宋体"/>
          <w:b/>
          <w:color w:val="auto"/>
          <w:szCs w:val="21"/>
        </w:rPr>
        <w:t>第七条　履约保证金</w:t>
      </w:r>
    </w:p>
    <w:p w14:paraId="41677BA1">
      <w:pPr>
        <w:pStyle w:val="15"/>
        <w:spacing w:line="400" w:lineRule="exact"/>
        <w:ind w:firstLine="420" w:firstLineChars="200"/>
        <w:rPr>
          <w:rFonts w:ascii="宋体" w:hAnsi="宋体" w:cs="宋体"/>
          <w:color w:val="auto"/>
          <w:szCs w:val="21"/>
        </w:rPr>
      </w:pPr>
      <w:r>
        <w:rPr>
          <w:rFonts w:hint="eastAsia" w:ascii="宋体" w:hAnsi="宋体"/>
          <w:color w:val="auto"/>
          <w:szCs w:val="21"/>
        </w:rPr>
        <w:t>无</w:t>
      </w:r>
    </w:p>
    <w:p w14:paraId="447437F2">
      <w:pPr>
        <w:spacing w:line="360" w:lineRule="auto"/>
        <w:ind w:firstLine="422" w:firstLineChars="200"/>
        <w:rPr>
          <w:rFonts w:ascii="宋体" w:hAnsi="宋体" w:cs="宋体"/>
          <w:b/>
          <w:color w:val="auto"/>
          <w:szCs w:val="21"/>
        </w:rPr>
      </w:pPr>
      <w:r>
        <w:rPr>
          <w:rFonts w:hint="eastAsia" w:ascii="宋体" w:hAnsi="宋体" w:cs="宋体"/>
          <w:b/>
          <w:color w:val="auto"/>
          <w:szCs w:val="21"/>
        </w:rPr>
        <w:t>第八条  税费</w:t>
      </w:r>
    </w:p>
    <w:p w14:paraId="7151B294">
      <w:pPr>
        <w:spacing w:line="360" w:lineRule="auto"/>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本合同执行中相关的一切税费均由乙方负担，合同另有约定的除外。</w:t>
      </w:r>
    </w:p>
    <w:p w14:paraId="0800866A">
      <w:pPr>
        <w:spacing w:line="360" w:lineRule="auto"/>
        <w:ind w:firstLine="422" w:firstLineChars="200"/>
        <w:rPr>
          <w:rFonts w:ascii="宋体" w:hAnsi="宋体" w:cs="宋体"/>
          <w:b/>
          <w:color w:val="auto"/>
          <w:szCs w:val="21"/>
        </w:rPr>
      </w:pPr>
      <w:r>
        <w:rPr>
          <w:rFonts w:hint="eastAsia" w:ascii="宋体" w:hAnsi="宋体" w:cs="宋体"/>
          <w:b/>
          <w:color w:val="auto"/>
          <w:szCs w:val="21"/>
        </w:rPr>
        <w:t>第九条　违约责任</w:t>
      </w:r>
    </w:p>
    <w:p w14:paraId="5E0B1EED">
      <w:pPr>
        <w:snapToGrid w:val="0"/>
        <w:spacing w:line="360" w:lineRule="auto"/>
        <w:ind w:firstLine="420" w:firstLineChars="200"/>
        <w:rPr>
          <w:rFonts w:ascii="宋体" w:hAnsi="宋体" w:cs="宋体"/>
          <w:color w:val="auto"/>
        </w:rPr>
      </w:pPr>
      <w:r>
        <w:rPr>
          <w:rFonts w:hint="eastAsia" w:ascii="宋体" w:hAnsi="宋体" w:cs="宋体"/>
          <w:color w:val="auto"/>
          <w:szCs w:val="21"/>
        </w:rPr>
        <w:t>1、除不可抗力原因外，乙方没有按照合同规定的时间提供服务的，甲方可要求乙方支付违约金。每推迟一天按合同金额的3‰支付违约金，若逾期超过10日的</w:t>
      </w:r>
      <w:r>
        <w:rPr>
          <w:rFonts w:hint="eastAsia" w:ascii="宋体" w:hAnsi="宋体" w:cs="宋体"/>
          <w:color w:val="auto"/>
        </w:rPr>
        <w:t>，甲方有权解除合同，乙方除支付前述违约金外，还应于10日内退还已取得的合同款，造成甲方其他损失的，乙方应予赔偿。</w:t>
      </w:r>
    </w:p>
    <w:p w14:paraId="46945325">
      <w:pPr>
        <w:pStyle w:val="8"/>
        <w:rPr>
          <w:rFonts w:ascii="宋体" w:hAnsi="宋体" w:cs="宋体"/>
          <w:color w:val="auto"/>
        </w:rPr>
      </w:pPr>
      <w:r>
        <w:rPr>
          <w:rFonts w:hint="eastAsia" w:ascii="宋体" w:hAnsi="宋体" w:cs="宋体"/>
          <w:color w:val="auto"/>
        </w:rPr>
        <w:t>2、乙方所提供的服务有不足或瑕疵的，或者检测成果经甲方验收不合格的，乙方应按甲方要求整改重新提交成果，直至验收合格，项目期限不顺延。</w:t>
      </w:r>
    </w:p>
    <w:p w14:paraId="0939116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3、乙方提供的服务如侵犯了第三方合法权益而引发的任何纠纷或者诉讼，均由乙方负责交涉并承担全部责任。</w:t>
      </w:r>
    </w:p>
    <w:p w14:paraId="5766AEE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hint="eastAsia"/>
          <w:color w:val="auto"/>
        </w:rPr>
        <w:t>如因甲方未及时提交请款函至财政部门，甲方需每天向乙方偿付</w:t>
      </w:r>
      <w:r>
        <w:rPr>
          <w:rFonts w:hint="eastAsia"/>
          <w:color w:val="auto"/>
          <w:lang w:eastAsia="zh-CN"/>
        </w:rPr>
        <w:t>乙方申请拨款金额</w:t>
      </w:r>
      <w:r>
        <w:rPr>
          <w:rFonts w:hint="eastAsia"/>
          <w:color w:val="auto"/>
        </w:rPr>
        <w:t>3‰</w:t>
      </w:r>
      <w:r>
        <w:rPr>
          <w:rFonts w:hint="eastAsia"/>
          <w:color w:val="auto"/>
          <w:lang w:eastAsia="zh-CN"/>
        </w:rPr>
        <w:t>的</w:t>
      </w:r>
      <w:r>
        <w:rPr>
          <w:rFonts w:hint="eastAsia"/>
          <w:color w:val="auto"/>
        </w:rPr>
        <w:t>违约金，但违约金累计不得超过</w:t>
      </w:r>
      <w:r>
        <w:rPr>
          <w:rFonts w:hint="eastAsia"/>
          <w:color w:val="auto"/>
          <w:lang w:eastAsia="zh-CN"/>
        </w:rPr>
        <w:t>乙方申请拨付款额的</w:t>
      </w:r>
      <w:r>
        <w:rPr>
          <w:rFonts w:hint="eastAsia"/>
          <w:color w:val="auto"/>
        </w:rPr>
        <w:t>5%。除甲方未及时提交请款函至财政部门造成延期付款外，如有其他原因造成延期付款的，不视为甲方违约，甲方无需支付违约金。</w:t>
      </w:r>
    </w:p>
    <w:p w14:paraId="1C9CE4DC">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5、因乙方提供的服务或在乙方提供服务期间因乙方的行为引发的任何纠纷或诉讼，均由乙方负责解决并承担全部责任。</w:t>
      </w:r>
    </w:p>
    <w:p w14:paraId="3826DA0E">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6、乙方擅自终止或解除合同的，</w:t>
      </w:r>
      <w:r>
        <w:rPr>
          <w:rFonts w:hint="eastAsia" w:ascii="宋体" w:hAnsi="宋体" w:cs="宋体"/>
          <w:color w:val="auto"/>
        </w:rPr>
        <w:t>应于10日内退还已取得的合同款，</w:t>
      </w:r>
      <w:r>
        <w:rPr>
          <w:rFonts w:hint="eastAsia" w:ascii="宋体" w:hAnsi="宋体" w:cs="宋体"/>
          <w:color w:val="auto"/>
          <w:szCs w:val="21"/>
        </w:rPr>
        <w:t>并支付合同总价的30%的违约金给甲方，违约金不足以弥补甲方损失的，乙方还应赔偿。</w:t>
      </w:r>
    </w:p>
    <w:p w14:paraId="7885239B">
      <w:pPr>
        <w:spacing w:line="360" w:lineRule="auto"/>
        <w:ind w:firstLine="422" w:firstLineChars="200"/>
        <w:rPr>
          <w:rFonts w:ascii="宋体" w:hAnsi="宋体" w:cs="宋体"/>
          <w:b/>
          <w:color w:val="auto"/>
          <w:szCs w:val="21"/>
        </w:rPr>
      </w:pPr>
      <w:r>
        <w:rPr>
          <w:rFonts w:hint="eastAsia" w:ascii="宋体" w:hAnsi="宋体" w:cs="宋体"/>
          <w:b/>
          <w:color w:val="auto"/>
          <w:szCs w:val="21"/>
        </w:rPr>
        <w:t>第十条  不可抗力事件处理</w:t>
      </w:r>
    </w:p>
    <w:p w14:paraId="66229740">
      <w:pPr>
        <w:spacing w:line="360" w:lineRule="auto"/>
        <w:ind w:firstLine="420" w:firstLineChars="200"/>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14:paraId="22402D11">
      <w:pPr>
        <w:spacing w:line="360" w:lineRule="auto"/>
        <w:ind w:firstLine="420" w:firstLineChars="20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14:paraId="2EF6360D">
      <w:pPr>
        <w:spacing w:line="360" w:lineRule="auto"/>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14:paraId="403B7201">
      <w:pPr>
        <w:spacing w:line="360" w:lineRule="auto"/>
        <w:ind w:firstLine="422" w:firstLineChars="200"/>
        <w:rPr>
          <w:rFonts w:ascii="宋体" w:hAnsi="宋体" w:cs="宋体"/>
          <w:color w:val="auto"/>
          <w:szCs w:val="21"/>
        </w:rPr>
      </w:pPr>
      <w:r>
        <w:rPr>
          <w:rFonts w:hint="eastAsia" w:ascii="宋体" w:hAnsi="宋体" w:cs="宋体"/>
          <w:b/>
          <w:color w:val="auto"/>
          <w:szCs w:val="21"/>
        </w:rPr>
        <w:t>第十一条  合同争议解决</w:t>
      </w:r>
    </w:p>
    <w:p w14:paraId="61A24AE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1、因服务质量问题发生争议的，应邀请国家认可的质量检测机构进行鉴定。服务符合标准的，鉴定费由甲方承担；服务不符合标准的，鉴定费由乙方承担。</w:t>
      </w:r>
    </w:p>
    <w:p w14:paraId="2BD36B32">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2、因履行本合同引起的或者与本合同有关的争议，甲乙双方应首先通过友好协商解决，如果协商不能解决，可向甲方所在地有管辖权人民法院提起诉讼。</w:t>
      </w:r>
    </w:p>
    <w:p w14:paraId="6606408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3、诉讼期间，本合同继续履行。</w:t>
      </w:r>
    </w:p>
    <w:p w14:paraId="7642807E">
      <w:pPr>
        <w:pStyle w:val="20"/>
        <w:snapToGrid w:val="0"/>
        <w:spacing w:line="400" w:lineRule="exact"/>
        <w:ind w:firstLine="420" w:firstLineChars="200"/>
        <w:rPr>
          <w:rFonts w:hAnsi="宋体" w:cs="宋体"/>
          <w:color w:val="auto"/>
        </w:rPr>
      </w:pPr>
      <w:r>
        <w:rPr>
          <w:rFonts w:hint="eastAsia" w:hAnsi="宋体" w:cs="宋体"/>
          <w:color w:val="auto"/>
          <w:sz w:val="21"/>
        </w:rPr>
        <w:t>4、因一方不履行合同约定的义务而致使守约方因此提起仲裁或诉讼的，违约方应承担守约方为此而支出的所有费用，包括仲裁费、诉讼费、律师费、调查取证费、差旅费、担保费、保全费等。</w:t>
      </w:r>
    </w:p>
    <w:p w14:paraId="6AD964BE">
      <w:pPr>
        <w:spacing w:line="360" w:lineRule="auto"/>
        <w:ind w:firstLine="422" w:firstLineChars="200"/>
        <w:rPr>
          <w:rFonts w:ascii="宋体" w:hAnsi="宋体" w:cs="宋体"/>
          <w:b/>
          <w:color w:val="auto"/>
          <w:szCs w:val="21"/>
        </w:rPr>
      </w:pPr>
      <w:r>
        <w:rPr>
          <w:rFonts w:hint="eastAsia" w:ascii="宋体" w:hAnsi="宋体" w:cs="宋体"/>
          <w:b/>
          <w:color w:val="auto"/>
          <w:szCs w:val="21"/>
        </w:rPr>
        <w:t>第十二条  合同生效及其它</w:t>
      </w:r>
    </w:p>
    <w:p w14:paraId="0EFABE21">
      <w:pPr>
        <w:spacing w:line="360" w:lineRule="auto"/>
        <w:ind w:firstLine="420" w:firstLineChars="200"/>
        <w:rPr>
          <w:rFonts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1、合同经双方法定代表人或者授权代表签字并加盖单位公章后生效（委托代理人签字的需后附授权委托书，格式自拟）。</w:t>
      </w:r>
    </w:p>
    <w:p w14:paraId="035BD88D">
      <w:pPr>
        <w:spacing w:line="360" w:lineRule="auto"/>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2、合同执行中涉及采购资金和采购内容修改或者补充的，须经财政部门审批，并签书面补充协议报财政部门备案，方可作为主合同不可分割的一部分。</w:t>
      </w:r>
    </w:p>
    <w:p w14:paraId="4B02C360">
      <w:pPr>
        <w:spacing w:line="360" w:lineRule="auto"/>
        <w:ind w:firstLine="420" w:firstLineChars="200"/>
        <w:rPr>
          <w:rFonts w:ascii="宋体" w:hAnsi="宋体" w:cs="宋体"/>
          <w:color w:val="auto"/>
          <w:szCs w:val="21"/>
        </w:rPr>
      </w:pPr>
      <w:r>
        <w:rPr>
          <w:rFonts w:hint="eastAsia" w:ascii="宋体" w:hAnsi="宋体" w:cs="宋体"/>
          <w:color w:val="auto"/>
          <w:szCs w:val="21"/>
        </w:rPr>
        <w:t>3、本合同未尽事宜，遵照《中华人民共和国民法典》有关条文执行。</w:t>
      </w:r>
    </w:p>
    <w:p w14:paraId="4561001A">
      <w:pPr>
        <w:spacing w:line="360" w:lineRule="auto"/>
        <w:ind w:firstLine="422" w:firstLineChars="200"/>
        <w:rPr>
          <w:rFonts w:ascii="宋体" w:hAnsi="宋体" w:cs="宋体"/>
          <w:b/>
          <w:color w:val="auto"/>
          <w:szCs w:val="21"/>
        </w:rPr>
      </w:pPr>
      <w:r>
        <w:rPr>
          <w:rFonts w:hint="eastAsia" w:ascii="宋体" w:hAnsi="宋体" w:cs="宋体"/>
          <w:b/>
          <w:color w:val="auto"/>
          <w:szCs w:val="21"/>
        </w:rPr>
        <w:t>第十三条　合同的变更、终止与转让</w:t>
      </w:r>
    </w:p>
    <w:p w14:paraId="3D4A105B">
      <w:pPr>
        <w:spacing w:line="360" w:lineRule="auto"/>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14:paraId="0224C690">
      <w:pPr>
        <w:spacing w:line="360" w:lineRule="auto"/>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14:paraId="34B7546D">
      <w:pPr>
        <w:spacing w:line="360" w:lineRule="auto"/>
        <w:ind w:firstLine="422" w:firstLineChars="200"/>
        <w:rPr>
          <w:rFonts w:ascii="宋体" w:hAnsi="宋体" w:cs="宋体"/>
          <w:b/>
          <w:color w:val="auto"/>
          <w:szCs w:val="21"/>
        </w:rPr>
      </w:pPr>
      <w:r>
        <w:rPr>
          <w:rFonts w:hint="eastAsia" w:ascii="宋体" w:hAnsi="宋体" w:cs="宋体"/>
          <w:b/>
          <w:color w:val="auto"/>
          <w:szCs w:val="21"/>
        </w:rPr>
        <w:t>第十四条　签订本合同依据</w:t>
      </w:r>
    </w:p>
    <w:p w14:paraId="45DB4CCF">
      <w:pPr>
        <w:spacing w:line="360" w:lineRule="auto"/>
        <w:ind w:firstLine="420" w:firstLineChars="200"/>
        <w:rPr>
          <w:rFonts w:ascii="宋体" w:hAnsi="宋体" w:cs="宋体"/>
          <w:color w:val="auto"/>
          <w:szCs w:val="21"/>
        </w:rPr>
      </w:pPr>
      <w:r>
        <w:rPr>
          <w:rFonts w:hint="eastAsia" w:ascii="宋体" w:hAnsi="宋体" w:cs="宋体"/>
          <w:color w:val="auto"/>
          <w:szCs w:val="21"/>
        </w:rPr>
        <w:t>1、中标通知书；</w:t>
      </w:r>
    </w:p>
    <w:p w14:paraId="326B4688">
      <w:pPr>
        <w:spacing w:line="360" w:lineRule="auto"/>
        <w:ind w:firstLine="420" w:firstLineChars="200"/>
        <w:rPr>
          <w:rFonts w:ascii="宋体" w:hAnsi="宋体" w:cs="宋体"/>
          <w:color w:val="auto"/>
          <w:szCs w:val="21"/>
        </w:rPr>
      </w:pPr>
      <w:r>
        <w:rPr>
          <w:rFonts w:hint="eastAsia" w:ascii="宋体" w:hAnsi="宋体" w:cs="宋体"/>
          <w:color w:val="auto"/>
          <w:szCs w:val="21"/>
        </w:rPr>
        <w:t>2、开标一览表；</w:t>
      </w:r>
    </w:p>
    <w:p w14:paraId="5E1F8D66">
      <w:pPr>
        <w:spacing w:line="360" w:lineRule="auto"/>
        <w:ind w:firstLine="420" w:firstLineChars="200"/>
        <w:rPr>
          <w:rFonts w:ascii="宋体" w:hAnsi="宋体" w:cs="宋体"/>
          <w:color w:val="auto"/>
          <w:szCs w:val="21"/>
        </w:rPr>
      </w:pPr>
      <w:r>
        <w:rPr>
          <w:rFonts w:hint="eastAsia" w:ascii="宋体" w:hAnsi="宋体" w:cs="宋体"/>
          <w:color w:val="auto"/>
          <w:szCs w:val="21"/>
        </w:rPr>
        <w:t>3、商务要求偏离表和技术要求偏离表；</w:t>
      </w:r>
    </w:p>
    <w:p w14:paraId="29771C9B">
      <w:pPr>
        <w:spacing w:line="360" w:lineRule="auto"/>
        <w:ind w:firstLine="420" w:firstLineChars="200"/>
        <w:rPr>
          <w:rFonts w:ascii="宋体" w:hAnsi="宋体" w:cs="宋体"/>
          <w:color w:val="auto"/>
          <w:szCs w:val="21"/>
        </w:rPr>
      </w:pPr>
      <w:r>
        <w:rPr>
          <w:rFonts w:hint="eastAsia" w:ascii="宋体" w:hAnsi="宋体" w:cs="宋体"/>
          <w:color w:val="auto"/>
          <w:szCs w:val="21"/>
        </w:rPr>
        <w:t>4、服务实施方案；</w:t>
      </w:r>
    </w:p>
    <w:p w14:paraId="64A20B26">
      <w:pPr>
        <w:spacing w:line="360" w:lineRule="auto"/>
        <w:ind w:firstLine="420" w:firstLineChars="200"/>
        <w:rPr>
          <w:rFonts w:ascii="宋体" w:hAnsi="宋体" w:cs="宋体"/>
          <w:color w:val="auto"/>
          <w:szCs w:val="21"/>
        </w:rPr>
      </w:pPr>
      <w:r>
        <w:rPr>
          <w:rFonts w:hint="eastAsia" w:ascii="宋体" w:hAnsi="宋体" w:cs="宋体"/>
          <w:color w:val="auto"/>
          <w:szCs w:val="21"/>
        </w:rPr>
        <w:t>5、投标文件中的其他相关文件。</w:t>
      </w:r>
    </w:p>
    <w:p w14:paraId="60240A73">
      <w:pPr>
        <w:spacing w:line="360" w:lineRule="auto"/>
        <w:ind w:firstLine="420" w:firstLineChars="200"/>
        <w:rPr>
          <w:rFonts w:ascii="宋体" w:hAnsi="宋体" w:cs="宋体"/>
          <w:color w:val="auto"/>
          <w:szCs w:val="21"/>
        </w:rPr>
      </w:pPr>
      <w:r>
        <w:rPr>
          <w:rFonts w:hint="eastAsia" w:ascii="宋体" w:hAnsi="宋体" w:cs="宋体"/>
          <w:color w:val="auto"/>
          <w:szCs w:val="21"/>
        </w:rPr>
        <w:t>6、上述合同文件互相补充和解释。如果合同文件之间存在矛盾或者不一致之处，以上述文件的排列顺序在先者为准。</w:t>
      </w:r>
    </w:p>
    <w:p w14:paraId="00F4D237">
      <w:pPr>
        <w:spacing w:line="360" w:lineRule="auto"/>
        <w:ind w:firstLine="422" w:firstLineChars="200"/>
        <w:rPr>
          <w:rFonts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本合同一式六份，具有同等法律效力，财政部门（政府采购监管部门）、采购代理机构各一份，甲乙双方各两份（可根据需要另增加）。</w:t>
      </w:r>
    </w:p>
    <w:p w14:paraId="6963A52E">
      <w:pPr>
        <w:spacing w:line="360" w:lineRule="auto"/>
        <w:ind w:firstLine="420" w:firstLineChars="200"/>
        <w:rPr>
          <w:rFonts w:ascii="宋体" w:hAnsi="宋体" w:cs="宋体"/>
          <w:color w:val="auto"/>
          <w:szCs w:val="21"/>
        </w:rPr>
      </w:pPr>
      <w:r>
        <w:rPr>
          <w:rFonts w:hint="eastAsia" w:ascii="宋体" w:hAnsi="宋体" w:cs="宋体"/>
          <w:color w:val="auto"/>
          <w:szCs w:val="21"/>
        </w:rPr>
        <w:t>本合同甲乙双方签字盖章后生效，自签订之日起七个工作日内，甲方应当将合同副本报同级财政部门备案。</w:t>
      </w:r>
    </w:p>
    <w:p w14:paraId="36C0EF27">
      <w:pPr>
        <w:spacing w:line="360" w:lineRule="auto"/>
        <w:ind w:firstLine="420" w:firstLineChars="200"/>
        <w:rPr>
          <w:rFonts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p w14:paraId="3488265A">
      <w:pPr>
        <w:spacing w:line="360" w:lineRule="auto"/>
        <w:ind w:firstLine="420" w:firstLineChars="200"/>
        <w:rPr>
          <w:rFonts w:ascii="宋体" w:hAnsi="宋体" w:cs="宋体"/>
          <w:color w:val="auto"/>
          <w:szCs w:val="21"/>
        </w:rPr>
      </w:pPr>
    </w:p>
    <w:tbl>
      <w:tblPr>
        <w:tblStyle w:val="3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47E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ign w:val="center"/>
          </w:tcPr>
          <w:p w14:paraId="2AEC2F41">
            <w:pPr>
              <w:snapToGrid w:val="0"/>
              <w:spacing w:line="360" w:lineRule="auto"/>
              <w:rPr>
                <w:rFonts w:ascii="宋体" w:hAnsi="宋体" w:cs="宋体"/>
                <w:color w:val="auto"/>
                <w:szCs w:val="21"/>
              </w:rPr>
            </w:pPr>
            <w:r>
              <w:rPr>
                <w:rFonts w:hint="eastAsia" w:ascii="宋体" w:hAnsi="宋体" w:cs="宋体"/>
                <w:color w:val="auto"/>
                <w:szCs w:val="21"/>
              </w:rPr>
              <w:t xml:space="preserve">甲方（章）           </w:t>
            </w:r>
          </w:p>
          <w:p w14:paraId="17AFC158">
            <w:pPr>
              <w:snapToGrid w:val="0"/>
              <w:spacing w:line="360" w:lineRule="auto"/>
              <w:rPr>
                <w:rFonts w:ascii="宋体" w:hAnsi="宋体" w:cs="宋体"/>
                <w:color w:val="auto"/>
                <w:szCs w:val="21"/>
              </w:rPr>
            </w:pPr>
          </w:p>
          <w:p w14:paraId="4F6238E2">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517" w:type="dxa"/>
            <w:noWrap/>
            <w:vAlign w:val="center"/>
          </w:tcPr>
          <w:p w14:paraId="29A08311">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14:paraId="5516699C">
            <w:pPr>
              <w:snapToGrid w:val="0"/>
              <w:spacing w:line="360" w:lineRule="auto"/>
              <w:rPr>
                <w:rFonts w:ascii="宋体" w:hAnsi="宋体" w:cs="宋体"/>
                <w:color w:val="auto"/>
                <w:szCs w:val="21"/>
              </w:rPr>
            </w:pPr>
          </w:p>
          <w:p w14:paraId="5577FF83">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14:paraId="003B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ign w:val="center"/>
          </w:tcPr>
          <w:p w14:paraId="35749AC1">
            <w:pPr>
              <w:snapToGrid w:val="0"/>
              <w:spacing w:line="360" w:lineRule="auto"/>
              <w:rPr>
                <w:rFonts w:ascii="宋体" w:hAnsi="宋体" w:cs="宋体"/>
                <w:color w:val="auto"/>
                <w:szCs w:val="21"/>
              </w:rPr>
            </w:pPr>
            <w:r>
              <w:rPr>
                <w:rFonts w:hint="eastAsia" w:ascii="宋体" w:hAnsi="宋体" w:cs="宋体"/>
                <w:color w:val="auto"/>
                <w:szCs w:val="21"/>
              </w:rPr>
              <w:t>单位地址：</w:t>
            </w:r>
          </w:p>
        </w:tc>
        <w:tc>
          <w:tcPr>
            <w:tcW w:w="4517" w:type="dxa"/>
            <w:noWrap/>
            <w:vAlign w:val="center"/>
          </w:tcPr>
          <w:p w14:paraId="2C448D56">
            <w:pPr>
              <w:snapToGrid w:val="0"/>
              <w:spacing w:line="360" w:lineRule="auto"/>
              <w:rPr>
                <w:rFonts w:ascii="宋体" w:hAnsi="宋体" w:cs="宋体"/>
                <w:color w:val="auto"/>
                <w:szCs w:val="21"/>
              </w:rPr>
            </w:pPr>
            <w:r>
              <w:rPr>
                <w:rFonts w:hint="eastAsia" w:ascii="宋体" w:hAnsi="宋体" w:cs="宋体"/>
                <w:color w:val="auto"/>
                <w:szCs w:val="21"/>
              </w:rPr>
              <w:t>单位地址：</w:t>
            </w:r>
          </w:p>
        </w:tc>
      </w:tr>
      <w:tr w14:paraId="627F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tcPr>
          <w:p w14:paraId="20E39E6C">
            <w:pPr>
              <w:snapToGrid w:val="0"/>
              <w:spacing w:line="360" w:lineRule="auto"/>
              <w:rPr>
                <w:rFonts w:ascii="宋体" w:hAnsi="宋体" w:cs="宋体"/>
                <w:color w:val="auto"/>
                <w:szCs w:val="21"/>
              </w:rPr>
            </w:pPr>
            <w:r>
              <w:rPr>
                <w:rFonts w:hint="eastAsia" w:ascii="宋体" w:hAnsi="宋体" w:cs="宋体"/>
                <w:color w:val="auto"/>
                <w:szCs w:val="21"/>
              </w:rPr>
              <w:t>法定代表人或者委托代理人：</w:t>
            </w:r>
          </w:p>
        </w:tc>
        <w:tc>
          <w:tcPr>
            <w:tcW w:w="4517" w:type="dxa"/>
            <w:noWrap/>
          </w:tcPr>
          <w:p w14:paraId="6FBF325B">
            <w:pPr>
              <w:snapToGrid w:val="0"/>
              <w:spacing w:line="360" w:lineRule="auto"/>
              <w:rPr>
                <w:rFonts w:ascii="宋体" w:hAnsi="宋体" w:cs="宋体"/>
                <w:color w:val="auto"/>
                <w:szCs w:val="21"/>
              </w:rPr>
            </w:pPr>
            <w:r>
              <w:rPr>
                <w:rFonts w:hint="eastAsia" w:ascii="宋体" w:hAnsi="宋体" w:cs="宋体"/>
                <w:color w:val="auto"/>
                <w:szCs w:val="21"/>
              </w:rPr>
              <w:t>法定代表人或者委托代理人：</w:t>
            </w:r>
          </w:p>
        </w:tc>
      </w:tr>
      <w:tr w14:paraId="321C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ign w:val="center"/>
          </w:tcPr>
          <w:p w14:paraId="4DFEAD30">
            <w:pPr>
              <w:snapToGrid w:val="0"/>
              <w:spacing w:line="360" w:lineRule="auto"/>
              <w:rPr>
                <w:rFonts w:ascii="宋体" w:hAnsi="宋体" w:cs="宋体"/>
                <w:color w:val="auto"/>
                <w:szCs w:val="21"/>
              </w:rPr>
            </w:pPr>
            <w:r>
              <w:rPr>
                <w:rFonts w:hint="eastAsia" w:ascii="宋体" w:hAnsi="宋体" w:cs="宋体"/>
                <w:color w:val="auto"/>
                <w:szCs w:val="21"/>
              </w:rPr>
              <w:t>电话：</w:t>
            </w:r>
          </w:p>
        </w:tc>
        <w:tc>
          <w:tcPr>
            <w:tcW w:w="4517" w:type="dxa"/>
            <w:noWrap/>
            <w:vAlign w:val="center"/>
          </w:tcPr>
          <w:p w14:paraId="7EFB9FDE">
            <w:pPr>
              <w:snapToGrid w:val="0"/>
              <w:spacing w:line="360" w:lineRule="auto"/>
              <w:rPr>
                <w:rFonts w:ascii="宋体" w:hAnsi="宋体" w:cs="宋体"/>
                <w:color w:val="auto"/>
                <w:szCs w:val="21"/>
              </w:rPr>
            </w:pPr>
            <w:r>
              <w:rPr>
                <w:rFonts w:hint="eastAsia" w:ascii="宋体" w:hAnsi="宋体" w:cs="宋体"/>
                <w:color w:val="auto"/>
                <w:szCs w:val="21"/>
              </w:rPr>
              <w:t>电话：</w:t>
            </w:r>
          </w:p>
        </w:tc>
      </w:tr>
      <w:tr w14:paraId="159E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ign w:val="center"/>
          </w:tcPr>
          <w:p w14:paraId="1620C4E8">
            <w:pPr>
              <w:snapToGrid w:val="0"/>
              <w:spacing w:line="360" w:lineRule="auto"/>
              <w:rPr>
                <w:rFonts w:ascii="宋体" w:hAnsi="宋体" w:cs="宋体"/>
                <w:color w:val="auto"/>
                <w:szCs w:val="21"/>
              </w:rPr>
            </w:pPr>
            <w:r>
              <w:rPr>
                <w:rFonts w:hint="eastAsia" w:ascii="宋体" w:hAnsi="宋体" w:cs="宋体"/>
                <w:color w:val="auto"/>
                <w:szCs w:val="21"/>
              </w:rPr>
              <w:t>电子邮箱：</w:t>
            </w:r>
          </w:p>
        </w:tc>
        <w:tc>
          <w:tcPr>
            <w:tcW w:w="4517" w:type="dxa"/>
            <w:noWrap/>
            <w:vAlign w:val="center"/>
          </w:tcPr>
          <w:p w14:paraId="7EE41584">
            <w:pPr>
              <w:snapToGrid w:val="0"/>
              <w:spacing w:line="360" w:lineRule="auto"/>
              <w:rPr>
                <w:rFonts w:ascii="宋体" w:hAnsi="宋体" w:cs="宋体"/>
                <w:color w:val="auto"/>
                <w:szCs w:val="21"/>
              </w:rPr>
            </w:pPr>
            <w:r>
              <w:rPr>
                <w:rFonts w:hint="eastAsia" w:ascii="宋体" w:hAnsi="宋体" w:cs="宋体"/>
                <w:color w:val="auto"/>
                <w:szCs w:val="21"/>
              </w:rPr>
              <w:t>电子邮箱：</w:t>
            </w:r>
          </w:p>
        </w:tc>
      </w:tr>
      <w:tr w14:paraId="4420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ign w:val="center"/>
          </w:tcPr>
          <w:p w14:paraId="4CD286E7">
            <w:pPr>
              <w:snapToGrid w:val="0"/>
              <w:spacing w:line="360" w:lineRule="auto"/>
              <w:rPr>
                <w:rFonts w:ascii="宋体" w:hAnsi="宋体" w:cs="宋体"/>
                <w:color w:val="auto"/>
                <w:szCs w:val="21"/>
              </w:rPr>
            </w:pPr>
            <w:r>
              <w:rPr>
                <w:rFonts w:hint="eastAsia" w:ascii="宋体" w:hAnsi="宋体" w:cs="宋体"/>
                <w:color w:val="auto"/>
                <w:szCs w:val="21"/>
              </w:rPr>
              <w:t>开户银行：</w:t>
            </w:r>
          </w:p>
        </w:tc>
        <w:tc>
          <w:tcPr>
            <w:tcW w:w="4517" w:type="dxa"/>
            <w:noWrap/>
            <w:vAlign w:val="center"/>
          </w:tcPr>
          <w:p w14:paraId="4160F122">
            <w:pPr>
              <w:snapToGrid w:val="0"/>
              <w:spacing w:line="360" w:lineRule="auto"/>
              <w:rPr>
                <w:rFonts w:ascii="宋体" w:hAnsi="宋体" w:cs="宋体"/>
                <w:color w:val="auto"/>
                <w:szCs w:val="21"/>
              </w:rPr>
            </w:pPr>
            <w:r>
              <w:rPr>
                <w:rFonts w:hint="eastAsia" w:ascii="宋体" w:hAnsi="宋体" w:cs="宋体"/>
                <w:color w:val="auto"/>
                <w:szCs w:val="21"/>
              </w:rPr>
              <w:t>开户银行：</w:t>
            </w:r>
          </w:p>
        </w:tc>
      </w:tr>
      <w:tr w14:paraId="3041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ign w:val="center"/>
          </w:tcPr>
          <w:p w14:paraId="77EA6D0B">
            <w:pPr>
              <w:snapToGrid w:val="0"/>
              <w:spacing w:line="360" w:lineRule="auto"/>
              <w:rPr>
                <w:rFonts w:ascii="宋体" w:hAnsi="宋体" w:cs="宋体"/>
                <w:color w:val="auto"/>
                <w:szCs w:val="21"/>
              </w:rPr>
            </w:pPr>
            <w:r>
              <w:rPr>
                <w:rFonts w:hint="eastAsia" w:ascii="宋体" w:hAnsi="宋体" w:cs="宋体"/>
                <w:color w:val="auto"/>
                <w:szCs w:val="21"/>
              </w:rPr>
              <w:t>账号：</w:t>
            </w:r>
          </w:p>
        </w:tc>
        <w:tc>
          <w:tcPr>
            <w:tcW w:w="4517" w:type="dxa"/>
            <w:noWrap/>
            <w:vAlign w:val="center"/>
          </w:tcPr>
          <w:p w14:paraId="31EA805A">
            <w:pPr>
              <w:snapToGrid w:val="0"/>
              <w:spacing w:line="360" w:lineRule="auto"/>
              <w:rPr>
                <w:rFonts w:ascii="宋体" w:hAnsi="宋体" w:cs="宋体"/>
                <w:color w:val="auto"/>
                <w:szCs w:val="21"/>
              </w:rPr>
            </w:pPr>
            <w:r>
              <w:rPr>
                <w:rFonts w:hint="eastAsia" w:ascii="宋体" w:hAnsi="宋体" w:cs="宋体"/>
                <w:color w:val="auto"/>
                <w:szCs w:val="21"/>
              </w:rPr>
              <w:t>账号：</w:t>
            </w:r>
          </w:p>
        </w:tc>
      </w:tr>
      <w:tr w14:paraId="0E99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ign w:val="center"/>
          </w:tcPr>
          <w:p w14:paraId="54382476">
            <w:pPr>
              <w:snapToGrid w:val="0"/>
              <w:spacing w:line="360" w:lineRule="auto"/>
              <w:rPr>
                <w:rFonts w:ascii="宋体" w:hAnsi="宋体" w:cs="宋体"/>
                <w:color w:val="auto"/>
                <w:szCs w:val="21"/>
              </w:rPr>
            </w:pPr>
            <w:r>
              <w:rPr>
                <w:rFonts w:hint="eastAsia" w:ascii="宋体" w:hAnsi="宋体" w:cs="宋体"/>
                <w:color w:val="auto"/>
                <w:szCs w:val="21"/>
              </w:rPr>
              <w:t>邮政编码：</w:t>
            </w:r>
          </w:p>
        </w:tc>
        <w:tc>
          <w:tcPr>
            <w:tcW w:w="4517" w:type="dxa"/>
            <w:noWrap/>
            <w:vAlign w:val="center"/>
          </w:tcPr>
          <w:p w14:paraId="10D572F1">
            <w:pPr>
              <w:snapToGrid w:val="0"/>
              <w:spacing w:line="360" w:lineRule="auto"/>
              <w:rPr>
                <w:rFonts w:ascii="宋体" w:hAnsi="宋体" w:cs="宋体"/>
                <w:color w:val="auto"/>
                <w:szCs w:val="21"/>
              </w:rPr>
            </w:pPr>
            <w:r>
              <w:rPr>
                <w:rFonts w:hint="eastAsia" w:ascii="宋体" w:hAnsi="宋体" w:cs="宋体"/>
                <w:color w:val="auto"/>
                <w:szCs w:val="21"/>
              </w:rPr>
              <w:t>邮政编码：</w:t>
            </w:r>
          </w:p>
        </w:tc>
      </w:tr>
    </w:tbl>
    <w:p w14:paraId="264F8615">
      <w:pPr>
        <w:snapToGrid w:val="0"/>
        <w:spacing w:line="360" w:lineRule="auto"/>
        <w:ind w:left="420" w:hanging="420" w:hangingChars="200"/>
        <w:rPr>
          <w:rFonts w:ascii="宋体" w:hAnsi="宋体" w:cs="宋体"/>
          <w:color w:val="auto"/>
          <w:szCs w:val="21"/>
        </w:rPr>
      </w:pPr>
    </w:p>
    <w:p w14:paraId="1C969790">
      <w:pPr>
        <w:snapToGrid w:val="0"/>
        <w:spacing w:line="360" w:lineRule="auto"/>
        <w:ind w:left="420" w:hanging="420" w:hangingChars="200"/>
        <w:rPr>
          <w:rFonts w:ascii="宋体" w:hAnsi="宋体" w:cs="宋体"/>
          <w:color w:val="auto"/>
          <w:szCs w:val="21"/>
        </w:rPr>
      </w:pPr>
    </w:p>
    <w:p w14:paraId="37A618A1">
      <w:pPr>
        <w:pStyle w:val="2"/>
        <w:rPr>
          <w:rFonts w:ascii="宋体" w:hAnsi="宋体"/>
          <w:bCs/>
          <w:color w:val="auto"/>
          <w:sz w:val="32"/>
          <w:szCs w:val="32"/>
        </w:rPr>
      </w:pPr>
    </w:p>
    <w:p w14:paraId="71A2F280">
      <w:pPr>
        <w:rPr>
          <w:rFonts w:ascii="宋体" w:hAnsi="宋体"/>
          <w:bCs/>
          <w:color w:val="auto"/>
          <w:sz w:val="32"/>
          <w:szCs w:val="32"/>
        </w:rPr>
      </w:pPr>
    </w:p>
    <w:p w14:paraId="2CFE582E">
      <w:pPr>
        <w:pStyle w:val="2"/>
        <w:rPr>
          <w:rFonts w:ascii="宋体" w:hAnsi="宋体"/>
          <w:bCs/>
          <w:color w:val="auto"/>
          <w:sz w:val="32"/>
          <w:szCs w:val="32"/>
        </w:rPr>
      </w:pPr>
    </w:p>
    <w:p w14:paraId="3F110852">
      <w:pPr>
        <w:rPr>
          <w:rFonts w:ascii="宋体" w:hAnsi="宋体"/>
          <w:bCs/>
          <w:color w:val="auto"/>
          <w:sz w:val="32"/>
          <w:szCs w:val="32"/>
        </w:rPr>
      </w:pPr>
    </w:p>
    <w:p w14:paraId="5FF2C8CA">
      <w:pPr>
        <w:pStyle w:val="2"/>
        <w:rPr>
          <w:rFonts w:ascii="宋体" w:hAnsi="宋体"/>
          <w:bCs/>
          <w:color w:val="auto"/>
          <w:sz w:val="32"/>
          <w:szCs w:val="32"/>
        </w:rPr>
      </w:pPr>
    </w:p>
    <w:p w14:paraId="4DA72C24">
      <w:pPr>
        <w:rPr>
          <w:rFonts w:ascii="宋体" w:hAnsi="宋体"/>
          <w:bCs/>
          <w:color w:val="auto"/>
          <w:sz w:val="32"/>
          <w:szCs w:val="32"/>
        </w:rPr>
      </w:pPr>
    </w:p>
    <w:p w14:paraId="628E99F2">
      <w:pPr>
        <w:pStyle w:val="2"/>
        <w:rPr>
          <w:color w:val="auto"/>
        </w:rPr>
      </w:pPr>
    </w:p>
    <w:p w14:paraId="4BF2D90E">
      <w:pPr>
        <w:snapToGrid w:val="0"/>
        <w:jc w:val="center"/>
        <w:rPr>
          <w:rFonts w:ascii="宋体" w:hAnsi="宋体"/>
          <w:bCs/>
          <w:color w:val="auto"/>
          <w:sz w:val="32"/>
          <w:szCs w:val="32"/>
        </w:rPr>
      </w:pPr>
    </w:p>
    <w:p w14:paraId="7CFD7659">
      <w:pPr>
        <w:snapToGrid w:val="0"/>
        <w:jc w:val="center"/>
        <w:rPr>
          <w:rFonts w:ascii="宋体" w:hAnsi="宋体"/>
          <w:bCs/>
          <w:color w:val="auto"/>
          <w:sz w:val="32"/>
          <w:szCs w:val="32"/>
        </w:rPr>
      </w:pPr>
    </w:p>
    <w:p w14:paraId="4AD93CD8">
      <w:pPr>
        <w:snapToGrid w:val="0"/>
        <w:jc w:val="center"/>
        <w:rPr>
          <w:rFonts w:ascii="宋体" w:hAnsi="宋体"/>
          <w:bCs/>
          <w:color w:val="auto"/>
          <w:sz w:val="32"/>
          <w:szCs w:val="32"/>
        </w:rPr>
      </w:pPr>
    </w:p>
    <w:p w14:paraId="5C12AE6D">
      <w:pPr>
        <w:pStyle w:val="3"/>
        <w:jc w:val="center"/>
        <w:rPr>
          <w:color w:val="auto"/>
        </w:rPr>
      </w:pPr>
      <w:bookmarkStart w:id="165" w:name="_Toc25289"/>
      <w:r>
        <w:rPr>
          <w:rFonts w:hint="eastAsia"/>
          <w:color w:val="auto"/>
        </w:rPr>
        <w:t>第六章　投标文件格式</w:t>
      </w:r>
      <w:bookmarkEnd w:id="165"/>
    </w:p>
    <w:p w14:paraId="099C4355">
      <w:pPr>
        <w:snapToGrid w:val="0"/>
        <w:spacing w:before="50" w:after="50"/>
        <w:outlineLvl w:val="1"/>
        <w:rPr>
          <w:rFonts w:ascii="宋体" w:hAnsi="宋体"/>
          <w:color w:val="auto"/>
          <w:sz w:val="32"/>
          <w:szCs w:val="20"/>
        </w:rPr>
      </w:pPr>
    </w:p>
    <w:p w14:paraId="24595CC3">
      <w:pPr>
        <w:snapToGrid w:val="0"/>
        <w:spacing w:before="50" w:after="50"/>
        <w:outlineLvl w:val="1"/>
        <w:rPr>
          <w:rFonts w:ascii="宋体" w:hAnsi="宋体"/>
          <w:color w:val="auto"/>
          <w:sz w:val="32"/>
          <w:szCs w:val="20"/>
        </w:rPr>
      </w:pPr>
    </w:p>
    <w:p w14:paraId="28F29948">
      <w:pPr>
        <w:snapToGrid w:val="0"/>
        <w:spacing w:before="50" w:after="50"/>
        <w:outlineLvl w:val="1"/>
        <w:rPr>
          <w:rFonts w:ascii="宋体" w:hAnsi="宋体"/>
          <w:color w:val="auto"/>
          <w:sz w:val="32"/>
          <w:szCs w:val="20"/>
        </w:rPr>
      </w:pPr>
    </w:p>
    <w:p w14:paraId="5E770764">
      <w:pPr>
        <w:snapToGrid w:val="0"/>
        <w:spacing w:before="50" w:after="50"/>
        <w:outlineLvl w:val="1"/>
        <w:rPr>
          <w:rFonts w:ascii="宋体" w:hAnsi="宋体"/>
          <w:color w:val="auto"/>
          <w:sz w:val="32"/>
          <w:szCs w:val="20"/>
        </w:rPr>
      </w:pPr>
    </w:p>
    <w:p w14:paraId="2E517966">
      <w:pPr>
        <w:snapToGrid w:val="0"/>
        <w:spacing w:before="50" w:after="50"/>
        <w:outlineLvl w:val="1"/>
        <w:rPr>
          <w:rFonts w:ascii="宋体" w:hAnsi="宋体"/>
          <w:color w:val="auto"/>
          <w:sz w:val="32"/>
          <w:szCs w:val="20"/>
        </w:rPr>
      </w:pPr>
    </w:p>
    <w:p w14:paraId="351D7D4A">
      <w:pPr>
        <w:snapToGrid w:val="0"/>
        <w:spacing w:before="50" w:after="50"/>
        <w:outlineLvl w:val="1"/>
        <w:rPr>
          <w:rFonts w:ascii="宋体" w:hAnsi="宋体"/>
          <w:color w:val="auto"/>
          <w:sz w:val="32"/>
          <w:szCs w:val="20"/>
        </w:rPr>
      </w:pPr>
    </w:p>
    <w:p w14:paraId="665AC944">
      <w:pPr>
        <w:rPr>
          <w:b/>
          <w:color w:val="auto"/>
          <w:sz w:val="28"/>
          <w:szCs w:val="28"/>
        </w:rPr>
      </w:pPr>
      <w:r>
        <w:rPr>
          <w:color w:val="auto"/>
          <w:sz w:val="32"/>
          <w:szCs w:val="20"/>
        </w:rPr>
        <w:br w:type="page"/>
      </w:r>
      <w:bookmarkStart w:id="166" w:name="_Toc19686836"/>
      <w:bookmarkStart w:id="167" w:name="_Toc254970557"/>
      <w:bookmarkStart w:id="168" w:name="_Toc254970698"/>
      <w:r>
        <w:rPr>
          <w:rFonts w:hint="eastAsia"/>
          <w:b/>
          <w:color w:val="auto"/>
          <w:sz w:val="28"/>
          <w:szCs w:val="28"/>
        </w:rPr>
        <w:t>一、报价文件格式</w:t>
      </w:r>
      <w:bookmarkEnd w:id="166"/>
    </w:p>
    <w:p w14:paraId="54950315">
      <w:pPr>
        <w:snapToGrid w:val="0"/>
        <w:spacing w:beforeLines="50" w:after="50" w:line="360" w:lineRule="auto"/>
        <w:ind w:left="-69"/>
        <w:jc w:val="left"/>
        <w:rPr>
          <w:rFonts w:ascii="宋体" w:hAnsi="宋体"/>
          <w:color w:val="auto"/>
          <w:sz w:val="24"/>
          <w:szCs w:val="20"/>
        </w:rPr>
      </w:pPr>
      <w:r>
        <w:rPr>
          <w:rFonts w:hint="eastAsia" w:ascii="宋体" w:hAnsi="宋体"/>
          <w:b/>
          <w:color w:val="auto"/>
          <w:sz w:val="24"/>
        </w:rPr>
        <w:t xml:space="preserve">1. 报价文件封面格式： </w:t>
      </w:r>
    </w:p>
    <w:p w14:paraId="7643EB44">
      <w:pPr>
        <w:snapToGrid w:val="0"/>
        <w:spacing w:beforeLines="50" w:after="50" w:line="360" w:lineRule="auto"/>
        <w:ind w:left="-69"/>
        <w:jc w:val="center"/>
        <w:rPr>
          <w:rFonts w:ascii="宋体" w:hAnsi="宋体" w:eastAsia="方正小标宋简体"/>
          <w:bCs/>
          <w:color w:val="auto"/>
          <w:sz w:val="48"/>
          <w:szCs w:val="48"/>
        </w:rPr>
      </w:pPr>
      <w:r>
        <w:rPr>
          <w:rFonts w:hint="eastAsia" w:ascii="宋体" w:hAnsi="宋体" w:eastAsia="方正小标宋简体"/>
          <w:bCs/>
          <w:color w:val="auto"/>
          <w:sz w:val="48"/>
          <w:szCs w:val="48"/>
        </w:rPr>
        <w:t>电子投标文件</w:t>
      </w:r>
    </w:p>
    <w:p w14:paraId="2E9C1ED3">
      <w:pPr>
        <w:snapToGrid w:val="0"/>
        <w:spacing w:beforeLines="50" w:after="50" w:line="400" w:lineRule="exact"/>
        <w:rPr>
          <w:rFonts w:ascii="宋体" w:hAnsi="宋体"/>
          <w:bCs/>
          <w:color w:val="auto"/>
          <w:sz w:val="32"/>
          <w:szCs w:val="20"/>
        </w:rPr>
      </w:pPr>
    </w:p>
    <w:p w14:paraId="6FCA4EB2">
      <w:pPr>
        <w:snapToGrid w:val="0"/>
        <w:spacing w:beforeLines="50" w:after="50" w:line="400" w:lineRule="exact"/>
        <w:jc w:val="center"/>
        <w:rPr>
          <w:rFonts w:ascii="宋体" w:hAnsi="宋体"/>
          <w:bCs/>
          <w:color w:val="auto"/>
          <w:sz w:val="24"/>
          <w:szCs w:val="20"/>
        </w:rPr>
      </w:pPr>
    </w:p>
    <w:p w14:paraId="5395DF60">
      <w:pPr>
        <w:snapToGrid w:val="0"/>
        <w:spacing w:beforeLines="50" w:after="50" w:line="400" w:lineRule="exact"/>
        <w:jc w:val="center"/>
        <w:rPr>
          <w:rFonts w:ascii="宋体" w:hAnsi="宋体"/>
          <w:b/>
          <w:bCs/>
          <w:color w:val="auto"/>
          <w:sz w:val="32"/>
          <w:szCs w:val="32"/>
        </w:rPr>
      </w:pPr>
      <w:r>
        <w:rPr>
          <w:rFonts w:hint="eastAsia" w:ascii="宋体" w:hAnsi="宋体"/>
          <w:b/>
          <w:bCs/>
          <w:color w:val="auto"/>
          <w:sz w:val="32"/>
          <w:szCs w:val="32"/>
        </w:rPr>
        <w:t>报价文件</w:t>
      </w:r>
    </w:p>
    <w:p w14:paraId="686B854E">
      <w:pPr>
        <w:snapToGrid w:val="0"/>
        <w:spacing w:beforeLines="50" w:after="50" w:line="400" w:lineRule="exact"/>
        <w:rPr>
          <w:rFonts w:ascii="宋体" w:hAnsi="宋体"/>
          <w:bCs/>
          <w:color w:val="auto"/>
          <w:sz w:val="24"/>
          <w:szCs w:val="20"/>
        </w:rPr>
      </w:pPr>
    </w:p>
    <w:p w14:paraId="6242BEF6">
      <w:pPr>
        <w:snapToGrid w:val="0"/>
        <w:spacing w:beforeLines="50" w:after="50" w:line="400" w:lineRule="exact"/>
        <w:rPr>
          <w:rFonts w:ascii="宋体" w:hAnsi="宋体"/>
          <w:bCs/>
          <w:color w:val="auto"/>
          <w:sz w:val="24"/>
          <w:szCs w:val="20"/>
        </w:rPr>
      </w:pPr>
    </w:p>
    <w:p w14:paraId="4DD14A28">
      <w:pPr>
        <w:snapToGrid w:val="0"/>
        <w:spacing w:beforeLines="50" w:after="50" w:line="400" w:lineRule="exact"/>
        <w:rPr>
          <w:rFonts w:ascii="宋体" w:hAnsi="宋体"/>
          <w:bCs/>
          <w:color w:val="auto"/>
          <w:sz w:val="24"/>
          <w:szCs w:val="20"/>
        </w:rPr>
      </w:pPr>
    </w:p>
    <w:p w14:paraId="687026E0">
      <w:pPr>
        <w:snapToGrid w:val="0"/>
        <w:spacing w:beforeLines="50" w:after="50" w:line="400" w:lineRule="exact"/>
        <w:rPr>
          <w:rFonts w:ascii="宋体" w:hAnsi="宋体"/>
          <w:bCs/>
          <w:color w:val="auto"/>
          <w:sz w:val="24"/>
          <w:szCs w:val="20"/>
        </w:rPr>
      </w:pPr>
    </w:p>
    <w:p w14:paraId="6790DD8D">
      <w:pPr>
        <w:snapToGrid w:val="0"/>
        <w:spacing w:beforeLines="50" w:after="50" w:line="400" w:lineRule="exact"/>
        <w:ind w:left="0" w:leftChars="0" w:firstLine="638" w:firstLineChars="266"/>
        <w:rPr>
          <w:rFonts w:ascii="宋体" w:hAnsi="宋体"/>
          <w:bCs/>
          <w:color w:val="auto"/>
          <w:sz w:val="24"/>
        </w:rPr>
      </w:pPr>
      <w:r>
        <w:rPr>
          <w:rFonts w:hint="eastAsia" w:ascii="宋体" w:hAnsi="宋体"/>
          <w:bCs/>
          <w:color w:val="auto"/>
          <w:sz w:val="24"/>
        </w:rPr>
        <w:t xml:space="preserve">项目名称： </w:t>
      </w:r>
    </w:p>
    <w:p w14:paraId="792A2DBD">
      <w:pPr>
        <w:snapToGrid w:val="0"/>
        <w:spacing w:beforeLines="50" w:after="50" w:line="400" w:lineRule="exact"/>
        <w:ind w:left="0" w:leftChars="0" w:firstLine="638" w:firstLineChars="266"/>
        <w:rPr>
          <w:rFonts w:ascii="宋体" w:hAnsi="宋体"/>
          <w:bCs/>
          <w:color w:val="auto"/>
          <w:sz w:val="24"/>
        </w:rPr>
      </w:pPr>
    </w:p>
    <w:p w14:paraId="7782A0A5">
      <w:pPr>
        <w:snapToGrid w:val="0"/>
        <w:spacing w:beforeLines="50" w:after="50" w:line="400" w:lineRule="exact"/>
        <w:ind w:left="0" w:leftChars="0" w:firstLine="638" w:firstLineChars="266"/>
        <w:rPr>
          <w:rFonts w:ascii="宋体" w:hAnsi="宋体"/>
          <w:bCs/>
          <w:color w:val="auto"/>
          <w:sz w:val="24"/>
        </w:rPr>
      </w:pPr>
      <w:r>
        <w:rPr>
          <w:rFonts w:hint="eastAsia" w:ascii="宋体" w:hAnsi="宋体"/>
          <w:bCs/>
          <w:color w:val="auto"/>
          <w:sz w:val="24"/>
        </w:rPr>
        <w:t xml:space="preserve">项目编号： </w:t>
      </w:r>
    </w:p>
    <w:p w14:paraId="28ABF573">
      <w:pPr>
        <w:snapToGrid w:val="0"/>
        <w:spacing w:beforeLines="50" w:after="50" w:line="400" w:lineRule="exact"/>
        <w:ind w:left="0" w:leftChars="0" w:firstLine="638" w:firstLineChars="266"/>
        <w:rPr>
          <w:rFonts w:ascii="宋体" w:hAnsi="宋体"/>
          <w:bCs/>
          <w:color w:val="auto"/>
          <w:sz w:val="24"/>
        </w:rPr>
      </w:pPr>
    </w:p>
    <w:p w14:paraId="0EE18F9E">
      <w:pPr>
        <w:snapToGrid w:val="0"/>
        <w:spacing w:beforeLines="50" w:after="50" w:line="400" w:lineRule="exact"/>
        <w:ind w:left="0" w:leftChars="0" w:firstLine="638" w:firstLineChars="266"/>
        <w:rPr>
          <w:rFonts w:ascii="宋体" w:hAnsi="宋体"/>
          <w:bCs/>
          <w:color w:val="auto"/>
          <w:sz w:val="24"/>
        </w:rPr>
      </w:pPr>
      <w:r>
        <w:rPr>
          <w:rFonts w:hint="eastAsia" w:ascii="宋体" w:hAnsi="宋体"/>
          <w:bCs/>
          <w:color w:val="auto"/>
          <w:sz w:val="24"/>
        </w:rPr>
        <w:t>投标人名称：</w:t>
      </w:r>
    </w:p>
    <w:p w14:paraId="6579A1F6">
      <w:pPr>
        <w:snapToGrid w:val="0"/>
        <w:spacing w:beforeLines="50" w:after="50" w:line="400" w:lineRule="exact"/>
        <w:ind w:left="0" w:leftChars="0" w:firstLine="638" w:firstLineChars="266"/>
        <w:rPr>
          <w:rFonts w:ascii="宋体" w:hAnsi="宋体"/>
          <w:bCs/>
          <w:color w:val="auto"/>
          <w:sz w:val="24"/>
        </w:rPr>
      </w:pPr>
    </w:p>
    <w:p w14:paraId="22A0472B">
      <w:pPr>
        <w:snapToGrid w:val="0"/>
        <w:spacing w:beforeLines="50" w:after="50" w:line="400" w:lineRule="exact"/>
        <w:ind w:left="0" w:leftChars="0" w:firstLine="638" w:firstLineChars="266"/>
        <w:rPr>
          <w:rFonts w:ascii="宋体" w:hAnsi="宋体"/>
          <w:bCs/>
          <w:color w:val="auto"/>
          <w:sz w:val="24"/>
        </w:rPr>
      </w:pPr>
      <w:r>
        <w:rPr>
          <w:rFonts w:hint="eastAsia" w:ascii="宋体" w:hAnsi="宋体"/>
          <w:bCs/>
          <w:color w:val="auto"/>
          <w:sz w:val="24"/>
        </w:rPr>
        <w:t>投标人地址：</w:t>
      </w:r>
    </w:p>
    <w:p w14:paraId="4DF2CFCE">
      <w:pPr>
        <w:pStyle w:val="8"/>
        <w:snapToGrid w:val="0"/>
        <w:spacing w:before="50" w:after="50" w:line="400" w:lineRule="exact"/>
        <w:ind w:firstLine="960" w:firstLineChars="400"/>
        <w:rPr>
          <w:rFonts w:ascii="宋体" w:hAnsi="宋体"/>
          <w:bCs/>
          <w:color w:val="auto"/>
          <w:sz w:val="24"/>
          <w:szCs w:val="24"/>
        </w:rPr>
      </w:pPr>
    </w:p>
    <w:p w14:paraId="54E72145">
      <w:pPr>
        <w:snapToGrid w:val="0"/>
        <w:spacing w:beforeLines="50" w:after="50" w:line="400" w:lineRule="exact"/>
        <w:rPr>
          <w:rFonts w:ascii="宋体" w:hAnsi="宋体"/>
          <w:color w:val="auto"/>
          <w:sz w:val="30"/>
          <w:szCs w:val="20"/>
        </w:rPr>
      </w:pPr>
      <w:r>
        <w:rPr>
          <w:rFonts w:hint="eastAsia" w:ascii="宋体" w:hAnsi="宋体"/>
          <w:color w:val="auto"/>
          <w:sz w:val="24"/>
        </w:rPr>
        <w:t xml:space="preserve">                                   年  月  日</w:t>
      </w:r>
    </w:p>
    <w:p w14:paraId="44235CB0">
      <w:pPr>
        <w:snapToGrid w:val="0"/>
        <w:spacing w:beforeLines="50" w:after="50" w:line="360" w:lineRule="auto"/>
        <w:jc w:val="left"/>
        <w:rPr>
          <w:rFonts w:ascii="宋体" w:hAnsi="宋体"/>
          <w:color w:val="auto"/>
          <w:sz w:val="24"/>
          <w:szCs w:val="20"/>
        </w:rPr>
      </w:pPr>
      <w:r>
        <w:rPr>
          <w:rFonts w:ascii="宋体" w:hAnsi="宋体"/>
          <w:b/>
          <w:color w:val="auto"/>
          <w:sz w:val="24"/>
        </w:rPr>
        <w:br w:type="page"/>
      </w:r>
      <w:r>
        <w:rPr>
          <w:rFonts w:hint="eastAsia" w:ascii="宋体" w:hAnsi="宋体"/>
          <w:b/>
          <w:color w:val="auto"/>
          <w:sz w:val="24"/>
        </w:rPr>
        <w:t>2.</w:t>
      </w:r>
      <w:r>
        <w:rPr>
          <w:rFonts w:hint="eastAsia" w:ascii="宋体" w:hAnsi="宋体"/>
          <w:b/>
          <w:bCs/>
          <w:color w:val="auto"/>
          <w:sz w:val="24"/>
        </w:rPr>
        <w:t>报价文件目录</w:t>
      </w:r>
    </w:p>
    <w:p w14:paraId="568F816D">
      <w:pPr>
        <w:snapToGrid w:val="0"/>
        <w:spacing w:before="50" w:afterLines="50" w:line="360" w:lineRule="auto"/>
        <w:jc w:val="left"/>
        <w:rPr>
          <w:rFonts w:ascii="宋体" w:hAnsi="宋体"/>
          <w:b/>
          <w:color w:val="auto"/>
          <w:sz w:val="24"/>
        </w:rPr>
      </w:pPr>
      <w:r>
        <w:rPr>
          <w:rFonts w:hint="eastAsia" w:ascii="宋体" w:hAnsi="宋体"/>
          <w:color w:val="auto"/>
          <w:szCs w:val="21"/>
        </w:rPr>
        <w:t>根据招标文件规定及投标人提供的材料自行编写目录。</w:t>
      </w:r>
    </w:p>
    <w:p w14:paraId="7C36C887">
      <w:pPr>
        <w:snapToGrid w:val="0"/>
        <w:spacing w:beforeLines="50" w:after="50"/>
        <w:rPr>
          <w:rFonts w:ascii="宋体" w:hAnsi="宋体"/>
          <w:b/>
          <w:color w:val="auto"/>
          <w:sz w:val="24"/>
        </w:rPr>
      </w:pPr>
    </w:p>
    <w:p w14:paraId="0C6FC659">
      <w:pPr>
        <w:snapToGrid w:val="0"/>
        <w:spacing w:beforeLines="50" w:after="50"/>
        <w:rPr>
          <w:rFonts w:ascii="宋体" w:hAnsi="宋体"/>
          <w:b/>
          <w:color w:val="auto"/>
          <w:sz w:val="24"/>
        </w:rPr>
      </w:pPr>
    </w:p>
    <w:p w14:paraId="7E20B999">
      <w:pPr>
        <w:snapToGrid w:val="0"/>
        <w:spacing w:beforeLines="50" w:after="50"/>
        <w:rPr>
          <w:rFonts w:ascii="宋体" w:hAnsi="宋体"/>
          <w:b/>
          <w:color w:val="auto"/>
          <w:sz w:val="24"/>
        </w:rPr>
      </w:pPr>
    </w:p>
    <w:p w14:paraId="079DAF9D">
      <w:pPr>
        <w:snapToGrid w:val="0"/>
        <w:spacing w:beforeLines="50" w:after="50"/>
        <w:ind w:left="-69"/>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 投标函格式：</w:t>
      </w:r>
    </w:p>
    <w:p w14:paraId="6A6DD283">
      <w:pPr>
        <w:snapToGrid w:val="0"/>
        <w:spacing w:beforeLines="50" w:after="50" w:line="320" w:lineRule="exact"/>
        <w:jc w:val="center"/>
        <w:rPr>
          <w:rFonts w:ascii="宋体" w:hAnsi="宋体"/>
          <w:b/>
          <w:color w:val="auto"/>
          <w:sz w:val="32"/>
          <w:szCs w:val="32"/>
        </w:rPr>
      </w:pPr>
      <w:r>
        <w:rPr>
          <w:rFonts w:hint="eastAsia" w:ascii="宋体" w:hAnsi="宋体"/>
          <w:b/>
          <w:color w:val="auto"/>
          <w:sz w:val="32"/>
          <w:szCs w:val="32"/>
        </w:rPr>
        <w:t>投 标 函</w:t>
      </w:r>
    </w:p>
    <w:p w14:paraId="5E32936D">
      <w:pPr>
        <w:snapToGrid w:val="0"/>
        <w:spacing w:beforeLines="50" w:after="50" w:line="320" w:lineRule="exact"/>
        <w:jc w:val="center"/>
        <w:rPr>
          <w:rFonts w:ascii="宋体" w:hAnsi="宋体"/>
          <w:b/>
          <w:color w:val="auto"/>
          <w:sz w:val="24"/>
          <w:szCs w:val="20"/>
        </w:rPr>
      </w:pPr>
    </w:p>
    <w:p w14:paraId="254EAE18">
      <w:pPr>
        <w:snapToGrid w:val="0"/>
        <w:spacing w:beforeLines="50" w:after="50" w:line="320" w:lineRule="exact"/>
        <w:jc w:val="center"/>
        <w:rPr>
          <w:rFonts w:ascii="宋体" w:hAnsi="宋体"/>
          <w:b/>
          <w:color w:val="auto"/>
          <w:sz w:val="24"/>
          <w:szCs w:val="20"/>
        </w:rPr>
      </w:pPr>
    </w:p>
    <w:p w14:paraId="2C105632">
      <w:pPr>
        <w:snapToGrid w:val="0"/>
        <w:spacing w:beforeLines="50" w:after="50" w:line="320" w:lineRule="exact"/>
        <w:jc w:val="center"/>
        <w:rPr>
          <w:rFonts w:ascii="宋体" w:hAnsi="宋体"/>
          <w:b/>
          <w:color w:val="auto"/>
          <w:sz w:val="24"/>
          <w:szCs w:val="20"/>
        </w:rPr>
      </w:pPr>
    </w:p>
    <w:p w14:paraId="2045F947">
      <w:pPr>
        <w:snapToGrid w:val="0"/>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采购人名称</w:t>
      </w:r>
      <w:r>
        <w:rPr>
          <w:rFonts w:hint="eastAsia" w:ascii="宋体" w:hAnsi="宋体"/>
          <w:color w:val="auto"/>
          <w:sz w:val="24"/>
        </w:rPr>
        <w:t>：</w:t>
      </w:r>
    </w:p>
    <w:p w14:paraId="735CFFAD">
      <w:pPr>
        <w:snapToGrid w:val="0"/>
        <w:spacing w:line="360" w:lineRule="auto"/>
        <w:ind w:firstLine="480"/>
        <w:rPr>
          <w:rFonts w:ascii="宋体" w:hAnsi="宋体"/>
          <w:color w:val="auto"/>
          <w:sz w:val="24"/>
        </w:rPr>
      </w:pPr>
      <w:r>
        <w:rPr>
          <w:rFonts w:hint="eastAsia" w:ascii="宋体" w:hAnsi="宋体"/>
          <w:color w:val="auto"/>
          <w:sz w:val="24"/>
        </w:rPr>
        <w:t>根据贵方</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项目名称</w:t>
      </w:r>
      <w:r>
        <w:rPr>
          <w:rFonts w:hint="eastAsia" w:ascii="宋体" w:hAnsi="宋体"/>
          <w:color w:val="auto"/>
          <w:sz w:val="24"/>
          <w:u w:val="single"/>
          <w:lang w:val="en-US" w:eastAsia="zh-CN"/>
        </w:rPr>
        <w:t xml:space="preserve">   </w:t>
      </w:r>
      <w:r>
        <w:rPr>
          <w:rFonts w:hint="eastAsia" w:ascii="宋体" w:hAnsi="宋体"/>
          <w:color w:val="auto"/>
          <w:sz w:val="24"/>
        </w:rPr>
        <w:t>（项目编号：</w:t>
      </w:r>
      <w:r>
        <w:rPr>
          <w:rFonts w:hint="eastAsia" w:ascii="宋体" w:hAnsi="宋体"/>
          <w:color w:val="auto"/>
          <w:sz w:val="24"/>
          <w:u w:val="single"/>
          <w:lang w:val="en-US" w:eastAsia="zh-CN"/>
        </w:rPr>
        <w:t xml:space="preserve">     </w:t>
      </w:r>
      <w:r>
        <w:rPr>
          <w:rFonts w:hint="eastAsia" w:ascii="宋体" w:hAnsi="宋体"/>
          <w:color w:val="auto"/>
          <w:sz w:val="24"/>
        </w:rPr>
        <w:t>）的招标文件，签字代表______（姓名）经正式授权并代表投标人</w:t>
      </w:r>
      <w:r>
        <w:rPr>
          <w:rFonts w:hint="eastAsia" w:ascii="宋体" w:hAnsi="宋体"/>
          <w:color w:val="auto"/>
          <w:sz w:val="24"/>
          <w:lang w:val="en-US" w:eastAsia="zh-CN"/>
        </w:rPr>
        <w:t xml:space="preserve"> </w:t>
      </w:r>
      <w:r>
        <w:rPr>
          <w:rFonts w:hint="eastAsia" w:ascii="宋体" w:hAnsi="宋体"/>
          <w:color w:val="auto"/>
          <w:sz w:val="24"/>
          <w:u w:val="single"/>
          <w:lang w:val="en-US" w:eastAsia="zh-CN"/>
        </w:rPr>
        <w:t xml:space="preserve">         </w:t>
      </w:r>
      <w:r>
        <w:rPr>
          <w:rFonts w:hint="eastAsia" w:ascii="宋体" w:hAnsi="宋体"/>
          <w:color w:val="auto"/>
          <w:sz w:val="24"/>
        </w:rPr>
        <w:t>（投标人名称）提交投标文件。</w:t>
      </w:r>
    </w:p>
    <w:p w14:paraId="775A8635">
      <w:pPr>
        <w:snapToGrid w:val="0"/>
        <w:spacing w:line="360" w:lineRule="auto"/>
        <w:ind w:firstLine="480" w:firstLineChars="200"/>
        <w:rPr>
          <w:rFonts w:ascii="宋体" w:hAnsi="宋体"/>
          <w:color w:val="auto"/>
          <w:sz w:val="24"/>
        </w:rPr>
      </w:pPr>
      <w:r>
        <w:rPr>
          <w:rFonts w:hint="eastAsia" w:ascii="宋体" w:hAnsi="宋体"/>
          <w:color w:val="auto"/>
          <w:sz w:val="24"/>
        </w:rPr>
        <w:t>据此函，我方宣布同意如下：</w:t>
      </w:r>
    </w:p>
    <w:p w14:paraId="4BC14F26">
      <w:pPr>
        <w:snapToGrid w:val="0"/>
        <w:spacing w:line="360" w:lineRule="auto"/>
        <w:ind w:firstLine="480" w:firstLineChars="200"/>
        <w:rPr>
          <w:rFonts w:ascii="宋体" w:hAnsi="宋体"/>
          <w:color w:val="auto"/>
          <w:sz w:val="24"/>
        </w:rPr>
      </w:pPr>
      <w:r>
        <w:rPr>
          <w:rFonts w:hint="eastAsia" w:ascii="宋体" w:hAnsi="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14:paraId="3E0DFBA9">
      <w:pPr>
        <w:snapToGrid w:val="0"/>
        <w:spacing w:line="360" w:lineRule="auto"/>
        <w:ind w:firstLine="480" w:firstLineChars="200"/>
        <w:rPr>
          <w:rFonts w:ascii="宋体" w:hAnsi="宋体"/>
          <w:color w:val="auto"/>
          <w:sz w:val="24"/>
        </w:rPr>
      </w:pPr>
      <w:r>
        <w:rPr>
          <w:rFonts w:hint="eastAsia" w:ascii="宋体" w:hAnsi="宋体"/>
          <w:color w:val="auto"/>
          <w:sz w:val="24"/>
        </w:rPr>
        <w:t>2.我方在投标之前已经完全理解并接受招标文件的各项规定和要求，对招标文件的合理性、合法性不再有异议。</w:t>
      </w:r>
    </w:p>
    <w:p w14:paraId="7396AEE8">
      <w:pPr>
        <w:snapToGrid w:val="0"/>
        <w:spacing w:line="360" w:lineRule="auto"/>
        <w:ind w:firstLine="480" w:firstLineChars="200"/>
        <w:rPr>
          <w:rFonts w:ascii="宋体" w:hAnsi="宋体"/>
          <w:color w:val="auto"/>
          <w:sz w:val="24"/>
        </w:rPr>
      </w:pPr>
      <w:r>
        <w:rPr>
          <w:rFonts w:hint="eastAsia" w:ascii="宋体" w:hAnsi="宋体"/>
          <w:color w:val="auto"/>
          <w:sz w:val="24"/>
        </w:rPr>
        <w:t>3.本投标有效期自投标截止之日起</w:t>
      </w:r>
      <w:r>
        <w:rPr>
          <w:rFonts w:hint="eastAsia" w:ascii="宋体" w:hAnsi="宋体"/>
          <w:color w:val="auto"/>
          <w:sz w:val="24"/>
          <w:u w:val="single"/>
          <w:lang w:val="en-US" w:eastAsia="zh-CN"/>
        </w:rPr>
        <w:t xml:space="preserve">     </w:t>
      </w:r>
      <w:r>
        <w:rPr>
          <w:rFonts w:hint="eastAsia" w:ascii="宋体" w:hAnsi="宋体"/>
          <w:color w:val="auto"/>
          <w:sz w:val="24"/>
        </w:rPr>
        <w:t>日。</w:t>
      </w:r>
    </w:p>
    <w:p w14:paraId="306306C9">
      <w:pPr>
        <w:snapToGrid w:val="0"/>
        <w:spacing w:line="360" w:lineRule="auto"/>
        <w:ind w:firstLine="480" w:firstLineChars="200"/>
        <w:rPr>
          <w:rFonts w:ascii="宋体" w:hAnsi="宋体"/>
          <w:color w:val="auto"/>
          <w:sz w:val="24"/>
        </w:rPr>
      </w:pPr>
      <w:r>
        <w:rPr>
          <w:rFonts w:hint="eastAsia" w:ascii="宋体" w:hAnsi="宋体"/>
          <w:color w:val="auto"/>
          <w:sz w:val="24"/>
        </w:rPr>
        <w:t>4.如中标，本投标文件至本项目合同履行完毕止均保持有效，我方将按“招标文件”及政府采购法律、法规的规定履行合同责任和义务。</w:t>
      </w:r>
    </w:p>
    <w:p w14:paraId="17E83482">
      <w:pPr>
        <w:snapToGrid w:val="0"/>
        <w:spacing w:line="360" w:lineRule="auto"/>
        <w:ind w:firstLine="480" w:firstLineChars="200"/>
        <w:rPr>
          <w:rFonts w:ascii="宋体" w:hAnsi="宋体"/>
          <w:color w:val="auto"/>
          <w:sz w:val="24"/>
        </w:rPr>
      </w:pPr>
      <w:r>
        <w:rPr>
          <w:rFonts w:hint="eastAsia" w:ascii="宋体" w:hAnsi="宋体"/>
          <w:color w:val="auto"/>
          <w:sz w:val="24"/>
        </w:rPr>
        <w:t>5.我方同意按照贵方要求提供与投标有关的一切数据或者资料。</w:t>
      </w:r>
    </w:p>
    <w:p w14:paraId="70537051">
      <w:pPr>
        <w:snapToGrid w:val="0"/>
        <w:spacing w:line="360" w:lineRule="auto"/>
        <w:ind w:firstLine="480" w:firstLineChars="200"/>
        <w:rPr>
          <w:rFonts w:ascii="宋体" w:hAnsi="宋体"/>
          <w:color w:val="auto"/>
          <w:sz w:val="24"/>
        </w:rPr>
      </w:pPr>
      <w:r>
        <w:rPr>
          <w:rFonts w:hint="eastAsia" w:ascii="宋体" w:hAnsi="宋体"/>
          <w:color w:val="auto"/>
          <w:sz w:val="24"/>
        </w:rPr>
        <w:t>6.我方向贵方提交的所有投标文件、资料都是准确的和真实的。</w:t>
      </w:r>
    </w:p>
    <w:p w14:paraId="7A76F715">
      <w:pPr>
        <w:snapToGrid w:val="0"/>
        <w:spacing w:line="360" w:lineRule="auto"/>
        <w:ind w:firstLine="480" w:firstLineChars="200"/>
        <w:rPr>
          <w:rFonts w:ascii="宋体" w:hAnsi="宋体"/>
          <w:color w:val="auto"/>
          <w:sz w:val="24"/>
        </w:rPr>
      </w:pPr>
      <w:r>
        <w:rPr>
          <w:rFonts w:hint="eastAsia" w:ascii="宋体" w:hAnsi="宋体"/>
          <w:color w:val="auto"/>
          <w:sz w:val="24"/>
        </w:rPr>
        <w:t>7.以上事项如有虚假或者隐瞒，我方愿意承担一切后果，并不再寻求任何旨在减轻或者免除法律责任的辩解。</w:t>
      </w:r>
    </w:p>
    <w:p w14:paraId="602CF045">
      <w:pPr>
        <w:spacing w:line="360" w:lineRule="auto"/>
        <w:ind w:firstLine="480" w:firstLineChars="200"/>
        <w:rPr>
          <w:rFonts w:ascii="宋体" w:hAnsi="宋体"/>
          <w:color w:val="auto"/>
          <w:sz w:val="24"/>
        </w:rPr>
      </w:pPr>
      <w:r>
        <w:rPr>
          <w:rFonts w:hint="eastAsia" w:ascii="宋体" w:hAnsi="宋体"/>
          <w:color w:val="auto"/>
          <w:sz w:val="24"/>
        </w:rPr>
        <w:t>8.根据</w:t>
      </w:r>
      <w:r>
        <w:rPr>
          <w:rFonts w:ascii="宋体" w:hAnsi="宋体"/>
          <w:color w:val="auto"/>
          <w:sz w:val="24"/>
        </w:rPr>
        <w:t>《中华人民共和国政府采购法实施条例》第五十条要求对政府采购合同进行公告</w:t>
      </w:r>
      <w:r>
        <w:rPr>
          <w:rFonts w:hint="eastAsia" w:ascii="宋体" w:hAnsi="宋体"/>
          <w:color w:val="auto"/>
          <w:sz w:val="24"/>
        </w:rPr>
        <w:t>，</w:t>
      </w:r>
      <w:r>
        <w:rPr>
          <w:rFonts w:ascii="宋体" w:hAnsi="宋体"/>
          <w:color w:val="auto"/>
          <w:sz w:val="24"/>
        </w:rPr>
        <w:t>但政府采购合同中涉及国家秘密、商业秘密的内容除外。</w:t>
      </w:r>
      <w:r>
        <w:rPr>
          <w:rFonts w:hint="eastAsia" w:ascii="宋体" w:hAnsi="宋体"/>
          <w:color w:val="auto"/>
          <w:sz w:val="24"/>
        </w:rPr>
        <w:t>我方就对本次投标文件进行注明如下：（两项内容中必须选择一项）</w:t>
      </w:r>
    </w:p>
    <w:p w14:paraId="362FF2AE">
      <w:pPr>
        <w:spacing w:line="360" w:lineRule="auto"/>
        <w:ind w:firstLine="480" w:firstLineChars="200"/>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内容中</w:t>
      </w:r>
      <w:r>
        <w:rPr>
          <w:rFonts w:hint="eastAsia" w:ascii="宋体" w:hAnsi="宋体"/>
          <w:color w:val="auto"/>
          <w:sz w:val="24"/>
        </w:rPr>
        <w:t>未</w:t>
      </w:r>
      <w:r>
        <w:rPr>
          <w:rFonts w:ascii="宋体" w:hAnsi="宋体" w:cs="宋体"/>
          <w:color w:val="auto"/>
          <w:kern w:val="0"/>
          <w:sz w:val="24"/>
        </w:rPr>
        <w:t>涉及商业秘密</w:t>
      </w:r>
      <w:r>
        <w:rPr>
          <w:rFonts w:hint="eastAsia" w:ascii="宋体" w:hAnsi="宋体" w:cs="宋体"/>
          <w:color w:val="auto"/>
          <w:kern w:val="0"/>
          <w:sz w:val="24"/>
        </w:rPr>
        <w:t>；</w:t>
      </w:r>
    </w:p>
    <w:p w14:paraId="1EC4F884">
      <w:pPr>
        <w:snapToGrid w:val="0"/>
        <w:spacing w:line="360" w:lineRule="auto"/>
        <w:ind w:firstLine="480" w:firstLineChars="200"/>
        <w:rPr>
          <w:rFonts w:ascii="宋体" w:hAnsi="宋体"/>
          <w:color w:val="auto"/>
          <w:sz w:val="24"/>
        </w:rPr>
      </w:pPr>
      <w:r>
        <w:rPr>
          <w:rFonts w:hint="eastAsia" w:ascii="宋体" w:hAnsi="宋体"/>
          <w:color w:val="auto"/>
          <w:sz w:val="24"/>
        </w:rPr>
        <w:t>□我方本次投标文件</w:t>
      </w:r>
      <w:r>
        <w:rPr>
          <w:rFonts w:ascii="宋体" w:hAnsi="宋体" w:cs="宋体"/>
          <w:color w:val="auto"/>
          <w:kern w:val="0"/>
          <w:sz w:val="24"/>
        </w:rPr>
        <w:t>涉及商业秘密</w:t>
      </w:r>
      <w:r>
        <w:rPr>
          <w:rFonts w:hint="eastAsia" w:ascii="宋体" w:hAnsi="宋体" w:cs="宋体"/>
          <w:color w:val="auto"/>
          <w:kern w:val="0"/>
          <w:sz w:val="24"/>
        </w:rPr>
        <w:t>的</w:t>
      </w:r>
      <w:r>
        <w:rPr>
          <w:rFonts w:ascii="宋体" w:hAnsi="宋体" w:cs="宋体"/>
          <w:color w:val="auto"/>
          <w:kern w:val="0"/>
          <w:sz w:val="24"/>
        </w:rPr>
        <w:t>内容</w:t>
      </w:r>
      <w:r>
        <w:rPr>
          <w:rFonts w:hint="eastAsia" w:ascii="宋体" w:hAnsi="宋体" w:cs="宋体"/>
          <w:color w:val="auto"/>
          <w:kern w:val="0"/>
          <w:sz w:val="24"/>
        </w:rPr>
        <w:t>有：</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p>
    <w:p w14:paraId="23D0BE64">
      <w:pPr>
        <w:snapToGrid w:val="0"/>
        <w:spacing w:line="360" w:lineRule="auto"/>
        <w:ind w:firstLine="480" w:firstLineChars="200"/>
        <w:rPr>
          <w:rFonts w:ascii="宋体" w:hAnsi="宋体"/>
          <w:color w:val="auto"/>
          <w:sz w:val="24"/>
        </w:rPr>
      </w:pPr>
      <w:r>
        <w:rPr>
          <w:rFonts w:hint="eastAsia" w:ascii="宋体" w:hAnsi="宋体"/>
          <w:color w:val="auto"/>
          <w:sz w:val="24"/>
        </w:rPr>
        <w:t>9.与本项目有关的一切正式往来信函请寄：</w:t>
      </w:r>
    </w:p>
    <w:p w14:paraId="69140ED6">
      <w:pPr>
        <w:snapToGrid w:val="0"/>
        <w:spacing w:line="360" w:lineRule="auto"/>
        <w:ind w:firstLine="480" w:firstLineChars="200"/>
        <w:rPr>
          <w:rFonts w:ascii="宋体" w:hAnsi="宋体"/>
          <w:color w:val="auto"/>
          <w:sz w:val="24"/>
          <w:u w:val="single"/>
        </w:rPr>
      </w:pPr>
      <w:r>
        <w:rPr>
          <w:rFonts w:hint="eastAsia" w:ascii="宋体" w:hAnsi="宋体"/>
          <w:color w:val="auto"/>
          <w:sz w:val="24"/>
        </w:rPr>
        <w:t>地址：邮编：</w:t>
      </w:r>
    </w:p>
    <w:p w14:paraId="32DD30DF">
      <w:pPr>
        <w:snapToGrid w:val="0"/>
        <w:spacing w:line="360" w:lineRule="auto"/>
        <w:ind w:firstLine="480" w:firstLineChars="200"/>
        <w:rPr>
          <w:rFonts w:ascii="宋体" w:hAnsi="宋体"/>
          <w:color w:val="auto"/>
          <w:sz w:val="24"/>
        </w:rPr>
      </w:pPr>
      <w:r>
        <w:rPr>
          <w:rFonts w:hint="eastAsia" w:ascii="宋体" w:hAnsi="宋体"/>
          <w:color w:val="auto"/>
          <w:sz w:val="24"/>
        </w:rPr>
        <w:t>联系人电话：传真：电子邮箱：</w:t>
      </w:r>
    </w:p>
    <w:p w14:paraId="328615C8">
      <w:pPr>
        <w:snapToGrid w:val="0"/>
        <w:spacing w:line="360" w:lineRule="auto"/>
        <w:ind w:firstLine="480" w:firstLineChars="200"/>
        <w:rPr>
          <w:rFonts w:ascii="宋体" w:hAnsi="宋体"/>
          <w:color w:val="auto"/>
          <w:sz w:val="24"/>
        </w:rPr>
      </w:pPr>
      <w:r>
        <w:rPr>
          <w:rFonts w:hint="eastAsia" w:ascii="宋体" w:hAnsi="宋体"/>
          <w:color w:val="auto"/>
          <w:sz w:val="24"/>
        </w:rPr>
        <w:t>投标人名称:</w:t>
      </w:r>
    </w:p>
    <w:p w14:paraId="7E3DE76B">
      <w:pPr>
        <w:snapToGrid w:val="0"/>
        <w:spacing w:line="360" w:lineRule="auto"/>
        <w:ind w:firstLine="480" w:firstLineChars="200"/>
        <w:jc w:val="left"/>
        <w:rPr>
          <w:rFonts w:ascii="宋体" w:hAnsi="宋体"/>
          <w:color w:val="auto"/>
          <w:sz w:val="24"/>
        </w:rPr>
      </w:pPr>
      <w:r>
        <w:rPr>
          <w:rFonts w:hint="eastAsia" w:ascii="宋体" w:hAnsi="宋体"/>
          <w:color w:val="auto"/>
          <w:sz w:val="24"/>
        </w:rPr>
        <w:t>开户银行：   银行账号：</w:t>
      </w:r>
    </w:p>
    <w:p w14:paraId="3CAACFD3">
      <w:pPr>
        <w:snapToGrid w:val="0"/>
        <w:spacing w:line="360" w:lineRule="auto"/>
        <w:ind w:firstLine="480" w:firstLineChars="200"/>
        <w:jc w:val="left"/>
        <w:rPr>
          <w:rFonts w:ascii="宋体" w:hAnsi="宋体"/>
          <w:color w:val="auto"/>
          <w:sz w:val="24"/>
        </w:rPr>
      </w:pPr>
    </w:p>
    <w:p w14:paraId="0D405139">
      <w:pPr>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               法定代表人或者委托代理人（签字或者电子签名）:_______ </w:t>
      </w:r>
    </w:p>
    <w:p w14:paraId="4570D886">
      <w:pPr>
        <w:pStyle w:val="20"/>
        <w:snapToGrid w:val="0"/>
        <w:spacing w:before="295" w:after="295" w:line="360" w:lineRule="auto"/>
        <w:jc w:val="center"/>
        <w:rPr>
          <w:rFonts w:hAnsi="宋体"/>
          <w:color w:val="auto"/>
          <w:sz w:val="24"/>
          <w:szCs w:val="24"/>
          <w:u w:val="single"/>
        </w:rPr>
      </w:pPr>
      <w:r>
        <w:rPr>
          <w:rFonts w:hint="eastAsia" w:hAnsi="宋体"/>
          <w:color w:val="auto"/>
          <w:sz w:val="24"/>
        </w:rPr>
        <w:t>投标人名称（电子签章）：</w:t>
      </w:r>
    </w:p>
    <w:p w14:paraId="481FDCAF">
      <w:pPr>
        <w:pStyle w:val="20"/>
        <w:snapToGrid w:val="0"/>
        <w:spacing w:before="295" w:after="295" w:line="360" w:lineRule="auto"/>
        <w:ind w:firstLine="480" w:firstLineChars="200"/>
        <w:jc w:val="right"/>
        <w:rPr>
          <w:rFonts w:hAnsi="宋体"/>
          <w:color w:val="auto"/>
          <w:sz w:val="24"/>
        </w:rPr>
      </w:pPr>
      <w:r>
        <w:rPr>
          <w:rFonts w:hint="eastAsia" w:hAnsi="宋体"/>
          <w:color w:val="auto"/>
          <w:sz w:val="24"/>
          <w:szCs w:val="24"/>
        </w:rPr>
        <w:t>年</w:t>
      </w:r>
      <w:r>
        <w:rPr>
          <w:rFonts w:hint="eastAsia" w:hAnsi="宋体"/>
          <w:color w:val="auto"/>
          <w:sz w:val="24"/>
          <w:szCs w:val="24"/>
          <w:lang w:val="en-US" w:eastAsia="zh-CN"/>
        </w:rPr>
        <w:t xml:space="preserve">    </w:t>
      </w:r>
      <w:r>
        <w:rPr>
          <w:rFonts w:hint="eastAsia" w:hAnsi="宋体"/>
          <w:color w:val="auto"/>
          <w:sz w:val="24"/>
          <w:szCs w:val="24"/>
        </w:rPr>
        <w:t>月</w:t>
      </w:r>
      <w:r>
        <w:rPr>
          <w:rFonts w:hint="eastAsia" w:hAnsi="宋体"/>
          <w:color w:val="auto"/>
          <w:sz w:val="24"/>
          <w:szCs w:val="24"/>
          <w:lang w:val="en-US" w:eastAsia="zh-CN"/>
        </w:rPr>
        <w:t xml:space="preserve">   </w:t>
      </w:r>
      <w:r>
        <w:rPr>
          <w:rFonts w:hint="eastAsia" w:hAnsi="宋体"/>
          <w:color w:val="auto"/>
          <w:sz w:val="24"/>
          <w:szCs w:val="24"/>
        </w:rPr>
        <w:t>日</w:t>
      </w:r>
    </w:p>
    <w:p w14:paraId="49307F9D">
      <w:pPr>
        <w:snapToGrid w:val="0"/>
        <w:spacing w:beforeLines="50" w:after="50"/>
        <w:jc w:val="left"/>
        <w:rPr>
          <w:rFonts w:ascii="宋体" w:hAnsi="宋体"/>
          <w:b/>
          <w:color w:val="auto"/>
          <w:sz w:val="24"/>
          <w:szCs w:val="20"/>
        </w:rPr>
      </w:pPr>
      <w:r>
        <w:rPr>
          <w:rFonts w:hAnsi="宋体"/>
          <w:color w:val="auto"/>
          <w:u w:val="single"/>
        </w:rPr>
        <w:br w:type="page"/>
      </w:r>
      <w:r>
        <w:rPr>
          <w:rFonts w:hint="eastAsia" w:ascii="宋体" w:hAnsi="宋体"/>
          <w:b/>
          <w:color w:val="auto"/>
          <w:sz w:val="24"/>
        </w:rPr>
        <w:t>4. 开标一览表（服务类格式）</w:t>
      </w:r>
    </w:p>
    <w:p w14:paraId="6C4DED84">
      <w:pPr>
        <w:snapToGrid w:val="0"/>
        <w:spacing w:before="50" w:after="50"/>
        <w:jc w:val="center"/>
        <w:rPr>
          <w:rFonts w:ascii="宋体" w:hAnsi="宋体"/>
          <w:b/>
          <w:color w:val="auto"/>
          <w:sz w:val="30"/>
        </w:rPr>
      </w:pPr>
      <w:r>
        <w:rPr>
          <w:rFonts w:hint="eastAsia" w:ascii="宋体" w:hAnsi="宋体"/>
          <w:b/>
          <w:color w:val="auto"/>
          <w:sz w:val="30"/>
        </w:rPr>
        <w:t>开标一览表</w:t>
      </w:r>
    </w:p>
    <w:p w14:paraId="63B3429B">
      <w:pPr>
        <w:snapToGrid w:val="0"/>
        <w:spacing w:before="50" w:after="50" w:line="360" w:lineRule="auto"/>
        <w:rPr>
          <w:rFonts w:ascii="宋体" w:hAnsi="宋体"/>
          <w:color w:val="auto"/>
          <w:sz w:val="24"/>
          <w:u w:val="single"/>
        </w:rPr>
      </w:pPr>
      <w:r>
        <w:rPr>
          <w:rFonts w:hint="eastAsia" w:ascii="宋体" w:hAnsi="宋体"/>
          <w:color w:val="auto"/>
          <w:sz w:val="24"/>
        </w:rPr>
        <w:t>项目名称：</w:t>
      </w:r>
    </w:p>
    <w:p w14:paraId="57427639">
      <w:pPr>
        <w:snapToGrid w:val="0"/>
        <w:spacing w:before="50" w:after="50" w:line="360" w:lineRule="auto"/>
        <w:rPr>
          <w:rFonts w:ascii="宋体" w:hAnsi="宋体"/>
          <w:color w:val="auto"/>
          <w:sz w:val="24"/>
          <w:u w:val="single"/>
        </w:rPr>
      </w:pPr>
      <w:r>
        <w:rPr>
          <w:rFonts w:hint="eastAsia" w:ascii="宋体" w:hAnsi="宋体"/>
          <w:color w:val="auto"/>
          <w:sz w:val="24"/>
        </w:rPr>
        <w:t>项目编号：</w:t>
      </w:r>
    </w:p>
    <w:p w14:paraId="7B01396E">
      <w:pPr>
        <w:snapToGrid w:val="0"/>
        <w:spacing w:before="50" w:after="50" w:line="360" w:lineRule="auto"/>
        <w:rPr>
          <w:rFonts w:ascii="宋体" w:hAnsi="宋体"/>
          <w:color w:val="auto"/>
          <w:sz w:val="24"/>
          <w:u w:val="single"/>
        </w:rPr>
      </w:pPr>
      <w:r>
        <w:rPr>
          <w:rFonts w:hint="eastAsia" w:ascii="宋体" w:hAnsi="宋体"/>
          <w:color w:val="auto"/>
          <w:sz w:val="24"/>
        </w:rPr>
        <w:t>投标人名称：</w:t>
      </w:r>
    </w:p>
    <w:tbl>
      <w:tblPr>
        <w:tblStyle w:val="37"/>
        <w:tblpPr w:leftFromText="180" w:rightFromText="180" w:vertAnchor="text" w:horzAnchor="margin" w:tblpY="10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25"/>
        <w:gridCol w:w="3050"/>
        <w:gridCol w:w="1663"/>
        <w:gridCol w:w="1907"/>
      </w:tblGrid>
      <w:tr w14:paraId="6611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83" w:type="dxa"/>
            <w:vAlign w:val="center"/>
          </w:tcPr>
          <w:p w14:paraId="6DE25561">
            <w:pPr>
              <w:widowControl/>
              <w:spacing w:line="400" w:lineRule="exact"/>
              <w:jc w:val="center"/>
              <w:rPr>
                <w:rFonts w:ascii="宋体" w:hAnsi="宋体"/>
                <w:color w:val="auto"/>
                <w:kern w:val="0"/>
                <w:sz w:val="24"/>
              </w:rPr>
            </w:pPr>
            <w:r>
              <w:rPr>
                <w:rFonts w:hint="eastAsia" w:ascii="宋体" w:hAnsi="宋体"/>
                <w:color w:val="auto"/>
                <w:kern w:val="0"/>
                <w:sz w:val="24"/>
              </w:rPr>
              <w:t>序号</w:t>
            </w:r>
          </w:p>
        </w:tc>
        <w:tc>
          <w:tcPr>
            <w:tcW w:w="1325" w:type="dxa"/>
            <w:vAlign w:val="center"/>
          </w:tcPr>
          <w:p w14:paraId="76EAF60C">
            <w:pPr>
              <w:spacing w:line="400" w:lineRule="exact"/>
              <w:jc w:val="center"/>
              <w:rPr>
                <w:rFonts w:ascii="宋体" w:hAnsi="宋体"/>
                <w:color w:val="auto"/>
                <w:kern w:val="0"/>
                <w:sz w:val="24"/>
              </w:rPr>
            </w:pPr>
            <w:r>
              <w:rPr>
                <w:rFonts w:hint="eastAsia" w:ascii="宋体" w:hAnsi="宋体"/>
                <w:color w:val="auto"/>
                <w:kern w:val="0"/>
                <w:sz w:val="24"/>
              </w:rPr>
              <w:t>标的名称</w:t>
            </w:r>
          </w:p>
        </w:tc>
        <w:tc>
          <w:tcPr>
            <w:tcW w:w="3050" w:type="dxa"/>
            <w:vAlign w:val="center"/>
          </w:tcPr>
          <w:p w14:paraId="665C9839">
            <w:pPr>
              <w:spacing w:line="400" w:lineRule="exact"/>
              <w:jc w:val="center"/>
              <w:rPr>
                <w:rFonts w:ascii="宋体" w:hAnsi="宋体"/>
                <w:color w:val="auto"/>
                <w:kern w:val="0"/>
                <w:sz w:val="24"/>
              </w:rPr>
            </w:pPr>
            <w:r>
              <w:rPr>
                <w:rFonts w:hint="eastAsia" w:ascii="宋体" w:hAnsi="宋体"/>
                <w:color w:val="auto"/>
                <w:kern w:val="0"/>
                <w:sz w:val="24"/>
              </w:rPr>
              <w:t>数量及单位</w:t>
            </w:r>
          </w:p>
        </w:tc>
        <w:tc>
          <w:tcPr>
            <w:tcW w:w="1663" w:type="dxa"/>
            <w:vAlign w:val="center"/>
          </w:tcPr>
          <w:p w14:paraId="18E097BE">
            <w:pPr>
              <w:spacing w:line="400" w:lineRule="exact"/>
              <w:jc w:val="center"/>
              <w:rPr>
                <w:rFonts w:ascii="宋体" w:hAnsi="宋体"/>
                <w:color w:val="auto"/>
                <w:kern w:val="0"/>
                <w:sz w:val="24"/>
              </w:rPr>
            </w:pPr>
            <w:r>
              <w:rPr>
                <w:rFonts w:hint="eastAsia" w:ascii="宋体" w:hAnsi="宋体"/>
                <w:color w:val="auto"/>
                <w:kern w:val="0"/>
                <w:sz w:val="24"/>
              </w:rPr>
              <w:t>报价（元）</w:t>
            </w:r>
          </w:p>
        </w:tc>
        <w:tc>
          <w:tcPr>
            <w:tcW w:w="1907" w:type="dxa"/>
            <w:vAlign w:val="center"/>
          </w:tcPr>
          <w:p w14:paraId="63850B8C">
            <w:pPr>
              <w:spacing w:line="400" w:lineRule="exact"/>
              <w:jc w:val="center"/>
              <w:rPr>
                <w:rFonts w:ascii="宋体" w:hAnsi="宋体"/>
                <w:color w:val="auto"/>
                <w:kern w:val="0"/>
                <w:sz w:val="24"/>
              </w:rPr>
            </w:pPr>
            <w:r>
              <w:rPr>
                <w:rFonts w:hint="eastAsia" w:ascii="宋体" w:hAnsi="宋体"/>
                <w:color w:val="auto"/>
                <w:kern w:val="0"/>
                <w:sz w:val="24"/>
              </w:rPr>
              <w:t>备注</w:t>
            </w:r>
          </w:p>
        </w:tc>
      </w:tr>
      <w:tr w14:paraId="569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583" w:type="dxa"/>
            <w:vAlign w:val="center"/>
          </w:tcPr>
          <w:p w14:paraId="0D147382">
            <w:pPr>
              <w:widowControl/>
              <w:spacing w:line="400" w:lineRule="exact"/>
              <w:jc w:val="center"/>
              <w:rPr>
                <w:rFonts w:ascii="宋体" w:hAnsi="宋体"/>
                <w:color w:val="auto"/>
                <w:kern w:val="0"/>
                <w:szCs w:val="21"/>
              </w:rPr>
            </w:pPr>
            <w:r>
              <w:rPr>
                <w:rFonts w:hint="eastAsia" w:ascii="宋体" w:hAnsi="宋体"/>
                <w:color w:val="auto"/>
                <w:kern w:val="0"/>
                <w:szCs w:val="21"/>
              </w:rPr>
              <w:t>1</w:t>
            </w:r>
          </w:p>
        </w:tc>
        <w:tc>
          <w:tcPr>
            <w:tcW w:w="1325" w:type="dxa"/>
            <w:vAlign w:val="center"/>
          </w:tcPr>
          <w:p w14:paraId="5CF55F37">
            <w:pPr>
              <w:spacing w:line="400" w:lineRule="exact"/>
              <w:jc w:val="center"/>
              <w:rPr>
                <w:rFonts w:ascii="宋体" w:hAnsi="宋体" w:cs="宋体"/>
                <w:color w:val="auto"/>
                <w:szCs w:val="21"/>
              </w:rPr>
            </w:pPr>
          </w:p>
        </w:tc>
        <w:tc>
          <w:tcPr>
            <w:tcW w:w="3050" w:type="dxa"/>
            <w:vAlign w:val="center"/>
          </w:tcPr>
          <w:p w14:paraId="4813B92D">
            <w:pPr>
              <w:spacing w:line="400" w:lineRule="exact"/>
              <w:jc w:val="center"/>
              <w:rPr>
                <w:rFonts w:ascii="宋体" w:hAnsi="宋体"/>
                <w:color w:val="auto"/>
                <w:kern w:val="0"/>
                <w:szCs w:val="21"/>
              </w:rPr>
            </w:pPr>
          </w:p>
        </w:tc>
        <w:tc>
          <w:tcPr>
            <w:tcW w:w="1663" w:type="dxa"/>
            <w:vAlign w:val="center"/>
          </w:tcPr>
          <w:p w14:paraId="60DA759B">
            <w:pPr>
              <w:spacing w:line="400" w:lineRule="exact"/>
              <w:jc w:val="center"/>
              <w:rPr>
                <w:rFonts w:ascii="宋体" w:hAnsi="宋体"/>
                <w:color w:val="auto"/>
                <w:kern w:val="0"/>
                <w:szCs w:val="21"/>
              </w:rPr>
            </w:pPr>
            <w:r>
              <w:rPr>
                <w:rFonts w:hint="eastAsia" w:ascii="宋体" w:hAnsi="宋体"/>
                <w:color w:val="auto"/>
                <w:kern w:val="0"/>
                <w:szCs w:val="21"/>
              </w:rPr>
              <w:t>（大写）：</w:t>
            </w:r>
          </w:p>
          <w:p w14:paraId="1F88CDE7">
            <w:pPr>
              <w:spacing w:line="400" w:lineRule="exact"/>
              <w:jc w:val="center"/>
              <w:rPr>
                <w:rFonts w:ascii="宋体" w:hAnsi="宋体"/>
                <w:color w:val="auto"/>
                <w:kern w:val="0"/>
                <w:szCs w:val="21"/>
              </w:rPr>
            </w:pPr>
            <w:r>
              <w:rPr>
                <w:rFonts w:hint="eastAsia" w:ascii="宋体" w:hAnsi="宋体"/>
                <w:color w:val="auto"/>
                <w:kern w:val="0"/>
                <w:szCs w:val="21"/>
              </w:rPr>
              <w:t>（小写）：</w:t>
            </w:r>
          </w:p>
        </w:tc>
        <w:tc>
          <w:tcPr>
            <w:tcW w:w="1907" w:type="dxa"/>
            <w:vAlign w:val="center"/>
          </w:tcPr>
          <w:p w14:paraId="426ABC69">
            <w:pPr>
              <w:spacing w:line="400" w:lineRule="exact"/>
              <w:jc w:val="center"/>
              <w:rPr>
                <w:rFonts w:ascii="宋体" w:hAnsi="宋体"/>
                <w:color w:val="auto"/>
                <w:kern w:val="0"/>
                <w:szCs w:val="21"/>
              </w:rPr>
            </w:pPr>
          </w:p>
        </w:tc>
      </w:tr>
    </w:tbl>
    <w:p w14:paraId="185F64D9">
      <w:pPr>
        <w:spacing w:line="400" w:lineRule="exact"/>
        <w:rPr>
          <w:rFonts w:ascii="宋体" w:hAnsi="宋体"/>
          <w:color w:val="auto"/>
          <w:sz w:val="24"/>
        </w:rPr>
      </w:pPr>
      <w:r>
        <w:rPr>
          <w:rFonts w:hint="eastAsia" w:ascii="宋体" w:hAnsi="宋体"/>
          <w:color w:val="auto"/>
          <w:sz w:val="24"/>
        </w:rPr>
        <w:t xml:space="preserve">注: </w:t>
      </w:r>
    </w:p>
    <w:p w14:paraId="791B153D">
      <w:pPr>
        <w:snapToGrid w:val="0"/>
        <w:spacing w:line="360" w:lineRule="auto"/>
        <w:ind w:firstLine="480" w:firstLineChars="200"/>
        <w:jc w:val="left"/>
        <w:rPr>
          <w:rFonts w:ascii="宋体" w:hAnsi="宋体"/>
          <w:color w:val="auto"/>
          <w:sz w:val="24"/>
        </w:rPr>
      </w:pPr>
      <w:r>
        <w:rPr>
          <w:rFonts w:hint="eastAsia" w:ascii="宋体" w:hAnsi="宋体"/>
          <w:color w:val="auto"/>
          <w:sz w:val="24"/>
        </w:rPr>
        <w:t>1.投标人的开标一览表必须加盖投标人电子签章并由</w:t>
      </w:r>
      <w:r>
        <w:rPr>
          <w:rFonts w:ascii="宋体" w:hAnsi="宋体"/>
          <w:color w:val="auto"/>
          <w:sz w:val="24"/>
        </w:rPr>
        <w:t>法定代表人或者委托代理人</w:t>
      </w:r>
      <w:r>
        <w:rPr>
          <w:rFonts w:hint="eastAsia" w:ascii="宋体" w:hAnsi="宋体"/>
          <w:color w:val="auto"/>
          <w:sz w:val="24"/>
        </w:rPr>
        <w:t>签字或者电子签名，</w:t>
      </w:r>
      <w:r>
        <w:rPr>
          <w:rFonts w:hint="eastAsia" w:ascii="宋体" w:hAnsi="宋体"/>
          <w:b/>
          <w:color w:val="auto"/>
          <w:sz w:val="24"/>
        </w:rPr>
        <w:t>否则其投标作无效标处理</w:t>
      </w:r>
      <w:r>
        <w:rPr>
          <w:rFonts w:hint="eastAsia" w:ascii="宋体" w:hAnsi="宋体"/>
          <w:color w:val="auto"/>
          <w:sz w:val="24"/>
        </w:rPr>
        <w:t>。</w:t>
      </w:r>
    </w:p>
    <w:p w14:paraId="413FC968">
      <w:pPr>
        <w:snapToGrid w:val="0"/>
        <w:spacing w:line="360" w:lineRule="auto"/>
        <w:ind w:firstLine="480" w:firstLineChars="200"/>
        <w:jc w:val="left"/>
        <w:rPr>
          <w:rFonts w:ascii="宋体" w:hAnsi="宋体"/>
          <w:b/>
          <w:color w:val="auto"/>
          <w:sz w:val="24"/>
        </w:rPr>
      </w:pPr>
      <w:r>
        <w:rPr>
          <w:rFonts w:hint="eastAsia" w:ascii="宋体" w:hAnsi="宋体"/>
          <w:bCs/>
          <w:color w:val="auto"/>
          <w:sz w:val="24"/>
        </w:rPr>
        <w:t>2.</w:t>
      </w:r>
      <w:r>
        <w:rPr>
          <w:rFonts w:hint="eastAsia" w:ascii="宋体" w:hAnsi="宋体"/>
          <w:color w:val="auto"/>
          <w:sz w:val="24"/>
        </w:rPr>
        <w:t>报价一经涂改，应在涂改处加盖投标人公章</w:t>
      </w:r>
      <w:r>
        <w:rPr>
          <w:rFonts w:hint="eastAsia" w:ascii="宋体" w:hAnsi="宋体" w:cs="仿宋_GB2312"/>
          <w:color w:val="auto"/>
          <w:sz w:val="24"/>
        </w:rPr>
        <w:t>或者加盖电子签章</w:t>
      </w:r>
      <w:r>
        <w:rPr>
          <w:rFonts w:hint="eastAsia" w:ascii="宋体" w:hAnsi="宋体"/>
          <w:color w:val="auto"/>
          <w:sz w:val="24"/>
        </w:rPr>
        <w:t>或者由法定代表人或者委托代理人签字（或者电子签名）</w:t>
      </w:r>
      <w:r>
        <w:rPr>
          <w:rFonts w:hint="eastAsia" w:ascii="宋体" w:hAnsi="宋体"/>
          <w:b/>
          <w:color w:val="auto"/>
          <w:sz w:val="24"/>
        </w:rPr>
        <w:t>，否则其投标作无效标处理。</w:t>
      </w:r>
    </w:p>
    <w:p w14:paraId="1F80EC0D">
      <w:pPr>
        <w:snapToGrid w:val="0"/>
        <w:spacing w:line="360" w:lineRule="auto"/>
        <w:ind w:firstLine="480" w:firstLineChars="200"/>
        <w:jc w:val="left"/>
        <w:rPr>
          <w:rFonts w:ascii="宋体" w:hAnsi="宋体"/>
          <w:color w:val="auto"/>
          <w:sz w:val="24"/>
        </w:rPr>
      </w:pPr>
      <w:r>
        <w:rPr>
          <w:rFonts w:hint="eastAsia" w:ascii="宋体" w:hAnsi="宋体"/>
          <w:color w:val="auto"/>
          <w:sz w:val="24"/>
        </w:rPr>
        <w:t>3.如为联合体投标，“投标人名称”处必须列明联合体各方名称，并标注联合体牵头人名称，否则其投标作无效标处理。</w:t>
      </w:r>
    </w:p>
    <w:p w14:paraId="427CA535">
      <w:pPr>
        <w:spacing w:line="360" w:lineRule="auto"/>
        <w:ind w:firstLine="422" w:firstLineChars="200"/>
        <w:rPr>
          <w:rFonts w:ascii="宋体" w:hAnsi="宋体" w:cs="宋体"/>
          <w:b/>
          <w:bCs/>
          <w:color w:val="auto"/>
          <w:szCs w:val="21"/>
        </w:rPr>
      </w:pPr>
    </w:p>
    <w:p w14:paraId="7D9FAE18">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 </w:t>
      </w:r>
    </w:p>
    <w:p w14:paraId="59E6F05D">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投标人名称（电子签章）：</w:t>
      </w:r>
    </w:p>
    <w:p w14:paraId="5A23AB0E">
      <w:pPr>
        <w:snapToGrid w:val="0"/>
        <w:spacing w:line="360" w:lineRule="auto"/>
        <w:ind w:left="-3" w:leftChars="-15" w:right="-817" w:rightChars="-389" w:hanging="28" w:hangingChars="12"/>
        <w:rPr>
          <w:b/>
          <w:color w:val="auto"/>
          <w:sz w:val="28"/>
          <w:szCs w:val="28"/>
        </w:rPr>
      </w:pPr>
      <w:r>
        <w:rPr>
          <w:rFonts w:hint="eastAsia" w:ascii="宋体" w:hAnsi="宋体"/>
          <w:color w:val="auto"/>
          <w:sz w:val="24"/>
        </w:rPr>
        <w:t xml:space="preserve">                                  日期：    年   月   日</w:t>
      </w:r>
      <w:r>
        <w:rPr>
          <w:rFonts w:ascii="宋体" w:hAnsi="宋体"/>
          <w:color w:val="auto"/>
          <w:szCs w:val="21"/>
        </w:rPr>
        <w:br w:type="page"/>
      </w:r>
      <w:bookmarkStart w:id="169" w:name="_Toc19686837"/>
      <w:r>
        <w:rPr>
          <w:rFonts w:hint="eastAsia"/>
          <w:b/>
          <w:color w:val="auto"/>
          <w:sz w:val="28"/>
          <w:szCs w:val="28"/>
        </w:rPr>
        <w:t>二、资格证明文件格式</w:t>
      </w:r>
      <w:bookmarkEnd w:id="167"/>
      <w:bookmarkEnd w:id="168"/>
      <w:bookmarkEnd w:id="169"/>
    </w:p>
    <w:p w14:paraId="65D3578C">
      <w:pPr>
        <w:numPr>
          <w:ilvl w:val="2"/>
          <w:numId w:val="4"/>
        </w:numPr>
        <w:snapToGrid w:val="0"/>
        <w:spacing w:beforeLines="50" w:after="50" w:line="360" w:lineRule="auto"/>
        <w:ind w:left="-69" w:firstLine="0"/>
        <w:jc w:val="left"/>
        <w:rPr>
          <w:rFonts w:ascii="宋体" w:hAnsi="宋体"/>
          <w:b/>
          <w:color w:val="auto"/>
          <w:sz w:val="24"/>
        </w:rPr>
      </w:pPr>
      <w:r>
        <w:rPr>
          <w:rFonts w:hint="eastAsia" w:ascii="宋体" w:hAnsi="宋体"/>
          <w:b/>
          <w:color w:val="auto"/>
          <w:sz w:val="24"/>
        </w:rPr>
        <w:t xml:space="preserve">资格证明文件封面格式： </w:t>
      </w:r>
    </w:p>
    <w:p w14:paraId="5A66BCD1">
      <w:pPr>
        <w:snapToGrid w:val="0"/>
        <w:spacing w:beforeLines="50" w:after="50"/>
        <w:jc w:val="center"/>
        <w:rPr>
          <w:rFonts w:ascii="宋体" w:hAnsi="宋体" w:eastAsia="方正小标宋简体"/>
          <w:bCs/>
          <w:color w:val="auto"/>
          <w:sz w:val="48"/>
          <w:szCs w:val="48"/>
        </w:rPr>
      </w:pPr>
      <w:r>
        <w:rPr>
          <w:rFonts w:hint="eastAsia" w:ascii="宋体" w:hAnsi="宋体" w:eastAsia="方正小标宋简体"/>
          <w:bCs/>
          <w:color w:val="auto"/>
          <w:sz w:val="48"/>
          <w:szCs w:val="48"/>
        </w:rPr>
        <w:t>电子投标文件</w:t>
      </w:r>
    </w:p>
    <w:p w14:paraId="77722C37">
      <w:pPr>
        <w:snapToGrid w:val="0"/>
        <w:spacing w:beforeLines="50" w:after="50"/>
        <w:rPr>
          <w:rFonts w:ascii="宋体" w:hAnsi="宋体"/>
          <w:color w:val="auto"/>
          <w:sz w:val="24"/>
          <w:szCs w:val="20"/>
        </w:rPr>
      </w:pPr>
    </w:p>
    <w:p w14:paraId="765C7E56">
      <w:pPr>
        <w:snapToGrid w:val="0"/>
        <w:spacing w:beforeLines="50" w:after="50"/>
        <w:jc w:val="center"/>
        <w:rPr>
          <w:rFonts w:ascii="宋体" w:hAnsi="宋体"/>
          <w:b/>
          <w:color w:val="auto"/>
          <w:sz w:val="24"/>
          <w:szCs w:val="20"/>
        </w:rPr>
      </w:pPr>
      <w:r>
        <w:rPr>
          <w:rFonts w:hint="eastAsia" w:ascii="宋体" w:hAnsi="宋体"/>
          <w:b/>
          <w:color w:val="auto"/>
          <w:sz w:val="32"/>
          <w:szCs w:val="32"/>
        </w:rPr>
        <w:t>资格证明文件</w:t>
      </w:r>
    </w:p>
    <w:p w14:paraId="7A3F7D20">
      <w:pPr>
        <w:snapToGrid w:val="0"/>
        <w:spacing w:beforeLines="50" w:after="50"/>
        <w:rPr>
          <w:rFonts w:ascii="宋体" w:hAnsi="宋体"/>
          <w:bCs/>
          <w:color w:val="auto"/>
          <w:sz w:val="24"/>
          <w:szCs w:val="20"/>
        </w:rPr>
      </w:pPr>
    </w:p>
    <w:p w14:paraId="2D662787">
      <w:pPr>
        <w:snapToGrid w:val="0"/>
        <w:spacing w:beforeLines="50" w:after="50"/>
        <w:rPr>
          <w:rFonts w:ascii="宋体" w:hAnsi="宋体"/>
          <w:bCs/>
          <w:color w:val="auto"/>
          <w:sz w:val="24"/>
          <w:szCs w:val="20"/>
        </w:rPr>
      </w:pPr>
    </w:p>
    <w:p w14:paraId="33BB04F6">
      <w:pPr>
        <w:snapToGrid w:val="0"/>
        <w:spacing w:beforeLines="50" w:after="50"/>
        <w:rPr>
          <w:rFonts w:ascii="宋体" w:hAnsi="宋体"/>
          <w:bCs/>
          <w:color w:val="auto"/>
          <w:sz w:val="24"/>
          <w:szCs w:val="20"/>
        </w:rPr>
      </w:pPr>
    </w:p>
    <w:p w14:paraId="175C693C">
      <w:pPr>
        <w:snapToGrid w:val="0"/>
        <w:spacing w:beforeLines="50" w:after="50"/>
        <w:rPr>
          <w:rFonts w:ascii="宋体" w:hAnsi="宋体"/>
          <w:bCs/>
          <w:color w:val="auto"/>
          <w:sz w:val="24"/>
          <w:szCs w:val="20"/>
        </w:rPr>
      </w:pPr>
    </w:p>
    <w:p w14:paraId="1553FE6D">
      <w:pPr>
        <w:snapToGrid w:val="0"/>
        <w:spacing w:beforeLines="50" w:after="50"/>
        <w:rPr>
          <w:rFonts w:ascii="宋体" w:hAnsi="宋体"/>
          <w:bCs/>
          <w:color w:val="auto"/>
          <w:sz w:val="24"/>
          <w:szCs w:val="20"/>
        </w:rPr>
      </w:pPr>
    </w:p>
    <w:p w14:paraId="0E0C7649">
      <w:pPr>
        <w:snapToGrid w:val="0"/>
        <w:spacing w:beforeLines="50" w:after="50"/>
        <w:rPr>
          <w:rFonts w:ascii="宋体" w:hAnsi="宋体"/>
          <w:bCs/>
          <w:color w:val="auto"/>
          <w:sz w:val="24"/>
          <w:szCs w:val="20"/>
        </w:rPr>
      </w:pPr>
    </w:p>
    <w:p w14:paraId="2ED88E65">
      <w:pPr>
        <w:snapToGrid w:val="0"/>
        <w:spacing w:beforeLines="50" w:after="50"/>
        <w:rPr>
          <w:rFonts w:ascii="宋体" w:hAnsi="宋体"/>
          <w:bCs/>
          <w:color w:val="auto"/>
          <w:sz w:val="24"/>
          <w:szCs w:val="20"/>
        </w:rPr>
      </w:pPr>
    </w:p>
    <w:p w14:paraId="29DB7A50">
      <w:pPr>
        <w:snapToGrid w:val="0"/>
        <w:spacing w:beforeLines="50" w:after="50"/>
        <w:ind w:firstLine="540" w:firstLineChars="225"/>
        <w:rPr>
          <w:rFonts w:ascii="宋体" w:hAnsi="宋体"/>
          <w:bCs/>
          <w:color w:val="auto"/>
          <w:sz w:val="24"/>
        </w:rPr>
      </w:pPr>
      <w:r>
        <w:rPr>
          <w:rFonts w:hint="eastAsia" w:ascii="宋体" w:hAnsi="宋体"/>
          <w:bCs/>
          <w:color w:val="auto"/>
          <w:sz w:val="24"/>
        </w:rPr>
        <w:t>项目名称：</w:t>
      </w:r>
    </w:p>
    <w:p w14:paraId="6458A6C5">
      <w:pPr>
        <w:snapToGrid w:val="0"/>
        <w:spacing w:beforeLines="50" w:after="50"/>
        <w:ind w:firstLine="540" w:firstLineChars="225"/>
        <w:rPr>
          <w:rFonts w:ascii="宋体" w:hAnsi="宋体"/>
          <w:bCs/>
          <w:color w:val="auto"/>
          <w:sz w:val="24"/>
          <w:szCs w:val="20"/>
        </w:rPr>
      </w:pPr>
    </w:p>
    <w:p w14:paraId="58F5D01F">
      <w:pPr>
        <w:snapToGrid w:val="0"/>
        <w:spacing w:beforeLines="50" w:after="50"/>
        <w:ind w:firstLine="540" w:firstLineChars="225"/>
        <w:rPr>
          <w:rFonts w:ascii="宋体" w:hAnsi="宋体"/>
          <w:bCs/>
          <w:color w:val="auto"/>
          <w:sz w:val="24"/>
        </w:rPr>
      </w:pPr>
      <w:r>
        <w:rPr>
          <w:rFonts w:hint="eastAsia" w:ascii="宋体" w:hAnsi="宋体"/>
          <w:bCs/>
          <w:color w:val="auto"/>
          <w:sz w:val="24"/>
        </w:rPr>
        <w:t>项目编号：</w:t>
      </w:r>
    </w:p>
    <w:p w14:paraId="3E7D5AC9">
      <w:pPr>
        <w:snapToGrid w:val="0"/>
        <w:spacing w:beforeLines="50" w:after="50"/>
        <w:ind w:firstLine="540" w:firstLineChars="225"/>
        <w:rPr>
          <w:rFonts w:ascii="宋体" w:hAnsi="宋体"/>
          <w:bCs/>
          <w:color w:val="auto"/>
          <w:sz w:val="24"/>
          <w:szCs w:val="20"/>
        </w:rPr>
      </w:pPr>
    </w:p>
    <w:p w14:paraId="7C9D4982">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44288085">
      <w:pPr>
        <w:pStyle w:val="8"/>
        <w:snapToGrid w:val="0"/>
        <w:spacing w:before="50" w:after="50"/>
        <w:ind w:firstLine="540" w:firstLineChars="225"/>
        <w:rPr>
          <w:rFonts w:ascii="宋体" w:hAnsi="宋体"/>
          <w:bCs/>
          <w:color w:val="auto"/>
          <w:sz w:val="24"/>
          <w:szCs w:val="24"/>
        </w:rPr>
      </w:pPr>
    </w:p>
    <w:p w14:paraId="26C5F52E">
      <w:pPr>
        <w:pStyle w:val="8"/>
        <w:snapToGrid w:val="0"/>
        <w:spacing w:before="50" w:after="50"/>
        <w:ind w:firstLine="960" w:firstLineChars="400"/>
        <w:rPr>
          <w:rFonts w:ascii="宋体" w:hAnsi="宋体"/>
          <w:bCs/>
          <w:color w:val="auto"/>
          <w:sz w:val="24"/>
          <w:szCs w:val="24"/>
        </w:rPr>
      </w:pPr>
    </w:p>
    <w:p w14:paraId="797809F0">
      <w:pPr>
        <w:snapToGrid w:val="0"/>
        <w:spacing w:beforeLines="50" w:after="50"/>
        <w:ind w:firstLine="645"/>
        <w:jc w:val="center"/>
        <w:rPr>
          <w:rFonts w:ascii="宋体" w:hAnsi="宋体"/>
          <w:color w:val="auto"/>
          <w:sz w:val="24"/>
        </w:rPr>
      </w:pPr>
      <w:r>
        <w:rPr>
          <w:rFonts w:hint="eastAsia" w:ascii="宋体" w:hAnsi="宋体"/>
          <w:color w:val="auto"/>
          <w:sz w:val="24"/>
        </w:rPr>
        <w:t>年  月  日</w:t>
      </w:r>
    </w:p>
    <w:p w14:paraId="002CF48E">
      <w:pPr>
        <w:snapToGrid w:val="0"/>
        <w:spacing w:beforeLines="50" w:after="50"/>
        <w:rPr>
          <w:rFonts w:ascii="宋体" w:hAnsi="宋体"/>
          <w:color w:val="auto"/>
          <w:sz w:val="24"/>
          <w:szCs w:val="20"/>
        </w:rPr>
      </w:pPr>
    </w:p>
    <w:p w14:paraId="746D4D73">
      <w:pPr>
        <w:snapToGrid w:val="0"/>
        <w:spacing w:beforeLines="50" w:after="50"/>
        <w:rPr>
          <w:rFonts w:ascii="宋体" w:hAnsi="宋体"/>
          <w:color w:val="auto"/>
          <w:sz w:val="24"/>
          <w:szCs w:val="20"/>
        </w:rPr>
      </w:pPr>
    </w:p>
    <w:p w14:paraId="26BC8779">
      <w:pPr>
        <w:numPr>
          <w:ilvl w:val="2"/>
          <w:numId w:val="4"/>
        </w:numPr>
        <w:snapToGrid w:val="0"/>
        <w:spacing w:beforeLines="50" w:after="50" w:line="360" w:lineRule="auto"/>
        <w:ind w:left="-69" w:firstLine="0"/>
        <w:jc w:val="left"/>
        <w:rPr>
          <w:rFonts w:ascii="宋体" w:hAnsi="宋体"/>
          <w:color w:val="auto"/>
          <w:sz w:val="24"/>
          <w:szCs w:val="20"/>
        </w:rPr>
      </w:pPr>
      <w:r>
        <w:rPr>
          <w:rFonts w:ascii="宋体" w:hAnsi="宋体"/>
          <w:b/>
          <w:bCs/>
          <w:color w:val="auto"/>
          <w:sz w:val="24"/>
        </w:rPr>
        <w:br w:type="page"/>
      </w:r>
      <w:r>
        <w:rPr>
          <w:rFonts w:hint="eastAsia" w:ascii="宋体" w:hAnsi="宋体"/>
          <w:b/>
          <w:bCs/>
          <w:color w:val="auto"/>
          <w:sz w:val="24"/>
        </w:rPr>
        <w:t>资格证明文件目录</w:t>
      </w:r>
    </w:p>
    <w:p w14:paraId="44951F89">
      <w:pPr>
        <w:snapToGrid w:val="0"/>
        <w:spacing w:line="360" w:lineRule="auto"/>
        <w:ind w:firstLine="420" w:firstLineChars="200"/>
        <w:jc w:val="left"/>
        <w:rPr>
          <w:rFonts w:ascii="宋体" w:hAnsi="宋体"/>
          <w:color w:val="auto"/>
          <w:szCs w:val="21"/>
        </w:rPr>
      </w:pPr>
      <w:r>
        <w:rPr>
          <w:rFonts w:hint="eastAsia" w:ascii="宋体" w:hAnsi="宋体"/>
          <w:color w:val="auto"/>
          <w:szCs w:val="21"/>
        </w:rPr>
        <w:t>根据招标文件规定及投标人提供的材料自行编写目录。</w:t>
      </w:r>
    </w:p>
    <w:p w14:paraId="66425FFA">
      <w:pPr>
        <w:snapToGrid w:val="0"/>
        <w:spacing w:before="50" w:afterLines="50"/>
        <w:jc w:val="left"/>
        <w:rPr>
          <w:rFonts w:ascii="宋体" w:hAnsi="宋体"/>
          <w:color w:val="auto"/>
          <w:sz w:val="24"/>
        </w:rPr>
      </w:pPr>
    </w:p>
    <w:p w14:paraId="6A0DC310">
      <w:pPr>
        <w:snapToGrid w:val="0"/>
        <w:spacing w:before="50" w:afterLines="50"/>
        <w:jc w:val="left"/>
        <w:rPr>
          <w:rFonts w:ascii="宋体" w:hAnsi="宋体"/>
          <w:color w:val="auto"/>
          <w:sz w:val="24"/>
        </w:rPr>
      </w:pPr>
    </w:p>
    <w:p w14:paraId="0AEF2EC1">
      <w:pPr>
        <w:snapToGrid w:val="0"/>
        <w:spacing w:beforeLines="50" w:after="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w:t>
      </w:r>
      <w:r>
        <w:rPr>
          <w:rFonts w:hint="eastAsia" w:ascii="宋体" w:hAnsi="宋体"/>
          <w:b/>
          <w:color w:val="auto"/>
          <w:sz w:val="28"/>
          <w:szCs w:val="28"/>
        </w:rPr>
        <w:t>投标人直接控股股东信息表</w:t>
      </w:r>
    </w:p>
    <w:p w14:paraId="3BC1D107">
      <w:pPr>
        <w:snapToGrid w:val="0"/>
        <w:spacing w:before="50" w:afterLines="50"/>
        <w:jc w:val="center"/>
        <w:rPr>
          <w:rFonts w:ascii="宋体" w:hAnsi="宋体"/>
          <w:b/>
          <w:color w:val="auto"/>
          <w:sz w:val="28"/>
          <w:szCs w:val="28"/>
        </w:rPr>
      </w:pPr>
    </w:p>
    <w:p w14:paraId="77B7E436">
      <w:pPr>
        <w:snapToGrid w:val="0"/>
        <w:spacing w:before="50" w:afterLines="50" w:line="360" w:lineRule="auto"/>
        <w:jc w:val="center"/>
        <w:rPr>
          <w:rFonts w:ascii="宋体" w:hAnsi="宋体"/>
          <w:b/>
          <w:color w:val="auto"/>
          <w:sz w:val="32"/>
          <w:szCs w:val="32"/>
        </w:rPr>
      </w:pPr>
      <w:r>
        <w:rPr>
          <w:rFonts w:hint="eastAsia" w:ascii="宋体" w:hAnsi="宋体"/>
          <w:b/>
          <w:color w:val="auto"/>
          <w:sz w:val="32"/>
          <w:szCs w:val="32"/>
        </w:rPr>
        <w:t>投标人直接控股股东信息表</w:t>
      </w:r>
    </w:p>
    <w:tbl>
      <w:tblPr>
        <w:tblStyle w:val="37"/>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F6415DD">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BCA040">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688AC62">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5A8DB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C61F77">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D4EC58">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4021E24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F4C319">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B6BF9">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47C7B9">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F93B12">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C7E91C">
            <w:pPr>
              <w:spacing w:line="360" w:lineRule="auto"/>
              <w:jc w:val="center"/>
              <w:rPr>
                <w:rFonts w:ascii="宋体" w:hAnsi="宋体" w:cs="宋体"/>
                <w:color w:val="auto"/>
                <w:kern w:val="0"/>
                <w:sz w:val="24"/>
              </w:rPr>
            </w:pPr>
          </w:p>
        </w:tc>
      </w:tr>
      <w:tr w14:paraId="4D6A2CF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091828">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D8D608">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B38B9">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BB9043">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0DBA10">
            <w:pPr>
              <w:spacing w:line="360" w:lineRule="auto"/>
              <w:jc w:val="center"/>
              <w:rPr>
                <w:rFonts w:ascii="宋体" w:hAnsi="宋体" w:cs="宋体"/>
                <w:color w:val="auto"/>
                <w:kern w:val="0"/>
                <w:sz w:val="24"/>
              </w:rPr>
            </w:pPr>
          </w:p>
        </w:tc>
      </w:tr>
      <w:tr w14:paraId="0C55599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03244D">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8203F9">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EACB23">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7CC03">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4C5F35">
            <w:pPr>
              <w:spacing w:line="360" w:lineRule="auto"/>
              <w:jc w:val="center"/>
              <w:rPr>
                <w:rFonts w:ascii="宋体" w:hAnsi="宋体" w:cs="宋体"/>
                <w:color w:val="auto"/>
                <w:kern w:val="0"/>
                <w:sz w:val="24"/>
              </w:rPr>
            </w:pPr>
          </w:p>
        </w:tc>
      </w:tr>
      <w:tr w14:paraId="316FD1A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26CBED">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87F56">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DB603">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4CB448">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46B4D9">
            <w:pPr>
              <w:spacing w:line="360" w:lineRule="auto"/>
              <w:jc w:val="center"/>
              <w:rPr>
                <w:rFonts w:ascii="宋体" w:hAnsi="宋体" w:cs="宋体"/>
                <w:color w:val="auto"/>
                <w:kern w:val="0"/>
                <w:sz w:val="24"/>
              </w:rPr>
            </w:pPr>
          </w:p>
        </w:tc>
      </w:tr>
    </w:tbl>
    <w:p w14:paraId="09A59152">
      <w:pPr>
        <w:snapToGrid w:val="0"/>
        <w:spacing w:line="360" w:lineRule="auto"/>
        <w:jc w:val="left"/>
        <w:rPr>
          <w:rFonts w:ascii="宋体" w:hAnsi="宋体"/>
          <w:color w:val="auto"/>
          <w:sz w:val="24"/>
        </w:rPr>
      </w:pPr>
      <w:r>
        <w:rPr>
          <w:rFonts w:hint="eastAsia" w:ascii="宋体" w:hAnsi="宋体"/>
          <w:color w:val="auto"/>
          <w:sz w:val="24"/>
        </w:rPr>
        <w:t>注：</w:t>
      </w:r>
    </w:p>
    <w:p w14:paraId="7541332F">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430F40">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736B9DB9">
      <w:pPr>
        <w:snapToGrid w:val="0"/>
        <w:spacing w:line="360" w:lineRule="auto"/>
        <w:jc w:val="left"/>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投标人</w:t>
      </w:r>
      <w:r>
        <w:rPr>
          <w:rFonts w:hint="eastAsia" w:ascii="宋体" w:hAnsi="宋体"/>
          <w:color w:val="auto"/>
          <w:sz w:val="24"/>
        </w:rPr>
        <w:t>不存在直接控股股东的，则在“</w:t>
      </w:r>
      <w:r>
        <w:rPr>
          <w:rFonts w:hint="eastAsia" w:ascii="宋体" w:hAnsi="宋体" w:cs="宋体"/>
          <w:b/>
          <w:bCs/>
          <w:color w:val="auto"/>
          <w:kern w:val="0"/>
          <w:sz w:val="24"/>
        </w:rPr>
        <w:t>直接控股股东名称</w:t>
      </w:r>
      <w:r>
        <w:rPr>
          <w:rFonts w:hint="eastAsia" w:ascii="宋体" w:hAnsi="宋体"/>
          <w:color w:val="auto"/>
          <w:sz w:val="24"/>
        </w:rPr>
        <w:t>”中填“无”。</w:t>
      </w:r>
    </w:p>
    <w:p w14:paraId="0591ADE9">
      <w:pPr>
        <w:snapToGrid w:val="0"/>
        <w:spacing w:line="360" w:lineRule="auto"/>
        <w:jc w:val="left"/>
        <w:rPr>
          <w:rFonts w:ascii="宋体" w:hAnsi="宋体"/>
          <w:color w:val="auto"/>
          <w:sz w:val="24"/>
        </w:rPr>
      </w:pPr>
    </w:p>
    <w:p w14:paraId="536D1E89">
      <w:pPr>
        <w:snapToGrid w:val="0"/>
        <w:spacing w:line="360" w:lineRule="auto"/>
        <w:jc w:val="left"/>
        <w:rPr>
          <w:rFonts w:ascii="宋体" w:hAnsi="宋体"/>
          <w:color w:val="auto"/>
          <w:sz w:val="24"/>
        </w:rPr>
      </w:pPr>
    </w:p>
    <w:p w14:paraId="29F13C9E">
      <w:pPr>
        <w:snapToGrid w:val="0"/>
        <w:spacing w:line="360" w:lineRule="auto"/>
        <w:jc w:val="left"/>
        <w:rPr>
          <w:rFonts w:ascii="宋体" w:hAnsi="宋体"/>
          <w:color w:val="auto"/>
          <w:sz w:val="24"/>
        </w:rPr>
      </w:pPr>
    </w:p>
    <w:p w14:paraId="082FC538">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w:t>
      </w:r>
    </w:p>
    <w:p w14:paraId="7E7A32D3">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投标人名称（电子签章）：</w:t>
      </w:r>
    </w:p>
    <w:p w14:paraId="4F656203">
      <w:pPr>
        <w:snapToGrid w:val="0"/>
        <w:spacing w:line="360" w:lineRule="auto"/>
        <w:jc w:val="left"/>
        <w:rPr>
          <w:rFonts w:ascii="宋体" w:hAnsi="宋体"/>
          <w:color w:val="auto"/>
          <w:szCs w:val="21"/>
        </w:rPr>
      </w:pPr>
      <w:r>
        <w:rPr>
          <w:rFonts w:hint="eastAsia" w:ascii="宋体" w:hAnsi="宋体"/>
          <w:color w:val="auto"/>
          <w:sz w:val="24"/>
        </w:rPr>
        <w:t xml:space="preserve">                                    日期：    年   月   日</w:t>
      </w:r>
    </w:p>
    <w:p w14:paraId="3C9DFCE8">
      <w:pPr>
        <w:snapToGrid w:val="0"/>
        <w:jc w:val="center"/>
        <w:rPr>
          <w:rFonts w:ascii="宋体" w:hAnsi="宋体"/>
          <w:b/>
          <w:color w:val="auto"/>
          <w:sz w:val="28"/>
          <w:szCs w:val="28"/>
        </w:rPr>
      </w:pPr>
    </w:p>
    <w:p w14:paraId="2E42C247">
      <w:pPr>
        <w:snapToGrid w:val="0"/>
        <w:spacing w:line="360" w:lineRule="auto"/>
        <w:jc w:val="left"/>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24"/>
        </w:rPr>
        <w:t>4.</w:t>
      </w:r>
      <w:r>
        <w:rPr>
          <w:rFonts w:hint="eastAsia" w:ascii="宋体" w:hAnsi="宋体"/>
          <w:b/>
          <w:color w:val="auto"/>
          <w:sz w:val="28"/>
          <w:szCs w:val="28"/>
        </w:rPr>
        <w:t>投标人直接管理关系信息表</w:t>
      </w:r>
    </w:p>
    <w:p w14:paraId="456E68D4">
      <w:pPr>
        <w:snapToGrid w:val="0"/>
        <w:spacing w:line="360" w:lineRule="auto"/>
        <w:jc w:val="center"/>
        <w:rPr>
          <w:rFonts w:ascii="宋体" w:hAnsi="宋体"/>
          <w:color w:val="auto"/>
          <w:sz w:val="32"/>
          <w:szCs w:val="32"/>
        </w:rPr>
      </w:pPr>
      <w:r>
        <w:rPr>
          <w:rFonts w:hint="eastAsia" w:ascii="宋体" w:hAnsi="宋体"/>
          <w:b/>
          <w:color w:val="auto"/>
          <w:sz w:val="32"/>
          <w:szCs w:val="32"/>
        </w:rPr>
        <w:t>投标人直接管理关系信息表</w:t>
      </w:r>
    </w:p>
    <w:tbl>
      <w:tblPr>
        <w:tblStyle w:val="37"/>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2334BC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D7DF17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6569F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4F9B48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B72B54">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2B9F1D3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FC95E5">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7E3798">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E26C94">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27BBFD">
            <w:pPr>
              <w:spacing w:line="360" w:lineRule="auto"/>
              <w:jc w:val="center"/>
              <w:rPr>
                <w:rFonts w:ascii="宋体" w:hAnsi="宋体" w:cs="宋体"/>
                <w:color w:val="auto"/>
                <w:kern w:val="0"/>
                <w:sz w:val="24"/>
              </w:rPr>
            </w:pPr>
          </w:p>
        </w:tc>
      </w:tr>
      <w:tr w14:paraId="4AE02CB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4EBF13">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CC8700">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D70FC2">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277675">
            <w:pPr>
              <w:spacing w:line="360" w:lineRule="auto"/>
              <w:jc w:val="center"/>
              <w:rPr>
                <w:rFonts w:ascii="宋体" w:hAnsi="宋体" w:cs="宋体"/>
                <w:color w:val="auto"/>
                <w:kern w:val="0"/>
                <w:sz w:val="24"/>
              </w:rPr>
            </w:pPr>
          </w:p>
        </w:tc>
      </w:tr>
      <w:tr w14:paraId="6E1967A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0E309C">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F5C56">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B1BE6B">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DC11FF">
            <w:pPr>
              <w:spacing w:line="360" w:lineRule="auto"/>
              <w:jc w:val="center"/>
              <w:rPr>
                <w:rFonts w:ascii="宋体" w:hAnsi="宋体" w:cs="宋体"/>
                <w:color w:val="auto"/>
                <w:kern w:val="0"/>
                <w:sz w:val="24"/>
              </w:rPr>
            </w:pPr>
          </w:p>
        </w:tc>
      </w:tr>
      <w:tr w14:paraId="40D12D7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7F633">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6C5A10">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4BD712">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99FC87">
            <w:pPr>
              <w:spacing w:line="360" w:lineRule="auto"/>
              <w:jc w:val="center"/>
              <w:rPr>
                <w:rFonts w:ascii="宋体" w:hAnsi="宋体" w:cs="宋体"/>
                <w:color w:val="auto"/>
                <w:kern w:val="0"/>
                <w:sz w:val="24"/>
              </w:rPr>
            </w:pPr>
          </w:p>
        </w:tc>
      </w:tr>
    </w:tbl>
    <w:p w14:paraId="2760FE66">
      <w:pPr>
        <w:snapToGrid w:val="0"/>
        <w:spacing w:line="360" w:lineRule="auto"/>
        <w:jc w:val="left"/>
        <w:rPr>
          <w:rFonts w:ascii="宋体" w:hAnsi="宋体"/>
          <w:color w:val="auto"/>
          <w:sz w:val="24"/>
        </w:rPr>
      </w:pPr>
      <w:r>
        <w:rPr>
          <w:rFonts w:hint="eastAsia" w:ascii="宋体" w:hAnsi="宋体"/>
          <w:color w:val="auto"/>
          <w:sz w:val="24"/>
        </w:rPr>
        <w:t>注：</w:t>
      </w:r>
    </w:p>
    <w:p w14:paraId="701F57C7">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30AE47D8">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23D9714B">
      <w:pPr>
        <w:snapToGrid w:val="0"/>
        <w:spacing w:line="360" w:lineRule="auto"/>
        <w:ind w:firstLine="480" w:firstLineChars="200"/>
        <w:jc w:val="left"/>
        <w:rPr>
          <w:rFonts w:ascii="宋体" w:hAnsi="宋体"/>
          <w:color w:val="auto"/>
          <w:sz w:val="24"/>
        </w:rPr>
      </w:pPr>
      <w:r>
        <w:rPr>
          <w:rFonts w:hint="eastAsia" w:ascii="宋体" w:hAnsi="宋体"/>
          <w:color w:val="auto"/>
          <w:sz w:val="24"/>
        </w:rPr>
        <w:t>3.</w:t>
      </w:r>
      <w:r>
        <w:rPr>
          <w:rFonts w:hint="eastAsia" w:ascii="宋体" w:hAnsi="宋体"/>
          <w:color w:val="auto"/>
          <w:sz w:val="24"/>
          <w:lang w:val="en-US" w:eastAsia="zh-CN"/>
        </w:rPr>
        <w:t>投标人</w:t>
      </w:r>
      <w:r>
        <w:rPr>
          <w:rFonts w:hint="eastAsia" w:ascii="宋体" w:hAnsi="宋体"/>
          <w:color w:val="auto"/>
          <w:sz w:val="24"/>
        </w:rPr>
        <w:t>不存在直接管理关系的，则在“</w:t>
      </w:r>
      <w:r>
        <w:rPr>
          <w:rFonts w:hint="eastAsia" w:ascii="宋体" w:hAnsi="宋体" w:cs="宋体"/>
          <w:b/>
          <w:bCs/>
          <w:color w:val="auto"/>
          <w:kern w:val="0"/>
          <w:sz w:val="24"/>
        </w:rPr>
        <w:t>直接管理关系单位名称</w:t>
      </w:r>
      <w:r>
        <w:rPr>
          <w:rFonts w:hint="eastAsia" w:ascii="宋体" w:hAnsi="宋体"/>
          <w:color w:val="auto"/>
          <w:sz w:val="24"/>
        </w:rPr>
        <w:t>”中填“无”。</w:t>
      </w:r>
    </w:p>
    <w:p w14:paraId="00217FF6">
      <w:pPr>
        <w:snapToGrid w:val="0"/>
        <w:spacing w:line="360" w:lineRule="auto"/>
        <w:jc w:val="left"/>
        <w:rPr>
          <w:rFonts w:ascii="宋体" w:hAnsi="宋体"/>
          <w:color w:val="auto"/>
          <w:sz w:val="24"/>
        </w:rPr>
      </w:pPr>
    </w:p>
    <w:p w14:paraId="4C94BEEF">
      <w:pPr>
        <w:snapToGrid w:val="0"/>
        <w:spacing w:line="360" w:lineRule="auto"/>
        <w:jc w:val="left"/>
        <w:rPr>
          <w:rFonts w:ascii="宋体" w:hAnsi="宋体"/>
          <w:color w:val="auto"/>
          <w:sz w:val="24"/>
        </w:rPr>
      </w:pPr>
    </w:p>
    <w:p w14:paraId="62AC79D5">
      <w:pPr>
        <w:snapToGrid w:val="0"/>
        <w:spacing w:line="360" w:lineRule="auto"/>
        <w:jc w:val="left"/>
        <w:rPr>
          <w:rFonts w:ascii="宋体" w:hAnsi="宋体"/>
          <w:color w:val="auto"/>
          <w:sz w:val="24"/>
        </w:rPr>
      </w:pPr>
    </w:p>
    <w:p w14:paraId="0AB9BFBA">
      <w:pPr>
        <w:snapToGrid w:val="0"/>
        <w:spacing w:line="360" w:lineRule="auto"/>
        <w:jc w:val="left"/>
        <w:rPr>
          <w:color w:val="auto"/>
          <w:sz w:val="24"/>
        </w:rPr>
      </w:pPr>
    </w:p>
    <w:p w14:paraId="41BEEC15">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w:t>
      </w:r>
    </w:p>
    <w:p w14:paraId="6EFA14DE">
      <w:pPr>
        <w:snapToGrid w:val="0"/>
        <w:spacing w:line="360" w:lineRule="auto"/>
        <w:ind w:left="-3" w:leftChars="-15" w:right="-817" w:rightChars="-389" w:hanging="28" w:hangingChars="12"/>
        <w:rPr>
          <w:rFonts w:ascii="宋体" w:hAnsi="宋体"/>
          <w:color w:val="auto"/>
          <w:sz w:val="24"/>
        </w:rPr>
      </w:pPr>
      <w:r>
        <w:rPr>
          <w:rFonts w:hint="eastAsia" w:ascii="宋体" w:hAnsi="宋体"/>
          <w:color w:val="auto"/>
          <w:sz w:val="24"/>
        </w:rPr>
        <w:t xml:space="preserve">                                  投标人名称（电子签章）：</w:t>
      </w:r>
    </w:p>
    <w:p w14:paraId="401FB0BB">
      <w:pPr>
        <w:snapToGrid w:val="0"/>
        <w:spacing w:line="360" w:lineRule="auto"/>
        <w:ind w:right="480" w:firstLine="240" w:firstLineChars="100"/>
        <w:jc w:val="left"/>
        <w:rPr>
          <w:rFonts w:ascii="宋体" w:hAnsi="宋体"/>
          <w:color w:val="auto"/>
          <w:szCs w:val="21"/>
        </w:rPr>
      </w:pPr>
      <w:r>
        <w:rPr>
          <w:rFonts w:hint="eastAsia" w:ascii="宋体" w:hAnsi="宋体"/>
          <w:color w:val="auto"/>
          <w:sz w:val="24"/>
        </w:rPr>
        <w:t xml:space="preserve">                                日期：    年   月   日</w:t>
      </w:r>
    </w:p>
    <w:p w14:paraId="672280F1">
      <w:pPr>
        <w:snapToGrid w:val="0"/>
        <w:spacing w:beforeLines="50" w:after="50"/>
        <w:jc w:val="left"/>
        <w:rPr>
          <w:rFonts w:ascii="宋体" w:hAnsi="宋体"/>
          <w:b/>
          <w:color w:val="auto"/>
          <w:sz w:val="24"/>
          <w:szCs w:val="20"/>
        </w:rPr>
      </w:pPr>
      <w:r>
        <w:rPr>
          <w:rFonts w:ascii="宋体" w:hAnsi="宋体"/>
          <w:color w:val="auto"/>
          <w:sz w:val="24"/>
        </w:rPr>
        <w:br w:type="page"/>
      </w:r>
    </w:p>
    <w:p w14:paraId="50F559AF">
      <w:pPr>
        <w:snapToGrid w:val="0"/>
        <w:spacing w:beforeLines="50" w:after="50"/>
        <w:jc w:val="left"/>
        <w:rPr>
          <w:rFonts w:ascii="宋体" w:hAnsi="宋体"/>
          <w:b/>
          <w:color w:val="auto"/>
          <w:sz w:val="24"/>
          <w:szCs w:val="20"/>
        </w:rPr>
      </w:pPr>
      <w:r>
        <w:rPr>
          <w:rFonts w:hint="eastAsia" w:ascii="宋体" w:hAnsi="宋体"/>
          <w:b/>
          <w:color w:val="auto"/>
          <w:sz w:val="24"/>
        </w:rPr>
        <w:t>5</w:t>
      </w:r>
      <w:r>
        <w:rPr>
          <w:rFonts w:ascii="宋体" w:hAnsi="宋体"/>
          <w:b/>
          <w:color w:val="auto"/>
          <w:sz w:val="24"/>
        </w:rPr>
        <w:t>.</w:t>
      </w:r>
      <w:r>
        <w:rPr>
          <w:rFonts w:hint="eastAsia" w:ascii="宋体" w:hAnsi="宋体"/>
          <w:b/>
          <w:color w:val="auto"/>
          <w:sz w:val="24"/>
        </w:rPr>
        <w:t>投标声明</w:t>
      </w:r>
    </w:p>
    <w:p w14:paraId="2FAF6269">
      <w:pPr>
        <w:snapToGrid w:val="0"/>
        <w:spacing w:before="50" w:afterLines="50"/>
        <w:jc w:val="left"/>
        <w:rPr>
          <w:rFonts w:ascii="宋体" w:hAnsi="宋体"/>
          <w:color w:val="auto"/>
        </w:rPr>
      </w:pPr>
    </w:p>
    <w:p w14:paraId="3A0F4AB4">
      <w:pPr>
        <w:snapToGrid w:val="0"/>
        <w:spacing w:before="50" w:afterLines="50"/>
        <w:jc w:val="center"/>
        <w:rPr>
          <w:rFonts w:ascii="宋体" w:hAnsi="宋体"/>
          <w:b/>
          <w:color w:val="auto"/>
          <w:sz w:val="32"/>
          <w:szCs w:val="32"/>
        </w:rPr>
      </w:pPr>
      <w:r>
        <w:rPr>
          <w:rFonts w:hint="eastAsia" w:ascii="宋体" w:hAnsi="宋体"/>
          <w:b/>
          <w:color w:val="auto"/>
          <w:sz w:val="32"/>
          <w:szCs w:val="32"/>
        </w:rPr>
        <w:t>投标声明</w:t>
      </w:r>
    </w:p>
    <w:p w14:paraId="42109391">
      <w:pPr>
        <w:spacing w:line="400" w:lineRule="exact"/>
        <w:contextualSpacing/>
        <w:jc w:val="left"/>
        <w:rPr>
          <w:color w:val="auto"/>
          <w:sz w:val="24"/>
        </w:rPr>
      </w:pPr>
      <w:r>
        <w:rPr>
          <w:rFonts w:hint="eastAsia"/>
          <w:color w:val="auto"/>
          <w:sz w:val="24"/>
        </w:rPr>
        <w:t>（采购人名称）：</w:t>
      </w:r>
    </w:p>
    <w:p w14:paraId="44AC1F09">
      <w:pPr>
        <w:spacing w:line="400" w:lineRule="exact"/>
        <w:ind w:firstLine="523" w:firstLineChars="218"/>
        <w:contextualSpacing/>
        <w:jc w:val="left"/>
        <w:rPr>
          <w:rFonts w:ascii="宋体" w:hAnsi="宋体"/>
          <w:color w:val="auto"/>
          <w:sz w:val="24"/>
        </w:rPr>
      </w:pPr>
      <w:r>
        <w:rPr>
          <w:rFonts w:hint="eastAsia" w:ascii="宋体" w:hAnsi="宋体"/>
          <w:color w:val="auto"/>
          <w:sz w:val="24"/>
        </w:rPr>
        <w:t>我方参加贵单位组织项目</w:t>
      </w:r>
      <w:r>
        <w:rPr>
          <w:rFonts w:hint="eastAsia" w:ascii="宋体" w:hAnsi="宋体"/>
          <w:color w:val="auto"/>
          <w:sz w:val="24"/>
          <w:u w:val="single"/>
          <w:lang w:val="en-US" w:eastAsia="zh-CN"/>
        </w:rPr>
        <w:t xml:space="preserve">         </w:t>
      </w:r>
      <w:r>
        <w:rPr>
          <w:rFonts w:hint="eastAsia" w:ascii="宋体" w:hAnsi="宋体"/>
          <w:color w:val="auto"/>
          <w:sz w:val="24"/>
        </w:rPr>
        <w:t>（项目编号：</w:t>
      </w:r>
      <w:r>
        <w:rPr>
          <w:rFonts w:hint="eastAsia" w:ascii="宋体" w:hAnsi="宋体"/>
          <w:color w:val="auto"/>
          <w:sz w:val="24"/>
          <w:u w:val="single"/>
          <w:lang w:val="en-US" w:eastAsia="zh-CN"/>
        </w:rPr>
        <w:t xml:space="preserve">    </w:t>
      </w:r>
      <w:r>
        <w:rPr>
          <w:rFonts w:hint="eastAsia" w:ascii="宋体" w:hAnsi="宋体"/>
          <w:color w:val="auto"/>
          <w:sz w:val="24"/>
        </w:rPr>
        <w:t>）的政府采购活动。我方在此郑重声明：</w:t>
      </w:r>
    </w:p>
    <w:p w14:paraId="73A55AD0">
      <w:pPr>
        <w:spacing w:line="400" w:lineRule="exact"/>
        <w:ind w:firstLine="480" w:firstLineChars="200"/>
        <w:contextualSpacing/>
        <w:jc w:val="left"/>
        <w:rPr>
          <w:rFonts w:ascii="宋体" w:hAnsi="宋体"/>
          <w:color w:val="auto"/>
          <w:sz w:val="24"/>
        </w:rPr>
      </w:pPr>
      <w:r>
        <w:rPr>
          <w:rFonts w:hint="eastAsia" w:ascii="宋体" w:hAnsi="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0CBB469">
      <w:pPr>
        <w:spacing w:line="400" w:lineRule="exact"/>
        <w:ind w:firstLine="480" w:firstLineChars="200"/>
        <w:contextualSpacing/>
        <w:jc w:val="left"/>
        <w:rPr>
          <w:rFonts w:ascii="宋体" w:hAnsi="宋体"/>
          <w:color w:val="auto"/>
          <w:sz w:val="24"/>
        </w:rPr>
      </w:pPr>
      <w:r>
        <w:rPr>
          <w:rFonts w:hint="eastAsia" w:ascii="宋体" w:hAnsi="宋体"/>
          <w:color w:val="auto"/>
          <w:sz w:val="24"/>
        </w:rPr>
        <w:t>2.我方不是为本次采购项目提供整体设计、规范编制或者项目管理、监理、检测等服务的供应商。</w:t>
      </w:r>
    </w:p>
    <w:p w14:paraId="76ECD0A4">
      <w:pPr>
        <w:spacing w:line="400" w:lineRule="exact"/>
        <w:ind w:firstLine="480" w:firstLineChars="200"/>
        <w:contextualSpacing/>
        <w:jc w:val="left"/>
        <w:rPr>
          <w:rFonts w:ascii="宋体" w:hAnsi="宋体"/>
          <w:color w:val="auto"/>
          <w:sz w:val="24"/>
        </w:rPr>
      </w:pPr>
      <w:r>
        <w:rPr>
          <w:rFonts w:hint="eastAsia" w:ascii="宋体" w:hAnsi="宋体"/>
          <w:color w:val="auto"/>
          <w:sz w:val="24"/>
        </w:rPr>
        <w:t>3. 我方承诺符合《中华人民共和国政府采购法》第二十二条规定：</w:t>
      </w:r>
    </w:p>
    <w:p w14:paraId="642E9B87">
      <w:pPr>
        <w:spacing w:line="400" w:lineRule="exact"/>
        <w:ind w:firstLine="480" w:firstLineChars="200"/>
        <w:contextualSpacing/>
        <w:jc w:val="left"/>
        <w:rPr>
          <w:rFonts w:ascii="宋体" w:hAnsi="宋体"/>
          <w:color w:val="auto"/>
          <w:sz w:val="24"/>
        </w:rPr>
      </w:pPr>
      <w:r>
        <w:rPr>
          <w:rFonts w:hint="eastAsia" w:ascii="宋体" w:hAnsi="宋体"/>
          <w:color w:val="auto"/>
          <w:sz w:val="24"/>
        </w:rPr>
        <w:t>（一）具有独立承担民事责任的能力；</w:t>
      </w:r>
    </w:p>
    <w:p w14:paraId="1318EB2B">
      <w:pPr>
        <w:spacing w:line="400" w:lineRule="exact"/>
        <w:ind w:firstLine="480" w:firstLineChars="200"/>
        <w:contextualSpacing/>
        <w:jc w:val="left"/>
        <w:rPr>
          <w:rFonts w:ascii="宋体" w:hAnsi="宋体"/>
          <w:color w:val="auto"/>
          <w:sz w:val="24"/>
        </w:rPr>
      </w:pPr>
      <w:r>
        <w:rPr>
          <w:rFonts w:hint="eastAsia" w:ascii="宋体" w:hAnsi="宋体"/>
          <w:color w:val="auto"/>
          <w:sz w:val="24"/>
        </w:rPr>
        <w:t>（二）具有良好的商业信誉和健全的财务会计制度；</w:t>
      </w:r>
    </w:p>
    <w:p w14:paraId="1E44F63D">
      <w:pPr>
        <w:spacing w:line="400" w:lineRule="exact"/>
        <w:ind w:firstLine="480" w:firstLineChars="200"/>
        <w:contextualSpacing/>
        <w:jc w:val="left"/>
        <w:rPr>
          <w:rFonts w:ascii="宋体" w:hAnsi="宋体"/>
          <w:color w:val="auto"/>
          <w:sz w:val="24"/>
        </w:rPr>
      </w:pPr>
      <w:r>
        <w:rPr>
          <w:rFonts w:hint="eastAsia" w:ascii="宋体" w:hAnsi="宋体"/>
          <w:color w:val="auto"/>
          <w:sz w:val="24"/>
        </w:rPr>
        <w:t>（三）具有履行合同所必需的设备和专业技术能力；</w:t>
      </w:r>
    </w:p>
    <w:p w14:paraId="1E32186E">
      <w:pPr>
        <w:spacing w:line="400" w:lineRule="exact"/>
        <w:ind w:firstLine="480" w:firstLineChars="200"/>
        <w:contextualSpacing/>
        <w:jc w:val="left"/>
        <w:rPr>
          <w:rFonts w:ascii="宋体" w:hAnsi="宋体"/>
          <w:color w:val="auto"/>
          <w:sz w:val="24"/>
        </w:rPr>
      </w:pPr>
      <w:r>
        <w:rPr>
          <w:rFonts w:hint="eastAsia" w:ascii="宋体" w:hAnsi="宋体"/>
          <w:color w:val="auto"/>
          <w:sz w:val="24"/>
        </w:rPr>
        <w:t>（四）有依法缴纳税收和社会保障资金的良好记录；</w:t>
      </w:r>
    </w:p>
    <w:p w14:paraId="03C7BC6E">
      <w:pPr>
        <w:spacing w:line="400" w:lineRule="exact"/>
        <w:ind w:firstLine="480" w:firstLineChars="200"/>
        <w:contextualSpacing/>
        <w:jc w:val="left"/>
        <w:rPr>
          <w:rFonts w:ascii="宋体" w:hAnsi="宋体"/>
          <w:color w:val="auto"/>
          <w:sz w:val="24"/>
        </w:rPr>
      </w:pPr>
      <w:r>
        <w:rPr>
          <w:rFonts w:hint="eastAsia" w:ascii="宋体" w:hAnsi="宋体"/>
          <w:color w:val="auto"/>
          <w:sz w:val="24"/>
        </w:rPr>
        <w:t>（五）参加政府采购活动前三年内，在经营活动中没有重大违法记录；</w:t>
      </w:r>
    </w:p>
    <w:p w14:paraId="3F34DCA9">
      <w:pPr>
        <w:spacing w:line="400" w:lineRule="exact"/>
        <w:ind w:firstLine="480" w:firstLineChars="200"/>
        <w:contextualSpacing/>
        <w:jc w:val="left"/>
        <w:rPr>
          <w:rFonts w:ascii="宋体" w:hAnsi="宋体"/>
          <w:color w:val="auto"/>
          <w:sz w:val="24"/>
        </w:rPr>
      </w:pPr>
      <w:r>
        <w:rPr>
          <w:rFonts w:hint="eastAsia" w:ascii="宋体" w:hAnsi="宋体"/>
          <w:color w:val="auto"/>
          <w:sz w:val="24"/>
        </w:rPr>
        <w:t>（六）法律、行政法规规定的其他条件。</w:t>
      </w:r>
    </w:p>
    <w:p w14:paraId="261C4180">
      <w:pPr>
        <w:spacing w:line="400" w:lineRule="exact"/>
        <w:ind w:firstLine="480" w:firstLineChars="200"/>
        <w:contextualSpacing/>
        <w:jc w:val="left"/>
        <w:rPr>
          <w:rFonts w:ascii="宋体" w:hAnsi="宋体"/>
          <w:color w:val="auto"/>
          <w:sz w:val="24"/>
        </w:rPr>
      </w:pPr>
      <w:r>
        <w:rPr>
          <w:rFonts w:hint="eastAsia" w:ascii="宋体" w:hAnsi="宋体"/>
          <w:color w:val="auto"/>
          <w:sz w:val="24"/>
        </w:rPr>
        <w:t>4.以上事项如有虚假或者隐瞒，我方愿意承担一切后果，并不再寻求任何旨在减轻或者免除法律责任的辩解。</w:t>
      </w:r>
    </w:p>
    <w:p w14:paraId="34F91DF6">
      <w:pPr>
        <w:spacing w:line="400" w:lineRule="exact"/>
        <w:contextualSpacing/>
        <w:jc w:val="left"/>
        <w:rPr>
          <w:rFonts w:ascii="宋体" w:hAnsi="宋体"/>
          <w:color w:val="auto"/>
          <w:sz w:val="24"/>
        </w:rPr>
      </w:pPr>
      <w:r>
        <w:rPr>
          <w:rFonts w:hint="eastAsia" w:ascii="宋体" w:hAnsi="宋体"/>
          <w:color w:val="auto"/>
          <w:sz w:val="24"/>
        </w:rPr>
        <w:t xml:space="preserve">    特此承诺。</w:t>
      </w:r>
    </w:p>
    <w:p w14:paraId="596B8A64">
      <w:pPr>
        <w:spacing w:line="400" w:lineRule="exact"/>
        <w:contextualSpacing/>
        <w:jc w:val="left"/>
        <w:rPr>
          <w:rFonts w:ascii="宋体" w:hAnsi="宋体"/>
          <w:color w:val="auto"/>
          <w:sz w:val="24"/>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50773204">
      <w:pPr>
        <w:spacing w:line="400" w:lineRule="exact"/>
        <w:contextualSpacing/>
        <w:jc w:val="left"/>
        <w:rPr>
          <w:rFonts w:ascii="宋体" w:hAnsi="宋体"/>
          <w:color w:val="auto"/>
          <w:sz w:val="24"/>
        </w:rPr>
      </w:pPr>
      <w:r>
        <w:rPr>
          <w:rFonts w:hint="eastAsia" w:ascii="宋体" w:hAnsi="宋体"/>
          <w:color w:val="auto"/>
          <w:sz w:val="24"/>
        </w:rPr>
        <w:t xml:space="preserve">                             投标人名称（电子签章）：</w:t>
      </w:r>
    </w:p>
    <w:p w14:paraId="070AEC77">
      <w:pPr>
        <w:spacing w:line="400" w:lineRule="exact"/>
        <w:contextualSpacing/>
        <w:jc w:val="left"/>
        <w:rPr>
          <w:rFonts w:ascii="宋体" w:hAnsi="宋体"/>
          <w:color w:val="auto"/>
        </w:rPr>
      </w:pPr>
      <w:r>
        <w:rPr>
          <w:rFonts w:hint="eastAsia" w:ascii="宋体" w:hAnsi="宋体"/>
          <w:color w:val="auto"/>
          <w:sz w:val="24"/>
        </w:rPr>
        <w:t xml:space="preserve">                                                  年    月    日</w:t>
      </w:r>
    </w:p>
    <w:p w14:paraId="796EABB6">
      <w:pPr>
        <w:spacing w:line="400" w:lineRule="exact"/>
        <w:contextualSpacing/>
        <w:jc w:val="left"/>
        <w:rPr>
          <w:rFonts w:ascii="宋体" w:hAnsi="宋体"/>
          <w:color w:val="auto"/>
          <w:sz w:val="24"/>
        </w:rPr>
      </w:pPr>
    </w:p>
    <w:p w14:paraId="28918501">
      <w:pPr>
        <w:spacing w:line="400" w:lineRule="exact"/>
        <w:contextualSpacing/>
        <w:jc w:val="left"/>
        <w:rPr>
          <w:rFonts w:ascii="宋体" w:hAnsi="宋体"/>
          <w:color w:val="auto"/>
          <w:sz w:val="24"/>
        </w:rPr>
      </w:pPr>
    </w:p>
    <w:p w14:paraId="5E4EC9A9">
      <w:pPr>
        <w:spacing w:line="400" w:lineRule="exact"/>
        <w:contextualSpacing/>
        <w:jc w:val="left"/>
        <w:rPr>
          <w:rFonts w:ascii="宋体" w:hAnsi="宋体"/>
          <w:color w:val="auto"/>
          <w:sz w:val="24"/>
        </w:rPr>
      </w:pPr>
      <w:r>
        <w:rPr>
          <w:rFonts w:hint="eastAsia" w:ascii="宋体" w:hAnsi="宋体"/>
          <w:b/>
          <w:color w:val="auto"/>
          <w:sz w:val="24"/>
        </w:rPr>
        <w:t>注：如为联合体投标，盖章处须加盖联合体牵头人电子签章并由联合体牵头人法定代表人分别签字或者盖章或者电子签名，否则投标无效。</w:t>
      </w:r>
    </w:p>
    <w:p w14:paraId="62882F08">
      <w:pPr>
        <w:spacing w:line="400" w:lineRule="exact"/>
        <w:contextualSpacing/>
        <w:jc w:val="left"/>
        <w:rPr>
          <w:rFonts w:ascii="宋体" w:hAnsi="宋体"/>
          <w:color w:val="auto"/>
          <w:sz w:val="24"/>
        </w:rPr>
      </w:pPr>
    </w:p>
    <w:p w14:paraId="34707253">
      <w:pPr>
        <w:pStyle w:val="8"/>
        <w:rPr>
          <w:color w:val="auto"/>
        </w:rPr>
      </w:pPr>
    </w:p>
    <w:p w14:paraId="68B75436">
      <w:pPr>
        <w:rPr>
          <w:rFonts w:hint="eastAsia"/>
          <w:b/>
          <w:color w:val="auto"/>
          <w:sz w:val="28"/>
          <w:szCs w:val="28"/>
        </w:rPr>
      </w:pPr>
      <w:bookmarkStart w:id="170" w:name="_Toc19686838"/>
    </w:p>
    <w:p w14:paraId="7C94D654">
      <w:pPr>
        <w:rPr>
          <w:rFonts w:hint="eastAsia"/>
          <w:b/>
          <w:color w:val="auto"/>
          <w:sz w:val="28"/>
          <w:szCs w:val="28"/>
        </w:rPr>
      </w:pPr>
    </w:p>
    <w:p w14:paraId="4BA10A32">
      <w:pPr>
        <w:rPr>
          <w:b/>
          <w:color w:val="auto"/>
          <w:sz w:val="28"/>
          <w:szCs w:val="28"/>
        </w:rPr>
      </w:pPr>
      <w:r>
        <w:rPr>
          <w:rFonts w:hint="eastAsia"/>
          <w:b/>
          <w:color w:val="auto"/>
          <w:sz w:val="28"/>
          <w:szCs w:val="28"/>
        </w:rPr>
        <w:t>三、商务及技术文件格式</w:t>
      </w:r>
      <w:bookmarkEnd w:id="170"/>
    </w:p>
    <w:p w14:paraId="3CBBD9F3">
      <w:pPr>
        <w:snapToGrid w:val="0"/>
        <w:spacing w:beforeLines="50" w:after="50" w:line="360" w:lineRule="auto"/>
        <w:jc w:val="left"/>
        <w:rPr>
          <w:rFonts w:ascii="宋体" w:hAnsi="宋体"/>
          <w:b/>
          <w:color w:val="auto"/>
          <w:sz w:val="24"/>
        </w:rPr>
      </w:pPr>
      <w:r>
        <w:rPr>
          <w:rFonts w:hint="eastAsia" w:ascii="宋体" w:hAnsi="宋体"/>
          <w:b/>
          <w:color w:val="auto"/>
          <w:sz w:val="24"/>
        </w:rPr>
        <w:t xml:space="preserve">1.商务及技术文件封面格式： </w:t>
      </w:r>
    </w:p>
    <w:p w14:paraId="403D5873">
      <w:pPr>
        <w:snapToGrid w:val="0"/>
        <w:spacing w:beforeLines="50" w:after="50"/>
        <w:jc w:val="center"/>
        <w:rPr>
          <w:rFonts w:ascii="宋体" w:hAnsi="宋体"/>
          <w:color w:val="auto"/>
          <w:sz w:val="24"/>
        </w:rPr>
      </w:pPr>
      <w:r>
        <w:rPr>
          <w:rFonts w:hint="eastAsia" w:ascii="宋体" w:hAnsi="宋体" w:eastAsia="方正小标宋简体"/>
          <w:bCs/>
          <w:color w:val="auto"/>
          <w:sz w:val="48"/>
          <w:szCs w:val="48"/>
        </w:rPr>
        <w:t>电子投标文件</w:t>
      </w:r>
    </w:p>
    <w:p w14:paraId="078A0D7A">
      <w:pPr>
        <w:snapToGrid w:val="0"/>
        <w:spacing w:beforeLines="50" w:after="50"/>
        <w:rPr>
          <w:rFonts w:ascii="宋体" w:hAnsi="宋体"/>
          <w:color w:val="auto"/>
          <w:sz w:val="24"/>
          <w:szCs w:val="20"/>
        </w:rPr>
      </w:pPr>
    </w:p>
    <w:p w14:paraId="32052D05">
      <w:pPr>
        <w:snapToGrid w:val="0"/>
        <w:spacing w:beforeLines="50" w:after="50"/>
        <w:jc w:val="center"/>
        <w:rPr>
          <w:rFonts w:ascii="宋体" w:hAnsi="宋体"/>
          <w:b/>
          <w:color w:val="auto"/>
          <w:sz w:val="24"/>
          <w:szCs w:val="20"/>
        </w:rPr>
      </w:pPr>
      <w:r>
        <w:rPr>
          <w:rFonts w:hint="eastAsia" w:ascii="宋体" w:hAnsi="宋体"/>
          <w:b/>
          <w:color w:val="auto"/>
          <w:sz w:val="32"/>
          <w:szCs w:val="32"/>
        </w:rPr>
        <w:t>商务及技术文件</w:t>
      </w:r>
    </w:p>
    <w:p w14:paraId="3B85EF78">
      <w:pPr>
        <w:snapToGrid w:val="0"/>
        <w:spacing w:beforeLines="50" w:after="50"/>
        <w:rPr>
          <w:rFonts w:ascii="宋体" w:hAnsi="宋体"/>
          <w:bCs/>
          <w:color w:val="auto"/>
          <w:sz w:val="24"/>
          <w:szCs w:val="20"/>
        </w:rPr>
      </w:pPr>
    </w:p>
    <w:p w14:paraId="453D3640">
      <w:pPr>
        <w:snapToGrid w:val="0"/>
        <w:spacing w:beforeLines="50" w:after="50"/>
        <w:ind w:firstLine="540" w:firstLineChars="225"/>
        <w:rPr>
          <w:rFonts w:ascii="宋体" w:hAnsi="宋体"/>
          <w:bCs/>
          <w:color w:val="auto"/>
          <w:sz w:val="24"/>
        </w:rPr>
      </w:pPr>
      <w:r>
        <w:rPr>
          <w:rFonts w:hint="eastAsia" w:ascii="宋体" w:hAnsi="宋体"/>
          <w:bCs/>
          <w:color w:val="auto"/>
          <w:sz w:val="24"/>
        </w:rPr>
        <w:t>项目名称：</w:t>
      </w:r>
    </w:p>
    <w:p w14:paraId="03902176">
      <w:pPr>
        <w:snapToGrid w:val="0"/>
        <w:spacing w:beforeLines="50" w:after="50"/>
        <w:ind w:firstLine="540" w:firstLineChars="225"/>
        <w:rPr>
          <w:rFonts w:ascii="宋体" w:hAnsi="宋体"/>
          <w:bCs/>
          <w:color w:val="auto"/>
          <w:sz w:val="24"/>
          <w:szCs w:val="20"/>
        </w:rPr>
      </w:pPr>
    </w:p>
    <w:p w14:paraId="3E903AE9">
      <w:pPr>
        <w:snapToGrid w:val="0"/>
        <w:spacing w:beforeLines="50" w:after="50"/>
        <w:ind w:firstLine="540" w:firstLineChars="225"/>
        <w:rPr>
          <w:rFonts w:ascii="宋体" w:hAnsi="宋体"/>
          <w:bCs/>
          <w:color w:val="auto"/>
          <w:sz w:val="24"/>
        </w:rPr>
      </w:pPr>
      <w:r>
        <w:rPr>
          <w:rFonts w:hint="eastAsia" w:ascii="宋体" w:hAnsi="宋体"/>
          <w:bCs/>
          <w:color w:val="auto"/>
          <w:sz w:val="24"/>
        </w:rPr>
        <w:t>项目编号：</w:t>
      </w:r>
    </w:p>
    <w:p w14:paraId="13FA0D72">
      <w:pPr>
        <w:snapToGrid w:val="0"/>
        <w:spacing w:beforeLines="50" w:after="50"/>
        <w:ind w:firstLine="540" w:firstLineChars="225"/>
        <w:rPr>
          <w:rFonts w:ascii="宋体" w:hAnsi="宋体"/>
          <w:bCs/>
          <w:color w:val="auto"/>
          <w:sz w:val="24"/>
          <w:szCs w:val="20"/>
        </w:rPr>
      </w:pPr>
    </w:p>
    <w:p w14:paraId="4B91144D">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7868C21F">
      <w:pPr>
        <w:pStyle w:val="8"/>
        <w:snapToGrid w:val="0"/>
        <w:spacing w:before="50" w:after="50"/>
        <w:ind w:firstLine="540" w:firstLineChars="225"/>
        <w:rPr>
          <w:rFonts w:ascii="宋体" w:hAnsi="宋体"/>
          <w:bCs/>
          <w:color w:val="auto"/>
          <w:sz w:val="24"/>
          <w:szCs w:val="24"/>
        </w:rPr>
      </w:pPr>
    </w:p>
    <w:p w14:paraId="4D0D007E">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投标人地址：</w:t>
      </w:r>
    </w:p>
    <w:p w14:paraId="4A01F294">
      <w:pPr>
        <w:pStyle w:val="8"/>
        <w:snapToGrid w:val="0"/>
        <w:spacing w:before="50" w:after="50"/>
        <w:ind w:firstLine="960" w:firstLineChars="400"/>
        <w:rPr>
          <w:rFonts w:ascii="宋体" w:hAnsi="宋体"/>
          <w:bCs/>
          <w:color w:val="auto"/>
          <w:sz w:val="24"/>
          <w:szCs w:val="24"/>
        </w:rPr>
      </w:pPr>
    </w:p>
    <w:p w14:paraId="72A072B8">
      <w:pPr>
        <w:snapToGrid w:val="0"/>
        <w:spacing w:beforeLines="50" w:after="50"/>
        <w:ind w:firstLine="645"/>
        <w:rPr>
          <w:rFonts w:ascii="宋体" w:hAnsi="宋体"/>
          <w:color w:val="auto"/>
          <w:sz w:val="24"/>
        </w:rPr>
      </w:pPr>
      <w:r>
        <w:rPr>
          <w:rFonts w:hint="eastAsia" w:ascii="宋体" w:hAnsi="宋体"/>
          <w:color w:val="auto"/>
          <w:sz w:val="24"/>
        </w:rPr>
        <w:t xml:space="preserve">                        年  月  日</w:t>
      </w:r>
    </w:p>
    <w:p w14:paraId="19CC156C">
      <w:pPr>
        <w:snapToGrid w:val="0"/>
        <w:spacing w:beforeLines="50" w:after="50"/>
        <w:rPr>
          <w:rFonts w:ascii="宋体" w:hAnsi="宋体"/>
          <w:color w:val="auto"/>
          <w:sz w:val="24"/>
          <w:szCs w:val="20"/>
        </w:rPr>
      </w:pPr>
    </w:p>
    <w:p w14:paraId="7D39765F">
      <w:pPr>
        <w:snapToGrid w:val="0"/>
        <w:spacing w:line="360" w:lineRule="auto"/>
        <w:jc w:val="left"/>
        <w:rPr>
          <w:rFonts w:ascii="宋体" w:hAnsi="宋体"/>
          <w:b/>
          <w:bCs/>
          <w:color w:val="auto"/>
          <w:sz w:val="28"/>
          <w:szCs w:val="28"/>
        </w:rPr>
      </w:pPr>
      <w:r>
        <w:rPr>
          <w:rFonts w:ascii="宋体" w:hAnsi="宋体"/>
          <w:color w:val="auto"/>
          <w:sz w:val="24"/>
          <w:szCs w:val="20"/>
        </w:rPr>
        <w:br w:type="page"/>
      </w:r>
      <w:r>
        <w:rPr>
          <w:rFonts w:hint="eastAsia" w:ascii="宋体" w:hAnsi="宋体"/>
          <w:b/>
          <w:bCs/>
          <w:color w:val="auto"/>
          <w:sz w:val="28"/>
          <w:szCs w:val="28"/>
        </w:rPr>
        <w:t>2.商务及技术文件目录</w:t>
      </w:r>
    </w:p>
    <w:p w14:paraId="7DC0626B">
      <w:pPr>
        <w:snapToGrid w:val="0"/>
        <w:spacing w:line="360" w:lineRule="auto"/>
        <w:jc w:val="left"/>
        <w:rPr>
          <w:rFonts w:ascii="微软雅黑" w:hAnsi="微软雅黑" w:eastAsia="微软雅黑"/>
          <w:b/>
          <w:bCs/>
          <w:color w:val="auto"/>
          <w:sz w:val="24"/>
        </w:rPr>
      </w:pPr>
      <w:r>
        <w:rPr>
          <w:rFonts w:hint="eastAsia" w:ascii="宋体" w:hAnsi="宋体"/>
          <w:color w:val="auto"/>
          <w:szCs w:val="21"/>
        </w:rPr>
        <w:t>根据招标文件规定及投标人提供的材料自行编写目录。</w:t>
      </w:r>
    </w:p>
    <w:p w14:paraId="4F5A0EAC">
      <w:pPr>
        <w:snapToGrid w:val="0"/>
        <w:spacing w:before="50" w:afterLines="50"/>
        <w:jc w:val="left"/>
        <w:rPr>
          <w:rFonts w:ascii="宋体" w:hAnsi="宋体"/>
          <w:color w:val="auto"/>
        </w:rPr>
      </w:pPr>
    </w:p>
    <w:p w14:paraId="08D0960D">
      <w:pPr>
        <w:snapToGrid w:val="0"/>
        <w:spacing w:beforeLines="50" w:after="50"/>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3.投标人参加本项目无围标串标行为的承诺</w:t>
      </w:r>
    </w:p>
    <w:p w14:paraId="6B6E7F47">
      <w:pPr>
        <w:snapToGrid w:val="0"/>
        <w:spacing w:beforeLines="50" w:after="50"/>
        <w:jc w:val="left"/>
        <w:rPr>
          <w:rFonts w:ascii="宋体" w:hAnsi="宋体"/>
          <w:b/>
          <w:color w:val="auto"/>
          <w:sz w:val="24"/>
        </w:rPr>
      </w:pPr>
    </w:p>
    <w:p w14:paraId="78C8E300">
      <w:pPr>
        <w:snapToGrid w:val="0"/>
        <w:spacing w:beforeLines="50" w:after="50"/>
        <w:ind w:left="-69"/>
        <w:jc w:val="center"/>
        <w:rPr>
          <w:rFonts w:ascii="宋体" w:hAnsi="宋体"/>
          <w:b/>
          <w:color w:val="auto"/>
          <w:spacing w:val="-17"/>
          <w:sz w:val="32"/>
          <w:szCs w:val="32"/>
        </w:rPr>
      </w:pPr>
      <w:r>
        <w:rPr>
          <w:rFonts w:hint="eastAsia" w:ascii="方正小标宋简体" w:hAnsi="方正小标宋简体" w:eastAsia="方正小标宋简体" w:cs="方正小标宋简体"/>
          <w:bCs/>
          <w:color w:val="auto"/>
          <w:spacing w:val="-17"/>
          <w:sz w:val="44"/>
          <w:szCs w:val="44"/>
        </w:rPr>
        <w:t>投标人参加本项目无围标串标行为的承诺函</w:t>
      </w:r>
    </w:p>
    <w:p w14:paraId="0FAABF4F">
      <w:pPr>
        <w:snapToGrid w:val="0"/>
        <w:spacing w:beforeLines="50" w:after="50"/>
        <w:rPr>
          <w:rFonts w:ascii="宋体" w:hAnsi="宋体"/>
          <w:b/>
          <w:color w:val="auto"/>
          <w:sz w:val="24"/>
        </w:rPr>
      </w:pPr>
    </w:p>
    <w:p w14:paraId="14B41217">
      <w:pPr>
        <w:spacing w:line="400" w:lineRule="exact"/>
        <w:contextualSpacing/>
        <w:jc w:val="left"/>
        <w:rPr>
          <w:rFonts w:ascii="宋体" w:hAnsi="宋体"/>
          <w:b/>
          <w:color w:val="auto"/>
          <w:sz w:val="24"/>
        </w:rPr>
      </w:pPr>
      <w:r>
        <w:rPr>
          <w:rFonts w:hint="eastAsia" w:ascii="宋体" w:hAnsi="宋体"/>
          <w:b/>
          <w:color w:val="auto"/>
          <w:sz w:val="24"/>
        </w:rPr>
        <w:t>一、我方承诺无下列相互串通投标的情形：</w:t>
      </w:r>
    </w:p>
    <w:p w14:paraId="6CEA0B5C">
      <w:pPr>
        <w:spacing w:line="400" w:lineRule="exact"/>
        <w:ind w:firstLine="470" w:firstLineChars="196"/>
        <w:contextualSpacing/>
        <w:jc w:val="left"/>
        <w:rPr>
          <w:rFonts w:ascii="宋体" w:hAnsi="宋体"/>
          <w:color w:val="auto"/>
          <w:sz w:val="24"/>
        </w:rPr>
      </w:pPr>
      <w:r>
        <w:rPr>
          <w:rFonts w:hint="eastAsia" w:ascii="宋体" w:hAnsi="宋体"/>
          <w:color w:val="auto"/>
          <w:sz w:val="24"/>
        </w:rPr>
        <w:t xml:space="preserve">1.不同投标人的投标文件由同一单位或者个人编制； </w:t>
      </w:r>
    </w:p>
    <w:p w14:paraId="1787A71E">
      <w:pPr>
        <w:spacing w:line="400" w:lineRule="exact"/>
        <w:ind w:firstLine="470" w:firstLineChars="196"/>
        <w:contextualSpacing/>
        <w:jc w:val="left"/>
        <w:rPr>
          <w:rFonts w:ascii="宋体" w:hAnsi="宋体"/>
          <w:color w:val="auto"/>
          <w:sz w:val="24"/>
        </w:rPr>
      </w:pPr>
      <w:r>
        <w:rPr>
          <w:rFonts w:hint="eastAsia" w:ascii="宋体" w:hAnsi="宋体"/>
          <w:color w:val="auto"/>
          <w:sz w:val="24"/>
        </w:rPr>
        <w:t>2.不同投标人委托同一单位或者个人办理投标事宜；</w:t>
      </w:r>
    </w:p>
    <w:p w14:paraId="2A52172F">
      <w:pPr>
        <w:spacing w:line="400" w:lineRule="exact"/>
        <w:ind w:firstLine="470" w:firstLineChars="196"/>
        <w:contextualSpacing/>
        <w:jc w:val="left"/>
        <w:rPr>
          <w:rFonts w:ascii="宋体" w:hAnsi="宋体"/>
          <w:color w:val="auto"/>
          <w:sz w:val="24"/>
        </w:rPr>
      </w:pPr>
      <w:r>
        <w:rPr>
          <w:rFonts w:hint="eastAsia" w:ascii="宋体" w:hAnsi="宋体"/>
          <w:color w:val="auto"/>
          <w:sz w:val="24"/>
        </w:rPr>
        <w:t>3.不同的投标人的投标文件载明的项目管理员为同一个人；</w:t>
      </w:r>
    </w:p>
    <w:p w14:paraId="4AC3B82B">
      <w:pPr>
        <w:spacing w:line="400" w:lineRule="exact"/>
        <w:ind w:firstLine="470" w:firstLineChars="196"/>
        <w:contextualSpacing/>
        <w:jc w:val="left"/>
        <w:rPr>
          <w:rFonts w:ascii="宋体" w:hAnsi="宋体"/>
          <w:color w:val="auto"/>
          <w:sz w:val="24"/>
        </w:rPr>
      </w:pPr>
      <w:r>
        <w:rPr>
          <w:rFonts w:hint="eastAsia" w:ascii="宋体" w:hAnsi="宋体"/>
          <w:color w:val="auto"/>
          <w:sz w:val="24"/>
        </w:rPr>
        <w:t>4.不同投标人的投标文件异常一致或者投标报价呈规律性差异；</w:t>
      </w:r>
    </w:p>
    <w:p w14:paraId="0C4A9314">
      <w:pPr>
        <w:spacing w:line="400" w:lineRule="exact"/>
        <w:ind w:firstLine="470" w:firstLineChars="196"/>
        <w:contextualSpacing/>
        <w:jc w:val="left"/>
        <w:rPr>
          <w:rFonts w:ascii="宋体" w:hAnsi="宋体"/>
          <w:color w:val="auto"/>
          <w:sz w:val="24"/>
        </w:rPr>
      </w:pPr>
      <w:r>
        <w:rPr>
          <w:rFonts w:hint="eastAsia" w:ascii="宋体" w:hAnsi="宋体"/>
          <w:color w:val="auto"/>
          <w:sz w:val="24"/>
        </w:rPr>
        <w:t>5.不同投标人的投标文件相互混装；</w:t>
      </w:r>
    </w:p>
    <w:p w14:paraId="1D117A3D">
      <w:pPr>
        <w:spacing w:line="400" w:lineRule="exact"/>
        <w:ind w:firstLine="470" w:firstLineChars="196"/>
        <w:contextualSpacing/>
        <w:jc w:val="left"/>
        <w:rPr>
          <w:rFonts w:ascii="宋体" w:hAnsi="宋体"/>
          <w:color w:val="auto"/>
          <w:sz w:val="24"/>
        </w:rPr>
      </w:pPr>
      <w:r>
        <w:rPr>
          <w:rFonts w:hint="eastAsia" w:ascii="宋体" w:hAnsi="宋体"/>
          <w:color w:val="auto"/>
          <w:sz w:val="24"/>
        </w:rPr>
        <w:t>6.不同投标人的投标保证金从同一单位或者个人账户转出。</w:t>
      </w:r>
    </w:p>
    <w:p w14:paraId="2D122DA3">
      <w:pPr>
        <w:spacing w:line="400" w:lineRule="exact"/>
        <w:contextualSpacing/>
        <w:jc w:val="left"/>
        <w:rPr>
          <w:rFonts w:ascii="宋体" w:hAnsi="宋体"/>
          <w:color w:val="auto"/>
          <w:sz w:val="24"/>
        </w:rPr>
      </w:pPr>
      <w:r>
        <w:rPr>
          <w:rFonts w:hint="eastAsia" w:ascii="宋体" w:hAnsi="宋体"/>
          <w:b/>
          <w:color w:val="auto"/>
          <w:sz w:val="24"/>
        </w:rPr>
        <w:t>二、我方承诺无下列恶意串通的情形：</w:t>
      </w:r>
    </w:p>
    <w:p w14:paraId="291CC096">
      <w:pPr>
        <w:spacing w:line="400" w:lineRule="exact"/>
        <w:ind w:firstLine="470" w:firstLineChars="196"/>
        <w:contextualSpacing/>
        <w:jc w:val="left"/>
        <w:rPr>
          <w:rFonts w:ascii="宋体" w:hAnsi="宋体"/>
          <w:color w:val="auto"/>
          <w:sz w:val="24"/>
        </w:rPr>
      </w:pPr>
      <w:r>
        <w:rPr>
          <w:rFonts w:hint="eastAsia" w:ascii="宋体" w:hAnsi="宋体"/>
          <w:color w:val="auto"/>
          <w:sz w:val="24"/>
        </w:rPr>
        <w:t>1.投标人直接或者间接从采购人或者采购代理机构处获得其他投标人的相关信息并修改其投标文件或者投标文件；</w:t>
      </w:r>
    </w:p>
    <w:p w14:paraId="4E9C1BAD">
      <w:pPr>
        <w:spacing w:line="400" w:lineRule="exact"/>
        <w:ind w:firstLine="470" w:firstLineChars="196"/>
        <w:contextualSpacing/>
        <w:jc w:val="left"/>
        <w:rPr>
          <w:rFonts w:ascii="宋体" w:hAnsi="宋体"/>
          <w:color w:val="auto"/>
          <w:sz w:val="24"/>
        </w:rPr>
      </w:pPr>
      <w:r>
        <w:rPr>
          <w:rFonts w:hint="eastAsia" w:ascii="宋体" w:hAnsi="宋体"/>
          <w:color w:val="auto"/>
          <w:sz w:val="24"/>
        </w:rPr>
        <w:t>2.投标人按照采购人或者采购代理机构的授意撤换、修改投标文件或者投标文件；</w:t>
      </w:r>
    </w:p>
    <w:p w14:paraId="58F376F7">
      <w:pPr>
        <w:spacing w:line="400" w:lineRule="exact"/>
        <w:ind w:firstLine="470" w:firstLineChars="196"/>
        <w:contextualSpacing/>
        <w:jc w:val="left"/>
        <w:rPr>
          <w:rFonts w:ascii="宋体" w:hAnsi="宋体"/>
          <w:color w:val="auto"/>
          <w:sz w:val="24"/>
        </w:rPr>
      </w:pPr>
      <w:r>
        <w:rPr>
          <w:rFonts w:hint="eastAsia" w:ascii="宋体" w:hAnsi="宋体"/>
          <w:color w:val="auto"/>
          <w:sz w:val="24"/>
        </w:rPr>
        <w:t>3.投标人之间协商报价、技术方案等投标文件或者投标文件的实质性内容；</w:t>
      </w:r>
    </w:p>
    <w:p w14:paraId="0CA61600">
      <w:pPr>
        <w:spacing w:line="400" w:lineRule="exact"/>
        <w:ind w:firstLine="470" w:firstLineChars="196"/>
        <w:contextualSpacing/>
        <w:jc w:val="left"/>
        <w:rPr>
          <w:rFonts w:ascii="宋体" w:hAnsi="宋体"/>
          <w:color w:val="auto"/>
          <w:sz w:val="24"/>
        </w:rPr>
      </w:pPr>
      <w:r>
        <w:rPr>
          <w:rFonts w:hint="eastAsia" w:ascii="宋体" w:hAnsi="宋体"/>
          <w:color w:val="auto"/>
          <w:sz w:val="24"/>
        </w:rPr>
        <w:t>4.属于同一集团、协会、商会等组织成员的投标人按照该组织要求协同参加政府采购活动；</w:t>
      </w:r>
    </w:p>
    <w:p w14:paraId="07E908E2">
      <w:pPr>
        <w:spacing w:line="400" w:lineRule="exact"/>
        <w:ind w:firstLine="470" w:firstLineChars="196"/>
        <w:contextualSpacing/>
        <w:jc w:val="left"/>
        <w:rPr>
          <w:rFonts w:ascii="宋体" w:hAnsi="宋体"/>
          <w:color w:val="auto"/>
          <w:sz w:val="24"/>
        </w:rPr>
      </w:pPr>
      <w:r>
        <w:rPr>
          <w:rFonts w:hint="eastAsia" w:ascii="宋体" w:hAnsi="宋体"/>
          <w:color w:val="auto"/>
          <w:sz w:val="24"/>
        </w:rPr>
        <w:t>5.投标人之间事先约定一致抬高或者压低投标报价，或者在招标项目中事先约定轮流以高价位或者低价位中标，或者事先约定由某一特定投标人中标，然后再参加投标；</w:t>
      </w:r>
    </w:p>
    <w:p w14:paraId="678C23AC">
      <w:pPr>
        <w:spacing w:line="400" w:lineRule="exact"/>
        <w:ind w:firstLine="470" w:firstLineChars="196"/>
        <w:contextualSpacing/>
        <w:jc w:val="left"/>
        <w:rPr>
          <w:rFonts w:ascii="宋体" w:hAnsi="宋体"/>
          <w:color w:val="auto"/>
          <w:sz w:val="24"/>
        </w:rPr>
      </w:pPr>
      <w:r>
        <w:rPr>
          <w:rFonts w:hint="eastAsia" w:ascii="宋体" w:hAnsi="宋体"/>
          <w:color w:val="auto"/>
          <w:sz w:val="24"/>
        </w:rPr>
        <w:t>6.投标人之间商定部分投标人放弃参加政府采购活动或者放弃中标；</w:t>
      </w:r>
    </w:p>
    <w:p w14:paraId="1B41FE9C">
      <w:pPr>
        <w:spacing w:line="400" w:lineRule="exact"/>
        <w:ind w:firstLine="470" w:firstLineChars="196"/>
        <w:contextualSpacing/>
        <w:jc w:val="left"/>
        <w:rPr>
          <w:rFonts w:ascii="宋体" w:hAnsi="宋体"/>
          <w:color w:val="auto"/>
          <w:sz w:val="24"/>
        </w:rPr>
      </w:pPr>
      <w:r>
        <w:rPr>
          <w:rFonts w:hint="eastAsia" w:ascii="宋体" w:hAnsi="宋体"/>
          <w:color w:val="auto"/>
          <w:sz w:val="24"/>
        </w:rPr>
        <w:t>7.投标人与采购人或者采购代理机构之间、投标人相互之间，为谋求特定投标人中标或者排斥其他投标人的其他串通行为。</w:t>
      </w:r>
    </w:p>
    <w:p w14:paraId="0C591121">
      <w:pPr>
        <w:spacing w:line="400" w:lineRule="exact"/>
        <w:ind w:firstLine="472" w:firstLineChars="196"/>
        <w:contextualSpacing/>
        <w:jc w:val="left"/>
        <w:rPr>
          <w:rFonts w:ascii="宋体" w:hAnsi="宋体"/>
          <w:b/>
          <w:color w:val="auto"/>
          <w:sz w:val="24"/>
        </w:rPr>
      </w:pPr>
      <w:r>
        <w:rPr>
          <w:rFonts w:hint="eastAsia" w:ascii="宋体" w:hAnsi="宋体"/>
          <w:b/>
          <w:color w:val="auto"/>
          <w:sz w:val="24"/>
        </w:rPr>
        <w:t>以上情形一经核查属实，我方愿意承担一切后果，并不再寻求任何旨在减轻或者免除法律责任的辩解。</w:t>
      </w:r>
    </w:p>
    <w:p w14:paraId="21E9DDE4">
      <w:pPr>
        <w:pStyle w:val="20"/>
        <w:spacing w:line="400" w:lineRule="exact"/>
        <w:ind w:firstLine="6840" w:firstLineChars="2850"/>
        <w:contextualSpacing/>
        <w:rPr>
          <w:rFonts w:hAnsi="宋体"/>
          <w:color w:val="auto"/>
          <w:sz w:val="24"/>
          <w:szCs w:val="24"/>
        </w:rPr>
      </w:pPr>
    </w:p>
    <w:p w14:paraId="2C2B1668">
      <w:pPr>
        <w:pStyle w:val="20"/>
        <w:spacing w:line="400" w:lineRule="exact"/>
        <w:ind w:firstLine="1080" w:firstLineChars="450"/>
        <w:contextualSpacing/>
        <w:rPr>
          <w:rFonts w:hAnsi="宋体"/>
          <w:color w:val="auto"/>
          <w:sz w:val="24"/>
          <w:szCs w:val="24"/>
        </w:rPr>
      </w:pPr>
      <w:r>
        <w:rPr>
          <w:rFonts w:hint="eastAsia" w:hAnsi="宋体"/>
          <w:color w:val="auto"/>
          <w:sz w:val="24"/>
        </w:rPr>
        <w:t>法定代表人或者委托代理人</w:t>
      </w:r>
      <w:r>
        <w:rPr>
          <w:rFonts w:hint="eastAsia" w:hAnsi="宋体"/>
          <w:color w:val="auto"/>
          <w:spacing w:val="20"/>
          <w:sz w:val="24"/>
        </w:rPr>
        <w:t>（签字或者电子签名）：</w:t>
      </w:r>
    </w:p>
    <w:p w14:paraId="0A861C6F">
      <w:pPr>
        <w:pStyle w:val="20"/>
        <w:spacing w:line="400" w:lineRule="exact"/>
        <w:contextualSpacing/>
        <w:jc w:val="center"/>
        <w:rPr>
          <w:rFonts w:hAnsi="宋体"/>
          <w:color w:val="auto"/>
          <w:sz w:val="24"/>
          <w:szCs w:val="24"/>
        </w:rPr>
      </w:pPr>
      <w:r>
        <w:rPr>
          <w:rFonts w:hint="eastAsia" w:hAnsi="宋体"/>
          <w:color w:val="auto"/>
          <w:sz w:val="24"/>
          <w:szCs w:val="24"/>
        </w:rPr>
        <w:t>投标人名称（电子签章）</w:t>
      </w:r>
    </w:p>
    <w:p w14:paraId="2705499E">
      <w:pPr>
        <w:pStyle w:val="20"/>
        <w:spacing w:line="400" w:lineRule="exact"/>
        <w:contextualSpacing/>
        <w:jc w:val="right"/>
        <w:rPr>
          <w:rFonts w:hAnsi="宋体"/>
          <w:color w:val="auto"/>
          <w:sz w:val="24"/>
        </w:rPr>
      </w:pPr>
      <w:r>
        <w:rPr>
          <w:rFonts w:hint="eastAsia" w:hAnsi="宋体"/>
          <w:color w:val="auto"/>
          <w:sz w:val="24"/>
        </w:rPr>
        <w:t>年</w:t>
      </w:r>
      <w:r>
        <w:rPr>
          <w:rFonts w:hint="eastAsia" w:hAnsi="宋体"/>
          <w:color w:val="auto"/>
          <w:sz w:val="24"/>
          <w:lang w:val="en-US" w:eastAsia="zh-CN"/>
        </w:rPr>
        <w:t xml:space="preserve">   </w:t>
      </w:r>
      <w:r>
        <w:rPr>
          <w:rFonts w:hint="eastAsia" w:hAnsi="宋体"/>
          <w:color w:val="auto"/>
          <w:sz w:val="24"/>
        </w:rPr>
        <w:t>月</w:t>
      </w:r>
      <w:r>
        <w:rPr>
          <w:rFonts w:hint="eastAsia" w:hAnsi="宋体"/>
          <w:color w:val="auto"/>
          <w:sz w:val="24"/>
          <w:lang w:val="en-US" w:eastAsia="zh-CN"/>
        </w:rPr>
        <w:t xml:space="preserve">   </w:t>
      </w:r>
      <w:r>
        <w:rPr>
          <w:rFonts w:hint="eastAsia" w:hAnsi="宋体"/>
          <w:color w:val="auto"/>
          <w:sz w:val="24"/>
        </w:rPr>
        <w:t>日</w:t>
      </w:r>
    </w:p>
    <w:p w14:paraId="46CD9963">
      <w:pPr>
        <w:snapToGrid w:val="0"/>
        <w:spacing w:beforeLines="50" w:after="50"/>
        <w:ind w:firstLine="472" w:firstLineChars="196"/>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4.法定代表人身份证明</w:t>
      </w:r>
    </w:p>
    <w:p w14:paraId="6A373778">
      <w:pPr>
        <w:spacing w:beforeLines="100" w:afterLines="50"/>
        <w:ind w:left="-69"/>
        <w:jc w:val="center"/>
        <w:rPr>
          <w:rFonts w:ascii="宋体" w:hAnsi="Courier New"/>
          <w:b/>
          <w:color w:val="auto"/>
          <w:sz w:val="32"/>
          <w:szCs w:val="32"/>
        </w:rPr>
      </w:pPr>
    </w:p>
    <w:p w14:paraId="28069230">
      <w:pPr>
        <w:spacing w:beforeLines="100" w:afterLines="50"/>
        <w:ind w:left="-69"/>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法定代表人身份证明</w:t>
      </w:r>
    </w:p>
    <w:p w14:paraId="30716F52">
      <w:pPr>
        <w:spacing w:line="500" w:lineRule="exact"/>
        <w:ind w:left="-69"/>
        <w:rPr>
          <w:rFonts w:ascii="宋体" w:hAnsi="宋体"/>
          <w:color w:val="auto"/>
          <w:sz w:val="24"/>
        </w:rPr>
      </w:pPr>
      <w:r>
        <w:rPr>
          <w:rFonts w:hint="eastAsia" w:ascii="宋体" w:hAnsi="宋体"/>
          <w:color w:val="auto"/>
          <w:sz w:val="24"/>
        </w:rPr>
        <w:t>投 标 人：</w:t>
      </w:r>
    </w:p>
    <w:p w14:paraId="3D5D771A">
      <w:pPr>
        <w:spacing w:line="500" w:lineRule="exact"/>
        <w:ind w:left="-69"/>
        <w:rPr>
          <w:rFonts w:ascii="宋体" w:hAnsi="宋体"/>
          <w:color w:val="auto"/>
          <w:sz w:val="24"/>
        </w:rPr>
      </w:pPr>
      <w:r>
        <w:rPr>
          <w:rFonts w:hint="eastAsia" w:ascii="宋体" w:hAnsi="宋体"/>
          <w:color w:val="auto"/>
          <w:sz w:val="24"/>
        </w:rPr>
        <w:t>地    址：</w:t>
      </w:r>
    </w:p>
    <w:p w14:paraId="288ED795">
      <w:pPr>
        <w:spacing w:line="500" w:lineRule="exact"/>
        <w:ind w:left="-69"/>
        <w:rPr>
          <w:rFonts w:ascii="宋体" w:hAnsi="宋体"/>
          <w:color w:val="auto"/>
          <w:sz w:val="24"/>
        </w:rPr>
      </w:pPr>
      <w:r>
        <w:rPr>
          <w:rFonts w:hint="eastAsia" w:ascii="宋体" w:hAnsi="宋体"/>
          <w:color w:val="auto"/>
          <w:sz w:val="24"/>
        </w:rPr>
        <w:t>姓    名：性      别：</w:t>
      </w:r>
    </w:p>
    <w:p w14:paraId="04240028">
      <w:pPr>
        <w:spacing w:line="500" w:lineRule="exact"/>
        <w:ind w:left="-69"/>
        <w:rPr>
          <w:rFonts w:ascii="宋体" w:hAnsi="宋体"/>
          <w:color w:val="auto"/>
          <w:sz w:val="24"/>
          <w:u w:val="single"/>
        </w:rPr>
      </w:pPr>
      <w:r>
        <w:rPr>
          <w:rFonts w:hint="eastAsia" w:ascii="宋体" w:hAnsi="宋体"/>
          <w:color w:val="auto"/>
          <w:sz w:val="24"/>
        </w:rPr>
        <w:t>年    龄：职      务：</w:t>
      </w:r>
    </w:p>
    <w:p w14:paraId="44484242">
      <w:pPr>
        <w:spacing w:line="500" w:lineRule="exact"/>
        <w:ind w:left="-69"/>
        <w:rPr>
          <w:rFonts w:ascii="宋体" w:hAnsi="宋体"/>
          <w:color w:val="auto"/>
          <w:sz w:val="24"/>
        </w:rPr>
      </w:pPr>
      <w:r>
        <w:rPr>
          <w:rFonts w:hint="eastAsia" w:ascii="宋体" w:hAnsi="宋体"/>
          <w:color w:val="auto"/>
          <w:sz w:val="24"/>
        </w:rPr>
        <w:t>身份证</w:t>
      </w:r>
      <w:r>
        <w:rPr>
          <w:rFonts w:hint="eastAsia"/>
          <w:color w:val="auto"/>
          <w:sz w:val="24"/>
        </w:rPr>
        <w:t>号码：</w:t>
      </w:r>
    </w:p>
    <w:p w14:paraId="2F8976DC">
      <w:pPr>
        <w:spacing w:line="500" w:lineRule="exact"/>
        <w:ind w:left="-69"/>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（投标人名称）              </w:t>
      </w:r>
      <w:r>
        <w:rPr>
          <w:rFonts w:hint="eastAsia" w:ascii="宋体" w:hAnsi="宋体"/>
          <w:color w:val="auto"/>
          <w:sz w:val="24"/>
        </w:rPr>
        <w:t>的法定代表人。</w:t>
      </w:r>
    </w:p>
    <w:p w14:paraId="329D13E9">
      <w:pPr>
        <w:spacing w:line="500" w:lineRule="exact"/>
        <w:ind w:left="-69"/>
        <w:rPr>
          <w:rFonts w:ascii="宋体" w:hAnsi="宋体"/>
          <w:color w:val="auto"/>
          <w:sz w:val="24"/>
        </w:rPr>
      </w:pPr>
      <w:r>
        <w:rPr>
          <w:rFonts w:hint="eastAsia" w:ascii="宋体" w:hAnsi="宋体"/>
          <w:color w:val="auto"/>
          <w:sz w:val="24"/>
        </w:rPr>
        <w:t>特此证明。</w:t>
      </w:r>
    </w:p>
    <w:p w14:paraId="5A352BAA">
      <w:pPr>
        <w:spacing w:line="500" w:lineRule="exact"/>
        <w:ind w:left="-69"/>
        <w:rPr>
          <w:rFonts w:ascii="宋体" w:hAnsi="宋体"/>
          <w:color w:val="auto"/>
          <w:sz w:val="24"/>
        </w:rPr>
      </w:pPr>
    </w:p>
    <w:p w14:paraId="7C4ECB78">
      <w:pPr>
        <w:spacing w:line="500" w:lineRule="exact"/>
        <w:ind w:left="-69"/>
        <w:rPr>
          <w:rFonts w:ascii="宋体" w:hAnsi="宋体"/>
          <w:color w:val="auto"/>
          <w:sz w:val="24"/>
        </w:rPr>
      </w:pPr>
    </w:p>
    <w:p w14:paraId="659771CE">
      <w:pPr>
        <w:spacing w:line="500" w:lineRule="exact"/>
        <w:ind w:left="-69"/>
        <w:rPr>
          <w:rFonts w:ascii="宋体" w:hAnsi="宋体"/>
          <w:color w:val="auto"/>
          <w:sz w:val="24"/>
        </w:rPr>
      </w:pPr>
      <w:r>
        <w:rPr>
          <w:rFonts w:hint="eastAsia" w:ascii="宋体" w:hAnsi="宋体"/>
          <w:color w:val="auto"/>
          <w:sz w:val="24"/>
        </w:rPr>
        <w:t>附件：法定代表人有效身份证正反面扫描件</w:t>
      </w:r>
    </w:p>
    <w:p w14:paraId="057AC458">
      <w:pPr>
        <w:spacing w:line="500" w:lineRule="exact"/>
        <w:ind w:left="-69"/>
        <w:rPr>
          <w:rFonts w:ascii="宋体" w:hAnsi="宋体"/>
          <w:color w:val="auto"/>
          <w:sz w:val="24"/>
        </w:rPr>
      </w:pPr>
    </w:p>
    <w:p w14:paraId="48C712BA">
      <w:pPr>
        <w:spacing w:line="500" w:lineRule="exact"/>
        <w:ind w:left="-69"/>
        <w:jc w:val="right"/>
        <w:rPr>
          <w:rFonts w:ascii="宋体" w:hAnsi="宋体"/>
          <w:color w:val="auto"/>
          <w:sz w:val="24"/>
        </w:rPr>
      </w:pPr>
      <w:r>
        <w:rPr>
          <w:rFonts w:hint="eastAsia" w:ascii="宋体" w:hAnsi="宋体"/>
          <w:color w:val="auto"/>
          <w:sz w:val="24"/>
        </w:rPr>
        <w:t>投标人名称（电子签章）</w:t>
      </w:r>
    </w:p>
    <w:p w14:paraId="398698A5">
      <w:pPr>
        <w:snapToGrid w:val="0"/>
        <w:spacing w:beforeLines="50" w:after="50"/>
        <w:ind w:left="-69"/>
        <w:jc w:val="right"/>
        <w:rPr>
          <w:rFonts w:ascii="宋体" w:hAnsi="宋体"/>
          <w:color w:val="auto"/>
          <w:sz w:val="24"/>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14:paraId="402E2015">
      <w:pPr>
        <w:snapToGrid w:val="0"/>
        <w:spacing w:beforeLines="50" w:after="50"/>
        <w:jc w:val="center"/>
        <w:rPr>
          <w:rFonts w:ascii="宋体" w:hAnsi="宋体"/>
          <w:b/>
          <w:color w:val="auto"/>
          <w:sz w:val="24"/>
        </w:rPr>
      </w:pPr>
    </w:p>
    <w:p w14:paraId="0B308820">
      <w:pPr>
        <w:snapToGrid w:val="0"/>
        <w:spacing w:beforeLines="50" w:after="50"/>
        <w:jc w:val="left"/>
        <w:rPr>
          <w:rFonts w:ascii="宋体" w:hAnsi="宋体"/>
          <w:b/>
          <w:color w:val="auto"/>
          <w:sz w:val="24"/>
          <w:szCs w:val="20"/>
        </w:rPr>
      </w:pPr>
      <w:r>
        <w:rPr>
          <w:rFonts w:hint="eastAsia" w:ascii="宋体" w:hAnsi="宋体"/>
          <w:color w:val="auto"/>
          <w:sz w:val="24"/>
        </w:rPr>
        <w:t>注：自然人投标的无需提供</w:t>
      </w:r>
    </w:p>
    <w:p w14:paraId="1B1F7E56">
      <w:pPr>
        <w:snapToGrid w:val="0"/>
        <w:spacing w:beforeLines="50" w:after="50"/>
        <w:jc w:val="left"/>
        <w:rPr>
          <w:rFonts w:ascii="宋体" w:hAnsi="宋体"/>
          <w:b/>
          <w:color w:val="auto"/>
          <w:sz w:val="24"/>
          <w:szCs w:val="20"/>
        </w:rPr>
      </w:pPr>
      <w:r>
        <w:rPr>
          <w:rFonts w:ascii="宋体" w:hAnsi="宋体"/>
          <w:b/>
          <w:color w:val="auto"/>
          <w:sz w:val="24"/>
        </w:rPr>
        <w:br w:type="page"/>
      </w:r>
      <w:r>
        <w:rPr>
          <w:rFonts w:hint="eastAsia" w:ascii="宋体" w:hAnsi="宋体"/>
          <w:b/>
          <w:color w:val="auto"/>
          <w:sz w:val="24"/>
        </w:rPr>
        <w:t>5.授权委托书格式</w:t>
      </w:r>
    </w:p>
    <w:p w14:paraId="3A251D7A">
      <w:pPr>
        <w:snapToGrid w:val="0"/>
        <w:spacing w:beforeLines="50" w:after="50"/>
        <w:jc w:val="center"/>
        <w:rPr>
          <w:rFonts w:ascii="宋体" w:hAnsi="宋体"/>
          <w:b/>
          <w:color w:val="auto"/>
          <w:sz w:val="44"/>
          <w:szCs w:val="44"/>
        </w:rPr>
      </w:pPr>
    </w:p>
    <w:p w14:paraId="64B3B6BD">
      <w:pPr>
        <w:snapToGrid w:val="0"/>
        <w:spacing w:beforeLines="50" w:after="5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授权委托书</w:t>
      </w:r>
    </w:p>
    <w:p w14:paraId="3E544A5F">
      <w:pPr>
        <w:snapToGrid w:val="0"/>
        <w:spacing w:beforeLines="50" w:after="50"/>
        <w:jc w:val="center"/>
        <w:rPr>
          <w:rFonts w:ascii="宋体" w:hAnsi="宋体"/>
          <w:b/>
          <w:color w:val="auto"/>
          <w:sz w:val="32"/>
          <w:szCs w:val="32"/>
        </w:rPr>
      </w:pPr>
      <w:r>
        <w:rPr>
          <w:rFonts w:hint="eastAsia" w:ascii="宋体" w:hAnsi="宋体"/>
          <w:b/>
          <w:color w:val="auto"/>
          <w:sz w:val="32"/>
          <w:szCs w:val="32"/>
        </w:rPr>
        <w:t>（非联合体投标格式）</w:t>
      </w:r>
    </w:p>
    <w:p w14:paraId="65C388BD">
      <w:pPr>
        <w:snapToGrid w:val="0"/>
        <w:spacing w:beforeLines="50" w:after="50"/>
        <w:jc w:val="center"/>
        <w:rPr>
          <w:rFonts w:ascii="宋体" w:hAnsi="宋体"/>
          <w:b/>
          <w:color w:val="auto"/>
          <w:sz w:val="24"/>
        </w:rPr>
      </w:pPr>
      <w:r>
        <w:rPr>
          <w:rFonts w:hint="eastAsia" w:ascii="宋体" w:hAnsi="宋体"/>
          <w:b/>
          <w:color w:val="auto"/>
          <w:sz w:val="32"/>
          <w:szCs w:val="32"/>
        </w:rPr>
        <w:t>（如有委托时）</w:t>
      </w:r>
    </w:p>
    <w:p w14:paraId="4A469BDC">
      <w:pPr>
        <w:snapToGrid w:val="0"/>
        <w:spacing w:beforeLines="50" w:after="50"/>
        <w:jc w:val="center"/>
        <w:rPr>
          <w:rFonts w:ascii="宋体" w:hAnsi="宋体"/>
          <w:b/>
          <w:color w:val="auto"/>
          <w:sz w:val="24"/>
        </w:rPr>
      </w:pPr>
    </w:p>
    <w:p w14:paraId="5EBCCA41">
      <w:pPr>
        <w:spacing w:line="360" w:lineRule="auto"/>
        <w:contextualSpacing/>
        <w:rPr>
          <w:rFonts w:ascii="宋体" w:hAnsi="宋体"/>
          <w:b/>
          <w:bCs/>
          <w:color w:val="auto"/>
          <w:sz w:val="24"/>
        </w:rPr>
      </w:pPr>
      <w:r>
        <w:rPr>
          <w:rFonts w:hint="eastAsia" w:ascii="宋体" w:hAnsi="宋体"/>
          <w:bCs/>
          <w:color w:val="auto"/>
          <w:sz w:val="24"/>
        </w:rPr>
        <w:t>致：</w:t>
      </w:r>
      <w:r>
        <w:rPr>
          <w:rFonts w:hint="eastAsia" w:ascii="宋体" w:hAnsi="宋体"/>
          <w:color w:val="auto"/>
          <w:sz w:val="24"/>
          <w:u w:val="single"/>
        </w:rPr>
        <w:t>采购人名称</w:t>
      </w:r>
      <w:r>
        <w:rPr>
          <w:rFonts w:hint="eastAsia" w:ascii="宋体" w:hAnsi="宋体"/>
          <w:color w:val="auto"/>
          <w:sz w:val="24"/>
        </w:rPr>
        <w:t>：</w:t>
      </w:r>
    </w:p>
    <w:p w14:paraId="5053B864">
      <w:pPr>
        <w:spacing w:line="360" w:lineRule="auto"/>
        <w:ind w:firstLine="566" w:firstLineChars="236"/>
        <w:contextualSpacing/>
        <w:rPr>
          <w:rFonts w:ascii="宋体" w:hAnsi="宋体"/>
          <w:color w:val="auto"/>
          <w:sz w:val="24"/>
        </w:rPr>
      </w:pPr>
      <w:r>
        <w:rPr>
          <w:rFonts w:hint="eastAsia" w:ascii="宋体" w:hAnsi="宋体"/>
          <w:color w:val="auto"/>
          <w:sz w:val="24"/>
        </w:rPr>
        <w:t>我</w:t>
      </w:r>
      <w:r>
        <w:rPr>
          <w:rFonts w:hint="eastAsia" w:ascii="宋体" w:hAnsi="宋体"/>
          <w:color w:val="auto"/>
          <w:sz w:val="24"/>
          <w:u w:val="single"/>
          <w:lang w:val="en-US" w:eastAsia="zh-CN"/>
        </w:rPr>
        <w:t xml:space="preserve">    </w:t>
      </w:r>
      <w:r>
        <w:rPr>
          <w:rFonts w:hint="eastAsia" w:ascii="宋体" w:hAnsi="宋体"/>
          <w:color w:val="auto"/>
          <w:sz w:val="24"/>
        </w:rPr>
        <w:t>（姓名）系</w:t>
      </w:r>
      <w:r>
        <w:rPr>
          <w:rFonts w:hint="eastAsia" w:ascii="宋体" w:hAnsi="宋体"/>
          <w:color w:val="auto"/>
          <w:sz w:val="24"/>
          <w:u w:val="single"/>
          <w:lang w:val="en-US" w:eastAsia="zh-CN"/>
        </w:rPr>
        <w:t xml:space="preserve">   </w:t>
      </w:r>
      <w:r>
        <w:rPr>
          <w:rFonts w:hint="eastAsia" w:ascii="宋体" w:hAnsi="宋体"/>
          <w:color w:val="auto"/>
          <w:sz w:val="24"/>
        </w:rPr>
        <w:t>（投标人名称）的法定代表人，现授权委托</w:t>
      </w:r>
      <w:r>
        <w:rPr>
          <w:rFonts w:hint="eastAsia" w:ascii="宋体" w:hAnsi="宋体"/>
          <w:color w:val="auto"/>
          <w:sz w:val="24"/>
          <w:u w:val="single"/>
        </w:rPr>
        <w:t xml:space="preserve">              （姓名）</w:t>
      </w:r>
      <w:r>
        <w:rPr>
          <w:rFonts w:hint="eastAsia" w:ascii="宋体" w:hAnsi="宋体"/>
          <w:color w:val="auto"/>
          <w:sz w:val="24"/>
        </w:rPr>
        <w:t>以我方的名义参加项目的投标活动，并代表我方全权办理针对上述项目的所有采购程序和环节的具体事务和签署相关文件。</w:t>
      </w:r>
    </w:p>
    <w:p w14:paraId="4ACD45EB">
      <w:pPr>
        <w:spacing w:line="360" w:lineRule="auto"/>
        <w:contextualSpacing/>
        <w:rPr>
          <w:rFonts w:ascii="宋体" w:hAnsi="宋体"/>
          <w:color w:val="auto"/>
          <w:sz w:val="24"/>
        </w:rPr>
      </w:pPr>
      <w:r>
        <w:rPr>
          <w:rFonts w:hint="eastAsia" w:ascii="宋体" w:hAnsi="宋体"/>
          <w:color w:val="auto"/>
          <w:sz w:val="24"/>
        </w:rPr>
        <w:t xml:space="preserve">    我方对委托代理人的签字或者电子签名事项负全部责任。</w:t>
      </w:r>
    </w:p>
    <w:p w14:paraId="45A623AC">
      <w:pPr>
        <w:spacing w:line="360" w:lineRule="auto"/>
        <w:ind w:firstLine="480"/>
        <w:contextualSpacing/>
        <w:rPr>
          <w:rFonts w:ascii="宋体" w:hAnsi="宋体"/>
          <w:color w:val="auto"/>
          <w:sz w:val="24"/>
        </w:rPr>
      </w:pPr>
      <w:r>
        <w:rPr>
          <w:rFonts w:hint="eastAsia" w:ascii="宋体" w:hAnsi="宋体"/>
          <w:color w:val="auto"/>
          <w:sz w:val="24"/>
          <w:u w:val="single"/>
        </w:rPr>
        <w:t>本授权书自签署之日起生效，在撤销授权的书面通知以前，本授权书一直有效。委托代理人在授权书有效期内签署的所有文件不因授权的撤销而失效。</w:t>
      </w:r>
    </w:p>
    <w:p w14:paraId="6CE53EF2">
      <w:pPr>
        <w:spacing w:line="360" w:lineRule="auto"/>
        <w:ind w:firstLine="480"/>
        <w:contextualSpacing/>
        <w:rPr>
          <w:rFonts w:ascii="宋体" w:hAnsi="宋体"/>
          <w:color w:val="auto"/>
          <w:sz w:val="24"/>
        </w:rPr>
      </w:pPr>
      <w:r>
        <w:rPr>
          <w:rFonts w:hint="eastAsia" w:ascii="宋体" w:hAnsi="宋体"/>
          <w:color w:val="auto"/>
          <w:sz w:val="24"/>
        </w:rPr>
        <w:t>委托代理人无转委托权，特此委托。</w:t>
      </w:r>
    </w:p>
    <w:p w14:paraId="58B9A5C2">
      <w:pPr>
        <w:spacing w:line="360" w:lineRule="auto"/>
        <w:ind w:firstLine="480"/>
        <w:contextualSpacing/>
        <w:rPr>
          <w:rFonts w:ascii="宋体" w:hAnsi="宋体"/>
          <w:color w:val="auto"/>
          <w:sz w:val="24"/>
        </w:rPr>
      </w:pPr>
      <w:r>
        <w:rPr>
          <w:rFonts w:hint="eastAsia" w:ascii="宋体" w:hAnsi="宋体"/>
          <w:color w:val="auto"/>
          <w:sz w:val="24"/>
        </w:rPr>
        <w:t>附：法定代表人身份证明及委托代理人有效身份证正反面扫描件</w:t>
      </w:r>
    </w:p>
    <w:p w14:paraId="73D1CD23">
      <w:pPr>
        <w:spacing w:line="360" w:lineRule="auto"/>
        <w:contextualSpacing/>
        <w:rPr>
          <w:rFonts w:ascii="宋体" w:hAnsi="宋体"/>
          <w:color w:val="auto"/>
          <w:sz w:val="24"/>
        </w:rPr>
      </w:pPr>
    </w:p>
    <w:p w14:paraId="17ED2D3B">
      <w:pPr>
        <w:spacing w:line="440" w:lineRule="exact"/>
        <w:contextualSpacing/>
        <w:rPr>
          <w:rFonts w:ascii="宋体" w:hAnsi="宋体"/>
          <w:color w:val="auto"/>
          <w:sz w:val="24"/>
        </w:rPr>
      </w:pPr>
      <w:r>
        <w:rPr>
          <w:rFonts w:hint="eastAsia" w:ascii="宋体" w:hAnsi="宋体"/>
          <w:color w:val="auto"/>
          <w:sz w:val="24"/>
        </w:rPr>
        <w:t>委托代理人（签字或者电子签名）：</w:t>
      </w:r>
    </w:p>
    <w:p w14:paraId="2C6D8C35">
      <w:pPr>
        <w:spacing w:line="440" w:lineRule="exact"/>
        <w:contextualSpacing/>
        <w:rPr>
          <w:rFonts w:ascii="宋体" w:hAnsi="宋体"/>
          <w:color w:val="auto"/>
          <w:sz w:val="24"/>
          <w:u w:val="single"/>
        </w:rPr>
      </w:pPr>
      <w:r>
        <w:rPr>
          <w:rFonts w:hint="eastAsia" w:ascii="宋体" w:hAnsi="宋体"/>
          <w:color w:val="auto"/>
          <w:sz w:val="24"/>
        </w:rPr>
        <w:t>委托代理人身份证号码：</w:t>
      </w:r>
    </w:p>
    <w:p w14:paraId="0CCE9256">
      <w:pPr>
        <w:spacing w:line="440" w:lineRule="exact"/>
        <w:contextualSpacing/>
        <w:rPr>
          <w:rFonts w:ascii="宋体" w:hAnsi="宋体"/>
          <w:color w:val="auto"/>
          <w:sz w:val="24"/>
          <w:u w:val="single"/>
        </w:rPr>
      </w:pPr>
      <w:r>
        <w:rPr>
          <w:rFonts w:hint="eastAsia" w:ascii="宋体" w:hAnsi="宋体"/>
          <w:color w:val="auto"/>
          <w:sz w:val="24"/>
        </w:rPr>
        <w:t>法定代表人（签字或者盖章或者电子签名）：</w:t>
      </w:r>
    </w:p>
    <w:p w14:paraId="7110660B">
      <w:pPr>
        <w:spacing w:line="440" w:lineRule="exact"/>
        <w:contextualSpacing/>
        <w:rPr>
          <w:rFonts w:ascii="宋体" w:hAnsi="宋体"/>
          <w:color w:val="auto"/>
          <w:sz w:val="24"/>
        </w:rPr>
      </w:pPr>
    </w:p>
    <w:p w14:paraId="6A6603F6">
      <w:pPr>
        <w:spacing w:line="440" w:lineRule="exact"/>
        <w:contextualSpacing/>
        <w:jc w:val="center"/>
        <w:rPr>
          <w:rFonts w:ascii="宋体" w:hAnsi="宋体"/>
          <w:color w:val="auto"/>
          <w:sz w:val="24"/>
        </w:rPr>
      </w:pPr>
      <w:r>
        <w:rPr>
          <w:rFonts w:hint="eastAsia" w:ascii="宋体" w:hAnsi="宋体"/>
          <w:color w:val="auto"/>
          <w:sz w:val="24"/>
        </w:rPr>
        <w:t xml:space="preserve">                                                投标人名称（电子签章）：</w:t>
      </w:r>
    </w:p>
    <w:p w14:paraId="397E03A7">
      <w:pPr>
        <w:spacing w:line="440" w:lineRule="exact"/>
        <w:contextualSpacing/>
        <w:jc w:val="center"/>
        <w:rPr>
          <w:rFonts w:ascii="宋体" w:hAnsi="宋体"/>
          <w:color w:val="auto"/>
          <w:sz w:val="24"/>
        </w:rPr>
      </w:pPr>
      <w:r>
        <w:rPr>
          <w:rFonts w:hint="eastAsia" w:ascii="宋体" w:hAnsi="宋体"/>
          <w:color w:val="auto"/>
          <w:sz w:val="24"/>
        </w:rPr>
        <w:t xml:space="preserve">                                              年    月    日</w:t>
      </w:r>
    </w:p>
    <w:p w14:paraId="54A7923A">
      <w:pPr>
        <w:spacing w:line="440" w:lineRule="exact"/>
        <w:contextualSpacing/>
        <w:rPr>
          <w:rFonts w:ascii="宋体" w:hAnsi="宋体" w:cs="仿宋_GB2312"/>
          <w:color w:val="auto"/>
          <w:sz w:val="24"/>
        </w:rPr>
      </w:pPr>
      <w:r>
        <w:rPr>
          <w:rFonts w:hint="eastAsia" w:ascii="宋体" w:hAnsi="宋体" w:cs="仿宋_GB2312"/>
          <w:color w:val="auto"/>
          <w:sz w:val="24"/>
        </w:rPr>
        <w:t>注：1.</w:t>
      </w:r>
      <w:bookmarkStart w:id="171" w:name="_Hlk65851555"/>
      <w:bookmarkStart w:id="172" w:name="_Hlk65851620"/>
      <w:r>
        <w:rPr>
          <w:rFonts w:hint="eastAsia" w:ascii="宋体" w:hAnsi="宋体" w:cs="仿宋_GB2312"/>
          <w:color w:val="auto"/>
          <w:sz w:val="24"/>
        </w:rPr>
        <w:t>法定代表人必须在授权委托书上签字或者盖章</w:t>
      </w:r>
      <w:r>
        <w:rPr>
          <w:rFonts w:hint="eastAsia" w:ascii="宋体" w:hAnsi="宋体"/>
          <w:color w:val="auto"/>
          <w:sz w:val="24"/>
        </w:rPr>
        <w:t>或者电子签名</w:t>
      </w:r>
      <w:r>
        <w:rPr>
          <w:rFonts w:hint="eastAsia" w:ascii="宋体" w:hAnsi="宋体" w:cs="仿宋_GB2312"/>
          <w:color w:val="auto"/>
          <w:sz w:val="24"/>
        </w:rPr>
        <w:t>，</w:t>
      </w:r>
      <w:bookmarkEnd w:id="171"/>
      <w:r>
        <w:rPr>
          <w:rFonts w:hint="eastAsia" w:ascii="宋体" w:hAnsi="宋体" w:cs="仿宋_GB2312"/>
          <w:color w:val="auto"/>
          <w:sz w:val="24"/>
        </w:rPr>
        <w:t>委托代理人必须在授权委托书上签字</w:t>
      </w:r>
      <w:r>
        <w:rPr>
          <w:rFonts w:hint="eastAsia" w:ascii="宋体" w:hAnsi="宋体"/>
          <w:color w:val="auto"/>
          <w:sz w:val="24"/>
        </w:rPr>
        <w:t>或者电子签名</w:t>
      </w:r>
      <w:r>
        <w:rPr>
          <w:rFonts w:hint="eastAsia" w:ascii="宋体" w:hAnsi="宋体" w:cs="仿宋_GB2312"/>
          <w:color w:val="auto"/>
          <w:sz w:val="24"/>
        </w:rPr>
        <w:t>，</w:t>
      </w:r>
      <w:r>
        <w:rPr>
          <w:rFonts w:hint="eastAsia" w:ascii="宋体" w:hAnsi="宋体" w:cs="仿宋_GB2312"/>
          <w:b/>
          <w:bCs/>
          <w:color w:val="auto"/>
          <w:sz w:val="24"/>
        </w:rPr>
        <w:t>否则按无效投标处理</w:t>
      </w:r>
      <w:r>
        <w:rPr>
          <w:rFonts w:hint="eastAsia" w:ascii="宋体" w:hAnsi="宋体" w:cs="仿宋_GB2312"/>
          <w:color w:val="auto"/>
          <w:sz w:val="24"/>
        </w:rPr>
        <w:t>；</w:t>
      </w:r>
      <w:bookmarkEnd w:id="172"/>
    </w:p>
    <w:p w14:paraId="2A27B776">
      <w:pPr>
        <w:spacing w:line="440" w:lineRule="exact"/>
        <w:ind w:firstLine="480" w:firstLineChars="200"/>
        <w:contextualSpacing/>
        <w:jc w:val="left"/>
        <w:rPr>
          <w:rFonts w:ascii="宋体" w:hAnsi="宋体"/>
          <w:color w:val="auto"/>
          <w:sz w:val="24"/>
        </w:rPr>
      </w:pPr>
      <w:r>
        <w:rPr>
          <w:rFonts w:hint="eastAsia" w:ascii="宋体" w:hAnsi="宋体" w:cs="仿宋_GB2312"/>
          <w:color w:val="auto"/>
          <w:sz w:val="24"/>
        </w:rPr>
        <w:t>2.法人、其他组织投标时“我方”是指“我单位”，自然人投标时“我方”是指“本人”。</w:t>
      </w:r>
    </w:p>
    <w:p w14:paraId="36AA99A0">
      <w:pPr>
        <w:rPr>
          <w:rFonts w:ascii="宋体" w:hAnsi="宋体"/>
          <w:color w:val="auto"/>
          <w:sz w:val="24"/>
        </w:rPr>
      </w:pPr>
      <w:r>
        <w:rPr>
          <w:rFonts w:ascii="宋体" w:hAnsi="宋体"/>
          <w:color w:val="auto"/>
          <w:sz w:val="24"/>
        </w:rPr>
        <w:br w:type="page"/>
      </w:r>
    </w:p>
    <w:p w14:paraId="33C57024">
      <w:pPr>
        <w:rPr>
          <w:rFonts w:ascii="宋体" w:hAnsi="宋体"/>
          <w:b/>
          <w:color w:val="auto"/>
          <w:sz w:val="24"/>
          <w:szCs w:val="20"/>
        </w:rPr>
      </w:pPr>
      <w:r>
        <w:rPr>
          <w:rFonts w:hint="eastAsia" w:ascii="宋体" w:hAnsi="宋体"/>
          <w:b/>
          <w:color w:val="auto"/>
          <w:sz w:val="24"/>
        </w:rPr>
        <w:t>6.商务要求偏离表格式</w:t>
      </w:r>
    </w:p>
    <w:p w14:paraId="05F0739D">
      <w:pPr>
        <w:snapToGrid w:val="0"/>
        <w:spacing w:before="50"/>
        <w:jc w:val="left"/>
        <w:rPr>
          <w:rFonts w:ascii="宋体" w:hAnsi="宋体"/>
          <w:color w:val="auto"/>
          <w:sz w:val="24"/>
          <w:u w:val="single"/>
        </w:rPr>
      </w:pPr>
    </w:p>
    <w:tbl>
      <w:tblPr>
        <w:tblStyle w:val="37"/>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619BF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254C1509">
            <w:pPr>
              <w:snapToGrid w:val="0"/>
              <w:spacing w:beforeLines="50"/>
              <w:jc w:val="center"/>
              <w:rPr>
                <w:rFonts w:ascii="宋体" w:hAnsi="宋体"/>
                <w:color w:val="auto"/>
                <w:sz w:val="24"/>
              </w:rPr>
            </w:pPr>
            <w:r>
              <w:rPr>
                <w:rFonts w:hint="eastAsia" w:ascii="宋体" w:hAnsi="宋体"/>
                <w:color w:val="auto"/>
                <w:sz w:val="24"/>
              </w:rPr>
              <w:t>项目</w:t>
            </w:r>
          </w:p>
        </w:tc>
        <w:tc>
          <w:tcPr>
            <w:tcW w:w="3336" w:type="dxa"/>
            <w:tcBorders>
              <w:top w:val="single" w:color="auto" w:sz="4" w:space="0"/>
              <w:left w:val="single" w:color="auto" w:sz="4" w:space="0"/>
              <w:bottom w:val="single" w:color="auto" w:sz="4" w:space="0"/>
              <w:right w:val="single" w:color="auto" w:sz="4" w:space="0"/>
            </w:tcBorders>
          </w:tcPr>
          <w:p w14:paraId="1D41AB66">
            <w:pPr>
              <w:snapToGrid w:val="0"/>
              <w:spacing w:beforeLines="50"/>
              <w:jc w:val="center"/>
              <w:rPr>
                <w:rFonts w:ascii="宋体" w:hAnsi="宋体"/>
                <w:color w:val="auto"/>
                <w:sz w:val="24"/>
              </w:rPr>
            </w:pPr>
            <w:r>
              <w:rPr>
                <w:rFonts w:hint="eastAsia" w:ascii="宋体" w:hAnsi="宋体"/>
                <w:color w:val="auto"/>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5D86DD2B">
            <w:pPr>
              <w:snapToGrid w:val="0"/>
              <w:spacing w:beforeLines="50"/>
              <w:jc w:val="center"/>
              <w:rPr>
                <w:rFonts w:ascii="宋体" w:hAnsi="宋体"/>
                <w:color w:val="auto"/>
                <w:sz w:val="24"/>
              </w:rPr>
            </w:pPr>
            <w:r>
              <w:rPr>
                <w:rFonts w:hint="eastAsia" w:ascii="宋体" w:hAnsi="宋体"/>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32CEB55E">
            <w:pPr>
              <w:snapToGrid w:val="0"/>
              <w:spacing w:beforeLines="50"/>
              <w:jc w:val="center"/>
              <w:rPr>
                <w:rFonts w:ascii="宋体" w:hAnsi="宋体"/>
                <w:color w:val="auto"/>
                <w:sz w:val="24"/>
              </w:rPr>
            </w:pPr>
            <w:r>
              <w:rPr>
                <w:rFonts w:hint="eastAsia" w:ascii="宋体" w:hAnsi="宋体"/>
                <w:color w:val="auto"/>
                <w:sz w:val="24"/>
              </w:rPr>
              <w:t>偏离说明</w:t>
            </w:r>
          </w:p>
        </w:tc>
      </w:tr>
      <w:tr w14:paraId="0510A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00CF7375">
            <w:pPr>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000257F1">
            <w:pPr>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282E679D">
            <w:pPr>
              <w:snapToGrid w:val="0"/>
              <w:spacing w:beforeLines="50"/>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152A1A9D">
            <w:pPr>
              <w:snapToGrid w:val="0"/>
              <w:spacing w:beforeLines="50"/>
              <w:jc w:val="center"/>
              <w:rPr>
                <w:rFonts w:ascii="宋体" w:hAnsi="宋体"/>
                <w:b/>
                <w:bCs/>
                <w:color w:val="auto"/>
                <w:sz w:val="24"/>
              </w:rPr>
            </w:pPr>
          </w:p>
        </w:tc>
      </w:tr>
      <w:tr w14:paraId="4FA2B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5EF4194D">
            <w:pPr>
              <w:jc w:val="center"/>
              <w:rPr>
                <w:rFonts w:ascii="宋体" w:hAnsi="宋体"/>
                <w:color w:val="auto"/>
                <w:sz w:val="24"/>
              </w:rPr>
            </w:pPr>
          </w:p>
        </w:tc>
        <w:tc>
          <w:tcPr>
            <w:tcW w:w="3336" w:type="dxa"/>
            <w:tcBorders>
              <w:top w:val="single" w:color="auto" w:sz="4" w:space="0"/>
              <w:left w:val="single" w:color="auto" w:sz="4" w:space="0"/>
              <w:bottom w:val="single" w:color="auto" w:sz="4" w:space="0"/>
              <w:right w:val="single" w:color="auto" w:sz="4" w:space="0"/>
            </w:tcBorders>
            <w:vAlign w:val="center"/>
          </w:tcPr>
          <w:p w14:paraId="04ACA160">
            <w:pPr>
              <w:jc w:val="center"/>
              <w:rPr>
                <w:rFonts w:ascii="宋体" w:hAnsi="宋体"/>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4BC66D31">
            <w:pPr>
              <w:snapToGrid w:val="0"/>
              <w:spacing w:beforeLines="50"/>
              <w:ind w:left="-69"/>
              <w:jc w:val="center"/>
              <w:rPr>
                <w:rFonts w:ascii="宋体" w:hAnsi="宋体"/>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12CF17F5">
            <w:pPr>
              <w:snapToGrid w:val="0"/>
              <w:spacing w:beforeLines="50"/>
              <w:ind w:left="-69"/>
              <w:jc w:val="center"/>
              <w:rPr>
                <w:rFonts w:ascii="宋体" w:hAnsi="宋体"/>
                <w:b/>
                <w:bCs/>
                <w:color w:val="auto"/>
                <w:sz w:val="24"/>
              </w:rPr>
            </w:pPr>
          </w:p>
        </w:tc>
      </w:tr>
      <w:tr w14:paraId="65517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0" w:type="dxa"/>
            <w:tcBorders>
              <w:top w:val="single" w:color="auto" w:sz="4" w:space="0"/>
              <w:left w:val="single" w:color="auto" w:sz="4" w:space="0"/>
              <w:bottom w:val="single" w:color="auto" w:sz="4" w:space="0"/>
              <w:right w:val="single" w:color="auto" w:sz="4" w:space="0"/>
            </w:tcBorders>
            <w:vAlign w:val="center"/>
          </w:tcPr>
          <w:p w14:paraId="38FA7D8B">
            <w:pPr>
              <w:snapToGrid w:val="0"/>
              <w:spacing w:beforeLines="50"/>
              <w:jc w:val="center"/>
              <w:rPr>
                <w:rFonts w:ascii="宋体" w:hAnsi="宋体"/>
                <w:color w:val="auto"/>
                <w:sz w:val="24"/>
              </w:rPr>
            </w:pPr>
            <w:r>
              <w:rPr>
                <w:rFonts w:hint="eastAsia" w:ascii="宋体" w:hAnsi="宋体"/>
                <w:color w:val="auto"/>
                <w:sz w:val="24"/>
              </w:rPr>
              <w:t>…</w:t>
            </w:r>
          </w:p>
        </w:tc>
        <w:tc>
          <w:tcPr>
            <w:tcW w:w="3336" w:type="dxa"/>
            <w:tcBorders>
              <w:top w:val="single" w:color="auto" w:sz="4" w:space="0"/>
              <w:left w:val="single" w:color="auto" w:sz="4" w:space="0"/>
              <w:bottom w:val="single" w:color="auto" w:sz="4" w:space="0"/>
              <w:right w:val="single" w:color="auto" w:sz="4" w:space="0"/>
            </w:tcBorders>
            <w:vAlign w:val="center"/>
          </w:tcPr>
          <w:p w14:paraId="690990F3">
            <w:pPr>
              <w:snapToGrid w:val="0"/>
              <w:spacing w:beforeLines="50"/>
              <w:jc w:val="center"/>
              <w:rPr>
                <w:rFonts w:ascii="宋体" w:hAnsi="宋体"/>
                <w:b/>
                <w:bCs/>
                <w:color w:val="auto"/>
                <w:sz w:val="24"/>
              </w:rPr>
            </w:pPr>
          </w:p>
        </w:tc>
        <w:tc>
          <w:tcPr>
            <w:tcW w:w="1760" w:type="dxa"/>
            <w:tcBorders>
              <w:top w:val="single" w:color="auto" w:sz="4" w:space="0"/>
              <w:left w:val="single" w:color="auto" w:sz="4" w:space="0"/>
              <w:bottom w:val="single" w:color="auto" w:sz="4" w:space="0"/>
              <w:right w:val="single" w:color="auto" w:sz="4" w:space="0"/>
            </w:tcBorders>
            <w:vAlign w:val="center"/>
          </w:tcPr>
          <w:p w14:paraId="374F822C">
            <w:pPr>
              <w:snapToGrid w:val="0"/>
              <w:spacing w:beforeLines="50"/>
              <w:jc w:val="center"/>
              <w:rPr>
                <w:rFonts w:ascii="宋体" w:hAnsi="宋体"/>
                <w:b/>
                <w:bCs/>
                <w:color w:val="auto"/>
                <w:sz w:val="24"/>
              </w:rPr>
            </w:pPr>
          </w:p>
        </w:tc>
        <w:tc>
          <w:tcPr>
            <w:tcW w:w="2035" w:type="dxa"/>
            <w:tcBorders>
              <w:top w:val="single" w:color="auto" w:sz="4" w:space="0"/>
              <w:left w:val="single" w:color="auto" w:sz="4" w:space="0"/>
              <w:bottom w:val="single" w:color="auto" w:sz="4" w:space="0"/>
              <w:right w:val="single" w:color="auto" w:sz="4" w:space="0"/>
            </w:tcBorders>
            <w:vAlign w:val="center"/>
          </w:tcPr>
          <w:p w14:paraId="5C4B63A7">
            <w:pPr>
              <w:snapToGrid w:val="0"/>
              <w:spacing w:beforeLines="50"/>
              <w:jc w:val="center"/>
              <w:rPr>
                <w:rFonts w:ascii="宋体" w:hAnsi="宋体"/>
                <w:b/>
                <w:bCs/>
                <w:color w:val="auto"/>
                <w:sz w:val="24"/>
              </w:rPr>
            </w:pPr>
          </w:p>
        </w:tc>
      </w:tr>
    </w:tbl>
    <w:p w14:paraId="1E542ECF">
      <w:pPr>
        <w:pStyle w:val="16"/>
        <w:rPr>
          <w:rFonts w:ascii="宋体" w:hAnsi="宋体"/>
          <w:color w:val="auto"/>
        </w:rPr>
      </w:pPr>
      <w:r>
        <w:rPr>
          <w:rFonts w:hint="eastAsia" w:ascii="宋体" w:hAnsi="宋体"/>
          <w:color w:val="auto"/>
        </w:rPr>
        <w:t>注：</w:t>
      </w:r>
    </w:p>
    <w:p w14:paraId="45F63E89">
      <w:pPr>
        <w:pStyle w:val="17"/>
        <w:spacing w:line="520" w:lineRule="exact"/>
        <w:ind w:firstLine="0" w:firstLineChars="0"/>
        <w:rPr>
          <w:rFonts w:hAnsi="仿宋_GB2312" w:cs="仿宋_GB2312"/>
          <w:color w:val="auto"/>
          <w:szCs w:val="32"/>
        </w:rPr>
      </w:pPr>
      <w:r>
        <w:rPr>
          <w:rFonts w:hint="eastAsia" w:ascii="宋体" w:hAnsi="宋体" w:eastAsia="宋体"/>
          <w:color w:val="auto"/>
          <w:sz w:val="24"/>
          <w:szCs w:val="24"/>
        </w:rPr>
        <w:t>1. 说明：应对照招标文件“第二章 采购需求”中的商务要求逐条作明确的投标响应，并作出偏离说明。</w:t>
      </w:r>
    </w:p>
    <w:p w14:paraId="66F0590A">
      <w:pPr>
        <w:pStyle w:val="16"/>
        <w:rPr>
          <w:rFonts w:ascii="宋体" w:hAnsi="宋体"/>
          <w:b w:val="0"/>
          <w:bCs w:val="0"/>
          <w:color w:val="auto"/>
        </w:rPr>
      </w:pPr>
      <w:r>
        <w:rPr>
          <w:rFonts w:ascii="宋体" w:hAnsi="宋体"/>
          <w:b w:val="0"/>
          <w:bCs w:val="0"/>
          <w:color w:val="auto"/>
        </w:rPr>
        <w:t>2.</w:t>
      </w:r>
      <w:r>
        <w:rPr>
          <w:rFonts w:hint="eastAsia" w:ascii="宋体" w:hAnsi="宋体"/>
          <w:b w:val="0"/>
          <w:bCs w:val="0"/>
          <w:color w:val="auto"/>
        </w:rPr>
        <w:t>投标人应根据自身的承诺，对照招标文件要求在“偏离说明”中注明“</w:t>
      </w:r>
      <w:r>
        <w:rPr>
          <w:rFonts w:hint="eastAsia" w:ascii="宋体" w:hAnsi="宋体"/>
          <w:color w:val="auto"/>
        </w:rPr>
        <w:t>正偏离</w:t>
      </w:r>
      <w:r>
        <w:rPr>
          <w:rFonts w:hint="eastAsia" w:ascii="宋体" w:hAnsi="宋体"/>
          <w:b w:val="0"/>
          <w:bCs w:val="0"/>
          <w:color w:val="auto"/>
        </w:rPr>
        <w:t>”、“</w:t>
      </w:r>
      <w:r>
        <w:rPr>
          <w:rFonts w:hint="eastAsia" w:ascii="宋体" w:hAnsi="宋体"/>
          <w:color w:val="auto"/>
        </w:rPr>
        <w:t>负偏离</w:t>
      </w:r>
      <w:r>
        <w:rPr>
          <w:rFonts w:hint="eastAsia" w:ascii="宋体" w:hAnsi="宋体"/>
          <w:b w:val="0"/>
          <w:bCs w:val="0"/>
          <w:color w:val="auto"/>
        </w:rPr>
        <w:t>”或者“</w:t>
      </w:r>
      <w:r>
        <w:rPr>
          <w:rFonts w:hint="eastAsia" w:ascii="宋体" w:hAnsi="宋体"/>
          <w:color w:val="auto"/>
        </w:rPr>
        <w:t>无偏离</w:t>
      </w:r>
      <w:r>
        <w:rPr>
          <w:rFonts w:hint="eastAsia" w:ascii="宋体" w:hAnsi="宋体"/>
          <w:b w:val="0"/>
          <w:bCs w:val="0"/>
          <w:color w:val="auto"/>
        </w:rPr>
        <w:t>”。既不属于“</w:t>
      </w:r>
      <w:r>
        <w:rPr>
          <w:rFonts w:hint="eastAsia" w:ascii="宋体" w:hAnsi="宋体"/>
          <w:color w:val="auto"/>
        </w:rPr>
        <w:t>正偏离</w:t>
      </w:r>
      <w:r>
        <w:rPr>
          <w:rFonts w:hint="eastAsia" w:ascii="宋体" w:hAnsi="宋体"/>
          <w:b w:val="0"/>
          <w:bCs w:val="0"/>
          <w:color w:val="auto"/>
        </w:rPr>
        <w:t>”也不属于“</w:t>
      </w:r>
      <w:r>
        <w:rPr>
          <w:rFonts w:hint="eastAsia" w:ascii="宋体" w:hAnsi="宋体"/>
          <w:color w:val="auto"/>
        </w:rPr>
        <w:t>负偏离</w:t>
      </w:r>
      <w:r>
        <w:rPr>
          <w:rFonts w:hint="eastAsia" w:ascii="宋体" w:hAnsi="宋体"/>
          <w:b w:val="0"/>
          <w:bCs w:val="0"/>
          <w:color w:val="auto"/>
        </w:rPr>
        <w:t>”即为“</w:t>
      </w:r>
      <w:r>
        <w:rPr>
          <w:rFonts w:hint="eastAsia" w:ascii="宋体" w:hAnsi="宋体"/>
          <w:color w:val="auto"/>
        </w:rPr>
        <w:t>无偏离</w:t>
      </w:r>
      <w:r>
        <w:rPr>
          <w:rFonts w:hint="eastAsia" w:ascii="宋体" w:hAnsi="宋体"/>
          <w:b w:val="0"/>
          <w:bCs w:val="0"/>
          <w:color w:val="auto"/>
        </w:rPr>
        <w:t>”。</w:t>
      </w:r>
    </w:p>
    <w:p w14:paraId="72F1D0E7">
      <w:pPr>
        <w:snapToGrid w:val="0"/>
        <w:spacing w:before="50" w:after="50"/>
        <w:rPr>
          <w:rFonts w:ascii="宋体" w:hAnsi="宋体"/>
          <w:color w:val="auto"/>
          <w:sz w:val="24"/>
        </w:rPr>
      </w:pPr>
    </w:p>
    <w:p w14:paraId="4B7852BC">
      <w:pPr>
        <w:snapToGrid w:val="0"/>
        <w:spacing w:before="50" w:after="50"/>
        <w:rPr>
          <w:rFonts w:ascii="宋体" w:hAnsi="宋体"/>
          <w:color w:val="auto"/>
          <w:sz w:val="24"/>
        </w:rPr>
      </w:pPr>
    </w:p>
    <w:p w14:paraId="350E14A3">
      <w:pPr>
        <w:snapToGrid w:val="0"/>
        <w:spacing w:before="50" w:after="50"/>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5630CB1B">
      <w:pPr>
        <w:snapToGrid w:val="0"/>
        <w:spacing w:beforeLines="50"/>
        <w:rPr>
          <w:rFonts w:ascii="宋体" w:hAnsi="宋体"/>
          <w:color w:val="auto"/>
          <w:spacing w:val="20"/>
          <w:sz w:val="24"/>
        </w:rPr>
      </w:pPr>
      <w:r>
        <w:rPr>
          <w:rFonts w:hint="eastAsia" w:ascii="宋体" w:hAnsi="宋体"/>
          <w:color w:val="auto"/>
          <w:spacing w:val="20"/>
          <w:sz w:val="24"/>
        </w:rPr>
        <w:t>投标人名称（电子签章）：</w:t>
      </w:r>
    </w:p>
    <w:p w14:paraId="4A2B437F">
      <w:pPr>
        <w:snapToGrid w:val="0"/>
        <w:spacing w:beforeLines="50"/>
        <w:rPr>
          <w:rFonts w:ascii="宋体" w:hAnsi="宋体"/>
          <w:color w:val="auto"/>
          <w:sz w:val="24"/>
          <w:szCs w:val="20"/>
        </w:rPr>
      </w:pPr>
      <w:r>
        <w:rPr>
          <w:rFonts w:hint="eastAsia" w:ascii="宋体" w:hAnsi="宋体"/>
          <w:color w:val="auto"/>
          <w:spacing w:val="20"/>
          <w:sz w:val="24"/>
        </w:rPr>
        <w:t>日  期：</w:t>
      </w:r>
    </w:p>
    <w:p w14:paraId="4BAC083A">
      <w:pPr>
        <w:snapToGrid w:val="0"/>
        <w:spacing w:beforeLines="50"/>
        <w:rPr>
          <w:rFonts w:ascii="宋体" w:hAnsi="宋体"/>
          <w:color w:val="auto"/>
          <w:sz w:val="24"/>
          <w:szCs w:val="20"/>
        </w:rPr>
      </w:pPr>
    </w:p>
    <w:p w14:paraId="044B92D1">
      <w:pPr>
        <w:snapToGrid w:val="0"/>
        <w:spacing w:beforeLines="50" w:after="50"/>
        <w:jc w:val="left"/>
        <w:rPr>
          <w:rFonts w:ascii="宋体" w:hAnsi="宋体"/>
          <w:color w:val="auto"/>
          <w:sz w:val="24"/>
          <w:szCs w:val="20"/>
        </w:rPr>
        <w:sectPr>
          <w:footerReference r:id="rId10" w:type="first"/>
          <w:headerReference r:id="rId7" w:type="default"/>
          <w:footerReference r:id="rId8" w:type="default"/>
          <w:footerReference r:id="rId9" w:type="even"/>
          <w:pgSz w:w="11906" w:h="16838"/>
          <w:pgMar w:top="1440" w:right="1797" w:bottom="1440" w:left="1797" w:header="851" w:footer="992" w:gutter="0"/>
          <w:cols w:space="720" w:num="1"/>
          <w:docGrid w:linePitch="312" w:charSpace="0"/>
        </w:sectPr>
      </w:pPr>
    </w:p>
    <w:p w14:paraId="2F6EAE05">
      <w:pPr>
        <w:snapToGrid w:val="0"/>
        <w:spacing w:beforeLines="50" w:after="50"/>
        <w:jc w:val="left"/>
        <w:rPr>
          <w:rFonts w:ascii="宋体" w:hAnsi="宋体"/>
          <w:b/>
          <w:color w:val="auto"/>
          <w:sz w:val="24"/>
        </w:rPr>
      </w:pPr>
      <w:r>
        <w:rPr>
          <w:rFonts w:hint="eastAsia" w:ascii="宋体" w:hAnsi="宋体"/>
          <w:b/>
          <w:color w:val="auto"/>
          <w:sz w:val="24"/>
        </w:rPr>
        <w:t>7.投标人业绩证明材料</w:t>
      </w:r>
    </w:p>
    <w:p w14:paraId="35E637C9">
      <w:pPr>
        <w:pStyle w:val="28"/>
        <w:snapToGrid w:val="0"/>
        <w:ind w:left="480" w:hanging="480"/>
        <w:rPr>
          <w:rFonts w:ascii="宋体" w:hAnsi="宋体"/>
          <w:color w:val="auto"/>
          <w:sz w:val="24"/>
        </w:rPr>
      </w:pPr>
    </w:p>
    <w:p w14:paraId="7A10B2FC">
      <w:pPr>
        <w:pStyle w:val="28"/>
        <w:snapToGrid w:val="0"/>
        <w:ind w:left="480" w:hanging="480"/>
        <w:rPr>
          <w:rFonts w:ascii="宋体" w:hAnsi="宋体"/>
          <w:color w:val="auto"/>
          <w:sz w:val="24"/>
        </w:rPr>
      </w:pPr>
      <w:r>
        <w:rPr>
          <w:rFonts w:hint="eastAsia" w:ascii="宋体" w:hAnsi="宋体"/>
          <w:color w:val="auto"/>
          <w:sz w:val="24"/>
        </w:rPr>
        <w:t xml:space="preserve">投标人业绩情况一览表格式： </w:t>
      </w:r>
    </w:p>
    <w:tbl>
      <w:tblPr>
        <w:tblStyle w:val="37"/>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2856"/>
      </w:tblGrid>
      <w:tr w14:paraId="1A147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65F2C000">
            <w:pPr>
              <w:snapToGrid w:val="0"/>
              <w:spacing w:line="240" w:lineRule="exact"/>
              <w:jc w:val="center"/>
              <w:rPr>
                <w:rFonts w:ascii="宋体" w:hAnsi="宋体"/>
                <w:color w:val="auto"/>
                <w:sz w:val="24"/>
              </w:rPr>
            </w:pPr>
            <w:r>
              <w:rPr>
                <w:rFonts w:hint="eastAsia" w:ascii="宋体" w:hAnsi="宋体"/>
                <w:color w:val="auto"/>
                <w:sz w:val="24"/>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44B7F69C">
            <w:pPr>
              <w:snapToGrid w:val="0"/>
              <w:spacing w:line="240" w:lineRule="exact"/>
              <w:jc w:val="center"/>
              <w:rPr>
                <w:rFonts w:ascii="宋体" w:hAnsi="宋体"/>
                <w:color w:val="auto"/>
                <w:sz w:val="24"/>
              </w:rPr>
            </w:pPr>
            <w:r>
              <w:rPr>
                <w:rFonts w:hint="eastAsia" w:ascii="宋体" w:hAnsi="宋体"/>
                <w:color w:val="auto"/>
                <w:sz w:val="24"/>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745CE4CD">
            <w:pPr>
              <w:snapToGrid w:val="0"/>
              <w:spacing w:line="240" w:lineRule="exact"/>
              <w:jc w:val="center"/>
              <w:rPr>
                <w:rFonts w:ascii="宋体" w:hAnsi="宋体"/>
                <w:color w:val="auto"/>
                <w:sz w:val="24"/>
              </w:rPr>
            </w:pPr>
            <w:r>
              <w:rPr>
                <w:rFonts w:hint="eastAsia" w:ascii="宋体" w:hAnsi="宋体"/>
                <w:color w:val="auto"/>
                <w:sz w:val="24"/>
              </w:rPr>
              <w:t>合同金额</w:t>
            </w:r>
          </w:p>
          <w:p w14:paraId="59301849">
            <w:pPr>
              <w:snapToGrid w:val="0"/>
              <w:spacing w:line="240" w:lineRule="exact"/>
              <w:jc w:val="center"/>
              <w:rPr>
                <w:rFonts w:ascii="宋体" w:hAnsi="宋体"/>
                <w:color w:val="auto"/>
                <w:sz w:val="24"/>
              </w:rPr>
            </w:pPr>
            <w:r>
              <w:rPr>
                <w:rFonts w:hint="eastAsia" w:ascii="宋体" w:hAnsi="宋体"/>
                <w:color w:val="auto"/>
                <w:sz w:val="24"/>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14:paraId="328F5605">
            <w:pPr>
              <w:snapToGrid w:val="0"/>
              <w:spacing w:line="240" w:lineRule="exact"/>
              <w:jc w:val="center"/>
              <w:rPr>
                <w:rFonts w:ascii="宋体" w:hAnsi="宋体"/>
                <w:color w:val="auto"/>
                <w:sz w:val="24"/>
              </w:rPr>
            </w:pPr>
            <w:r>
              <w:rPr>
                <w:rFonts w:hint="eastAsia" w:ascii="宋体" w:hAnsi="宋体"/>
                <w:color w:val="auto"/>
                <w:sz w:val="24"/>
              </w:rPr>
              <w:t>采购人联系人及</w:t>
            </w:r>
          </w:p>
          <w:p w14:paraId="02C86D31">
            <w:pPr>
              <w:snapToGrid w:val="0"/>
              <w:spacing w:line="240" w:lineRule="exact"/>
              <w:jc w:val="center"/>
              <w:rPr>
                <w:rFonts w:ascii="宋体" w:hAnsi="宋体"/>
                <w:color w:val="auto"/>
                <w:sz w:val="24"/>
              </w:rPr>
            </w:pPr>
            <w:r>
              <w:rPr>
                <w:rFonts w:hint="eastAsia" w:ascii="宋体" w:hAnsi="宋体"/>
                <w:color w:val="auto"/>
                <w:sz w:val="24"/>
              </w:rPr>
              <w:t>联系电话</w:t>
            </w:r>
          </w:p>
        </w:tc>
      </w:tr>
      <w:tr w14:paraId="27FDA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0A8B7063">
            <w:pPr>
              <w:jc w:val="left"/>
              <w:rPr>
                <w:rFonts w:ascii="宋体" w:hAnsi="宋体"/>
                <w:color w:val="auto"/>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E0265A4">
            <w:pPr>
              <w:jc w:val="left"/>
              <w:rPr>
                <w:rFonts w:ascii="宋体" w:hAnsi="宋体"/>
                <w:color w:val="auto"/>
                <w:sz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5E313AAB">
            <w:pPr>
              <w:jc w:val="left"/>
              <w:rPr>
                <w:rFonts w:ascii="宋体" w:hAnsi="宋体"/>
                <w:color w:val="auto"/>
                <w:sz w:val="24"/>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14:paraId="7A7CB820">
            <w:pPr>
              <w:jc w:val="left"/>
              <w:rPr>
                <w:rFonts w:ascii="宋体" w:hAnsi="宋体"/>
                <w:color w:val="auto"/>
                <w:sz w:val="24"/>
              </w:rPr>
            </w:pPr>
          </w:p>
        </w:tc>
      </w:tr>
      <w:tr w14:paraId="0384C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14:paraId="1E03EF60">
            <w:pPr>
              <w:snapToGrid w:val="0"/>
              <w:spacing w:line="240" w:lineRule="exact"/>
              <w:jc w:val="left"/>
              <w:rPr>
                <w:rFonts w:ascii="宋体" w:hAnsi="宋体"/>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185F87D1">
            <w:pPr>
              <w:snapToGrid w:val="0"/>
              <w:spacing w:line="240" w:lineRule="exact"/>
              <w:jc w:val="left"/>
              <w:rPr>
                <w:rFonts w:ascii="宋体" w:hAnsi="宋体"/>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6CC8456E">
            <w:pPr>
              <w:snapToGrid w:val="0"/>
              <w:spacing w:line="240" w:lineRule="exact"/>
              <w:jc w:val="left"/>
              <w:rPr>
                <w:rFonts w:ascii="宋体" w:hAnsi="宋体"/>
                <w:color w:val="auto"/>
                <w:sz w:val="24"/>
              </w:rPr>
            </w:pPr>
          </w:p>
        </w:tc>
        <w:tc>
          <w:tcPr>
            <w:tcW w:w="2856" w:type="dxa"/>
            <w:tcBorders>
              <w:top w:val="single" w:color="auto" w:sz="4" w:space="0"/>
              <w:left w:val="single" w:color="auto" w:sz="4" w:space="0"/>
              <w:bottom w:val="single" w:color="auto" w:sz="4" w:space="0"/>
              <w:right w:val="single" w:color="auto" w:sz="4" w:space="0"/>
            </w:tcBorders>
          </w:tcPr>
          <w:p w14:paraId="5D725294">
            <w:pPr>
              <w:snapToGrid w:val="0"/>
              <w:spacing w:line="240" w:lineRule="exact"/>
              <w:jc w:val="left"/>
              <w:rPr>
                <w:rFonts w:ascii="宋体" w:hAnsi="宋体"/>
                <w:color w:val="auto"/>
                <w:sz w:val="24"/>
              </w:rPr>
            </w:pPr>
          </w:p>
        </w:tc>
      </w:tr>
      <w:tr w14:paraId="5F72F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32916ED6">
            <w:pPr>
              <w:snapToGrid w:val="0"/>
              <w:spacing w:before="50" w:afterLines="50" w:line="400" w:lineRule="exact"/>
              <w:jc w:val="left"/>
              <w:rPr>
                <w:rFonts w:ascii="宋体" w:hAnsi="宋体"/>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240E8C78">
            <w:pPr>
              <w:snapToGrid w:val="0"/>
              <w:spacing w:before="50" w:afterLines="50" w:line="400" w:lineRule="exact"/>
              <w:jc w:val="left"/>
              <w:rPr>
                <w:rFonts w:ascii="宋体" w:hAnsi="宋体"/>
                <w:b/>
                <w:bCs/>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78C7DF9F">
            <w:pPr>
              <w:snapToGrid w:val="0"/>
              <w:spacing w:before="50" w:afterLines="50" w:line="400" w:lineRule="exact"/>
              <w:jc w:val="left"/>
              <w:rPr>
                <w:rFonts w:ascii="宋体" w:hAnsi="宋体"/>
                <w:b/>
                <w:bCs/>
                <w:color w:val="auto"/>
                <w:sz w:val="24"/>
              </w:rPr>
            </w:pPr>
          </w:p>
        </w:tc>
        <w:tc>
          <w:tcPr>
            <w:tcW w:w="2856" w:type="dxa"/>
            <w:tcBorders>
              <w:top w:val="single" w:color="auto" w:sz="4" w:space="0"/>
              <w:left w:val="single" w:color="auto" w:sz="4" w:space="0"/>
              <w:bottom w:val="single" w:color="auto" w:sz="4" w:space="0"/>
              <w:right w:val="single" w:color="auto" w:sz="4" w:space="0"/>
            </w:tcBorders>
          </w:tcPr>
          <w:p w14:paraId="0593E154">
            <w:pPr>
              <w:snapToGrid w:val="0"/>
              <w:spacing w:before="50" w:afterLines="50" w:line="400" w:lineRule="exact"/>
              <w:jc w:val="left"/>
              <w:rPr>
                <w:rFonts w:ascii="宋体" w:hAnsi="宋体"/>
                <w:b/>
                <w:bCs/>
                <w:color w:val="auto"/>
                <w:sz w:val="24"/>
              </w:rPr>
            </w:pPr>
          </w:p>
        </w:tc>
      </w:tr>
      <w:tr w14:paraId="1987F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14:paraId="48EB363B">
            <w:pPr>
              <w:snapToGrid w:val="0"/>
              <w:spacing w:before="50" w:afterLines="50" w:line="400" w:lineRule="exact"/>
              <w:jc w:val="left"/>
              <w:rPr>
                <w:rFonts w:ascii="宋体" w:hAnsi="宋体"/>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476E18DE">
            <w:pPr>
              <w:snapToGrid w:val="0"/>
              <w:spacing w:before="50" w:afterLines="50" w:line="400" w:lineRule="exact"/>
              <w:jc w:val="left"/>
              <w:rPr>
                <w:rFonts w:ascii="宋体" w:hAnsi="宋体"/>
                <w:b/>
                <w:bCs/>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3BC7934C">
            <w:pPr>
              <w:snapToGrid w:val="0"/>
              <w:spacing w:before="50" w:afterLines="50" w:line="400" w:lineRule="exact"/>
              <w:jc w:val="left"/>
              <w:rPr>
                <w:rFonts w:ascii="宋体" w:hAnsi="宋体"/>
                <w:b/>
                <w:bCs/>
                <w:color w:val="auto"/>
                <w:sz w:val="24"/>
              </w:rPr>
            </w:pPr>
          </w:p>
        </w:tc>
        <w:tc>
          <w:tcPr>
            <w:tcW w:w="2856" w:type="dxa"/>
            <w:tcBorders>
              <w:top w:val="single" w:color="auto" w:sz="4" w:space="0"/>
              <w:left w:val="single" w:color="auto" w:sz="4" w:space="0"/>
              <w:bottom w:val="single" w:color="auto" w:sz="4" w:space="0"/>
              <w:right w:val="single" w:color="auto" w:sz="4" w:space="0"/>
            </w:tcBorders>
          </w:tcPr>
          <w:p w14:paraId="4F789CC6">
            <w:pPr>
              <w:snapToGrid w:val="0"/>
              <w:spacing w:before="50" w:afterLines="50" w:line="400" w:lineRule="exact"/>
              <w:jc w:val="left"/>
              <w:rPr>
                <w:rFonts w:ascii="宋体" w:hAnsi="宋体"/>
                <w:b/>
                <w:bCs/>
                <w:color w:val="auto"/>
                <w:sz w:val="24"/>
              </w:rPr>
            </w:pPr>
          </w:p>
        </w:tc>
      </w:tr>
      <w:tr w14:paraId="1B01C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DF0D899">
            <w:pPr>
              <w:snapToGrid w:val="0"/>
              <w:spacing w:before="50" w:afterLines="50" w:line="400" w:lineRule="exact"/>
              <w:jc w:val="left"/>
              <w:rPr>
                <w:rFonts w:ascii="宋体" w:hAnsi="宋体"/>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4B5396DC">
            <w:pPr>
              <w:snapToGrid w:val="0"/>
              <w:spacing w:before="50" w:afterLines="50" w:line="400" w:lineRule="exact"/>
              <w:jc w:val="left"/>
              <w:rPr>
                <w:rFonts w:ascii="宋体" w:hAnsi="宋体"/>
                <w:b/>
                <w:bCs/>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57FBCB84">
            <w:pPr>
              <w:snapToGrid w:val="0"/>
              <w:spacing w:before="50" w:afterLines="50" w:line="400" w:lineRule="exact"/>
              <w:jc w:val="left"/>
              <w:rPr>
                <w:rFonts w:ascii="宋体" w:hAnsi="宋体"/>
                <w:b/>
                <w:bCs/>
                <w:color w:val="auto"/>
                <w:sz w:val="24"/>
              </w:rPr>
            </w:pPr>
          </w:p>
        </w:tc>
        <w:tc>
          <w:tcPr>
            <w:tcW w:w="2856" w:type="dxa"/>
            <w:tcBorders>
              <w:top w:val="single" w:color="auto" w:sz="4" w:space="0"/>
              <w:left w:val="single" w:color="auto" w:sz="4" w:space="0"/>
              <w:bottom w:val="single" w:color="auto" w:sz="4" w:space="0"/>
              <w:right w:val="single" w:color="auto" w:sz="4" w:space="0"/>
            </w:tcBorders>
          </w:tcPr>
          <w:p w14:paraId="117D83F4">
            <w:pPr>
              <w:snapToGrid w:val="0"/>
              <w:spacing w:before="50" w:afterLines="50" w:line="400" w:lineRule="exact"/>
              <w:jc w:val="left"/>
              <w:rPr>
                <w:rFonts w:ascii="宋体" w:hAnsi="宋体"/>
                <w:b/>
                <w:bCs/>
                <w:color w:val="auto"/>
                <w:sz w:val="24"/>
              </w:rPr>
            </w:pPr>
          </w:p>
        </w:tc>
      </w:tr>
      <w:tr w14:paraId="7A027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6C9E2F48">
            <w:pPr>
              <w:snapToGrid w:val="0"/>
              <w:spacing w:before="50" w:afterLines="50" w:line="400" w:lineRule="exact"/>
              <w:jc w:val="left"/>
              <w:rPr>
                <w:rFonts w:ascii="宋体" w:hAnsi="宋体"/>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04DAB2BB">
            <w:pPr>
              <w:snapToGrid w:val="0"/>
              <w:spacing w:before="50" w:afterLines="50" w:line="400" w:lineRule="exact"/>
              <w:jc w:val="left"/>
              <w:rPr>
                <w:rFonts w:ascii="宋体" w:hAnsi="宋体"/>
                <w:b/>
                <w:bCs/>
                <w:color w:val="auto"/>
                <w:sz w:val="24"/>
              </w:rPr>
            </w:pPr>
          </w:p>
        </w:tc>
        <w:tc>
          <w:tcPr>
            <w:tcW w:w="1770" w:type="dxa"/>
            <w:tcBorders>
              <w:top w:val="single" w:color="auto" w:sz="4" w:space="0"/>
              <w:left w:val="single" w:color="auto" w:sz="4" w:space="0"/>
              <w:bottom w:val="single" w:color="auto" w:sz="4" w:space="0"/>
              <w:right w:val="single" w:color="auto" w:sz="4" w:space="0"/>
            </w:tcBorders>
          </w:tcPr>
          <w:p w14:paraId="0991A67D">
            <w:pPr>
              <w:snapToGrid w:val="0"/>
              <w:spacing w:before="50" w:afterLines="50" w:line="400" w:lineRule="exact"/>
              <w:jc w:val="left"/>
              <w:rPr>
                <w:rFonts w:ascii="宋体" w:hAnsi="宋体"/>
                <w:b/>
                <w:bCs/>
                <w:color w:val="auto"/>
                <w:sz w:val="24"/>
              </w:rPr>
            </w:pPr>
          </w:p>
        </w:tc>
        <w:tc>
          <w:tcPr>
            <w:tcW w:w="2856" w:type="dxa"/>
            <w:tcBorders>
              <w:top w:val="single" w:color="auto" w:sz="4" w:space="0"/>
              <w:left w:val="single" w:color="auto" w:sz="4" w:space="0"/>
              <w:bottom w:val="single" w:color="auto" w:sz="4" w:space="0"/>
              <w:right w:val="single" w:color="auto" w:sz="4" w:space="0"/>
            </w:tcBorders>
          </w:tcPr>
          <w:p w14:paraId="3BBE37AA">
            <w:pPr>
              <w:snapToGrid w:val="0"/>
              <w:spacing w:before="50" w:afterLines="50" w:line="400" w:lineRule="exact"/>
              <w:jc w:val="left"/>
              <w:rPr>
                <w:rFonts w:ascii="宋体" w:hAnsi="宋体"/>
                <w:b/>
                <w:bCs/>
                <w:color w:val="auto"/>
                <w:sz w:val="24"/>
              </w:rPr>
            </w:pPr>
          </w:p>
        </w:tc>
      </w:tr>
    </w:tbl>
    <w:p w14:paraId="2D7E5D36">
      <w:pPr>
        <w:pStyle w:val="14"/>
        <w:spacing w:before="0" w:after="0" w:line="360" w:lineRule="auto"/>
        <w:contextualSpacing/>
        <w:rPr>
          <w:rFonts w:ascii="宋体" w:hAnsi="宋体" w:eastAsia="宋体"/>
          <w:color w:val="auto"/>
          <w:sz w:val="24"/>
          <w:szCs w:val="24"/>
        </w:rPr>
      </w:pPr>
    </w:p>
    <w:p w14:paraId="0D81A0F1">
      <w:pPr>
        <w:pStyle w:val="14"/>
        <w:spacing w:before="0" w:after="0" w:line="360" w:lineRule="auto"/>
        <w:contextualSpacing/>
        <w:rPr>
          <w:rFonts w:ascii="宋体" w:hAnsi="宋体" w:eastAsia="宋体"/>
          <w:color w:val="auto"/>
          <w:sz w:val="24"/>
          <w:szCs w:val="24"/>
        </w:rPr>
      </w:pPr>
      <w:r>
        <w:rPr>
          <w:rFonts w:hint="eastAsia" w:ascii="宋体" w:hAnsi="宋体" w:eastAsia="宋体"/>
          <w:color w:val="auto"/>
          <w:sz w:val="24"/>
          <w:szCs w:val="24"/>
        </w:rPr>
        <w:t>注：</w:t>
      </w:r>
      <w:r>
        <w:rPr>
          <w:rFonts w:hint="eastAsia" w:ascii="宋体" w:hAnsi="宋体"/>
          <w:color w:val="auto"/>
          <w:sz w:val="24"/>
        </w:rPr>
        <w:t>投标人根据评标标准具体要求附业绩证明材料。</w:t>
      </w:r>
    </w:p>
    <w:p w14:paraId="1EB3D6C6">
      <w:pPr>
        <w:pStyle w:val="14"/>
        <w:spacing w:before="0" w:after="0" w:line="360" w:lineRule="auto"/>
        <w:contextualSpacing/>
        <w:jc w:val="left"/>
        <w:rPr>
          <w:rFonts w:ascii="宋体" w:hAnsi="宋体" w:eastAsia="宋体"/>
          <w:color w:val="auto"/>
          <w:sz w:val="24"/>
          <w:szCs w:val="24"/>
          <w:u w:val="single"/>
        </w:rPr>
      </w:pPr>
      <w:r>
        <w:rPr>
          <w:rFonts w:hint="eastAsia" w:ascii="宋体" w:hAnsi="宋体" w:eastAsia="宋体"/>
          <w:color w:val="auto"/>
          <w:sz w:val="24"/>
          <w:szCs w:val="24"/>
        </w:rPr>
        <w:t>法定代表人或者委托代理人（签字或者电子签名）：</w:t>
      </w:r>
      <w:r>
        <w:rPr>
          <w:rFonts w:hint="eastAsia" w:ascii="宋体" w:hAnsi="宋体" w:eastAsia="宋体"/>
          <w:color w:val="auto"/>
          <w:sz w:val="24"/>
          <w:szCs w:val="24"/>
          <w:u w:val="single"/>
        </w:rPr>
        <w:t>　　　　　</w:t>
      </w:r>
    </w:p>
    <w:p w14:paraId="12C41EFB">
      <w:pPr>
        <w:spacing w:line="360" w:lineRule="auto"/>
        <w:ind w:right="480"/>
        <w:contextualSpacing/>
        <w:jc w:val="left"/>
        <w:rPr>
          <w:rFonts w:ascii="宋体" w:hAnsi="宋体"/>
          <w:color w:val="auto"/>
          <w:sz w:val="24"/>
          <w:szCs w:val="20"/>
        </w:rPr>
      </w:pPr>
      <w:r>
        <w:rPr>
          <w:rFonts w:hint="eastAsia" w:ascii="宋体" w:hAnsi="宋体" w:cs="Arial"/>
          <w:color w:val="auto"/>
          <w:sz w:val="24"/>
        </w:rPr>
        <w:t xml:space="preserve">投标人名称（电子签章）： </w:t>
      </w:r>
      <w:r>
        <w:rPr>
          <w:rFonts w:hint="eastAsia" w:ascii="宋体" w:hAnsi="宋体"/>
          <w:color w:val="auto"/>
          <w:sz w:val="24"/>
        </w:rPr>
        <w:t xml:space="preserve">                                                               年    月    日</w:t>
      </w:r>
    </w:p>
    <w:p w14:paraId="150BA0F4">
      <w:pPr>
        <w:snapToGrid w:val="0"/>
        <w:spacing w:before="50"/>
        <w:ind w:firstLine="480" w:firstLineChars="200"/>
        <w:jc w:val="left"/>
        <w:rPr>
          <w:rFonts w:ascii="宋体" w:hAnsi="宋体"/>
          <w:color w:val="auto"/>
          <w:sz w:val="24"/>
          <w:szCs w:val="20"/>
        </w:rPr>
      </w:pPr>
    </w:p>
    <w:p w14:paraId="06E03B6D">
      <w:pPr>
        <w:snapToGrid w:val="0"/>
        <w:spacing w:before="50"/>
        <w:jc w:val="left"/>
        <w:rPr>
          <w:rFonts w:ascii="宋体" w:hAnsi="宋体"/>
          <w:color w:val="auto"/>
          <w:sz w:val="24"/>
        </w:rPr>
      </w:pPr>
    </w:p>
    <w:p w14:paraId="0C068D27">
      <w:pPr>
        <w:snapToGrid w:val="0"/>
        <w:spacing w:beforeLines="50"/>
        <w:rPr>
          <w:rFonts w:ascii="宋体" w:hAnsi="宋体"/>
          <w:color w:val="auto"/>
          <w:sz w:val="24"/>
          <w:szCs w:val="20"/>
        </w:rPr>
        <w:sectPr>
          <w:pgSz w:w="11906" w:h="16838"/>
          <w:pgMar w:top="1440" w:right="1797" w:bottom="1440" w:left="1797" w:header="851" w:footer="992" w:gutter="0"/>
          <w:cols w:space="720" w:num="1"/>
          <w:docGrid w:linePitch="312" w:charSpace="0"/>
        </w:sectPr>
      </w:pPr>
    </w:p>
    <w:p w14:paraId="3B899785">
      <w:pPr>
        <w:snapToGrid w:val="0"/>
        <w:spacing w:beforeLines="50" w:after="50"/>
        <w:ind w:left="-69"/>
        <w:jc w:val="left"/>
        <w:rPr>
          <w:rFonts w:ascii="宋体" w:hAnsi="宋体"/>
          <w:b/>
          <w:color w:val="auto"/>
          <w:sz w:val="24"/>
        </w:rPr>
      </w:pPr>
      <w:r>
        <w:rPr>
          <w:rFonts w:hint="eastAsia" w:ascii="宋体" w:hAnsi="宋体"/>
          <w:b/>
          <w:color w:val="auto"/>
          <w:sz w:val="24"/>
          <w:lang w:val="en-US" w:eastAsia="zh-CN"/>
        </w:rPr>
        <w:t>8</w:t>
      </w:r>
      <w:r>
        <w:rPr>
          <w:rFonts w:hint="eastAsia" w:ascii="宋体" w:hAnsi="宋体"/>
          <w:b/>
          <w:color w:val="auto"/>
          <w:sz w:val="24"/>
        </w:rPr>
        <w:t>.技术要求偏离表格式</w:t>
      </w:r>
    </w:p>
    <w:p w14:paraId="33D7B4EE">
      <w:pPr>
        <w:snapToGrid w:val="0"/>
        <w:spacing w:beforeLines="50" w:after="50"/>
        <w:ind w:left="-69"/>
        <w:jc w:val="left"/>
        <w:rPr>
          <w:rFonts w:ascii="宋体" w:hAnsi="宋体"/>
          <w:b/>
          <w:color w:val="auto"/>
          <w:sz w:val="24"/>
        </w:rPr>
      </w:pPr>
    </w:p>
    <w:p w14:paraId="7DBCAC57">
      <w:pPr>
        <w:snapToGrid w:val="0"/>
        <w:spacing w:beforeLines="50" w:after="50"/>
        <w:ind w:left="-69"/>
        <w:jc w:val="center"/>
        <w:rPr>
          <w:rFonts w:ascii="宋体" w:hAnsi="宋体"/>
          <w:b/>
          <w:color w:val="auto"/>
          <w:sz w:val="32"/>
          <w:szCs w:val="32"/>
        </w:rPr>
      </w:pPr>
      <w:r>
        <w:rPr>
          <w:rFonts w:hint="eastAsia" w:ascii="宋体" w:hAnsi="宋体"/>
          <w:b/>
          <w:color w:val="auto"/>
          <w:sz w:val="32"/>
          <w:szCs w:val="32"/>
        </w:rPr>
        <w:t>技术要求偏离表</w:t>
      </w:r>
    </w:p>
    <w:tbl>
      <w:tblPr>
        <w:tblStyle w:val="3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035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5C41C630">
            <w:pPr>
              <w:pStyle w:val="20"/>
              <w:spacing w:line="400" w:lineRule="exact"/>
              <w:jc w:val="center"/>
              <w:rPr>
                <w:rFonts w:hAnsi="宋体" w:cs="Courier New"/>
                <w:color w:val="auto"/>
                <w:kern w:val="2"/>
                <w:sz w:val="24"/>
                <w:szCs w:val="24"/>
              </w:rPr>
            </w:pPr>
            <w:r>
              <w:rPr>
                <w:rFonts w:hint="eastAsia" w:hAnsi="宋体" w:cs="Courier New"/>
                <w:color w:val="auto"/>
                <w:kern w:val="2"/>
                <w:sz w:val="24"/>
                <w:szCs w:val="24"/>
              </w:rPr>
              <w:t>项号</w:t>
            </w:r>
          </w:p>
        </w:tc>
        <w:tc>
          <w:tcPr>
            <w:tcW w:w="2143" w:type="dxa"/>
            <w:vAlign w:val="center"/>
          </w:tcPr>
          <w:p w14:paraId="50982E04">
            <w:pPr>
              <w:pStyle w:val="20"/>
              <w:spacing w:line="400" w:lineRule="exact"/>
              <w:jc w:val="center"/>
              <w:rPr>
                <w:rFonts w:hAnsi="宋体" w:cs="Courier New"/>
                <w:color w:val="auto"/>
                <w:kern w:val="2"/>
                <w:sz w:val="24"/>
                <w:szCs w:val="24"/>
              </w:rPr>
            </w:pPr>
            <w:r>
              <w:rPr>
                <w:rFonts w:hint="eastAsia" w:hAnsi="宋体" w:cs="Courier New"/>
                <w:color w:val="auto"/>
                <w:kern w:val="2"/>
                <w:sz w:val="24"/>
                <w:szCs w:val="24"/>
              </w:rPr>
              <w:t>标的名称</w:t>
            </w:r>
          </w:p>
        </w:tc>
        <w:tc>
          <w:tcPr>
            <w:tcW w:w="1834" w:type="dxa"/>
            <w:vAlign w:val="center"/>
          </w:tcPr>
          <w:p w14:paraId="35954593">
            <w:pPr>
              <w:pStyle w:val="20"/>
              <w:spacing w:line="400" w:lineRule="exact"/>
              <w:jc w:val="center"/>
              <w:rPr>
                <w:rFonts w:hAnsi="宋体" w:cs="Courier New"/>
                <w:color w:val="auto"/>
                <w:kern w:val="2"/>
                <w:sz w:val="24"/>
                <w:szCs w:val="24"/>
              </w:rPr>
            </w:pPr>
            <w:r>
              <w:rPr>
                <w:rFonts w:hint="eastAsia" w:hAnsi="宋体" w:cs="Courier New"/>
                <w:color w:val="auto"/>
                <w:kern w:val="2"/>
                <w:sz w:val="24"/>
                <w:szCs w:val="24"/>
              </w:rPr>
              <w:t>技术要求及需求</w:t>
            </w:r>
          </w:p>
        </w:tc>
        <w:tc>
          <w:tcPr>
            <w:tcW w:w="2181" w:type="dxa"/>
            <w:vAlign w:val="center"/>
          </w:tcPr>
          <w:p w14:paraId="2DD32768">
            <w:pPr>
              <w:pStyle w:val="20"/>
              <w:spacing w:line="400" w:lineRule="exact"/>
              <w:jc w:val="center"/>
              <w:rPr>
                <w:rFonts w:hAnsi="宋体" w:cs="Courier New"/>
                <w:color w:val="auto"/>
                <w:kern w:val="2"/>
                <w:sz w:val="24"/>
                <w:szCs w:val="24"/>
              </w:rPr>
            </w:pPr>
            <w:r>
              <w:rPr>
                <w:rFonts w:hint="eastAsia" w:hAnsi="宋体" w:cs="Courier New"/>
                <w:color w:val="auto"/>
                <w:kern w:val="2"/>
                <w:sz w:val="24"/>
                <w:szCs w:val="24"/>
              </w:rPr>
              <w:t>投标响应</w:t>
            </w:r>
          </w:p>
        </w:tc>
        <w:tc>
          <w:tcPr>
            <w:tcW w:w="1934" w:type="dxa"/>
            <w:vAlign w:val="center"/>
          </w:tcPr>
          <w:p w14:paraId="165815AB">
            <w:pPr>
              <w:pStyle w:val="20"/>
              <w:spacing w:line="400" w:lineRule="exact"/>
              <w:jc w:val="center"/>
              <w:rPr>
                <w:rFonts w:hAnsi="宋体" w:cs="Courier New"/>
                <w:color w:val="auto"/>
                <w:kern w:val="2"/>
                <w:sz w:val="24"/>
                <w:szCs w:val="24"/>
              </w:rPr>
            </w:pPr>
            <w:r>
              <w:rPr>
                <w:rFonts w:hint="eastAsia" w:hAnsi="宋体" w:cs="Courier New"/>
                <w:color w:val="auto"/>
                <w:kern w:val="2"/>
                <w:sz w:val="24"/>
                <w:szCs w:val="24"/>
              </w:rPr>
              <w:t>偏离说明</w:t>
            </w:r>
          </w:p>
        </w:tc>
      </w:tr>
      <w:tr w14:paraId="7792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3BB365">
            <w:pPr>
              <w:pStyle w:val="20"/>
              <w:spacing w:line="600" w:lineRule="exact"/>
              <w:jc w:val="center"/>
              <w:rPr>
                <w:rFonts w:hAnsi="宋体" w:cs="Courier New"/>
                <w:color w:val="auto"/>
                <w:kern w:val="2"/>
                <w:sz w:val="24"/>
                <w:szCs w:val="24"/>
              </w:rPr>
            </w:pPr>
          </w:p>
        </w:tc>
        <w:tc>
          <w:tcPr>
            <w:tcW w:w="2143" w:type="dxa"/>
            <w:vAlign w:val="center"/>
          </w:tcPr>
          <w:p w14:paraId="1D1CA34E">
            <w:pPr>
              <w:pStyle w:val="20"/>
              <w:spacing w:line="600" w:lineRule="exact"/>
              <w:jc w:val="center"/>
              <w:rPr>
                <w:rFonts w:hAnsi="宋体" w:cs="Courier New"/>
                <w:color w:val="auto"/>
                <w:kern w:val="2"/>
                <w:sz w:val="24"/>
                <w:szCs w:val="24"/>
              </w:rPr>
            </w:pPr>
          </w:p>
        </w:tc>
        <w:tc>
          <w:tcPr>
            <w:tcW w:w="1834" w:type="dxa"/>
            <w:vAlign w:val="center"/>
          </w:tcPr>
          <w:p w14:paraId="67004557">
            <w:pPr>
              <w:pStyle w:val="20"/>
              <w:spacing w:line="600" w:lineRule="exact"/>
              <w:jc w:val="center"/>
              <w:rPr>
                <w:rFonts w:hAnsi="宋体" w:cs="Courier New"/>
                <w:color w:val="auto"/>
                <w:kern w:val="2"/>
                <w:sz w:val="24"/>
                <w:szCs w:val="24"/>
              </w:rPr>
            </w:pPr>
          </w:p>
        </w:tc>
        <w:tc>
          <w:tcPr>
            <w:tcW w:w="2181" w:type="dxa"/>
            <w:vAlign w:val="center"/>
          </w:tcPr>
          <w:p w14:paraId="62496FAB">
            <w:pPr>
              <w:pStyle w:val="20"/>
              <w:spacing w:line="600" w:lineRule="exact"/>
              <w:jc w:val="center"/>
              <w:rPr>
                <w:rFonts w:hAnsi="宋体" w:cs="Courier New"/>
                <w:color w:val="auto"/>
                <w:kern w:val="2"/>
                <w:sz w:val="24"/>
                <w:szCs w:val="24"/>
              </w:rPr>
            </w:pPr>
          </w:p>
        </w:tc>
        <w:tc>
          <w:tcPr>
            <w:tcW w:w="1934" w:type="dxa"/>
            <w:vAlign w:val="center"/>
          </w:tcPr>
          <w:p w14:paraId="24E6B05F">
            <w:pPr>
              <w:pStyle w:val="20"/>
              <w:spacing w:line="600" w:lineRule="exact"/>
              <w:jc w:val="center"/>
              <w:rPr>
                <w:rFonts w:hAnsi="宋体" w:cs="Courier New"/>
                <w:color w:val="auto"/>
                <w:kern w:val="2"/>
                <w:sz w:val="24"/>
                <w:szCs w:val="24"/>
              </w:rPr>
            </w:pPr>
          </w:p>
        </w:tc>
      </w:tr>
      <w:tr w14:paraId="5C9E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0F6F359">
            <w:pPr>
              <w:pStyle w:val="20"/>
              <w:spacing w:line="600" w:lineRule="exact"/>
              <w:rPr>
                <w:rFonts w:hAnsi="宋体" w:cs="Courier New"/>
                <w:color w:val="auto"/>
                <w:kern w:val="2"/>
                <w:sz w:val="24"/>
                <w:szCs w:val="24"/>
              </w:rPr>
            </w:pPr>
          </w:p>
        </w:tc>
        <w:tc>
          <w:tcPr>
            <w:tcW w:w="2143" w:type="dxa"/>
          </w:tcPr>
          <w:p w14:paraId="7642176E">
            <w:pPr>
              <w:pStyle w:val="20"/>
              <w:spacing w:line="600" w:lineRule="exact"/>
              <w:rPr>
                <w:rFonts w:hAnsi="宋体" w:cs="Courier New"/>
                <w:color w:val="auto"/>
                <w:kern w:val="2"/>
                <w:sz w:val="24"/>
                <w:szCs w:val="24"/>
              </w:rPr>
            </w:pPr>
          </w:p>
        </w:tc>
        <w:tc>
          <w:tcPr>
            <w:tcW w:w="1834" w:type="dxa"/>
          </w:tcPr>
          <w:p w14:paraId="646C6581">
            <w:pPr>
              <w:pStyle w:val="20"/>
              <w:spacing w:line="600" w:lineRule="exact"/>
              <w:rPr>
                <w:rFonts w:hAnsi="宋体" w:cs="Courier New"/>
                <w:color w:val="auto"/>
                <w:kern w:val="2"/>
                <w:sz w:val="24"/>
                <w:szCs w:val="24"/>
              </w:rPr>
            </w:pPr>
          </w:p>
        </w:tc>
        <w:tc>
          <w:tcPr>
            <w:tcW w:w="2181" w:type="dxa"/>
          </w:tcPr>
          <w:p w14:paraId="17C869FC">
            <w:pPr>
              <w:pStyle w:val="20"/>
              <w:spacing w:line="600" w:lineRule="exact"/>
              <w:rPr>
                <w:rFonts w:hAnsi="宋体" w:cs="Courier New"/>
                <w:color w:val="auto"/>
                <w:kern w:val="2"/>
                <w:sz w:val="24"/>
                <w:szCs w:val="24"/>
              </w:rPr>
            </w:pPr>
          </w:p>
        </w:tc>
        <w:tc>
          <w:tcPr>
            <w:tcW w:w="1934" w:type="dxa"/>
          </w:tcPr>
          <w:p w14:paraId="2D1725A6">
            <w:pPr>
              <w:pStyle w:val="20"/>
              <w:spacing w:line="600" w:lineRule="exact"/>
              <w:rPr>
                <w:rFonts w:hAnsi="宋体" w:cs="Courier New"/>
                <w:color w:val="auto"/>
                <w:kern w:val="2"/>
                <w:sz w:val="24"/>
                <w:szCs w:val="24"/>
              </w:rPr>
            </w:pPr>
          </w:p>
        </w:tc>
      </w:tr>
      <w:tr w14:paraId="6F88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064235C">
            <w:pPr>
              <w:pStyle w:val="20"/>
              <w:spacing w:line="600" w:lineRule="exact"/>
              <w:rPr>
                <w:rFonts w:hAnsi="宋体" w:cs="Courier New"/>
                <w:color w:val="auto"/>
                <w:kern w:val="2"/>
                <w:sz w:val="24"/>
                <w:szCs w:val="24"/>
              </w:rPr>
            </w:pPr>
          </w:p>
        </w:tc>
        <w:tc>
          <w:tcPr>
            <w:tcW w:w="2143" w:type="dxa"/>
          </w:tcPr>
          <w:p w14:paraId="67E8F0FE">
            <w:pPr>
              <w:pStyle w:val="20"/>
              <w:spacing w:line="600" w:lineRule="exact"/>
              <w:rPr>
                <w:rFonts w:hAnsi="宋体" w:cs="Courier New"/>
                <w:color w:val="auto"/>
                <w:kern w:val="2"/>
                <w:sz w:val="24"/>
                <w:szCs w:val="24"/>
              </w:rPr>
            </w:pPr>
          </w:p>
        </w:tc>
        <w:tc>
          <w:tcPr>
            <w:tcW w:w="1834" w:type="dxa"/>
          </w:tcPr>
          <w:p w14:paraId="03B2821F">
            <w:pPr>
              <w:pStyle w:val="20"/>
              <w:spacing w:line="600" w:lineRule="exact"/>
              <w:rPr>
                <w:rFonts w:hAnsi="宋体" w:cs="Courier New"/>
                <w:color w:val="auto"/>
                <w:kern w:val="2"/>
                <w:sz w:val="24"/>
                <w:szCs w:val="24"/>
              </w:rPr>
            </w:pPr>
          </w:p>
        </w:tc>
        <w:tc>
          <w:tcPr>
            <w:tcW w:w="2181" w:type="dxa"/>
          </w:tcPr>
          <w:p w14:paraId="7F38B680">
            <w:pPr>
              <w:pStyle w:val="20"/>
              <w:spacing w:line="600" w:lineRule="exact"/>
              <w:rPr>
                <w:rFonts w:hAnsi="宋体" w:cs="Courier New"/>
                <w:color w:val="auto"/>
                <w:kern w:val="2"/>
                <w:sz w:val="24"/>
                <w:szCs w:val="24"/>
              </w:rPr>
            </w:pPr>
          </w:p>
        </w:tc>
        <w:tc>
          <w:tcPr>
            <w:tcW w:w="1934" w:type="dxa"/>
          </w:tcPr>
          <w:p w14:paraId="67997737">
            <w:pPr>
              <w:pStyle w:val="20"/>
              <w:spacing w:line="600" w:lineRule="exact"/>
              <w:rPr>
                <w:rFonts w:hAnsi="宋体" w:cs="Courier New"/>
                <w:color w:val="auto"/>
                <w:kern w:val="2"/>
                <w:sz w:val="24"/>
                <w:szCs w:val="24"/>
              </w:rPr>
            </w:pPr>
          </w:p>
        </w:tc>
      </w:tr>
      <w:tr w14:paraId="2AC9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0091F39">
            <w:pPr>
              <w:pStyle w:val="20"/>
              <w:spacing w:line="600" w:lineRule="exact"/>
              <w:rPr>
                <w:rFonts w:hAnsi="宋体" w:cs="Courier New"/>
                <w:color w:val="auto"/>
                <w:kern w:val="2"/>
                <w:sz w:val="24"/>
                <w:szCs w:val="24"/>
              </w:rPr>
            </w:pPr>
          </w:p>
        </w:tc>
        <w:tc>
          <w:tcPr>
            <w:tcW w:w="2143" w:type="dxa"/>
          </w:tcPr>
          <w:p w14:paraId="5540F1E2">
            <w:pPr>
              <w:pStyle w:val="20"/>
              <w:spacing w:line="600" w:lineRule="exact"/>
              <w:rPr>
                <w:rFonts w:hAnsi="宋体" w:cs="Courier New"/>
                <w:color w:val="auto"/>
                <w:kern w:val="2"/>
                <w:sz w:val="24"/>
                <w:szCs w:val="24"/>
              </w:rPr>
            </w:pPr>
          </w:p>
        </w:tc>
        <w:tc>
          <w:tcPr>
            <w:tcW w:w="1834" w:type="dxa"/>
          </w:tcPr>
          <w:p w14:paraId="2CE5F6AF">
            <w:pPr>
              <w:pStyle w:val="20"/>
              <w:spacing w:line="600" w:lineRule="exact"/>
              <w:rPr>
                <w:rFonts w:hAnsi="宋体" w:cs="Courier New"/>
                <w:color w:val="auto"/>
                <w:kern w:val="2"/>
                <w:sz w:val="24"/>
                <w:szCs w:val="24"/>
              </w:rPr>
            </w:pPr>
          </w:p>
        </w:tc>
        <w:tc>
          <w:tcPr>
            <w:tcW w:w="2181" w:type="dxa"/>
          </w:tcPr>
          <w:p w14:paraId="6B0154C8">
            <w:pPr>
              <w:pStyle w:val="20"/>
              <w:spacing w:line="600" w:lineRule="exact"/>
              <w:rPr>
                <w:rFonts w:hAnsi="宋体" w:cs="Courier New"/>
                <w:color w:val="auto"/>
                <w:kern w:val="2"/>
                <w:sz w:val="24"/>
                <w:szCs w:val="24"/>
              </w:rPr>
            </w:pPr>
          </w:p>
        </w:tc>
        <w:tc>
          <w:tcPr>
            <w:tcW w:w="1934" w:type="dxa"/>
          </w:tcPr>
          <w:p w14:paraId="1571F9BB">
            <w:pPr>
              <w:pStyle w:val="20"/>
              <w:spacing w:line="600" w:lineRule="exact"/>
              <w:rPr>
                <w:rFonts w:hAnsi="宋体" w:cs="Courier New"/>
                <w:color w:val="auto"/>
                <w:kern w:val="2"/>
                <w:sz w:val="24"/>
                <w:szCs w:val="24"/>
              </w:rPr>
            </w:pPr>
          </w:p>
        </w:tc>
      </w:tr>
      <w:tr w14:paraId="574D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25DBD29">
            <w:pPr>
              <w:pStyle w:val="20"/>
              <w:spacing w:line="600" w:lineRule="exact"/>
              <w:rPr>
                <w:rFonts w:hAnsi="宋体" w:cs="Courier New"/>
                <w:color w:val="auto"/>
                <w:kern w:val="2"/>
                <w:sz w:val="24"/>
                <w:szCs w:val="24"/>
              </w:rPr>
            </w:pPr>
          </w:p>
        </w:tc>
        <w:tc>
          <w:tcPr>
            <w:tcW w:w="2143" w:type="dxa"/>
          </w:tcPr>
          <w:p w14:paraId="5B733910">
            <w:pPr>
              <w:pStyle w:val="20"/>
              <w:spacing w:line="600" w:lineRule="exact"/>
              <w:rPr>
                <w:rFonts w:hAnsi="宋体" w:cs="Courier New"/>
                <w:color w:val="auto"/>
                <w:kern w:val="2"/>
                <w:sz w:val="24"/>
                <w:szCs w:val="24"/>
              </w:rPr>
            </w:pPr>
          </w:p>
        </w:tc>
        <w:tc>
          <w:tcPr>
            <w:tcW w:w="1834" w:type="dxa"/>
          </w:tcPr>
          <w:p w14:paraId="165859DF">
            <w:pPr>
              <w:pStyle w:val="20"/>
              <w:spacing w:line="600" w:lineRule="exact"/>
              <w:rPr>
                <w:rFonts w:hAnsi="宋体" w:cs="Courier New"/>
                <w:color w:val="auto"/>
                <w:kern w:val="2"/>
                <w:sz w:val="24"/>
                <w:szCs w:val="24"/>
              </w:rPr>
            </w:pPr>
          </w:p>
        </w:tc>
        <w:tc>
          <w:tcPr>
            <w:tcW w:w="2181" w:type="dxa"/>
          </w:tcPr>
          <w:p w14:paraId="2238773F">
            <w:pPr>
              <w:pStyle w:val="20"/>
              <w:spacing w:line="600" w:lineRule="exact"/>
              <w:rPr>
                <w:rFonts w:hAnsi="宋体" w:cs="Courier New"/>
                <w:color w:val="auto"/>
                <w:kern w:val="2"/>
                <w:sz w:val="24"/>
                <w:szCs w:val="24"/>
              </w:rPr>
            </w:pPr>
          </w:p>
        </w:tc>
        <w:tc>
          <w:tcPr>
            <w:tcW w:w="1934" w:type="dxa"/>
          </w:tcPr>
          <w:p w14:paraId="77ED1B30">
            <w:pPr>
              <w:pStyle w:val="20"/>
              <w:spacing w:line="600" w:lineRule="exact"/>
              <w:rPr>
                <w:rFonts w:hAnsi="宋体" w:cs="Courier New"/>
                <w:color w:val="auto"/>
                <w:kern w:val="2"/>
                <w:sz w:val="24"/>
                <w:szCs w:val="24"/>
              </w:rPr>
            </w:pPr>
          </w:p>
        </w:tc>
      </w:tr>
      <w:tr w14:paraId="7F21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1CA0DD0">
            <w:pPr>
              <w:pStyle w:val="20"/>
              <w:spacing w:line="600" w:lineRule="exact"/>
              <w:rPr>
                <w:rFonts w:hAnsi="宋体" w:cs="Courier New"/>
                <w:color w:val="auto"/>
                <w:kern w:val="2"/>
                <w:sz w:val="24"/>
                <w:szCs w:val="24"/>
              </w:rPr>
            </w:pPr>
          </w:p>
        </w:tc>
        <w:tc>
          <w:tcPr>
            <w:tcW w:w="2143" w:type="dxa"/>
          </w:tcPr>
          <w:p w14:paraId="75AE0B41">
            <w:pPr>
              <w:pStyle w:val="20"/>
              <w:spacing w:line="600" w:lineRule="exact"/>
              <w:rPr>
                <w:rFonts w:hAnsi="宋体" w:cs="Courier New"/>
                <w:color w:val="auto"/>
                <w:kern w:val="2"/>
                <w:sz w:val="24"/>
                <w:szCs w:val="24"/>
              </w:rPr>
            </w:pPr>
          </w:p>
        </w:tc>
        <w:tc>
          <w:tcPr>
            <w:tcW w:w="1834" w:type="dxa"/>
          </w:tcPr>
          <w:p w14:paraId="739D4C7C">
            <w:pPr>
              <w:pStyle w:val="20"/>
              <w:spacing w:line="600" w:lineRule="exact"/>
              <w:rPr>
                <w:rFonts w:hAnsi="宋体" w:cs="Courier New"/>
                <w:color w:val="auto"/>
                <w:kern w:val="2"/>
                <w:sz w:val="24"/>
                <w:szCs w:val="24"/>
              </w:rPr>
            </w:pPr>
          </w:p>
        </w:tc>
        <w:tc>
          <w:tcPr>
            <w:tcW w:w="2181" w:type="dxa"/>
          </w:tcPr>
          <w:p w14:paraId="7CEBFBD1">
            <w:pPr>
              <w:pStyle w:val="20"/>
              <w:spacing w:line="600" w:lineRule="exact"/>
              <w:rPr>
                <w:rFonts w:hAnsi="宋体" w:cs="Courier New"/>
                <w:color w:val="auto"/>
                <w:kern w:val="2"/>
                <w:sz w:val="24"/>
                <w:szCs w:val="24"/>
              </w:rPr>
            </w:pPr>
          </w:p>
        </w:tc>
        <w:tc>
          <w:tcPr>
            <w:tcW w:w="1934" w:type="dxa"/>
          </w:tcPr>
          <w:p w14:paraId="312CE062">
            <w:pPr>
              <w:pStyle w:val="20"/>
              <w:spacing w:line="600" w:lineRule="exact"/>
              <w:rPr>
                <w:rFonts w:hAnsi="宋体" w:cs="Courier New"/>
                <w:color w:val="auto"/>
                <w:kern w:val="2"/>
                <w:sz w:val="24"/>
                <w:szCs w:val="24"/>
              </w:rPr>
            </w:pPr>
          </w:p>
        </w:tc>
      </w:tr>
      <w:tr w14:paraId="1DFD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D187F99">
            <w:pPr>
              <w:pStyle w:val="20"/>
              <w:spacing w:line="600" w:lineRule="exact"/>
              <w:rPr>
                <w:rFonts w:hAnsi="宋体" w:cs="Courier New"/>
                <w:color w:val="auto"/>
                <w:kern w:val="2"/>
                <w:sz w:val="24"/>
                <w:szCs w:val="24"/>
              </w:rPr>
            </w:pPr>
          </w:p>
        </w:tc>
        <w:tc>
          <w:tcPr>
            <w:tcW w:w="2143" w:type="dxa"/>
          </w:tcPr>
          <w:p w14:paraId="108A99B2">
            <w:pPr>
              <w:pStyle w:val="20"/>
              <w:spacing w:line="600" w:lineRule="exact"/>
              <w:rPr>
                <w:rFonts w:hAnsi="宋体" w:cs="Courier New"/>
                <w:color w:val="auto"/>
                <w:kern w:val="2"/>
                <w:sz w:val="24"/>
                <w:szCs w:val="24"/>
              </w:rPr>
            </w:pPr>
          </w:p>
        </w:tc>
        <w:tc>
          <w:tcPr>
            <w:tcW w:w="1834" w:type="dxa"/>
          </w:tcPr>
          <w:p w14:paraId="646D0333">
            <w:pPr>
              <w:pStyle w:val="20"/>
              <w:spacing w:line="600" w:lineRule="exact"/>
              <w:rPr>
                <w:rFonts w:hAnsi="宋体" w:cs="Courier New"/>
                <w:color w:val="auto"/>
                <w:kern w:val="2"/>
                <w:sz w:val="24"/>
                <w:szCs w:val="24"/>
              </w:rPr>
            </w:pPr>
          </w:p>
        </w:tc>
        <w:tc>
          <w:tcPr>
            <w:tcW w:w="2181" w:type="dxa"/>
          </w:tcPr>
          <w:p w14:paraId="79954249">
            <w:pPr>
              <w:pStyle w:val="20"/>
              <w:spacing w:line="600" w:lineRule="exact"/>
              <w:rPr>
                <w:rFonts w:hAnsi="宋体" w:cs="Courier New"/>
                <w:color w:val="auto"/>
                <w:kern w:val="2"/>
                <w:sz w:val="24"/>
                <w:szCs w:val="24"/>
              </w:rPr>
            </w:pPr>
          </w:p>
        </w:tc>
        <w:tc>
          <w:tcPr>
            <w:tcW w:w="1934" w:type="dxa"/>
          </w:tcPr>
          <w:p w14:paraId="543D36FB">
            <w:pPr>
              <w:pStyle w:val="20"/>
              <w:spacing w:line="600" w:lineRule="exact"/>
              <w:rPr>
                <w:rFonts w:hAnsi="宋体" w:cs="Courier New"/>
                <w:color w:val="auto"/>
                <w:kern w:val="2"/>
                <w:sz w:val="24"/>
                <w:szCs w:val="24"/>
              </w:rPr>
            </w:pPr>
          </w:p>
        </w:tc>
      </w:tr>
    </w:tbl>
    <w:p w14:paraId="6F63CD1A">
      <w:pPr>
        <w:pStyle w:val="16"/>
        <w:spacing w:line="360" w:lineRule="auto"/>
        <w:contextualSpacing/>
        <w:rPr>
          <w:rFonts w:ascii="宋体" w:hAnsi="宋体"/>
          <w:color w:val="auto"/>
        </w:rPr>
      </w:pPr>
      <w:r>
        <w:rPr>
          <w:rFonts w:hint="eastAsia" w:ascii="宋体" w:hAnsi="宋体"/>
          <w:color w:val="auto"/>
        </w:rPr>
        <w:t>注：</w:t>
      </w:r>
    </w:p>
    <w:p w14:paraId="32DE3E95">
      <w:pPr>
        <w:pStyle w:val="17"/>
        <w:spacing w:line="360" w:lineRule="auto"/>
        <w:ind w:firstLine="0" w:firstLineChars="0"/>
        <w:contextualSpacing/>
        <w:rPr>
          <w:rFonts w:hAnsi="仿宋_GB2312" w:cs="仿宋_GB2312"/>
          <w:color w:val="auto"/>
          <w:szCs w:val="32"/>
        </w:rPr>
      </w:pPr>
      <w:r>
        <w:rPr>
          <w:rFonts w:hint="eastAsia" w:ascii="宋体" w:hAnsi="宋体" w:eastAsia="宋体"/>
          <w:color w:val="auto"/>
          <w:sz w:val="24"/>
          <w:szCs w:val="24"/>
        </w:rPr>
        <w:t>1. 说明：应对照招标文件“第二章 采购需求”中的技术要求及需求逐条作明确的投标响应，并作出偏离说明。</w:t>
      </w:r>
    </w:p>
    <w:p w14:paraId="45FB2F26">
      <w:pPr>
        <w:pStyle w:val="16"/>
        <w:spacing w:line="360" w:lineRule="auto"/>
        <w:contextualSpacing/>
        <w:rPr>
          <w:rFonts w:ascii="宋体" w:hAnsi="宋体"/>
          <w:color w:val="auto"/>
        </w:rPr>
      </w:pPr>
      <w:r>
        <w:rPr>
          <w:rFonts w:ascii="宋体" w:hAnsi="宋体"/>
          <w:b w:val="0"/>
          <w:bCs w:val="0"/>
          <w:color w:val="auto"/>
        </w:rPr>
        <w:t>2.</w:t>
      </w:r>
      <w:r>
        <w:rPr>
          <w:rFonts w:hint="eastAsia" w:ascii="宋体" w:hAnsi="宋体"/>
          <w:b w:val="0"/>
          <w:bCs w:val="0"/>
          <w:color w:val="auto"/>
        </w:rPr>
        <w:t>投标人应根据自身的承诺，对照招标文件要求，在“偏离说明”中注明“</w:t>
      </w:r>
      <w:r>
        <w:rPr>
          <w:rFonts w:hint="eastAsia" w:ascii="宋体" w:hAnsi="宋体"/>
          <w:color w:val="auto"/>
        </w:rPr>
        <w:t>正偏离</w:t>
      </w:r>
      <w:r>
        <w:rPr>
          <w:rFonts w:hint="eastAsia" w:ascii="宋体" w:hAnsi="宋体"/>
          <w:b w:val="0"/>
          <w:bCs w:val="0"/>
          <w:color w:val="auto"/>
        </w:rPr>
        <w:t>”、“</w:t>
      </w:r>
      <w:r>
        <w:rPr>
          <w:rFonts w:hint="eastAsia" w:ascii="宋体" w:hAnsi="宋体"/>
          <w:color w:val="auto"/>
        </w:rPr>
        <w:t>负偏离</w:t>
      </w:r>
      <w:r>
        <w:rPr>
          <w:rFonts w:hint="eastAsia" w:ascii="宋体" w:hAnsi="宋体"/>
          <w:b w:val="0"/>
          <w:bCs w:val="0"/>
          <w:color w:val="auto"/>
        </w:rPr>
        <w:t>”或者“</w:t>
      </w:r>
      <w:r>
        <w:rPr>
          <w:rFonts w:hint="eastAsia" w:ascii="宋体" w:hAnsi="宋体"/>
          <w:color w:val="auto"/>
        </w:rPr>
        <w:t>无偏离</w:t>
      </w:r>
      <w:r>
        <w:rPr>
          <w:rFonts w:hint="eastAsia" w:ascii="宋体" w:hAnsi="宋体"/>
          <w:b w:val="0"/>
          <w:bCs w:val="0"/>
          <w:color w:val="auto"/>
        </w:rPr>
        <w:t>”。既不属于“</w:t>
      </w:r>
      <w:r>
        <w:rPr>
          <w:rFonts w:hint="eastAsia" w:ascii="宋体" w:hAnsi="宋体"/>
          <w:color w:val="auto"/>
        </w:rPr>
        <w:t>正偏离</w:t>
      </w:r>
      <w:r>
        <w:rPr>
          <w:rFonts w:hint="eastAsia" w:ascii="宋体" w:hAnsi="宋体"/>
          <w:b w:val="0"/>
          <w:bCs w:val="0"/>
          <w:color w:val="auto"/>
        </w:rPr>
        <w:t>”也不属于“</w:t>
      </w:r>
      <w:r>
        <w:rPr>
          <w:rFonts w:hint="eastAsia" w:ascii="宋体" w:hAnsi="宋体"/>
          <w:color w:val="auto"/>
        </w:rPr>
        <w:t>负偏离</w:t>
      </w:r>
      <w:r>
        <w:rPr>
          <w:rFonts w:hint="eastAsia" w:ascii="宋体" w:hAnsi="宋体"/>
          <w:b w:val="0"/>
          <w:bCs w:val="0"/>
          <w:color w:val="auto"/>
        </w:rPr>
        <w:t>”即为“</w:t>
      </w:r>
      <w:r>
        <w:rPr>
          <w:rFonts w:hint="eastAsia" w:ascii="宋体" w:hAnsi="宋体"/>
          <w:color w:val="auto"/>
        </w:rPr>
        <w:t>无偏离</w:t>
      </w:r>
      <w:r>
        <w:rPr>
          <w:rFonts w:hint="eastAsia" w:ascii="宋体" w:hAnsi="宋体"/>
          <w:b w:val="0"/>
          <w:bCs w:val="0"/>
          <w:color w:val="auto"/>
        </w:rPr>
        <w:t>”。</w:t>
      </w:r>
    </w:p>
    <w:p w14:paraId="6B45E8BB">
      <w:pPr>
        <w:pStyle w:val="16"/>
        <w:spacing w:line="360" w:lineRule="auto"/>
        <w:contextualSpacing/>
        <w:rPr>
          <w:rFonts w:ascii="宋体" w:hAnsi="宋体"/>
          <w:color w:val="auto"/>
          <w:spacing w:val="20"/>
        </w:rPr>
      </w:pPr>
    </w:p>
    <w:p w14:paraId="7B162A46">
      <w:pPr>
        <w:spacing w:line="360" w:lineRule="auto"/>
        <w:contextualSpacing/>
        <w:rPr>
          <w:rFonts w:ascii="宋体" w:hAnsi="宋体"/>
          <w:color w:val="auto"/>
          <w:spacing w:val="20"/>
          <w:sz w:val="24"/>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3D3072B5">
      <w:pPr>
        <w:spacing w:line="360" w:lineRule="auto"/>
        <w:contextualSpacing/>
        <w:rPr>
          <w:rFonts w:ascii="宋体" w:hAnsi="宋体"/>
          <w:color w:val="auto"/>
          <w:spacing w:val="20"/>
          <w:sz w:val="24"/>
        </w:rPr>
      </w:pPr>
      <w:r>
        <w:rPr>
          <w:rFonts w:hint="eastAsia" w:ascii="宋体" w:hAnsi="宋体"/>
          <w:color w:val="auto"/>
          <w:spacing w:val="20"/>
          <w:sz w:val="24"/>
        </w:rPr>
        <w:t>投标人名称（电子签章）：</w:t>
      </w:r>
    </w:p>
    <w:p w14:paraId="076D901D">
      <w:pPr>
        <w:spacing w:line="360" w:lineRule="auto"/>
        <w:contextualSpacing/>
        <w:rPr>
          <w:rFonts w:ascii="宋体" w:hAnsi="宋体"/>
          <w:color w:val="auto"/>
          <w:sz w:val="24"/>
          <w:szCs w:val="20"/>
        </w:rPr>
      </w:pPr>
      <w:r>
        <w:rPr>
          <w:rFonts w:hint="eastAsia" w:ascii="宋体" w:hAnsi="宋体"/>
          <w:color w:val="auto"/>
          <w:spacing w:val="20"/>
          <w:sz w:val="24"/>
        </w:rPr>
        <w:t>日  期：</w:t>
      </w:r>
    </w:p>
    <w:p w14:paraId="7F57FFA1">
      <w:pPr>
        <w:spacing w:line="360" w:lineRule="auto"/>
        <w:contextualSpacing/>
        <w:rPr>
          <w:rFonts w:ascii="宋体" w:hAnsi="宋体"/>
          <w:color w:val="auto"/>
          <w:spacing w:val="20"/>
          <w:sz w:val="24"/>
          <w:u w:val="single"/>
        </w:rPr>
      </w:pPr>
    </w:p>
    <w:p w14:paraId="64D0FCD8">
      <w:pPr>
        <w:spacing w:line="360" w:lineRule="auto"/>
        <w:contextualSpacing/>
        <w:rPr>
          <w:rFonts w:ascii="宋体" w:hAnsi="宋体"/>
          <w:color w:val="auto"/>
          <w:sz w:val="24"/>
          <w:szCs w:val="20"/>
        </w:rPr>
      </w:pPr>
    </w:p>
    <w:p w14:paraId="53BEE8DB">
      <w:pPr>
        <w:snapToGrid w:val="0"/>
        <w:spacing w:beforeLines="50" w:after="50"/>
        <w:ind w:left="-69"/>
        <w:jc w:val="left"/>
        <w:rPr>
          <w:rFonts w:ascii="宋体" w:hAnsi="宋体"/>
          <w:b/>
          <w:color w:val="auto"/>
          <w:sz w:val="24"/>
        </w:rPr>
      </w:pPr>
      <w:r>
        <w:rPr>
          <w:rFonts w:ascii="宋体" w:hAnsi="宋体"/>
          <w:b/>
          <w:color w:val="auto"/>
          <w:sz w:val="24"/>
        </w:rPr>
        <w:br w:type="page"/>
      </w:r>
      <w:r>
        <w:rPr>
          <w:rFonts w:hint="eastAsia" w:ascii="宋体" w:hAnsi="宋体"/>
          <w:b/>
          <w:color w:val="auto"/>
          <w:sz w:val="24"/>
          <w:lang w:val="en-US" w:eastAsia="zh-CN"/>
        </w:rPr>
        <w:t>9</w:t>
      </w:r>
      <w:r>
        <w:rPr>
          <w:rFonts w:hint="eastAsia" w:ascii="宋体" w:hAnsi="宋体"/>
          <w:b/>
          <w:color w:val="auto"/>
          <w:sz w:val="24"/>
        </w:rPr>
        <w:t>.项目实施人员一览表格式</w:t>
      </w:r>
    </w:p>
    <w:p w14:paraId="300538F9">
      <w:pPr>
        <w:snapToGrid w:val="0"/>
        <w:spacing w:beforeLines="50" w:after="50"/>
        <w:ind w:left="-69"/>
        <w:jc w:val="left"/>
        <w:rPr>
          <w:rFonts w:ascii="宋体" w:hAnsi="宋体"/>
          <w:b/>
          <w:color w:val="auto"/>
          <w:sz w:val="24"/>
        </w:rPr>
      </w:pPr>
    </w:p>
    <w:p w14:paraId="168DA7F2">
      <w:pPr>
        <w:snapToGrid w:val="0"/>
        <w:spacing w:beforeLines="50" w:after="50"/>
        <w:ind w:left="-69"/>
        <w:jc w:val="center"/>
        <w:rPr>
          <w:rFonts w:ascii="宋体" w:hAnsi="宋体"/>
          <w:b/>
          <w:color w:val="auto"/>
          <w:sz w:val="32"/>
          <w:szCs w:val="32"/>
        </w:rPr>
      </w:pPr>
      <w:r>
        <w:rPr>
          <w:rFonts w:hint="eastAsia" w:ascii="宋体" w:hAnsi="宋体"/>
          <w:b/>
          <w:color w:val="auto"/>
          <w:sz w:val="32"/>
          <w:szCs w:val="32"/>
        </w:rPr>
        <w:t>项目实施人员一览表</w:t>
      </w:r>
    </w:p>
    <w:tbl>
      <w:tblPr>
        <w:tblStyle w:val="37"/>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774"/>
        <w:gridCol w:w="1547"/>
        <w:gridCol w:w="1862"/>
        <w:gridCol w:w="1854"/>
        <w:gridCol w:w="2012"/>
      </w:tblGrid>
      <w:tr w14:paraId="066F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14:paraId="1176368E">
            <w:pPr>
              <w:snapToGrid w:val="0"/>
              <w:spacing w:before="50" w:afterLines="50"/>
              <w:jc w:val="center"/>
              <w:rPr>
                <w:rFonts w:ascii="宋体" w:hAnsi="宋体"/>
                <w:color w:val="auto"/>
                <w:sz w:val="24"/>
                <w:szCs w:val="20"/>
              </w:rPr>
            </w:pPr>
            <w:r>
              <w:rPr>
                <w:rFonts w:hint="eastAsia" w:ascii="宋体" w:hAnsi="宋体"/>
                <w:color w:val="auto"/>
                <w:sz w:val="24"/>
                <w:szCs w:val="20"/>
              </w:rPr>
              <w:t>姓名</w:t>
            </w:r>
          </w:p>
        </w:tc>
        <w:tc>
          <w:tcPr>
            <w:tcW w:w="774" w:type="dxa"/>
            <w:vAlign w:val="center"/>
          </w:tcPr>
          <w:p w14:paraId="43DF460A">
            <w:pPr>
              <w:snapToGrid w:val="0"/>
              <w:spacing w:before="50" w:afterLines="50"/>
              <w:jc w:val="center"/>
              <w:rPr>
                <w:rFonts w:ascii="宋体" w:hAnsi="宋体"/>
                <w:color w:val="auto"/>
                <w:sz w:val="24"/>
                <w:szCs w:val="20"/>
              </w:rPr>
            </w:pPr>
            <w:r>
              <w:rPr>
                <w:rFonts w:hint="eastAsia" w:ascii="宋体" w:hAnsi="宋体"/>
                <w:color w:val="auto"/>
                <w:sz w:val="24"/>
                <w:szCs w:val="20"/>
              </w:rPr>
              <w:t>职务</w:t>
            </w:r>
          </w:p>
        </w:tc>
        <w:tc>
          <w:tcPr>
            <w:tcW w:w="1547" w:type="dxa"/>
            <w:vAlign w:val="center"/>
          </w:tcPr>
          <w:p w14:paraId="78D62630">
            <w:pPr>
              <w:snapToGrid w:val="0"/>
              <w:spacing w:before="50" w:afterLines="50"/>
              <w:jc w:val="center"/>
              <w:rPr>
                <w:rFonts w:ascii="宋体" w:hAnsi="宋体"/>
                <w:color w:val="auto"/>
                <w:sz w:val="24"/>
                <w:szCs w:val="20"/>
              </w:rPr>
            </w:pPr>
            <w:r>
              <w:rPr>
                <w:rFonts w:hint="eastAsia" w:ascii="宋体" w:hAnsi="宋体"/>
                <w:color w:val="auto"/>
                <w:sz w:val="24"/>
                <w:szCs w:val="20"/>
              </w:rPr>
              <w:t>专业</w:t>
            </w:r>
          </w:p>
        </w:tc>
        <w:tc>
          <w:tcPr>
            <w:tcW w:w="1862" w:type="dxa"/>
            <w:vAlign w:val="center"/>
          </w:tcPr>
          <w:p w14:paraId="463F609E">
            <w:pPr>
              <w:snapToGrid w:val="0"/>
              <w:spacing w:before="50" w:afterLines="50"/>
              <w:jc w:val="center"/>
              <w:rPr>
                <w:rFonts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854" w:type="dxa"/>
            <w:vAlign w:val="center"/>
          </w:tcPr>
          <w:p w14:paraId="24A5251F">
            <w:pPr>
              <w:snapToGrid w:val="0"/>
              <w:spacing w:before="50" w:afterLines="50"/>
              <w:jc w:val="center"/>
              <w:rPr>
                <w:rFonts w:ascii="宋体" w:hAnsi="宋体"/>
                <w:color w:val="auto"/>
                <w:sz w:val="24"/>
                <w:szCs w:val="20"/>
              </w:rPr>
            </w:pPr>
            <w:r>
              <w:rPr>
                <w:rFonts w:hint="eastAsia" w:ascii="宋体" w:hAnsi="宋体"/>
                <w:color w:val="auto"/>
                <w:sz w:val="24"/>
                <w:szCs w:val="20"/>
              </w:rPr>
              <w:t>证书编号</w:t>
            </w:r>
          </w:p>
        </w:tc>
        <w:tc>
          <w:tcPr>
            <w:tcW w:w="2012" w:type="dxa"/>
            <w:vAlign w:val="center"/>
          </w:tcPr>
          <w:p w14:paraId="7E1CF419">
            <w:pPr>
              <w:snapToGrid w:val="0"/>
              <w:spacing w:before="50" w:afterLines="50"/>
              <w:jc w:val="center"/>
              <w:rPr>
                <w:rFonts w:ascii="宋体" w:hAnsi="宋体"/>
                <w:color w:val="auto"/>
                <w:sz w:val="24"/>
                <w:szCs w:val="20"/>
              </w:rPr>
            </w:pPr>
            <w:r>
              <w:rPr>
                <w:rFonts w:hint="eastAsia" w:ascii="宋体" w:hAnsi="宋体"/>
                <w:color w:val="auto"/>
                <w:sz w:val="24"/>
                <w:szCs w:val="20"/>
              </w:rPr>
              <w:t>备注</w:t>
            </w:r>
          </w:p>
        </w:tc>
      </w:tr>
      <w:tr w14:paraId="3741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14:paraId="05984B2D">
            <w:pPr>
              <w:snapToGrid w:val="0"/>
              <w:spacing w:before="50" w:afterLines="50"/>
              <w:jc w:val="center"/>
              <w:rPr>
                <w:rFonts w:ascii="宋体" w:hAnsi="宋体"/>
                <w:color w:val="auto"/>
                <w:sz w:val="24"/>
                <w:szCs w:val="20"/>
              </w:rPr>
            </w:pPr>
          </w:p>
        </w:tc>
        <w:tc>
          <w:tcPr>
            <w:tcW w:w="774" w:type="dxa"/>
            <w:vAlign w:val="center"/>
          </w:tcPr>
          <w:p w14:paraId="6D65DAF0">
            <w:pPr>
              <w:snapToGrid w:val="0"/>
              <w:spacing w:before="50" w:afterLines="50"/>
              <w:jc w:val="center"/>
              <w:rPr>
                <w:rFonts w:ascii="宋体" w:hAnsi="宋体"/>
                <w:b/>
                <w:bCs/>
                <w:color w:val="auto"/>
                <w:sz w:val="24"/>
                <w:szCs w:val="20"/>
              </w:rPr>
            </w:pPr>
          </w:p>
        </w:tc>
        <w:tc>
          <w:tcPr>
            <w:tcW w:w="1547" w:type="dxa"/>
            <w:vAlign w:val="center"/>
          </w:tcPr>
          <w:p w14:paraId="34E7D124">
            <w:pPr>
              <w:snapToGrid w:val="0"/>
              <w:spacing w:before="50" w:afterLines="50"/>
              <w:jc w:val="center"/>
              <w:rPr>
                <w:rFonts w:ascii="宋体" w:hAnsi="宋体"/>
                <w:b/>
                <w:bCs/>
                <w:color w:val="auto"/>
                <w:sz w:val="24"/>
                <w:szCs w:val="20"/>
              </w:rPr>
            </w:pPr>
          </w:p>
        </w:tc>
        <w:tc>
          <w:tcPr>
            <w:tcW w:w="1862" w:type="dxa"/>
            <w:vAlign w:val="center"/>
          </w:tcPr>
          <w:p w14:paraId="389C0305">
            <w:pPr>
              <w:snapToGrid w:val="0"/>
              <w:spacing w:before="50" w:afterLines="50"/>
              <w:jc w:val="center"/>
              <w:rPr>
                <w:rFonts w:ascii="宋体" w:hAnsi="宋体"/>
                <w:b/>
                <w:bCs/>
                <w:color w:val="auto"/>
                <w:sz w:val="24"/>
                <w:szCs w:val="20"/>
              </w:rPr>
            </w:pPr>
          </w:p>
        </w:tc>
        <w:tc>
          <w:tcPr>
            <w:tcW w:w="1854" w:type="dxa"/>
            <w:vAlign w:val="center"/>
          </w:tcPr>
          <w:p w14:paraId="6AB2DEDC">
            <w:pPr>
              <w:snapToGrid w:val="0"/>
              <w:spacing w:before="50" w:afterLines="50"/>
              <w:jc w:val="center"/>
              <w:rPr>
                <w:rFonts w:ascii="宋体" w:hAnsi="宋体"/>
                <w:b/>
                <w:bCs/>
                <w:color w:val="auto"/>
                <w:sz w:val="24"/>
                <w:szCs w:val="20"/>
              </w:rPr>
            </w:pPr>
          </w:p>
        </w:tc>
        <w:tc>
          <w:tcPr>
            <w:tcW w:w="2012" w:type="dxa"/>
            <w:vAlign w:val="center"/>
          </w:tcPr>
          <w:p w14:paraId="0F4E0C60">
            <w:pPr>
              <w:snapToGrid w:val="0"/>
              <w:spacing w:before="50" w:afterLines="50"/>
              <w:jc w:val="center"/>
              <w:rPr>
                <w:rFonts w:ascii="宋体" w:hAnsi="宋体"/>
                <w:b/>
                <w:bCs/>
                <w:color w:val="auto"/>
                <w:sz w:val="24"/>
                <w:szCs w:val="20"/>
              </w:rPr>
            </w:pPr>
          </w:p>
        </w:tc>
      </w:tr>
      <w:tr w14:paraId="0CCA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14:paraId="29BBC33B">
            <w:pPr>
              <w:snapToGrid w:val="0"/>
              <w:spacing w:before="50" w:afterLines="50"/>
              <w:jc w:val="center"/>
              <w:rPr>
                <w:rFonts w:ascii="宋体" w:hAnsi="宋体"/>
                <w:color w:val="auto"/>
                <w:sz w:val="24"/>
                <w:szCs w:val="20"/>
              </w:rPr>
            </w:pPr>
          </w:p>
        </w:tc>
        <w:tc>
          <w:tcPr>
            <w:tcW w:w="774" w:type="dxa"/>
            <w:vAlign w:val="center"/>
          </w:tcPr>
          <w:p w14:paraId="0F8718E9">
            <w:pPr>
              <w:snapToGrid w:val="0"/>
              <w:spacing w:before="50" w:afterLines="50"/>
              <w:jc w:val="center"/>
              <w:rPr>
                <w:rFonts w:ascii="宋体" w:hAnsi="宋体"/>
                <w:b/>
                <w:bCs/>
                <w:color w:val="auto"/>
                <w:sz w:val="24"/>
                <w:szCs w:val="20"/>
              </w:rPr>
            </w:pPr>
          </w:p>
        </w:tc>
        <w:tc>
          <w:tcPr>
            <w:tcW w:w="1547" w:type="dxa"/>
            <w:vAlign w:val="center"/>
          </w:tcPr>
          <w:p w14:paraId="364A25C2">
            <w:pPr>
              <w:snapToGrid w:val="0"/>
              <w:spacing w:before="50" w:afterLines="50"/>
              <w:jc w:val="center"/>
              <w:rPr>
                <w:rFonts w:ascii="宋体" w:hAnsi="宋体"/>
                <w:b/>
                <w:bCs/>
                <w:color w:val="auto"/>
                <w:sz w:val="24"/>
                <w:szCs w:val="20"/>
              </w:rPr>
            </w:pPr>
          </w:p>
        </w:tc>
        <w:tc>
          <w:tcPr>
            <w:tcW w:w="1862" w:type="dxa"/>
            <w:vAlign w:val="center"/>
          </w:tcPr>
          <w:p w14:paraId="58C47B64">
            <w:pPr>
              <w:snapToGrid w:val="0"/>
              <w:spacing w:before="50" w:afterLines="50"/>
              <w:jc w:val="center"/>
              <w:rPr>
                <w:rFonts w:ascii="宋体" w:hAnsi="宋体"/>
                <w:b/>
                <w:bCs/>
                <w:color w:val="auto"/>
                <w:sz w:val="24"/>
                <w:szCs w:val="20"/>
              </w:rPr>
            </w:pPr>
          </w:p>
        </w:tc>
        <w:tc>
          <w:tcPr>
            <w:tcW w:w="1854" w:type="dxa"/>
            <w:vAlign w:val="center"/>
          </w:tcPr>
          <w:p w14:paraId="4AFC3669">
            <w:pPr>
              <w:snapToGrid w:val="0"/>
              <w:spacing w:before="50" w:afterLines="50"/>
              <w:jc w:val="center"/>
              <w:rPr>
                <w:rFonts w:ascii="宋体" w:hAnsi="宋体"/>
                <w:b/>
                <w:bCs/>
                <w:color w:val="auto"/>
                <w:sz w:val="24"/>
                <w:szCs w:val="20"/>
              </w:rPr>
            </w:pPr>
          </w:p>
        </w:tc>
        <w:tc>
          <w:tcPr>
            <w:tcW w:w="2012" w:type="dxa"/>
            <w:vAlign w:val="center"/>
          </w:tcPr>
          <w:p w14:paraId="63F7B9EC">
            <w:pPr>
              <w:snapToGrid w:val="0"/>
              <w:spacing w:before="50" w:afterLines="50"/>
              <w:jc w:val="center"/>
              <w:rPr>
                <w:rFonts w:ascii="宋体" w:hAnsi="宋体"/>
                <w:b/>
                <w:bCs/>
                <w:color w:val="auto"/>
                <w:sz w:val="24"/>
                <w:szCs w:val="20"/>
              </w:rPr>
            </w:pPr>
          </w:p>
        </w:tc>
      </w:tr>
      <w:tr w14:paraId="5163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14:paraId="2EFDBB53">
            <w:pPr>
              <w:snapToGrid w:val="0"/>
              <w:spacing w:before="50" w:afterLines="50"/>
              <w:jc w:val="center"/>
              <w:rPr>
                <w:rFonts w:ascii="宋体" w:hAnsi="宋体"/>
                <w:color w:val="auto"/>
                <w:sz w:val="24"/>
                <w:szCs w:val="20"/>
              </w:rPr>
            </w:pPr>
          </w:p>
        </w:tc>
        <w:tc>
          <w:tcPr>
            <w:tcW w:w="774" w:type="dxa"/>
            <w:vAlign w:val="center"/>
          </w:tcPr>
          <w:p w14:paraId="64B8EEA6">
            <w:pPr>
              <w:snapToGrid w:val="0"/>
              <w:spacing w:before="50" w:afterLines="50"/>
              <w:jc w:val="center"/>
              <w:rPr>
                <w:rFonts w:ascii="宋体" w:hAnsi="宋体"/>
                <w:b/>
                <w:bCs/>
                <w:color w:val="auto"/>
                <w:sz w:val="24"/>
                <w:szCs w:val="20"/>
              </w:rPr>
            </w:pPr>
          </w:p>
        </w:tc>
        <w:tc>
          <w:tcPr>
            <w:tcW w:w="1547" w:type="dxa"/>
            <w:vAlign w:val="center"/>
          </w:tcPr>
          <w:p w14:paraId="16A2A4EE">
            <w:pPr>
              <w:snapToGrid w:val="0"/>
              <w:spacing w:before="50" w:afterLines="50"/>
              <w:jc w:val="center"/>
              <w:rPr>
                <w:rFonts w:ascii="宋体" w:hAnsi="宋体"/>
                <w:b/>
                <w:bCs/>
                <w:color w:val="auto"/>
                <w:sz w:val="24"/>
                <w:szCs w:val="20"/>
              </w:rPr>
            </w:pPr>
          </w:p>
        </w:tc>
        <w:tc>
          <w:tcPr>
            <w:tcW w:w="1862" w:type="dxa"/>
            <w:vAlign w:val="center"/>
          </w:tcPr>
          <w:p w14:paraId="3F6816AF">
            <w:pPr>
              <w:snapToGrid w:val="0"/>
              <w:spacing w:before="50" w:afterLines="50"/>
              <w:jc w:val="center"/>
              <w:rPr>
                <w:rFonts w:ascii="宋体" w:hAnsi="宋体"/>
                <w:b/>
                <w:bCs/>
                <w:color w:val="auto"/>
                <w:sz w:val="24"/>
                <w:szCs w:val="20"/>
              </w:rPr>
            </w:pPr>
          </w:p>
        </w:tc>
        <w:tc>
          <w:tcPr>
            <w:tcW w:w="1854" w:type="dxa"/>
            <w:vAlign w:val="center"/>
          </w:tcPr>
          <w:p w14:paraId="0F7D8465">
            <w:pPr>
              <w:snapToGrid w:val="0"/>
              <w:spacing w:before="50" w:afterLines="50"/>
              <w:jc w:val="center"/>
              <w:rPr>
                <w:rFonts w:ascii="宋体" w:hAnsi="宋体"/>
                <w:b/>
                <w:bCs/>
                <w:color w:val="auto"/>
                <w:sz w:val="24"/>
                <w:szCs w:val="20"/>
              </w:rPr>
            </w:pPr>
          </w:p>
        </w:tc>
        <w:tc>
          <w:tcPr>
            <w:tcW w:w="2012" w:type="dxa"/>
            <w:vAlign w:val="center"/>
          </w:tcPr>
          <w:p w14:paraId="3F0F15E4">
            <w:pPr>
              <w:snapToGrid w:val="0"/>
              <w:spacing w:before="50" w:afterLines="50"/>
              <w:jc w:val="center"/>
              <w:rPr>
                <w:rFonts w:ascii="宋体" w:hAnsi="宋体"/>
                <w:b/>
                <w:bCs/>
                <w:color w:val="auto"/>
                <w:sz w:val="24"/>
                <w:szCs w:val="20"/>
              </w:rPr>
            </w:pPr>
          </w:p>
        </w:tc>
      </w:tr>
    </w:tbl>
    <w:p w14:paraId="62FF9044">
      <w:pPr>
        <w:snapToGrid w:val="0"/>
        <w:spacing w:before="50" w:afterLines="50"/>
        <w:jc w:val="left"/>
        <w:rPr>
          <w:rFonts w:ascii="宋体" w:hAnsi="宋体"/>
          <w:color w:val="auto"/>
          <w:sz w:val="24"/>
          <w:szCs w:val="20"/>
        </w:rPr>
      </w:pPr>
    </w:p>
    <w:p w14:paraId="7518F28A">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6B3F7A8F">
      <w:pPr>
        <w:spacing w:line="360" w:lineRule="auto"/>
        <w:contextualSpacing/>
        <w:jc w:val="left"/>
        <w:rPr>
          <w:rFonts w:ascii="宋体" w:hAnsi="宋体"/>
          <w:color w:val="auto"/>
          <w:sz w:val="24"/>
          <w:szCs w:val="20"/>
        </w:rPr>
      </w:pPr>
      <w:r>
        <w:rPr>
          <w:rFonts w:hint="eastAsia" w:ascii="宋体" w:hAnsi="宋体"/>
          <w:color w:val="auto"/>
          <w:sz w:val="24"/>
          <w:szCs w:val="20"/>
        </w:rPr>
        <w:t>1.在填写时，如本表格不适合投标单位的实际情况，可根据本表格式自行制表填写。</w:t>
      </w:r>
    </w:p>
    <w:p w14:paraId="78DB45F8">
      <w:pPr>
        <w:spacing w:line="360" w:lineRule="auto"/>
        <w:contextualSpacing/>
        <w:jc w:val="left"/>
        <w:rPr>
          <w:rFonts w:ascii="宋体" w:hAnsi="宋体"/>
          <w:color w:val="auto"/>
          <w:sz w:val="24"/>
          <w:szCs w:val="20"/>
        </w:rPr>
      </w:pPr>
      <w:r>
        <w:rPr>
          <w:rFonts w:hint="eastAsia" w:ascii="宋体" w:hAnsi="宋体"/>
          <w:color w:val="auto"/>
          <w:sz w:val="24"/>
          <w:szCs w:val="20"/>
        </w:rPr>
        <w:t>2.投标人应当附本表所列证书的扫描件并加盖投标人电子签章。</w:t>
      </w:r>
    </w:p>
    <w:p w14:paraId="3003C44F">
      <w:pPr>
        <w:spacing w:line="360" w:lineRule="auto"/>
        <w:contextualSpacing/>
        <w:rPr>
          <w:rFonts w:ascii="宋体" w:hAnsi="宋体"/>
          <w:color w:val="auto"/>
          <w:spacing w:val="20"/>
          <w:sz w:val="24"/>
          <w:szCs w:val="20"/>
          <w:u w:val="single"/>
        </w:rPr>
      </w:pPr>
      <w:r>
        <w:rPr>
          <w:rFonts w:hint="eastAsia" w:ascii="宋体" w:hAnsi="宋体"/>
          <w:color w:val="auto"/>
          <w:sz w:val="24"/>
        </w:rPr>
        <w:t>法定代表人或者委托代理人</w:t>
      </w:r>
      <w:r>
        <w:rPr>
          <w:rFonts w:hint="eastAsia" w:ascii="宋体" w:hAnsi="宋体"/>
          <w:color w:val="auto"/>
          <w:spacing w:val="20"/>
          <w:sz w:val="24"/>
        </w:rPr>
        <w:t>（签字或者电子签名）：</w:t>
      </w:r>
    </w:p>
    <w:p w14:paraId="5BF74030">
      <w:pPr>
        <w:spacing w:line="360" w:lineRule="auto"/>
        <w:contextualSpacing/>
        <w:jc w:val="left"/>
        <w:rPr>
          <w:rFonts w:ascii="宋体" w:hAnsi="宋体"/>
          <w:color w:val="auto"/>
          <w:spacing w:val="20"/>
          <w:sz w:val="24"/>
        </w:rPr>
      </w:pPr>
      <w:r>
        <w:rPr>
          <w:rFonts w:hint="eastAsia" w:ascii="宋体" w:hAnsi="宋体"/>
          <w:color w:val="auto"/>
          <w:spacing w:val="20"/>
          <w:sz w:val="24"/>
        </w:rPr>
        <w:t>投标人名称（电子签章）：</w:t>
      </w:r>
    </w:p>
    <w:p w14:paraId="66A9DDA5">
      <w:pPr>
        <w:spacing w:line="360" w:lineRule="auto"/>
        <w:contextualSpacing/>
        <w:jc w:val="left"/>
        <w:rPr>
          <w:rFonts w:ascii="宋体" w:hAnsi="宋体"/>
          <w:color w:val="auto"/>
          <w:sz w:val="24"/>
          <w:szCs w:val="20"/>
        </w:rPr>
      </w:pPr>
      <w:r>
        <w:rPr>
          <w:rFonts w:hint="eastAsia" w:ascii="宋体" w:hAnsi="宋体"/>
          <w:color w:val="auto"/>
          <w:spacing w:val="20"/>
          <w:sz w:val="24"/>
        </w:rPr>
        <w:t>日 期：</w:t>
      </w:r>
    </w:p>
    <w:p w14:paraId="56817697">
      <w:pPr>
        <w:spacing w:line="360" w:lineRule="auto"/>
        <w:contextualSpacing/>
        <w:jc w:val="left"/>
        <w:rPr>
          <w:rFonts w:ascii="宋体" w:hAnsi="宋体"/>
          <w:color w:val="auto"/>
          <w:sz w:val="24"/>
          <w:szCs w:val="20"/>
        </w:rPr>
      </w:pPr>
    </w:p>
    <w:p w14:paraId="3E40F1A7">
      <w:pPr>
        <w:snapToGrid w:val="0"/>
        <w:spacing w:before="50" w:afterLines="50"/>
        <w:jc w:val="left"/>
        <w:rPr>
          <w:rFonts w:ascii="宋体" w:hAnsi="宋体"/>
          <w:color w:val="auto"/>
          <w:sz w:val="24"/>
          <w:szCs w:val="20"/>
        </w:rPr>
      </w:pPr>
    </w:p>
    <w:p w14:paraId="492CAC48">
      <w:pPr>
        <w:snapToGrid w:val="0"/>
        <w:spacing w:beforeLines="50" w:after="50"/>
        <w:jc w:val="left"/>
        <w:rPr>
          <w:rFonts w:ascii="宋体" w:hAnsi="宋体"/>
          <w:color w:val="auto"/>
          <w:sz w:val="24"/>
          <w:szCs w:val="20"/>
        </w:rPr>
      </w:pPr>
    </w:p>
    <w:p w14:paraId="22883F52">
      <w:pPr>
        <w:snapToGrid w:val="0"/>
        <w:spacing w:before="50" w:afterLines="50"/>
        <w:jc w:val="left"/>
        <w:rPr>
          <w:rFonts w:ascii="宋体" w:hAnsi="宋体"/>
          <w:color w:val="auto"/>
          <w:sz w:val="24"/>
          <w:szCs w:val="20"/>
        </w:rPr>
      </w:pPr>
    </w:p>
    <w:p w14:paraId="1E60A0A1">
      <w:pPr>
        <w:rPr>
          <w:b/>
          <w:color w:val="auto"/>
          <w:sz w:val="28"/>
          <w:szCs w:val="28"/>
        </w:rPr>
      </w:pPr>
      <w:r>
        <w:rPr>
          <w:rFonts w:ascii="宋体" w:hAnsi="宋体"/>
          <w:b/>
          <w:bCs/>
          <w:color w:val="auto"/>
          <w:sz w:val="24"/>
        </w:rPr>
        <w:br w:type="page"/>
      </w:r>
      <w:bookmarkStart w:id="173" w:name="_Toc19686840"/>
      <w:r>
        <w:rPr>
          <w:rFonts w:hint="eastAsia"/>
          <w:b/>
          <w:color w:val="auto"/>
          <w:sz w:val="28"/>
          <w:szCs w:val="28"/>
        </w:rPr>
        <w:t>四、其他文书、文件格式</w:t>
      </w:r>
      <w:bookmarkEnd w:id="173"/>
    </w:p>
    <w:p w14:paraId="04E7DFD8">
      <w:pPr>
        <w:snapToGrid w:val="0"/>
        <w:spacing w:beforeLines="50" w:after="50"/>
        <w:ind w:left="-69"/>
        <w:jc w:val="left"/>
        <w:rPr>
          <w:rFonts w:ascii="宋体" w:hAnsi="宋体"/>
          <w:b/>
          <w:color w:val="auto"/>
          <w:spacing w:val="20"/>
          <w:sz w:val="24"/>
        </w:rPr>
      </w:pPr>
      <w:r>
        <w:rPr>
          <w:rFonts w:hint="eastAsia" w:ascii="宋体" w:hAnsi="宋体"/>
          <w:b/>
          <w:color w:val="auto"/>
          <w:spacing w:val="20"/>
          <w:sz w:val="24"/>
        </w:rPr>
        <w:t>1.联合投标协议书格式</w:t>
      </w:r>
    </w:p>
    <w:p w14:paraId="7903EB62">
      <w:pPr>
        <w:pStyle w:val="8"/>
        <w:overflowPunct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联合体协议书</w:t>
      </w:r>
    </w:p>
    <w:p w14:paraId="739CB099">
      <w:pPr>
        <w:pStyle w:val="8"/>
        <w:overflowPunct w:val="0"/>
        <w:spacing w:line="360" w:lineRule="auto"/>
        <w:ind w:firstLine="0"/>
        <w:contextualSpacing/>
        <w:rPr>
          <w:rFonts w:ascii="宋体" w:hAnsi="宋体"/>
          <w:color w:val="auto"/>
          <w:sz w:val="24"/>
        </w:rPr>
      </w:pPr>
    </w:p>
    <w:p w14:paraId="0BC8CDD2">
      <w:pPr>
        <w:pStyle w:val="8"/>
        <w:overflowPunct w:val="0"/>
        <w:spacing w:line="360" w:lineRule="auto"/>
        <w:contextualSpacing/>
        <w:rPr>
          <w:rFonts w:ascii="宋体" w:hAnsi="宋体"/>
          <w:color w:val="auto"/>
          <w:sz w:val="24"/>
        </w:rPr>
      </w:pPr>
      <w:r>
        <w:rPr>
          <w:rFonts w:ascii="宋体" w:hAnsi="宋体"/>
          <w:color w:val="auto"/>
          <w:sz w:val="24"/>
          <w:u w:val="single"/>
        </w:rPr>
        <w:tab/>
      </w:r>
      <w:r>
        <w:rPr>
          <w:rFonts w:hint="eastAsia" w:ascii="宋体" w:hAnsi="宋体"/>
          <w:color w:val="auto"/>
          <w:sz w:val="24"/>
        </w:rPr>
        <w:t>（所有成员单位名称）自愿组成</w:t>
      </w:r>
      <w:r>
        <w:rPr>
          <w:rFonts w:ascii="宋体" w:hAnsi="宋体"/>
          <w:color w:val="auto"/>
          <w:sz w:val="24"/>
          <w:u w:val="single"/>
        </w:rPr>
        <w:tab/>
      </w:r>
      <w:r>
        <w:rPr>
          <w:rFonts w:hint="eastAsia" w:ascii="宋体" w:hAnsi="宋体"/>
          <w:color w:val="auto"/>
          <w:sz w:val="24"/>
        </w:rPr>
        <w:t>（联合体名称）联合体，共同参加</w:t>
      </w:r>
      <w:r>
        <w:rPr>
          <w:rFonts w:ascii="宋体" w:hAnsi="宋体"/>
          <w:color w:val="auto"/>
          <w:sz w:val="24"/>
          <w:u w:val="single"/>
        </w:rPr>
        <w:tab/>
      </w:r>
      <w:r>
        <w:rPr>
          <w:rFonts w:hint="eastAsia" w:ascii="宋体" w:hAnsi="宋体"/>
          <w:color w:val="auto"/>
          <w:sz w:val="24"/>
          <w:u w:val="single"/>
        </w:rPr>
        <w:t>（项</w:t>
      </w:r>
      <w:r>
        <w:rPr>
          <w:rFonts w:hint="eastAsia" w:ascii="宋体" w:hAnsi="宋体"/>
          <w:color w:val="auto"/>
          <w:sz w:val="24"/>
        </w:rPr>
        <w:t>目名称）采购招标项目投标。现就联合体投标事宜订立如下协议。</w:t>
      </w:r>
    </w:p>
    <w:p w14:paraId="52EDC28D">
      <w:pPr>
        <w:pStyle w:val="8"/>
        <w:overflowPunct w:val="0"/>
        <w:spacing w:line="360" w:lineRule="auto"/>
        <w:ind w:firstLineChars="175"/>
        <w:contextualSpacing/>
        <w:rPr>
          <w:rFonts w:ascii="宋体" w:hAnsi="宋体"/>
          <w:color w:val="auto"/>
          <w:sz w:val="24"/>
        </w:rPr>
      </w:pPr>
      <w:r>
        <w:rPr>
          <w:rFonts w:ascii="宋体" w:hAnsi="宋体"/>
          <w:color w:val="auto"/>
          <w:sz w:val="24"/>
        </w:rPr>
        <w:t xml:space="preserve">1.  </w:t>
      </w:r>
      <w:r>
        <w:rPr>
          <w:rFonts w:ascii="宋体" w:hAnsi="宋体"/>
          <w:color w:val="auto"/>
          <w:sz w:val="24"/>
          <w:u w:val="single"/>
        </w:rPr>
        <w:tab/>
      </w:r>
      <w:r>
        <w:rPr>
          <w:rFonts w:hint="eastAsia" w:ascii="宋体" w:hAnsi="宋体"/>
          <w:color w:val="auto"/>
          <w:sz w:val="24"/>
        </w:rPr>
        <w:t>（某成员单位名称）为</w:t>
      </w:r>
      <w:r>
        <w:rPr>
          <w:rFonts w:ascii="宋体" w:hAnsi="宋体"/>
          <w:color w:val="auto"/>
          <w:sz w:val="24"/>
          <w:u w:val="single"/>
        </w:rPr>
        <w:tab/>
      </w:r>
      <w:r>
        <w:rPr>
          <w:rFonts w:hint="eastAsia" w:ascii="宋体" w:hAnsi="宋体"/>
          <w:color w:val="auto"/>
          <w:sz w:val="24"/>
        </w:rPr>
        <w:t>（联合体名称）牵头人。</w:t>
      </w:r>
    </w:p>
    <w:p w14:paraId="46E01734">
      <w:pPr>
        <w:pStyle w:val="8"/>
        <w:overflowPunct w:val="0"/>
        <w:spacing w:line="360" w:lineRule="auto"/>
        <w:ind w:firstLineChars="175"/>
        <w:contextualSpacing/>
        <w:rPr>
          <w:rFonts w:ascii="宋体" w:hAnsi="宋体"/>
          <w:color w:val="auto"/>
          <w:sz w:val="24"/>
        </w:rPr>
      </w:pPr>
      <w:r>
        <w:rPr>
          <w:rFonts w:ascii="宋体" w:hAnsi="宋体"/>
          <w:color w:val="auto"/>
          <w:sz w:val="24"/>
        </w:rPr>
        <w:t>2.</w:t>
      </w:r>
      <w:r>
        <w:rPr>
          <w:rFonts w:hint="eastAsia" w:ascii="宋体" w:hAnsi="宋体"/>
          <w:color w:val="auto"/>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28EACC98">
      <w:pPr>
        <w:pStyle w:val="8"/>
        <w:overflowPunct w:val="0"/>
        <w:spacing w:line="360" w:lineRule="auto"/>
        <w:ind w:firstLineChars="175"/>
        <w:contextualSpacing/>
        <w:rPr>
          <w:rFonts w:ascii="宋体" w:hAnsi="宋体"/>
          <w:color w:val="auto"/>
          <w:sz w:val="24"/>
        </w:rPr>
      </w:pPr>
      <w:r>
        <w:rPr>
          <w:rFonts w:ascii="宋体" w:hAnsi="宋体"/>
          <w:color w:val="auto"/>
          <w:sz w:val="24"/>
        </w:rPr>
        <w:t>3.</w:t>
      </w:r>
      <w:r>
        <w:rPr>
          <w:rFonts w:hint="eastAsia" w:ascii="宋体" w:hAnsi="宋体"/>
          <w:color w:val="auto"/>
          <w:sz w:val="24"/>
        </w:rPr>
        <w:t>联合体牵头人在本项目中签署和盖章的一切文件和处理的一切事宜，联合体各成员均予以承认。联合体各成员将严格按照招标文件、投标文件和合同的要求全面履行义务，并向招标人承担连带责任。</w:t>
      </w:r>
    </w:p>
    <w:p w14:paraId="49FBC5FC">
      <w:pPr>
        <w:pStyle w:val="8"/>
        <w:overflowPunct w:val="0"/>
        <w:spacing w:line="380" w:lineRule="exact"/>
        <w:ind w:firstLineChars="175"/>
        <w:contextualSpacing/>
        <w:rPr>
          <w:rFonts w:ascii="宋体" w:hAnsi="宋体"/>
          <w:color w:val="auto"/>
          <w:sz w:val="24"/>
        </w:rPr>
      </w:pPr>
      <w:r>
        <w:rPr>
          <w:rFonts w:ascii="宋体" w:hAnsi="宋体"/>
          <w:color w:val="auto"/>
          <w:sz w:val="24"/>
        </w:rPr>
        <w:t>4.</w:t>
      </w:r>
      <w:r>
        <w:rPr>
          <w:rFonts w:hint="eastAsia" w:ascii="宋体" w:hAnsi="宋体"/>
          <w:color w:val="auto"/>
          <w:sz w:val="24"/>
        </w:rPr>
        <w:t>联合体各成员单位内部的职责分工如下：</w:t>
      </w:r>
    </w:p>
    <w:p w14:paraId="05E76257">
      <w:pPr>
        <w:pStyle w:val="8"/>
        <w:overflowPunct w:val="0"/>
        <w:spacing w:line="380" w:lineRule="exact"/>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w:t>
      </w:r>
    </w:p>
    <w:p w14:paraId="663C1CAC">
      <w:pPr>
        <w:pStyle w:val="8"/>
        <w:overflowPunct w:val="0"/>
        <w:spacing w:line="380" w:lineRule="exact"/>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联合体各成员单位合同金额比例分配如下：</w:t>
      </w:r>
    </w:p>
    <w:p w14:paraId="6D561A6F">
      <w:pPr>
        <w:pStyle w:val="8"/>
        <w:overflowPunct w:val="0"/>
        <w:spacing w:line="380" w:lineRule="exact"/>
        <w:ind w:firstLineChars="175"/>
        <w:contextualSpacing/>
        <w:rPr>
          <w:rFonts w:ascii="宋体" w:hAnsi="宋体"/>
          <w:color w:val="auto"/>
          <w:sz w:val="24"/>
        </w:rPr>
      </w:pPr>
      <w:r>
        <w:rPr>
          <w:rFonts w:hint="eastAsia" w:ascii="宋体" w:hAnsi="宋体" w:cs="仿宋_GB2312"/>
          <w:color w:val="auto"/>
          <w:sz w:val="24"/>
          <w:szCs w:val="24"/>
        </w:rPr>
        <w:t>。</w:t>
      </w:r>
    </w:p>
    <w:p w14:paraId="1E419429">
      <w:pPr>
        <w:pStyle w:val="8"/>
        <w:overflowPunct w:val="0"/>
        <w:spacing w:line="360" w:lineRule="auto"/>
        <w:ind w:firstLineChars="175"/>
        <w:contextualSpacing/>
        <w:rPr>
          <w:rFonts w:ascii="宋体" w:hAnsi="宋体"/>
          <w:color w:val="auto"/>
          <w:sz w:val="24"/>
        </w:rPr>
      </w:pPr>
      <w:r>
        <w:rPr>
          <w:rFonts w:ascii="宋体" w:hAnsi="宋体"/>
          <w:color w:val="auto"/>
          <w:sz w:val="24"/>
        </w:rPr>
        <w:t>5.</w:t>
      </w:r>
      <w:r>
        <w:rPr>
          <w:rFonts w:hint="eastAsia" w:ascii="宋体" w:hAnsi="宋体"/>
          <w:color w:val="auto"/>
          <w:sz w:val="24"/>
        </w:rPr>
        <w:t>本协议书自所有成员单位法定代表人或者其委托代理人签字（或者电子签名）或者盖公章之日起生效，合同履行完毕后自动失效。</w:t>
      </w:r>
    </w:p>
    <w:p w14:paraId="5E747423">
      <w:pPr>
        <w:pStyle w:val="8"/>
        <w:overflowPunct w:val="0"/>
        <w:spacing w:line="360" w:lineRule="auto"/>
        <w:ind w:firstLineChars="175"/>
        <w:contextualSpacing/>
        <w:rPr>
          <w:rFonts w:ascii="宋体" w:hAnsi="宋体"/>
          <w:color w:val="auto"/>
          <w:sz w:val="24"/>
        </w:rPr>
      </w:pPr>
      <w:r>
        <w:rPr>
          <w:rFonts w:ascii="宋体" w:hAnsi="宋体"/>
          <w:color w:val="auto"/>
          <w:sz w:val="24"/>
        </w:rPr>
        <w:t>6.</w:t>
      </w:r>
      <w:r>
        <w:rPr>
          <w:rFonts w:hint="eastAsia" w:ascii="宋体" w:hAnsi="宋体"/>
          <w:color w:val="auto"/>
          <w:sz w:val="24"/>
        </w:rPr>
        <w:t>本协议书一式</w:t>
      </w:r>
      <w:r>
        <w:rPr>
          <w:rFonts w:ascii="宋体" w:hAnsi="宋体"/>
          <w:color w:val="auto"/>
          <w:sz w:val="24"/>
          <w:u w:val="single"/>
        </w:rPr>
        <w:tab/>
      </w:r>
      <w:r>
        <w:rPr>
          <w:rFonts w:hint="eastAsia" w:ascii="宋体" w:hAnsi="宋体"/>
          <w:color w:val="auto"/>
          <w:sz w:val="24"/>
        </w:rPr>
        <w:t>份，联合体成员和招标人各执一份。</w:t>
      </w:r>
    </w:p>
    <w:p w14:paraId="0BE8670C">
      <w:pPr>
        <w:pStyle w:val="8"/>
        <w:overflowPunct w:val="0"/>
        <w:spacing w:line="360" w:lineRule="auto"/>
        <w:ind w:firstLineChars="175"/>
        <w:contextualSpacing/>
        <w:rPr>
          <w:rFonts w:ascii="宋体" w:hAnsi="宋体"/>
          <w:color w:val="auto"/>
          <w:sz w:val="24"/>
        </w:rPr>
      </w:pPr>
      <w:r>
        <w:rPr>
          <w:rFonts w:hint="eastAsia" w:ascii="宋体" w:hAnsi="宋体"/>
          <w:color w:val="auto"/>
          <w:sz w:val="24"/>
        </w:rPr>
        <w:t>注：本协议书应附法定代表人身份证明；有委托代理的，应附授权委托书</w:t>
      </w:r>
      <w:r>
        <w:rPr>
          <w:rFonts w:hint="eastAsia" w:ascii="宋体" w:hAnsi="宋体" w:cs="仿宋_GB2312"/>
          <w:color w:val="auto"/>
          <w:sz w:val="24"/>
        </w:rPr>
        <w:t>（格式自拟）</w:t>
      </w:r>
      <w:r>
        <w:rPr>
          <w:rFonts w:hint="eastAsia" w:ascii="宋体" w:hAnsi="宋体"/>
          <w:color w:val="auto"/>
          <w:sz w:val="24"/>
        </w:rPr>
        <w:t>。</w:t>
      </w:r>
    </w:p>
    <w:p w14:paraId="1052CFC3">
      <w:pPr>
        <w:pStyle w:val="8"/>
        <w:overflowPunct w:val="0"/>
        <w:spacing w:line="360" w:lineRule="auto"/>
        <w:ind w:firstLineChars="175"/>
        <w:contextualSpacing/>
        <w:rPr>
          <w:rFonts w:ascii="宋体" w:hAnsi="宋体"/>
          <w:color w:val="auto"/>
          <w:sz w:val="24"/>
        </w:rPr>
      </w:pPr>
    </w:p>
    <w:p w14:paraId="35906D2E">
      <w:pPr>
        <w:pStyle w:val="8"/>
        <w:overflowPunct w:val="0"/>
        <w:spacing w:line="360" w:lineRule="auto"/>
        <w:ind w:firstLineChars="175"/>
        <w:contextualSpacing/>
        <w:rPr>
          <w:rFonts w:ascii="宋体" w:hAnsi="宋体"/>
          <w:color w:val="auto"/>
          <w:sz w:val="24"/>
        </w:rPr>
      </w:pPr>
      <w:r>
        <w:rPr>
          <w:rFonts w:hint="eastAsia" w:ascii="宋体" w:hAnsi="宋体"/>
          <w:color w:val="auto"/>
          <w:sz w:val="24"/>
        </w:rPr>
        <w:t>联合体牵头人名称（电子签章）：</w:t>
      </w:r>
    </w:p>
    <w:p w14:paraId="75BCCEAD">
      <w:pPr>
        <w:pStyle w:val="8"/>
        <w:overflowPunct w:val="0"/>
        <w:spacing w:line="360" w:lineRule="auto"/>
        <w:ind w:firstLineChars="175"/>
        <w:contextualSpacing/>
        <w:rPr>
          <w:rFonts w:ascii="宋体" w:hAnsi="宋体"/>
          <w:color w:val="auto"/>
          <w:sz w:val="24"/>
          <w:u w:val="single"/>
        </w:rPr>
      </w:pPr>
      <w:r>
        <w:rPr>
          <w:rFonts w:hint="eastAsia" w:ascii="宋体" w:hAnsi="宋体"/>
          <w:color w:val="auto"/>
          <w:sz w:val="24"/>
        </w:rPr>
        <w:t>法定代表人或者其委托代理人：</w:t>
      </w:r>
      <w:r>
        <w:rPr>
          <w:rFonts w:ascii="宋体" w:hAnsi="宋体"/>
          <w:color w:val="auto"/>
          <w:sz w:val="24"/>
          <w:u w:val="single"/>
        </w:rPr>
        <w:tab/>
      </w:r>
      <w:r>
        <w:rPr>
          <w:rFonts w:hint="eastAsia" w:ascii="宋体" w:hAnsi="宋体"/>
          <w:color w:val="auto"/>
          <w:sz w:val="24"/>
          <w:u w:val="single"/>
        </w:rPr>
        <w:t>（签字或者电子签名）</w:t>
      </w:r>
    </w:p>
    <w:p w14:paraId="32BB23C4">
      <w:pPr>
        <w:pStyle w:val="8"/>
        <w:overflowPunct w:val="0"/>
        <w:spacing w:line="360" w:lineRule="auto"/>
        <w:ind w:firstLineChars="175"/>
        <w:contextualSpacing/>
        <w:rPr>
          <w:rFonts w:ascii="宋体" w:hAnsi="宋体"/>
          <w:color w:val="auto"/>
          <w:sz w:val="24"/>
        </w:rPr>
      </w:pPr>
    </w:p>
    <w:p w14:paraId="1C4C2CB9">
      <w:pPr>
        <w:pStyle w:val="8"/>
        <w:overflowPunct w:val="0"/>
        <w:spacing w:line="360" w:lineRule="auto"/>
        <w:ind w:firstLineChars="175"/>
        <w:contextualSpacing/>
        <w:rPr>
          <w:rFonts w:ascii="宋体" w:hAnsi="宋体"/>
          <w:color w:val="auto"/>
          <w:sz w:val="24"/>
        </w:rPr>
      </w:pPr>
      <w:r>
        <w:rPr>
          <w:rFonts w:hint="eastAsia" w:ascii="宋体" w:hAnsi="宋体"/>
          <w:color w:val="auto"/>
          <w:sz w:val="24"/>
        </w:rPr>
        <w:t>联合体成员名称（</w:t>
      </w:r>
      <w:r>
        <w:rPr>
          <w:rFonts w:hint="eastAsia" w:ascii="宋体" w:hAnsi="宋体" w:cs="仿宋_GB2312"/>
          <w:color w:val="auto"/>
          <w:sz w:val="24"/>
        </w:rPr>
        <w:t>盖公章或者电子签章</w:t>
      </w:r>
      <w:r>
        <w:rPr>
          <w:rFonts w:hint="eastAsia" w:ascii="宋体" w:hAnsi="宋体"/>
          <w:color w:val="auto"/>
          <w:sz w:val="24"/>
        </w:rPr>
        <w:t>）：</w:t>
      </w:r>
    </w:p>
    <w:p w14:paraId="4B930ABB">
      <w:pPr>
        <w:pStyle w:val="8"/>
        <w:overflowPunct w:val="0"/>
        <w:spacing w:line="360" w:lineRule="auto"/>
        <w:ind w:firstLineChars="175"/>
        <w:contextualSpacing/>
        <w:rPr>
          <w:rFonts w:ascii="宋体" w:hAnsi="宋体"/>
          <w:color w:val="auto"/>
          <w:sz w:val="24"/>
          <w:u w:val="single"/>
        </w:rPr>
      </w:pPr>
      <w:r>
        <w:rPr>
          <w:rFonts w:hint="eastAsia" w:ascii="宋体" w:hAnsi="宋体"/>
          <w:color w:val="auto"/>
          <w:sz w:val="24"/>
        </w:rPr>
        <w:t>法定代表人或者其委托代理人：</w:t>
      </w:r>
      <w:r>
        <w:rPr>
          <w:rFonts w:ascii="宋体" w:hAnsi="宋体"/>
          <w:color w:val="auto"/>
          <w:sz w:val="24"/>
          <w:u w:val="single"/>
        </w:rPr>
        <w:tab/>
      </w:r>
      <w:r>
        <w:rPr>
          <w:rFonts w:hint="eastAsia" w:ascii="宋体" w:hAnsi="宋体"/>
          <w:color w:val="auto"/>
          <w:sz w:val="24"/>
          <w:u w:val="single"/>
        </w:rPr>
        <w:t>（签字或者电子签名）</w:t>
      </w:r>
    </w:p>
    <w:p w14:paraId="450280C7">
      <w:pPr>
        <w:pStyle w:val="8"/>
        <w:overflowPunct w:val="0"/>
        <w:spacing w:line="360" w:lineRule="auto"/>
        <w:ind w:firstLineChars="175"/>
        <w:contextualSpacing/>
        <w:rPr>
          <w:rFonts w:ascii="宋体" w:hAnsi="宋体"/>
          <w:color w:val="auto"/>
          <w:sz w:val="24"/>
        </w:rPr>
      </w:pPr>
      <w:r>
        <w:rPr>
          <w:rFonts w:ascii="宋体" w:hAnsi="宋体"/>
          <w:color w:val="auto"/>
          <w:sz w:val="24"/>
        </w:rPr>
        <w:t>……</w:t>
      </w:r>
    </w:p>
    <w:p w14:paraId="062F052F">
      <w:pPr>
        <w:pStyle w:val="8"/>
        <w:overflowPunct w:val="0"/>
        <w:spacing w:line="360" w:lineRule="auto"/>
        <w:ind w:firstLineChars="175"/>
        <w:contextualSpacing/>
        <w:jc w:val="right"/>
        <w:rPr>
          <w:rFonts w:ascii="宋体" w:hAnsi="宋体"/>
          <w:b/>
          <w:color w:val="auto"/>
          <w:sz w:val="24"/>
        </w:rPr>
      </w:pPr>
      <w:r>
        <w:rPr>
          <w:rFonts w:ascii="宋体" w:hAnsi="宋体"/>
          <w:color w:val="auto"/>
          <w:sz w:val="24"/>
        </w:rPr>
        <w:tab/>
      </w:r>
      <w:r>
        <w:rPr>
          <w:rFonts w:hint="eastAsia" w:ascii="宋体" w:hAnsi="宋体"/>
          <w:color w:val="auto"/>
          <w:sz w:val="24"/>
        </w:rPr>
        <w:t>年</w:t>
      </w:r>
      <w:r>
        <w:rPr>
          <w:rFonts w:ascii="宋体" w:hAnsi="宋体"/>
          <w:color w:val="auto"/>
          <w:sz w:val="24"/>
        </w:rPr>
        <w:tab/>
      </w:r>
      <w:r>
        <w:rPr>
          <w:rFonts w:hint="eastAsia" w:ascii="宋体" w:hAnsi="宋体"/>
          <w:color w:val="auto"/>
          <w:sz w:val="24"/>
        </w:rPr>
        <w:t>月</w:t>
      </w:r>
      <w:r>
        <w:rPr>
          <w:rFonts w:ascii="宋体" w:hAnsi="宋体"/>
          <w:color w:val="auto"/>
          <w:sz w:val="24"/>
        </w:rPr>
        <w:tab/>
      </w:r>
      <w:r>
        <w:rPr>
          <w:rFonts w:hint="eastAsia" w:ascii="宋体" w:hAnsi="宋体"/>
          <w:color w:val="auto"/>
          <w:sz w:val="24"/>
        </w:rPr>
        <w:t>日</w:t>
      </w:r>
    </w:p>
    <w:p w14:paraId="786F902F">
      <w:pPr>
        <w:snapToGrid w:val="0"/>
        <w:spacing w:beforeLines="50" w:after="50"/>
        <w:jc w:val="left"/>
        <w:rPr>
          <w:color w:val="auto"/>
        </w:rPr>
      </w:pPr>
      <w:r>
        <w:rPr>
          <w:rFonts w:hint="eastAsia" w:ascii="宋体" w:hAnsi="宋体"/>
          <w:b/>
          <w:color w:val="auto"/>
          <w:sz w:val="24"/>
        </w:rPr>
        <w:t xml:space="preserve"> 2.中小企业声明函格式</w:t>
      </w:r>
    </w:p>
    <w:p w14:paraId="524EDD85">
      <w:pPr>
        <w:rPr>
          <w:color w:val="auto"/>
        </w:rPr>
      </w:pPr>
    </w:p>
    <w:p w14:paraId="38E178FD">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中小企业声明函（服务）</w:t>
      </w:r>
    </w:p>
    <w:p w14:paraId="0EA0D68D">
      <w:pPr>
        <w:spacing w:before="2" w:line="500" w:lineRule="exact"/>
        <w:rPr>
          <w:rFonts w:ascii="宋体" w:hAnsi="宋体" w:cs="宋体"/>
          <w:b/>
          <w:bCs/>
          <w:color w:val="auto"/>
          <w:sz w:val="24"/>
        </w:rPr>
      </w:pPr>
    </w:p>
    <w:p w14:paraId="5592D724">
      <w:pPr>
        <w:pStyle w:val="2"/>
        <w:spacing w:line="500" w:lineRule="exact"/>
        <w:ind w:right="142" w:firstLine="480" w:firstLineChars="200"/>
        <w:rPr>
          <w:rFonts w:ascii="宋体" w:hAnsi="宋体"/>
          <w:color w:val="auto"/>
        </w:rPr>
      </w:pPr>
      <w:r>
        <w:rPr>
          <w:rFonts w:ascii="宋体" w:hAnsi="宋体"/>
          <w:color w:val="auto"/>
        </w:rPr>
        <w:t>本公司（联合体）郑重声明，根据《政府采购促进中小企业发展管理办法》（财库﹝2020﹞46号）的规定，本公司（联合体）参加</w:t>
      </w:r>
      <w:r>
        <w:rPr>
          <w:rFonts w:ascii="宋体" w:hAnsi="宋体"/>
          <w:color w:val="auto"/>
          <w:u w:val="single"/>
        </w:rPr>
        <w:t>（单位名称）</w:t>
      </w:r>
      <w:r>
        <w:rPr>
          <w:rFonts w:ascii="宋体" w:hAnsi="宋体"/>
          <w:color w:val="auto"/>
        </w:rPr>
        <w:t>的</w:t>
      </w:r>
      <w:r>
        <w:rPr>
          <w:rFonts w:ascii="宋体" w:hAnsi="宋体"/>
          <w:color w:val="auto"/>
          <w:u w:val="single"/>
        </w:rPr>
        <w:t>（项目名称）</w:t>
      </w:r>
      <w:r>
        <w:rPr>
          <w:rFonts w:ascii="宋体" w:hAnsi="宋体"/>
          <w:color w:val="auto"/>
        </w:rPr>
        <w:t>采购活动，</w:t>
      </w:r>
      <w:r>
        <w:rPr>
          <w:rFonts w:hint="eastAsia" w:ascii="宋体" w:hAnsi="宋体"/>
          <w:color w:val="auto"/>
        </w:rPr>
        <w:t>服务全部由符合政策要求的中小企业承接。相关企业（含联合体中的中小企业、签订分包意向协议的中小企业）的具体情况如下：</w:t>
      </w:r>
    </w:p>
    <w:p w14:paraId="1003EFD0">
      <w:pPr>
        <w:tabs>
          <w:tab w:val="left" w:pos="1384"/>
          <w:tab w:val="left" w:pos="4562"/>
          <w:tab w:val="left" w:pos="6803"/>
        </w:tabs>
        <w:spacing w:before="13" w:line="500" w:lineRule="exact"/>
        <w:ind w:right="142" w:firstLine="686" w:firstLineChars="286"/>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w:t>
      </w:r>
      <w:r>
        <w:rPr>
          <w:rFonts w:hint="eastAsia" w:ascii="宋体" w:hAnsi="宋体"/>
          <w:color w:val="auto"/>
          <w:sz w:val="24"/>
          <w:u w:val="single"/>
          <w:lang w:val="en-US" w:eastAsia="zh-CN"/>
        </w:rPr>
        <w:t>招标</w:t>
      </w:r>
      <w:r>
        <w:rPr>
          <w:rFonts w:ascii="宋体" w:hAnsi="宋体"/>
          <w:color w:val="auto"/>
          <w:sz w:val="24"/>
          <w:u w:val="single"/>
        </w:rPr>
        <w:t>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196A117E">
      <w:pPr>
        <w:tabs>
          <w:tab w:val="left" w:pos="1065"/>
          <w:tab w:val="left" w:pos="4262"/>
          <w:tab w:val="left" w:pos="6477"/>
        </w:tabs>
        <w:spacing w:before="20" w:line="500" w:lineRule="exact"/>
        <w:ind w:right="84" w:firstLine="686" w:firstLineChars="286"/>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w:t>
      </w:r>
      <w:r>
        <w:rPr>
          <w:rFonts w:hint="eastAsia" w:ascii="宋体" w:hAnsi="宋体"/>
          <w:color w:val="auto"/>
          <w:sz w:val="24"/>
          <w:u w:val="single"/>
          <w:lang w:val="en-US" w:eastAsia="zh-CN"/>
        </w:rPr>
        <w:t>招标</w:t>
      </w:r>
      <w:r>
        <w:rPr>
          <w:rFonts w:ascii="宋体" w:hAnsi="宋体"/>
          <w:color w:val="auto"/>
          <w:sz w:val="24"/>
          <w:u w:val="single"/>
        </w:rPr>
        <w:t>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，从业人员人，营业收入为万元，资产总额为万元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5807FF42">
      <w:pPr>
        <w:pStyle w:val="2"/>
        <w:spacing w:before="34" w:line="500" w:lineRule="exact"/>
        <w:ind w:left="-64" w:right="142" w:hanging="5"/>
        <w:rPr>
          <w:rFonts w:ascii="宋体" w:hAnsi="宋体"/>
          <w:color w:val="auto"/>
        </w:rPr>
      </w:pPr>
      <w:r>
        <w:rPr>
          <w:rFonts w:ascii="宋体" w:hAnsi="宋体"/>
          <w:color w:val="auto"/>
        </w:rPr>
        <w:t xml:space="preserve">…… </w:t>
      </w:r>
    </w:p>
    <w:p w14:paraId="14C829D7">
      <w:pPr>
        <w:pStyle w:val="2"/>
        <w:spacing w:before="34" w:line="500" w:lineRule="exact"/>
        <w:ind w:right="142" w:firstLine="480" w:firstLineChars="200"/>
        <w:rPr>
          <w:rFonts w:ascii="宋体" w:hAnsi="宋体"/>
          <w:color w:val="auto"/>
        </w:rPr>
      </w:pPr>
      <w:r>
        <w:rPr>
          <w:rFonts w:ascii="宋体" w:hAnsi="宋体"/>
          <w:color w:val="auto"/>
        </w:rPr>
        <w:t>以上企业，不属于大企业的分支机构，不存在控股股东为大企业的情形，也不存在与大企业的负责人为同一人的情形。</w:t>
      </w:r>
    </w:p>
    <w:p w14:paraId="5440A807">
      <w:pPr>
        <w:pStyle w:val="2"/>
        <w:spacing w:before="34" w:line="500" w:lineRule="exact"/>
        <w:ind w:right="142" w:firstLine="480" w:firstLineChars="200"/>
        <w:rPr>
          <w:rFonts w:ascii="宋体" w:hAnsi="宋体"/>
          <w:color w:val="auto"/>
        </w:rPr>
      </w:pPr>
      <w:r>
        <w:rPr>
          <w:rFonts w:ascii="宋体" w:hAnsi="宋体"/>
          <w:color w:val="auto"/>
        </w:rPr>
        <w:t>本企业对上述声明内容的真实性负责。如有虚假，将依法承担相应责任。</w:t>
      </w:r>
    </w:p>
    <w:p w14:paraId="08737EE8">
      <w:pPr>
        <w:pStyle w:val="2"/>
        <w:spacing w:before="56" w:line="500" w:lineRule="exact"/>
        <w:ind w:left="-69" w:right="1808"/>
        <w:rPr>
          <w:rFonts w:ascii="宋体" w:hAnsi="宋体"/>
          <w:color w:val="auto"/>
        </w:rPr>
      </w:pPr>
      <w:r>
        <w:rPr>
          <w:rFonts w:ascii="宋体" w:hAnsi="宋体"/>
          <w:color w:val="auto"/>
          <w:kern w:val="24"/>
        </w:rPr>
        <w:t>企业名称（</w:t>
      </w:r>
      <w:r>
        <w:rPr>
          <w:rFonts w:hint="eastAsia" w:ascii="宋体" w:hAnsi="宋体"/>
          <w:color w:val="auto"/>
          <w:kern w:val="24"/>
        </w:rPr>
        <w:t>电子签章</w:t>
      </w:r>
      <w:r>
        <w:rPr>
          <w:rFonts w:ascii="宋体" w:hAnsi="宋体"/>
          <w:color w:val="auto"/>
          <w:kern w:val="24"/>
        </w:rPr>
        <w:t>）：</w:t>
      </w:r>
    </w:p>
    <w:p w14:paraId="13ED309E">
      <w:pPr>
        <w:pStyle w:val="2"/>
        <w:spacing w:before="56" w:line="500" w:lineRule="exact"/>
        <w:ind w:left="-69" w:right="1808"/>
        <w:rPr>
          <w:rFonts w:ascii="宋体" w:hAnsi="宋体"/>
          <w:color w:val="auto"/>
        </w:rPr>
      </w:pPr>
      <w:r>
        <w:rPr>
          <w:rFonts w:ascii="宋体" w:hAnsi="宋体"/>
          <w:color w:val="auto"/>
        </w:rPr>
        <w:t>日 期：</w:t>
      </w:r>
    </w:p>
    <w:p w14:paraId="7A33AB4F">
      <w:pPr>
        <w:rPr>
          <w:rFonts w:ascii="宋体" w:hAnsi="宋体"/>
          <w:color w:val="auto"/>
          <w:sz w:val="24"/>
        </w:rPr>
      </w:pPr>
    </w:p>
    <w:p w14:paraId="44174EF3">
      <w:pPr>
        <w:rPr>
          <w:rFonts w:ascii="宋体" w:hAnsi="宋体"/>
          <w:b/>
          <w:color w:val="auto"/>
          <w:sz w:val="24"/>
        </w:rPr>
      </w:pPr>
      <w:r>
        <w:rPr>
          <w:rFonts w:hint="eastAsia" w:ascii="宋体" w:hAnsi="宋体"/>
          <w:color w:val="auto"/>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auto"/>
        </w:rPr>
        <w:br w:type="page"/>
      </w:r>
      <w:r>
        <w:rPr>
          <w:rFonts w:hint="eastAsia" w:ascii="宋体" w:hAnsi="宋体"/>
          <w:b/>
          <w:color w:val="auto"/>
          <w:sz w:val="24"/>
        </w:rPr>
        <w:t>3.残疾人福利性单位声明函格式</w:t>
      </w:r>
    </w:p>
    <w:p w14:paraId="211C7862">
      <w:pPr>
        <w:spacing w:line="588" w:lineRule="exact"/>
        <w:jc w:val="center"/>
        <w:rPr>
          <w:rFonts w:ascii="仿宋_GB2312" w:eastAsia="仿宋_GB2312"/>
          <w:b/>
          <w:color w:val="auto"/>
          <w:spacing w:val="6"/>
          <w:sz w:val="32"/>
          <w:szCs w:val="32"/>
        </w:rPr>
      </w:pPr>
      <w:bookmarkStart w:id="174" w:name="OLE_LINK13"/>
      <w:bookmarkStart w:id="175" w:name="OLE_LINK14"/>
    </w:p>
    <w:p w14:paraId="5E621E0E">
      <w:pPr>
        <w:spacing w:line="588" w:lineRule="exact"/>
        <w:jc w:val="center"/>
        <w:rPr>
          <w:rFonts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残疾人福利性单位声明函</w:t>
      </w:r>
    </w:p>
    <w:bookmarkEnd w:id="174"/>
    <w:bookmarkEnd w:id="175"/>
    <w:p w14:paraId="080FD57E">
      <w:pPr>
        <w:spacing w:line="588" w:lineRule="exact"/>
        <w:rPr>
          <w:rFonts w:ascii="仿宋_GB2312" w:eastAsia="仿宋_GB2312"/>
          <w:b/>
          <w:color w:val="auto"/>
          <w:spacing w:val="6"/>
          <w:sz w:val="30"/>
          <w:szCs w:val="30"/>
        </w:rPr>
      </w:pPr>
    </w:p>
    <w:p w14:paraId="7572EBF7">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rPr>
        <w:t>疾人福利性单位制造的货物（不包括使用非残疾人福利性单位注册商标的货物）。</w:t>
      </w:r>
    </w:p>
    <w:p w14:paraId="1E90E8E3">
      <w:pPr>
        <w:spacing w:line="360" w:lineRule="auto"/>
        <w:ind w:firstLine="504" w:firstLineChars="200"/>
        <w:contextualSpacing/>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14:paraId="2DC6573F">
      <w:pPr>
        <w:spacing w:line="360" w:lineRule="auto"/>
        <w:ind w:firstLine="504" w:firstLineChars="200"/>
        <w:contextualSpacing/>
        <w:rPr>
          <w:rFonts w:ascii="宋体" w:hAnsi="宋体"/>
          <w:color w:val="auto"/>
          <w:spacing w:val="6"/>
          <w:sz w:val="24"/>
        </w:rPr>
      </w:pPr>
    </w:p>
    <w:p w14:paraId="6B547407">
      <w:pPr>
        <w:spacing w:line="360" w:lineRule="auto"/>
        <w:ind w:firstLine="504" w:firstLineChars="200"/>
        <w:contextualSpacing/>
        <w:rPr>
          <w:rFonts w:ascii="宋体" w:hAnsi="宋体"/>
          <w:color w:val="auto"/>
          <w:spacing w:val="6"/>
          <w:sz w:val="24"/>
        </w:rPr>
      </w:pPr>
    </w:p>
    <w:p w14:paraId="7BD16A47">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单位名称（电子签章）：</w:t>
      </w:r>
    </w:p>
    <w:p w14:paraId="578389F6">
      <w:pPr>
        <w:tabs>
          <w:tab w:val="left" w:pos="4860"/>
        </w:tabs>
        <w:spacing w:line="360" w:lineRule="auto"/>
        <w:ind w:right="1560" w:firstLine="504" w:firstLineChars="200"/>
        <w:contextualSpacing/>
        <w:jc w:val="center"/>
        <w:rPr>
          <w:rFonts w:ascii="宋体" w:hAnsi="宋体"/>
          <w:color w:val="auto"/>
          <w:spacing w:val="6"/>
          <w:sz w:val="24"/>
        </w:rPr>
      </w:pPr>
      <w:r>
        <w:rPr>
          <w:rFonts w:hint="eastAsia" w:ascii="宋体" w:hAnsi="宋体"/>
          <w:color w:val="auto"/>
          <w:spacing w:val="6"/>
          <w:sz w:val="24"/>
        </w:rPr>
        <w:t>日  期：</w:t>
      </w:r>
    </w:p>
    <w:p w14:paraId="1FD34D97">
      <w:pPr>
        <w:spacing w:line="360" w:lineRule="auto"/>
        <w:contextualSpacing/>
        <w:rPr>
          <w:rFonts w:ascii="宋体" w:hAnsi="宋体"/>
          <w:color w:val="auto"/>
          <w:sz w:val="24"/>
        </w:rPr>
      </w:pPr>
    </w:p>
    <w:p w14:paraId="4B8CEBEF">
      <w:pPr>
        <w:spacing w:line="360" w:lineRule="auto"/>
        <w:contextualSpacing/>
        <w:rPr>
          <w:rFonts w:ascii="宋体" w:hAnsi="宋体"/>
          <w:color w:val="auto"/>
          <w:sz w:val="24"/>
        </w:rPr>
      </w:pPr>
    </w:p>
    <w:p w14:paraId="2680508D">
      <w:pPr>
        <w:spacing w:line="360" w:lineRule="auto"/>
        <w:contextualSpacing/>
        <w:rPr>
          <w:rFonts w:ascii="宋体" w:hAnsi="宋体"/>
          <w:color w:val="auto"/>
          <w:sz w:val="24"/>
        </w:rPr>
      </w:pPr>
    </w:p>
    <w:p w14:paraId="4353EDA5">
      <w:pPr>
        <w:spacing w:line="360" w:lineRule="auto"/>
        <w:contextualSpacing/>
        <w:rPr>
          <w:rFonts w:ascii="宋体" w:hAnsi="宋体"/>
          <w:color w:val="auto"/>
          <w:sz w:val="24"/>
        </w:rPr>
      </w:pPr>
      <w:r>
        <w:rPr>
          <w:rFonts w:hint="eastAsia" w:ascii="宋体" w:hAnsi="宋体"/>
          <w:color w:val="auto"/>
          <w:sz w:val="24"/>
        </w:rPr>
        <w:t>注：请根据自己的真实情况出具《残疾人福利性单位声明函》。依法享受中小企业优惠政策的，采购人或者采购代理机构在公告中标结果时，同时公告其《残疾人福利性单位声明函》，接受社会监督。</w:t>
      </w:r>
    </w:p>
    <w:p w14:paraId="300E37B2">
      <w:pPr>
        <w:spacing w:line="360" w:lineRule="auto"/>
        <w:jc w:val="left"/>
        <w:rPr>
          <w:rFonts w:ascii="宋体" w:hAnsi="宋体"/>
          <w:b/>
          <w:bCs/>
          <w:color w:val="auto"/>
          <w:sz w:val="32"/>
          <w:szCs w:val="32"/>
        </w:rPr>
      </w:pPr>
      <w:r>
        <w:rPr>
          <w:rFonts w:ascii="宋体" w:hAnsi="宋体"/>
          <w:color w:val="auto"/>
          <w:sz w:val="24"/>
        </w:rPr>
        <w:br w:type="page"/>
      </w:r>
      <w:r>
        <w:rPr>
          <w:rFonts w:hint="eastAsia" w:ascii="宋体" w:hAnsi="宋体"/>
          <w:b/>
          <w:color w:val="auto"/>
          <w:sz w:val="24"/>
        </w:rPr>
        <w:t>4.质疑函（格式）</w:t>
      </w:r>
    </w:p>
    <w:p w14:paraId="2F0BCA30">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质疑函（格式）</w:t>
      </w:r>
    </w:p>
    <w:p w14:paraId="619BE2FB">
      <w:pPr>
        <w:pStyle w:val="20"/>
        <w:snapToGrid w:val="0"/>
        <w:spacing w:line="360" w:lineRule="auto"/>
        <w:ind w:firstLine="482" w:firstLineChars="200"/>
        <w:rPr>
          <w:rFonts w:hAnsi="宋体"/>
          <w:b/>
          <w:bCs/>
          <w:color w:val="auto"/>
          <w:sz w:val="24"/>
          <w:szCs w:val="24"/>
        </w:rPr>
      </w:pPr>
      <w:r>
        <w:rPr>
          <w:rFonts w:hint="eastAsia" w:hAnsi="宋体"/>
          <w:b/>
          <w:bCs/>
          <w:color w:val="auto"/>
          <w:sz w:val="24"/>
          <w:szCs w:val="24"/>
        </w:rPr>
        <w:t>一、质疑供应商基本信息：</w:t>
      </w:r>
    </w:p>
    <w:p w14:paraId="374C36D1">
      <w:pPr>
        <w:pStyle w:val="20"/>
        <w:snapToGrid w:val="0"/>
        <w:spacing w:line="360" w:lineRule="auto"/>
        <w:ind w:firstLine="480" w:firstLineChars="200"/>
        <w:rPr>
          <w:rFonts w:hAnsi="宋体"/>
          <w:bCs/>
          <w:color w:val="auto"/>
          <w:sz w:val="24"/>
          <w:szCs w:val="24"/>
          <w:u w:val="single"/>
        </w:rPr>
      </w:pPr>
      <w:r>
        <w:rPr>
          <w:rFonts w:hint="eastAsia" w:hAnsi="宋体"/>
          <w:bCs/>
          <w:color w:val="auto"/>
          <w:sz w:val="24"/>
          <w:szCs w:val="24"/>
        </w:rPr>
        <w:t>质疑供应商：</w:t>
      </w:r>
    </w:p>
    <w:p w14:paraId="0B8EA37C">
      <w:pPr>
        <w:pStyle w:val="20"/>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60674953">
      <w:pPr>
        <w:pStyle w:val="20"/>
        <w:snapToGrid w:val="0"/>
        <w:spacing w:line="360" w:lineRule="auto"/>
        <w:ind w:firstLine="480" w:firstLineChars="200"/>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Ansi="宋体"/>
          <w:bCs/>
          <w:color w:val="auto"/>
          <w:sz w:val="24"/>
          <w:szCs w:val="24"/>
        </w:rPr>
        <w:t>联系电话</w:t>
      </w:r>
      <w:r>
        <w:rPr>
          <w:rFonts w:hint="eastAsia" w:hAnsi="宋体"/>
          <w:bCs/>
          <w:color w:val="auto"/>
          <w:sz w:val="24"/>
          <w:szCs w:val="24"/>
        </w:rPr>
        <w:t>：</w:t>
      </w:r>
    </w:p>
    <w:p w14:paraId="1076F401">
      <w:pPr>
        <w:pStyle w:val="20"/>
        <w:snapToGrid w:val="0"/>
        <w:spacing w:line="360" w:lineRule="auto"/>
        <w:ind w:firstLine="480" w:firstLineChars="200"/>
        <w:rPr>
          <w:rFonts w:hAnsi="宋体"/>
          <w:bCs/>
          <w:color w:val="auto"/>
          <w:sz w:val="24"/>
          <w:szCs w:val="24"/>
        </w:rPr>
      </w:pPr>
      <w:r>
        <w:rPr>
          <w:rFonts w:hint="eastAsia" w:hAnsi="宋体"/>
          <w:bCs/>
          <w:color w:val="auto"/>
          <w:sz w:val="24"/>
          <w:szCs w:val="24"/>
        </w:rPr>
        <w:t>授权代表：</w:t>
      </w:r>
    </w:p>
    <w:p w14:paraId="5D56E493">
      <w:pPr>
        <w:pStyle w:val="20"/>
        <w:snapToGrid w:val="0"/>
        <w:spacing w:line="360" w:lineRule="auto"/>
        <w:ind w:firstLine="480" w:firstLineChars="200"/>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p>
    <w:p w14:paraId="3789D06C">
      <w:pPr>
        <w:pStyle w:val="20"/>
        <w:snapToGrid w:val="0"/>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7F5B3ECC">
      <w:pPr>
        <w:pStyle w:val="20"/>
        <w:snapToGrid w:val="0"/>
        <w:spacing w:line="360" w:lineRule="auto"/>
        <w:ind w:firstLine="482" w:firstLineChars="200"/>
        <w:rPr>
          <w:rFonts w:hAnsi="宋体"/>
          <w:b/>
          <w:bCs/>
          <w:color w:val="auto"/>
          <w:sz w:val="24"/>
          <w:szCs w:val="24"/>
        </w:rPr>
      </w:pPr>
      <w:r>
        <w:rPr>
          <w:rFonts w:hint="eastAsia" w:hAnsi="宋体"/>
          <w:b/>
          <w:bCs/>
          <w:color w:val="auto"/>
          <w:sz w:val="24"/>
          <w:szCs w:val="24"/>
        </w:rPr>
        <w:t>二、质疑项目基本情况：</w:t>
      </w:r>
    </w:p>
    <w:p w14:paraId="36C882DD">
      <w:pPr>
        <w:pStyle w:val="20"/>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p>
    <w:p w14:paraId="19D3885E">
      <w:pPr>
        <w:pStyle w:val="20"/>
        <w:spacing w:line="360" w:lineRule="auto"/>
        <w:ind w:left="25" w:leftChars="12" w:firstLine="472" w:firstLineChars="197"/>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p>
    <w:p w14:paraId="6C507EF9">
      <w:pPr>
        <w:pStyle w:val="20"/>
        <w:spacing w:line="360" w:lineRule="auto"/>
        <w:ind w:left="25" w:leftChars="12" w:firstLine="472" w:firstLineChars="197"/>
        <w:rPr>
          <w:rFonts w:hAnsi="宋体"/>
          <w:color w:val="auto"/>
          <w:sz w:val="24"/>
          <w:szCs w:val="24"/>
        </w:rPr>
      </w:pPr>
      <w:r>
        <w:rPr>
          <w:rFonts w:hint="eastAsia" w:hAnsi="宋体"/>
          <w:color w:val="auto"/>
          <w:sz w:val="24"/>
          <w:szCs w:val="24"/>
        </w:rPr>
        <w:t>采购人名称：</w:t>
      </w:r>
    </w:p>
    <w:p w14:paraId="2E7EE962">
      <w:pPr>
        <w:pStyle w:val="20"/>
        <w:spacing w:line="360" w:lineRule="auto"/>
        <w:ind w:left="25" w:leftChars="12" w:firstLine="472" w:firstLineChars="197"/>
        <w:rPr>
          <w:rFonts w:hAnsi="宋体"/>
          <w:color w:val="auto"/>
          <w:sz w:val="24"/>
          <w:szCs w:val="24"/>
        </w:rPr>
      </w:pPr>
      <w:r>
        <w:rPr>
          <w:rFonts w:hint="eastAsia" w:hAnsi="宋体"/>
          <w:color w:val="auto"/>
          <w:sz w:val="24"/>
          <w:szCs w:val="24"/>
        </w:rPr>
        <w:t>质疑事项：</w:t>
      </w:r>
    </w:p>
    <w:p w14:paraId="6D5FE6AD">
      <w:pPr>
        <w:pStyle w:val="20"/>
        <w:spacing w:line="360" w:lineRule="auto"/>
        <w:ind w:left="25" w:leftChars="12" w:firstLine="352" w:firstLineChars="147"/>
        <w:rPr>
          <w:rFonts w:hAnsi="宋体"/>
          <w:color w:val="auto"/>
          <w:sz w:val="24"/>
          <w:szCs w:val="24"/>
        </w:rPr>
      </w:pPr>
      <w:r>
        <w:rPr>
          <w:rFonts w:hint="eastAsia" w:hAnsi="宋体"/>
          <w:color w:val="auto"/>
          <w:sz w:val="24"/>
          <w:szCs w:val="24"/>
        </w:rPr>
        <w:t>□招标文件   招标文件获取日期：</w:t>
      </w:r>
    </w:p>
    <w:p w14:paraId="73859C05">
      <w:pPr>
        <w:pStyle w:val="20"/>
        <w:spacing w:line="360" w:lineRule="auto"/>
        <w:ind w:left="25" w:leftChars="12" w:firstLine="352" w:firstLineChars="147"/>
        <w:rPr>
          <w:rFonts w:hAnsi="宋体"/>
          <w:color w:val="auto"/>
          <w:sz w:val="24"/>
          <w:szCs w:val="24"/>
        </w:rPr>
      </w:pPr>
      <w:r>
        <w:rPr>
          <w:rFonts w:hint="eastAsia" w:hAnsi="宋体"/>
          <w:color w:val="auto"/>
          <w:sz w:val="24"/>
          <w:szCs w:val="24"/>
        </w:rPr>
        <w:t xml:space="preserve">□招标过程   </w:t>
      </w:r>
    </w:p>
    <w:p w14:paraId="78DCB188">
      <w:pPr>
        <w:pStyle w:val="20"/>
        <w:spacing w:line="360" w:lineRule="auto"/>
        <w:ind w:left="25" w:leftChars="12" w:firstLine="352" w:firstLineChars="147"/>
        <w:rPr>
          <w:rFonts w:hAnsi="宋体"/>
          <w:bCs/>
          <w:color w:val="auto"/>
          <w:sz w:val="24"/>
          <w:szCs w:val="24"/>
          <w:u w:val="single"/>
        </w:rPr>
      </w:pPr>
      <w:r>
        <w:rPr>
          <w:rFonts w:hint="eastAsia" w:hAnsi="宋体"/>
          <w:color w:val="auto"/>
          <w:sz w:val="24"/>
          <w:szCs w:val="24"/>
        </w:rPr>
        <w:t xml:space="preserve">□招标结果 </w:t>
      </w:r>
    </w:p>
    <w:p w14:paraId="358B241C">
      <w:pPr>
        <w:pStyle w:val="20"/>
        <w:spacing w:line="360" w:lineRule="auto"/>
        <w:ind w:left="25" w:leftChars="12" w:firstLine="472" w:firstLineChars="196"/>
        <w:rPr>
          <w:rFonts w:hAnsi="宋体"/>
          <w:b/>
          <w:color w:val="auto"/>
          <w:sz w:val="24"/>
          <w:szCs w:val="24"/>
        </w:rPr>
      </w:pPr>
      <w:r>
        <w:rPr>
          <w:rFonts w:hint="eastAsia" w:hAnsi="宋体"/>
          <w:b/>
          <w:color w:val="auto"/>
          <w:sz w:val="24"/>
          <w:szCs w:val="24"/>
        </w:rPr>
        <w:t>三、质疑事项具体内容</w:t>
      </w:r>
    </w:p>
    <w:p w14:paraId="2BF20D2F">
      <w:pPr>
        <w:pStyle w:val="20"/>
        <w:spacing w:line="360" w:lineRule="auto"/>
        <w:ind w:left="25" w:leftChars="12" w:firstLine="472" w:firstLineChars="197"/>
        <w:rPr>
          <w:rFonts w:hAnsi="宋体"/>
          <w:color w:val="auto"/>
          <w:sz w:val="24"/>
          <w:szCs w:val="24"/>
        </w:rPr>
      </w:pPr>
      <w:r>
        <w:rPr>
          <w:rFonts w:hint="eastAsia" w:hAnsi="宋体"/>
          <w:color w:val="auto"/>
          <w:sz w:val="24"/>
          <w:szCs w:val="24"/>
        </w:rPr>
        <w:t>质疑事项1：</w:t>
      </w:r>
    </w:p>
    <w:p w14:paraId="0D467B53">
      <w:pPr>
        <w:pStyle w:val="20"/>
        <w:spacing w:line="360" w:lineRule="auto"/>
        <w:ind w:left="25" w:leftChars="12" w:firstLine="472" w:firstLineChars="197"/>
        <w:rPr>
          <w:rFonts w:hAnsi="宋体"/>
          <w:color w:val="auto"/>
          <w:sz w:val="24"/>
          <w:szCs w:val="24"/>
        </w:rPr>
      </w:pPr>
      <w:r>
        <w:rPr>
          <w:rFonts w:hint="eastAsia" w:hAnsi="宋体"/>
          <w:color w:val="auto"/>
          <w:sz w:val="24"/>
          <w:szCs w:val="24"/>
        </w:rPr>
        <w:t>事实依据：</w:t>
      </w:r>
    </w:p>
    <w:p w14:paraId="3C9B7610">
      <w:pPr>
        <w:pStyle w:val="20"/>
        <w:spacing w:line="360" w:lineRule="auto"/>
        <w:ind w:left="25" w:leftChars="12" w:firstLine="472" w:firstLineChars="197"/>
        <w:rPr>
          <w:rFonts w:hAnsi="宋体"/>
          <w:color w:val="auto"/>
          <w:sz w:val="24"/>
          <w:szCs w:val="24"/>
        </w:rPr>
      </w:pPr>
      <w:r>
        <w:rPr>
          <w:rFonts w:hint="eastAsia" w:hAnsi="宋体"/>
          <w:color w:val="auto"/>
          <w:sz w:val="24"/>
          <w:szCs w:val="24"/>
        </w:rPr>
        <w:t>法律依据：</w:t>
      </w:r>
    </w:p>
    <w:p w14:paraId="6EEA92DE">
      <w:pPr>
        <w:pStyle w:val="20"/>
        <w:spacing w:line="360" w:lineRule="auto"/>
        <w:ind w:left="25" w:leftChars="12" w:firstLine="472" w:firstLineChars="197"/>
        <w:rPr>
          <w:rFonts w:hAnsi="宋体"/>
          <w:color w:val="auto"/>
          <w:sz w:val="24"/>
          <w:szCs w:val="24"/>
        </w:rPr>
      </w:pPr>
      <w:r>
        <w:rPr>
          <w:rFonts w:hint="eastAsia" w:hAnsi="宋体"/>
          <w:color w:val="auto"/>
          <w:sz w:val="24"/>
          <w:szCs w:val="24"/>
        </w:rPr>
        <w:t>质疑事项2</w:t>
      </w:r>
    </w:p>
    <w:p w14:paraId="3810B67E">
      <w:pPr>
        <w:pStyle w:val="20"/>
        <w:spacing w:line="360" w:lineRule="auto"/>
        <w:ind w:left="25" w:leftChars="12" w:firstLine="472" w:firstLineChars="197"/>
        <w:rPr>
          <w:rFonts w:hAnsi="宋体"/>
          <w:color w:val="auto"/>
          <w:sz w:val="24"/>
          <w:szCs w:val="24"/>
        </w:rPr>
      </w:pPr>
      <w:r>
        <w:rPr>
          <w:rFonts w:hAnsi="宋体"/>
          <w:color w:val="auto"/>
          <w:sz w:val="24"/>
          <w:szCs w:val="24"/>
        </w:rPr>
        <w:t>……</w:t>
      </w:r>
    </w:p>
    <w:p w14:paraId="27D411D6">
      <w:pPr>
        <w:pStyle w:val="20"/>
        <w:spacing w:line="360" w:lineRule="auto"/>
        <w:ind w:left="25" w:leftChars="12" w:firstLine="472" w:firstLineChars="197"/>
        <w:rPr>
          <w:rFonts w:hAnsi="宋体"/>
          <w:color w:val="auto"/>
          <w:sz w:val="24"/>
          <w:szCs w:val="24"/>
        </w:rPr>
      </w:pPr>
      <w:r>
        <w:rPr>
          <w:rFonts w:hint="eastAsia" w:hAnsi="宋体"/>
          <w:color w:val="auto"/>
          <w:sz w:val="24"/>
          <w:szCs w:val="24"/>
        </w:rPr>
        <w:t>四、与质疑事项相关的质疑请求：</w:t>
      </w:r>
    </w:p>
    <w:p w14:paraId="1649394D">
      <w:pPr>
        <w:pStyle w:val="20"/>
        <w:spacing w:line="360" w:lineRule="auto"/>
        <w:ind w:left="25" w:leftChars="12" w:firstLine="472" w:firstLineChars="197"/>
        <w:rPr>
          <w:rFonts w:hAnsi="宋体"/>
          <w:color w:val="auto"/>
          <w:sz w:val="24"/>
          <w:szCs w:val="24"/>
        </w:rPr>
      </w:pPr>
      <w:r>
        <w:rPr>
          <w:rFonts w:hint="eastAsia" w:hAnsi="宋体"/>
          <w:color w:val="auto"/>
          <w:sz w:val="24"/>
          <w:szCs w:val="24"/>
        </w:rPr>
        <w:t>请求：</w:t>
      </w:r>
    </w:p>
    <w:p w14:paraId="7696E584">
      <w:pPr>
        <w:pStyle w:val="20"/>
        <w:spacing w:line="360" w:lineRule="auto"/>
        <w:ind w:left="25" w:leftChars="12" w:firstLine="352" w:firstLineChars="147"/>
        <w:rPr>
          <w:rFonts w:hAnsi="宋体"/>
          <w:color w:val="auto"/>
          <w:sz w:val="24"/>
          <w:szCs w:val="24"/>
        </w:rPr>
      </w:pPr>
    </w:p>
    <w:p w14:paraId="7E44D466">
      <w:pPr>
        <w:pStyle w:val="20"/>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1985CF2D">
      <w:pPr>
        <w:pStyle w:val="20"/>
        <w:spacing w:line="360" w:lineRule="auto"/>
        <w:ind w:left="25" w:leftChars="12" w:firstLine="352" w:firstLineChars="147"/>
        <w:rPr>
          <w:rFonts w:hAnsi="宋体"/>
          <w:color w:val="auto"/>
          <w:sz w:val="24"/>
          <w:szCs w:val="24"/>
        </w:rPr>
      </w:pPr>
    </w:p>
    <w:p w14:paraId="7DEA75E0">
      <w:pPr>
        <w:pStyle w:val="20"/>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079CD364">
      <w:pPr>
        <w:pStyle w:val="20"/>
        <w:snapToGrid w:val="0"/>
        <w:spacing w:line="360" w:lineRule="auto"/>
        <w:rPr>
          <w:rFonts w:hAnsi="宋体"/>
          <w:b/>
          <w:color w:val="auto"/>
          <w:sz w:val="24"/>
          <w:szCs w:val="24"/>
        </w:rPr>
      </w:pPr>
    </w:p>
    <w:p w14:paraId="6D3C2D63">
      <w:pPr>
        <w:pStyle w:val="20"/>
        <w:snapToGrid w:val="0"/>
        <w:spacing w:line="360" w:lineRule="auto"/>
        <w:rPr>
          <w:rFonts w:hAnsi="宋体"/>
          <w:b/>
          <w:color w:val="auto"/>
          <w:sz w:val="24"/>
          <w:szCs w:val="24"/>
        </w:rPr>
      </w:pPr>
      <w:r>
        <w:rPr>
          <w:rFonts w:hint="eastAsia" w:hAnsi="宋体"/>
          <w:b/>
          <w:color w:val="auto"/>
          <w:sz w:val="24"/>
          <w:szCs w:val="24"/>
        </w:rPr>
        <w:t>说明：</w:t>
      </w:r>
    </w:p>
    <w:p w14:paraId="7B0ECA69">
      <w:pPr>
        <w:pStyle w:val="20"/>
        <w:spacing w:line="360" w:lineRule="auto"/>
        <w:ind w:left="25" w:leftChars="12" w:firstLine="354" w:firstLineChars="147"/>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3A222504">
      <w:pPr>
        <w:pStyle w:val="20"/>
        <w:spacing w:line="360" w:lineRule="auto"/>
        <w:ind w:left="25" w:leftChars="12" w:firstLine="354" w:firstLineChars="147"/>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F4018B">
      <w:pPr>
        <w:pStyle w:val="20"/>
        <w:spacing w:line="360" w:lineRule="auto"/>
        <w:ind w:left="25" w:leftChars="12" w:firstLine="354" w:firstLineChars="147"/>
        <w:rPr>
          <w:rFonts w:hAnsi="宋体"/>
          <w:b/>
          <w:color w:val="auto"/>
          <w:sz w:val="24"/>
          <w:szCs w:val="24"/>
        </w:rPr>
      </w:pPr>
      <w:r>
        <w:rPr>
          <w:rFonts w:hint="eastAsia" w:hAnsi="宋体"/>
          <w:b/>
          <w:color w:val="auto"/>
          <w:sz w:val="24"/>
          <w:szCs w:val="24"/>
        </w:rPr>
        <w:t>3.质疑函的质疑事项应具体、明确，并有必要的事实依据和法律依据。</w:t>
      </w:r>
    </w:p>
    <w:p w14:paraId="32CCC635">
      <w:pPr>
        <w:pStyle w:val="20"/>
        <w:spacing w:line="360" w:lineRule="auto"/>
        <w:ind w:left="25" w:leftChars="12" w:firstLine="354" w:firstLineChars="147"/>
        <w:rPr>
          <w:rFonts w:hAnsi="宋体"/>
          <w:b/>
          <w:color w:val="auto"/>
          <w:sz w:val="24"/>
          <w:szCs w:val="24"/>
        </w:rPr>
      </w:pPr>
      <w:r>
        <w:rPr>
          <w:rFonts w:hint="eastAsia" w:hAnsi="宋体"/>
          <w:b/>
          <w:color w:val="auto"/>
          <w:sz w:val="24"/>
          <w:szCs w:val="24"/>
        </w:rPr>
        <w:t>4.质疑函的质疑请求应与质疑事项相关。</w:t>
      </w:r>
    </w:p>
    <w:p w14:paraId="16685DB9">
      <w:pPr>
        <w:pStyle w:val="20"/>
        <w:spacing w:line="360" w:lineRule="auto"/>
        <w:ind w:left="25" w:leftChars="12" w:firstLine="354" w:firstLineChars="147"/>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319796AB">
      <w:pPr>
        <w:spacing w:line="460" w:lineRule="exact"/>
        <w:rPr>
          <w:rFonts w:eastAsia="隶书"/>
          <w:color w:val="auto"/>
          <w:sz w:val="44"/>
        </w:rPr>
      </w:pPr>
    </w:p>
    <w:p w14:paraId="5146D5ED">
      <w:pPr>
        <w:spacing w:line="360" w:lineRule="auto"/>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5.投诉书（格式）</w:t>
      </w:r>
    </w:p>
    <w:p w14:paraId="2F5F8945">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5CC55518">
      <w:pPr>
        <w:pStyle w:val="20"/>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41C019B7">
      <w:pPr>
        <w:pStyle w:val="20"/>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投标人：</w:t>
      </w:r>
    </w:p>
    <w:p w14:paraId="4F1A5494">
      <w:pPr>
        <w:pStyle w:val="20"/>
        <w:snapToGrid w:val="0"/>
        <w:spacing w:line="360" w:lineRule="auto"/>
        <w:ind w:firstLine="480" w:firstLineChars="200"/>
        <w:jc w:val="left"/>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11ECA194">
      <w:pPr>
        <w:pStyle w:val="20"/>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法定代表人/主要负责人：</w:t>
      </w:r>
    </w:p>
    <w:p w14:paraId="1E353CC2">
      <w:pPr>
        <w:pStyle w:val="20"/>
        <w:snapToGrid w:val="0"/>
        <w:spacing w:line="360" w:lineRule="auto"/>
        <w:ind w:firstLine="480" w:firstLineChars="200"/>
        <w:jc w:val="left"/>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p>
    <w:p w14:paraId="4C1FE424">
      <w:pPr>
        <w:pStyle w:val="20"/>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授权代表：</w:t>
      </w:r>
      <w:r>
        <w:rPr>
          <w:rFonts w:hAnsi="宋体"/>
          <w:bCs/>
          <w:color w:val="auto"/>
          <w:sz w:val="24"/>
          <w:szCs w:val="24"/>
        </w:rPr>
        <w:t>联系</w:t>
      </w:r>
      <w:r>
        <w:rPr>
          <w:rFonts w:hint="eastAsia" w:hAnsi="宋体"/>
          <w:bCs/>
          <w:color w:val="auto"/>
          <w:sz w:val="24"/>
          <w:szCs w:val="24"/>
        </w:rPr>
        <w:t>电话：</w:t>
      </w:r>
    </w:p>
    <w:p w14:paraId="3CBD8019">
      <w:pPr>
        <w:pStyle w:val="20"/>
        <w:snapToGrid w:val="0"/>
        <w:spacing w:line="360" w:lineRule="auto"/>
        <w:ind w:firstLine="480" w:firstLineChars="200"/>
        <w:jc w:val="left"/>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p>
    <w:p w14:paraId="1AC010D8">
      <w:pPr>
        <w:pStyle w:val="20"/>
        <w:snapToGrid w:val="0"/>
        <w:spacing w:line="360" w:lineRule="auto"/>
        <w:ind w:firstLine="480" w:firstLineChars="200"/>
        <w:jc w:val="left"/>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723DBB2D">
      <w:pPr>
        <w:pStyle w:val="20"/>
        <w:snapToGrid w:val="0"/>
        <w:spacing w:line="360" w:lineRule="auto"/>
        <w:ind w:firstLine="480" w:firstLineChars="200"/>
        <w:jc w:val="left"/>
        <w:rPr>
          <w:rFonts w:hAnsi="宋体"/>
          <w:bCs/>
          <w:color w:val="auto"/>
          <w:sz w:val="24"/>
          <w:szCs w:val="24"/>
        </w:rPr>
      </w:pPr>
      <w:r>
        <w:rPr>
          <w:rFonts w:hint="eastAsia" w:hAnsi="宋体"/>
          <w:bCs/>
          <w:color w:val="auto"/>
          <w:sz w:val="24"/>
          <w:szCs w:val="24"/>
        </w:rPr>
        <w:t>被投诉人1：</w:t>
      </w:r>
    </w:p>
    <w:p w14:paraId="5E849049">
      <w:pPr>
        <w:pStyle w:val="20"/>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地址：</w:t>
      </w:r>
    </w:p>
    <w:p w14:paraId="49571567">
      <w:pPr>
        <w:pStyle w:val="20"/>
        <w:snapToGrid w:val="0"/>
        <w:spacing w:line="360" w:lineRule="auto"/>
        <w:ind w:firstLine="480" w:firstLineChars="200"/>
        <w:jc w:val="left"/>
        <w:rPr>
          <w:rFonts w:hAnsi="宋体"/>
          <w:bCs/>
          <w:color w:val="auto"/>
          <w:sz w:val="24"/>
          <w:szCs w:val="24"/>
        </w:rPr>
      </w:pPr>
      <w:r>
        <w:rPr>
          <w:rFonts w:hAnsi="宋体"/>
          <w:bCs/>
          <w:color w:val="auto"/>
          <w:sz w:val="24"/>
          <w:szCs w:val="24"/>
        </w:rPr>
        <w:t>邮编</w:t>
      </w:r>
      <w:r>
        <w:rPr>
          <w:rFonts w:hint="eastAsia" w:hAnsi="宋体"/>
          <w:bCs/>
          <w:color w:val="auto"/>
          <w:sz w:val="24"/>
          <w:szCs w:val="24"/>
        </w:rPr>
        <w:t>：</w:t>
      </w:r>
    </w:p>
    <w:p w14:paraId="4761247E">
      <w:pPr>
        <w:pStyle w:val="20"/>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14:paraId="6F235516">
      <w:pPr>
        <w:pStyle w:val="20"/>
        <w:snapToGrid w:val="0"/>
        <w:spacing w:line="360" w:lineRule="auto"/>
        <w:ind w:firstLine="480" w:firstLineChars="200"/>
        <w:jc w:val="left"/>
        <w:rPr>
          <w:rFonts w:hAnsi="宋体"/>
          <w:bCs/>
          <w:color w:val="auto"/>
          <w:sz w:val="24"/>
          <w:szCs w:val="24"/>
        </w:rPr>
      </w:pPr>
      <w:r>
        <w:rPr>
          <w:rFonts w:hint="eastAsia" w:hAnsi="宋体"/>
          <w:bCs/>
          <w:color w:val="auto"/>
          <w:sz w:val="24"/>
          <w:szCs w:val="24"/>
        </w:rPr>
        <w:t>被投诉人2：</w:t>
      </w:r>
    </w:p>
    <w:p w14:paraId="5B808828">
      <w:pPr>
        <w:pStyle w:val="20"/>
        <w:snapToGrid w:val="0"/>
        <w:spacing w:line="360" w:lineRule="auto"/>
        <w:ind w:firstLine="480" w:firstLineChars="200"/>
        <w:jc w:val="left"/>
        <w:rPr>
          <w:rFonts w:hAnsi="宋体"/>
          <w:bCs/>
          <w:color w:val="auto"/>
          <w:sz w:val="24"/>
          <w:szCs w:val="24"/>
        </w:rPr>
      </w:pPr>
      <w:r>
        <w:rPr>
          <w:rFonts w:hAnsi="宋体"/>
          <w:bCs/>
          <w:color w:val="auto"/>
          <w:sz w:val="24"/>
          <w:szCs w:val="24"/>
        </w:rPr>
        <w:t>……</w:t>
      </w:r>
    </w:p>
    <w:p w14:paraId="4A67E0FD">
      <w:pPr>
        <w:pStyle w:val="20"/>
        <w:snapToGrid w:val="0"/>
        <w:spacing w:line="360" w:lineRule="auto"/>
        <w:ind w:firstLine="480" w:firstLineChars="200"/>
        <w:jc w:val="left"/>
        <w:rPr>
          <w:rFonts w:hAnsi="宋体"/>
          <w:bCs/>
          <w:color w:val="auto"/>
          <w:sz w:val="24"/>
          <w:szCs w:val="24"/>
          <w:u w:val="single"/>
        </w:rPr>
      </w:pPr>
      <w:r>
        <w:rPr>
          <w:rFonts w:hint="eastAsia" w:hAnsi="宋体"/>
          <w:bCs/>
          <w:color w:val="auto"/>
          <w:sz w:val="24"/>
          <w:szCs w:val="24"/>
        </w:rPr>
        <w:t>相关供应商：</w:t>
      </w:r>
    </w:p>
    <w:p w14:paraId="14D0025D">
      <w:pPr>
        <w:pStyle w:val="20"/>
        <w:snapToGrid w:val="0"/>
        <w:spacing w:line="360" w:lineRule="auto"/>
        <w:ind w:firstLine="480" w:firstLineChars="200"/>
        <w:jc w:val="left"/>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Ansi="宋体"/>
          <w:bCs/>
          <w:color w:val="auto"/>
          <w:sz w:val="24"/>
          <w:szCs w:val="24"/>
        </w:rPr>
        <w:t>邮编</w:t>
      </w:r>
      <w:r>
        <w:rPr>
          <w:rFonts w:hint="eastAsia" w:hAnsi="宋体"/>
          <w:bCs/>
          <w:color w:val="auto"/>
          <w:sz w:val="24"/>
          <w:szCs w:val="24"/>
        </w:rPr>
        <w:t>：</w:t>
      </w:r>
    </w:p>
    <w:p w14:paraId="7EB77D24">
      <w:pPr>
        <w:pStyle w:val="20"/>
        <w:snapToGrid w:val="0"/>
        <w:spacing w:line="360" w:lineRule="auto"/>
        <w:ind w:firstLine="480" w:firstLineChars="200"/>
        <w:jc w:val="left"/>
        <w:rPr>
          <w:rFonts w:hAnsi="宋体"/>
          <w:bCs/>
          <w:color w:val="auto"/>
          <w:sz w:val="24"/>
          <w:szCs w:val="24"/>
        </w:rPr>
      </w:pPr>
      <w:r>
        <w:rPr>
          <w:rFonts w:hint="eastAsia" w:hAnsi="宋体"/>
          <w:bCs/>
          <w:color w:val="auto"/>
          <w:sz w:val="24"/>
          <w:szCs w:val="24"/>
        </w:rPr>
        <w:t>联系人：</w:t>
      </w:r>
      <w:r>
        <w:rPr>
          <w:rFonts w:hAnsi="宋体"/>
          <w:bCs/>
          <w:color w:val="auto"/>
          <w:sz w:val="24"/>
          <w:szCs w:val="24"/>
        </w:rPr>
        <w:t>联系</w:t>
      </w:r>
      <w:r>
        <w:rPr>
          <w:rFonts w:hint="eastAsia" w:hAnsi="宋体"/>
          <w:bCs/>
          <w:color w:val="auto"/>
          <w:sz w:val="24"/>
          <w:szCs w:val="24"/>
        </w:rPr>
        <w:t>电话：</w:t>
      </w:r>
    </w:p>
    <w:p w14:paraId="66857190">
      <w:pPr>
        <w:pStyle w:val="20"/>
        <w:snapToGrid w:val="0"/>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p>
    <w:p w14:paraId="0A4F44DA">
      <w:pPr>
        <w:pStyle w:val="20"/>
        <w:spacing w:line="360" w:lineRule="auto"/>
        <w:ind w:left="25" w:leftChars="12" w:firstLine="472" w:firstLineChars="197"/>
        <w:rPr>
          <w:rFonts w:hAnsi="宋体"/>
          <w:color w:val="auto"/>
          <w:sz w:val="24"/>
          <w:szCs w:val="24"/>
        </w:rPr>
      </w:pPr>
      <w:r>
        <w:rPr>
          <w:rFonts w:hint="eastAsia" w:hAnsi="宋体"/>
          <w:color w:val="auto"/>
          <w:sz w:val="24"/>
          <w:szCs w:val="24"/>
        </w:rPr>
        <w:t>招标项目的名称：</w:t>
      </w:r>
    </w:p>
    <w:p w14:paraId="02B58224">
      <w:pPr>
        <w:pStyle w:val="20"/>
        <w:spacing w:line="360" w:lineRule="auto"/>
        <w:ind w:left="25" w:leftChars="12" w:firstLine="472" w:firstLineChars="197"/>
        <w:rPr>
          <w:rFonts w:hAnsi="宋体"/>
          <w:color w:val="auto"/>
          <w:sz w:val="24"/>
          <w:szCs w:val="24"/>
        </w:rPr>
      </w:pPr>
      <w:r>
        <w:rPr>
          <w:rFonts w:hint="eastAsia" w:hAnsi="宋体"/>
          <w:color w:val="auto"/>
          <w:sz w:val="24"/>
          <w:szCs w:val="24"/>
        </w:rPr>
        <w:t>招标项目的编号：</w:t>
      </w:r>
    </w:p>
    <w:p w14:paraId="28140430">
      <w:pPr>
        <w:pStyle w:val="20"/>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p>
    <w:p w14:paraId="6A8739C9">
      <w:pPr>
        <w:pStyle w:val="20"/>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p>
    <w:p w14:paraId="4264AE6A">
      <w:pPr>
        <w:pStyle w:val="20"/>
        <w:spacing w:line="360" w:lineRule="auto"/>
        <w:ind w:left="25" w:leftChars="12" w:firstLine="472" w:firstLineChars="197"/>
        <w:rPr>
          <w:rFonts w:hAnsi="宋体"/>
          <w:bCs/>
          <w:color w:val="auto"/>
          <w:sz w:val="24"/>
          <w:szCs w:val="24"/>
          <w:u w:val="single"/>
        </w:rPr>
      </w:pPr>
      <w:r>
        <w:rPr>
          <w:rFonts w:hint="eastAsia" w:hAnsi="宋体"/>
          <w:color w:val="auto"/>
          <w:sz w:val="24"/>
          <w:szCs w:val="24"/>
        </w:rPr>
        <w:t>招标</w:t>
      </w:r>
      <w:r>
        <w:rPr>
          <w:rFonts w:hint="eastAsia" w:hAnsi="宋体"/>
          <w:bCs/>
          <w:color w:val="auto"/>
          <w:sz w:val="24"/>
          <w:szCs w:val="24"/>
        </w:rPr>
        <w:t>文件公告：</w:t>
      </w:r>
      <w:r>
        <w:rPr>
          <w:rFonts w:hint="eastAsia" w:hAnsi="宋体"/>
          <w:bCs/>
          <w:color w:val="auto"/>
          <w:sz w:val="24"/>
          <w:szCs w:val="24"/>
          <w:u w:val="single"/>
        </w:rPr>
        <w:t>是/否</w:t>
      </w:r>
      <w:r>
        <w:rPr>
          <w:rFonts w:hint="eastAsia" w:hAnsi="宋体"/>
          <w:bCs/>
          <w:color w:val="auto"/>
          <w:sz w:val="24"/>
          <w:szCs w:val="24"/>
        </w:rPr>
        <w:t>公告期限：</w:t>
      </w:r>
    </w:p>
    <w:p w14:paraId="1F41DD0B">
      <w:pPr>
        <w:pStyle w:val="20"/>
        <w:spacing w:line="360" w:lineRule="auto"/>
        <w:ind w:left="25" w:leftChars="12" w:firstLine="472" w:firstLineChars="197"/>
        <w:rPr>
          <w:rFonts w:hAnsi="宋体"/>
          <w:b/>
          <w:color w:val="auto"/>
          <w:sz w:val="24"/>
          <w:szCs w:val="24"/>
        </w:rPr>
      </w:pPr>
      <w:r>
        <w:rPr>
          <w:rFonts w:hint="eastAsia" w:hAnsi="宋体"/>
          <w:color w:val="auto"/>
          <w:sz w:val="24"/>
        </w:rPr>
        <w:t>招标</w:t>
      </w:r>
      <w:r>
        <w:rPr>
          <w:rFonts w:hint="eastAsia" w:hAnsi="宋体"/>
          <w:bCs/>
          <w:color w:val="auto"/>
          <w:sz w:val="24"/>
        </w:rPr>
        <w:t>结果公告：</w:t>
      </w:r>
      <w:r>
        <w:rPr>
          <w:rFonts w:hint="eastAsia" w:hAnsi="宋体"/>
          <w:bCs/>
          <w:color w:val="auto"/>
          <w:sz w:val="24"/>
          <w:u w:val="single"/>
        </w:rPr>
        <w:t>是</w:t>
      </w:r>
      <w:r>
        <w:rPr>
          <w:rFonts w:hAnsi="宋体"/>
          <w:bCs/>
          <w:color w:val="auto"/>
          <w:sz w:val="24"/>
          <w:u w:val="single"/>
        </w:rPr>
        <w:t>/</w:t>
      </w:r>
      <w:r>
        <w:rPr>
          <w:rFonts w:hint="eastAsia" w:hAnsi="宋体"/>
          <w:bCs/>
          <w:color w:val="auto"/>
          <w:sz w:val="24"/>
          <w:u w:val="single"/>
        </w:rPr>
        <w:t>否</w:t>
      </w:r>
      <w:r>
        <w:rPr>
          <w:rFonts w:hint="eastAsia" w:hAnsi="宋体"/>
          <w:bCs/>
          <w:color w:val="auto"/>
          <w:sz w:val="24"/>
        </w:rPr>
        <w:t>公告期限：</w:t>
      </w:r>
    </w:p>
    <w:p w14:paraId="73FA0785">
      <w:pPr>
        <w:pStyle w:val="20"/>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1BDE3688">
      <w:pPr>
        <w:pStyle w:val="20"/>
        <w:spacing w:line="360" w:lineRule="auto"/>
        <w:ind w:left="25" w:leftChars="12" w:firstLine="480" w:firstLineChars="200"/>
        <w:rPr>
          <w:rFonts w:hAnsi="宋体"/>
          <w:color w:val="auto"/>
          <w:sz w:val="24"/>
          <w:szCs w:val="24"/>
        </w:rPr>
      </w:pPr>
      <w:r>
        <w:rPr>
          <w:rFonts w:hint="eastAsia" w:hAnsi="宋体"/>
          <w:color w:val="auto"/>
          <w:sz w:val="24"/>
          <w:szCs w:val="24"/>
        </w:rPr>
        <w:t>投诉人于年月日，向提出质疑，质疑事项为：</w:t>
      </w:r>
    </w:p>
    <w:p w14:paraId="3B7F4621">
      <w:pPr>
        <w:pStyle w:val="20"/>
        <w:spacing w:line="360" w:lineRule="auto"/>
        <w:ind w:firstLine="241"/>
        <w:rPr>
          <w:rFonts w:hAnsi="宋体"/>
          <w:bCs/>
          <w:color w:val="auto"/>
          <w:sz w:val="24"/>
          <w:szCs w:val="24"/>
          <w:u w:val="single"/>
        </w:rPr>
      </w:pPr>
    </w:p>
    <w:p w14:paraId="22F736EE">
      <w:pPr>
        <w:pStyle w:val="20"/>
        <w:spacing w:line="360" w:lineRule="auto"/>
        <w:ind w:firstLine="241"/>
        <w:rPr>
          <w:rFonts w:hAnsi="宋体"/>
          <w:bCs/>
          <w:color w:val="auto"/>
          <w:sz w:val="24"/>
          <w:szCs w:val="24"/>
          <w:u w:val="single"/>
        </w:rPr>
      </w:pPr>
    </w:p>
    <w:p w14:paraId="62922396">
      <w:pPr>
        <w:pStyle w:val="20"/>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rPr>
        <w:t>年月日，</w:t>
      </w:r>
      <w:r>
        <w:rPr>
          <w:rFonts w:hint="eastAsia" w:hAnsi="宋体"/>
          <w:bCs/>
          <w:color w:val="auto"/>
          <w:sz w:val="24"/>
          <w:szCs w:val="24"/>
        </w:rPr>
        <w:t xml:space="preserve">就质疑事项作出了答复/没有在法定期限内作出答复。                                                                                             </w:t>
      </w:r>
    </w:p>
    <w:p w14:paraId="4AEB7E1F">
      <w:pPr>
        <w:pStyle w:val="20"/>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3B1B0A42">
      <w:pPr>
        <w:pStyle w:val="20"/>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p>
    <w:p w14:paraId="19C6518F">
      <w:pPr>
        <w:pStyle w:val="20"/>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p>
    <w:p w14:paraId="152697BD">
      <w:pPr>
        <w:pStyle w:val="20"/>
        <w:spacing w:line="360" w:lineRule="auto"/>
        <w:ind w:left="25" w:leftChars="12" w:firstLine="472" w:firstLineChars="197"/>
        <w:rPr>
          <w:rFonts w:hAnsi="宋体"/>
          <w:color w:val="auto"/>
          <w:sz w:val="24"/>
          <w:szCs w:val="24"/>
        </w:rPr>
      </w:pPr>
    </w:p>
    <w:p w14:paraId="7E569A8B">
      <w:pPr>
        <w:pStyle w:val="20"/>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p>
    <w:p w14:paraId="627B3A1E">
      <w:pPr>
        <w:pStyle w:val="20"/>
        <w:spacing w:line="360" w:lineRule="auto"/>
        <w:ind w:left="25" w:leftChars="12" w:firstLine="352" w:firstLineChars="147"/>
        <w:rPr>
          <w:rFonts w:hAnsi="宋体"/>
          <w:bCs/>
          <w:color w:val="auto"/>
          <w:sz w:val="24"/>
          <w:szCs w:val="24"/>
          <w:u w:val="single"/>
        </w:rPr>
      </w:pPr>
    </w:p>
    <w:p w14:paraId="470D305A">
      <w:pPr>
        <w:pStyle w:val="20"/>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p>
    <w:p w14:paraId="7980B9E6">
      <w:pPr>
        <w:pStyle w:val="20"/>
        <w:spacing w:line="360" w:lineRule="auto"/>
        <w:ind w:left="25" w:leftChars="12" w:firstLine="472" w:firstLineChars="197"/>
        <w:rPr>
          <w:rFonts w:hAnsi="宋体"/>
          <w:bCs/>
          <w:color w:val="auto"/>
          <w:sz w:val="24"/>
          <w:szCs w:val="24"/>
        </w:rPr>
      </w:pPr>
      <w:r>
        <w:rPr>
          <w:rFonts w:hAnsi="宋体"/>
          <w:bCs/>
          <w:color w:val="auto"/>
          <w:sz w:val="24"/>
          <w:szCs w:val="24"/>
        </w:rPr>
        <w:t>……</w:t>
      </w:r>
    </w:p>
    <w:p w14:paraId="2AB1B5AA">
      <w:pPr>
        <w:pStyle w:val="20"/>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p>
    <w:p w14:paraId="35C835A2">
      <w:pPr>
        <w:pStyle w:val="20"/>
        <w:spacing w:line="360" w:lineRule="auto"/>
        <w:ind w:left="25" w:leftChars="12" w:firstLine="472" w:firstLineChars="197"/>
        <w:rPr>
          <w:rFonts w:hAnsi="宋体"/>
          <w:color w:val="auto"/>
          <w:sz w:val="24"/>
          <w:szCs w:val="24"/>
        </w:rPr>
      </w:pPr>
      <w:r>
        <w:rPr>
          <w:rFonts w:hint="eastAsia" w:hAnsi="宋体"/>
          <w:color w:val="auto"/>
          <w:sz w:val="24"/>
          <w:szCs w:val="24"/>
        </w:rPr>
        <w:t>请求：</w:t>
      </w:r>
    </w:p>
    <w:p w14:paraId="71CE04AB">
      <w:pPr>
        <w:pStyle w:val="20"/>
        <w:spacing w:line="360" w:lineRule="auto"/>
        <w:ind w:left="25" w:leftChars="12" w:firstLine="352" w:firstLineChars="147"/>
        <w:rPr>
          <w:rFonts w:hAnsi="宋体"/>
          <w:color w:val="auto"/>
          <w:sz w:val="24"/>
          <w:szCs w:val="24"/>
        </w:rPr>
      </w:pPr>
    </w:p>
    <w:p w14:paraId="1673AA2A">
      <w:pPr>
        <w:pStyle w:val="20"/>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2C372702">
      <w:pPr>
        <w:pStyle w:val="20"/>
        <w:spacing w:line="360" w:lineRule="auto"/>
        <w:ind w:left="25" w:leftChars="12" w:firstLine="352" w:firstLineChars="147"/>
        <w:rPr>
          <w:rFonts w:hAnsi="宋体"/>
          <w:color w:val="auto"/>
          <w:sz w:val="24"/>
          <w:szCs w:val="24"/>
        </w:rPr>
      </w:pPr>
    </w:p>
    <w:p w14:paraId="57662016">
      <w:pPr>
        <w:pStyle w:val="20"/>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20A17DC0">
      <w:pPr>
        <w:pStyle w:val="20"/>
        <w:spacing w:line="360" w:lineRule="auto"/>
        <w:ind w:left="25" w:leftChars="12" w:firstLine="475" w:firstLineChars="197"/>
        <w:rPr>
          <w:rFonts w:hAnsi="宋体"/>
          <w:b/>
          <w:color w:val="auto"/>
          <w:sz w:val="24"/>
          <w:szCs w:val="24"/>
        </w:rPr>
      </w:pPr>
      <w:r>
        <w:rPr>
          <w:rFonts w:hint="eastAsia" w:hAnsi="宋体"/>
          <w:b/>
          <w:color w:val="auto"/>
          <w:sz w:val="24"/>
          <w:szCs w:val="24"/>
        </w:rPr>
        <w:t>说明：</w:t>
      </w:r>
    </w:p>
    <w:p w14:paraId="440AC281">
      <w:pPr>
        <w:pStyle w:val="20"/>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34A7212C">
      <w:pPr>
        <w:pStyle w:val="20"/>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bookmarkStart w:id="176" w:name="_GoBack"/>
      <w:bookmarkEnd w:id="176"/>
    </w:p>
    <w:p w14:paraId="100C8F63">
      <w:pPr>
        <w:pStyle w:val="20"/>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7360E736">
      <w:pPr>
        <w:pStyle w:val="20"/>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1548AA8C">
      <w:pPr>
        <w:pStyle w:val="20"/>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62606B8B">
      <w:pPr>
        <w:pStyle w:val="20"/>
        <w:spacing w:line="360" w:lineRule="auto"/>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56EF6713">
      <w:pPr>
        <w:rPr>
          <w:color w:val="auto"/>
        </w:rPr>
      </w:pPr>
    </w:p>
    <w:sectPr>
      <w:footerReference r:id="rId14" w:type="first"/>
      <w:headerReference r:id="rId11" w:type="default"/>
      <w:footerReference r:id="rId12" w:type="default"/>
      <w:footerReference r:id="rId13"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22A7D42-70CC-4B02-A7EB-35A5A6D188FB}"/>
  </w:font>
  <w:font w:name="Arial">
    <w:panose1 w:val="020B0604020202020204"/>
    <w:charset w:val="01"/>
    <w:family w:val="swiss"/>
    <w:pitch w:val="default"/>
    <w:sig w:usb0="E0002EFF" w:usb1="C000785B" w:usb2="00000009" w:usb3="00000000" w:csb0="400001FF" w:csb1="FFFF0000"/>
    <w:embedRegular r:id="rId2" w:fontKey="{9B9272DC-9233-464D-89AA-0183100B90E5}"/>
  </w:font>
  <w:font w:name="黑体">
    <w:panose1 w:val="02010609060101010101"/>
    <w:charset w:val="86"/>
    <w:family w:val="auto"/>
    <w:pitch w:val="default"/>
    <w:sig w:usb0="800002BF" w:usb1="38CF7CFA" w:usb2="00000016" w:usb3="00000000" w:csb0="00040001" w:csb1="00000000"/>
    <w:embedRegular r:id="rId3" w:fontKey="{FEAAC76A-C8E9-47A6-B9E9-0369D981B426}"/>
  </w:font>
  <w:font w:name="Courier New">
    <w:panose1 w:val="02070309020205020404"/>
    <w:charset w:val="01"/>
    <w:family w:val="modern"/>
    <w:pitch w:val="default"/>
    <w:sig w:usb0="E0002EFF" w:usb1="C0007843" w:usb2="00000009" w:usb3="00000000" w:csb0="400001FF" w:csb1="FFFF0000"/>
    <w:embedRegular r:id="rId4" w:fontKey="{8E845808-FC6B-4471-85DD-C8C324CAC3F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5" w:fontKey="{8379A978-3F4E-46AF-9821-AA7DDAD3A8EB}"/>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6" w:fontKey="{BA6BEE5E-B3BB-4B33-AFCB-6524E01779A5}"/>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7" w:fontKey="{32AE1747-44D1-4E8B-80CA-512763A81573}"/>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8" w:fontKey="{E493A810-C6FB-4286-AB09-0D0056303D83}"/>
  </w:font>
  <w:font w:name="华文新魏">
    <w:panose1 w:val="02010800040101010101"/>
    <w:charset w:val="86"/>
    <w:family w:val="auto"/>
    <w:pitch w:val="default"/>
    <w:sig w:usb0="00000001" w:usb1="080F0000" w:usb2="00000000" w:usb3="00000000" w:csb0="00040000" w:csb1="00000000"/>
    <w:embedRegular r:id="rId9" w:fontKey="{A43BD1A7-3957-433C-8C2D-BB11DE891FA3}"/>
  </w:font>
  <w:font w:name="MS Mincho">
    <w:panose1 w:val="02020609040205080304"/>
    <w:charset w:val="80"/>
    <w:family w:val="modern"/>
    <w:pitch w:val="default"/>
    <w:sig w:usb0="E00002FF" w:usb1="6AC7FDFB" w:usb2="00000012" w:usb3="00000000" w:csb0="4002009F" w:csb1="DFD70000"/>
    <w:embedRegular r:id="rId10" w:fontKey="{9B94DA0F-3F95-4826-A917-B7F71D8B1505}"/>
  </w:font>
  <w:font w:name="Helvetica">
    <w:altName w:val="Arial"/>
    <w:panose1 w:val="020B0604020202030204"/>
    <w:charset w:val="00"/>
    <w:family w:val="swiss"/>
    <w:pitch w:val="default"/>
    <w:sig w:usb0="00000000" w:usb1="00000000" w:usb2="00000000" w:usb3="00000000" w:csb0="00000093" w:csb1="00000000"/>
    <w:embedRegular r:id="rId11" w:fontKey="{97DB8D87-4D72-4EEE-B2D4-1940DBA80DF4}"/>
  </w:font>
  <w:font w:name="Segoe UI Symbol">
    <w:panose1 w:val="020B0502040204020203"/>
    <w:charset w:val="00"/>
    <w:family w:val="swiss"/>
    <w:pitch w:val="default"/>
    <w:sig w:usb0="800001E3" w:usb1="1200FFEF" w:usb2="00040000" w:usb3="04000000" w:csb0="00000001" w:csb1="40000000"/>
    <w:embedRegular r:id="rId12" w:fontKey="{8367E528-02E8-4DF4-9EEB-74E7D8AC3661}"/>
  </w:font>
  <w:font w:name="华文中宋">
    <w:panose1 w:val="02010600040101010101"/>
    <w:charset w:val="86"/>
    <w:family w:val="auto"/>
    <w:pitch w:val="default"/>
    <w:sig w:usb0="00000287" w:usb1="080F0000" w:usb2="00000000" w:usb3="00000000" w:csb0="0004009F" w:csb1="DFD70000"/>
    <w:embedRegular r:id="rId13" w:fontKey="{A852F944-DE7E-47A2-9E83-BF630AE56E73}"/>
  </w:font>
  <w:font w:name="微软雅黑">
    <w:panose1 w:val="020B0503020204020204"/>
    <w:charset w:val="86"/>
    <w:family w:val="swiss"/>
    <w:pitch w:val="default"/>
    <w:sig w:usb0="80000287" w:usb1="2ACF3C50" w:usb2="00000016" w:usb3="00000000" w:csb0="0004001F" w:csb1="00000000"/>
    <w:embedRegular r:id="rId14" w:fontKey="{925BBF6C-6737-4A30-8DFC-EDE0D5FF5A91}"/>
  </w:font>
  <w:font w:name="隶书">
    <w:panose1 w:val="02010509060101010101"/>
    <w:charset w:val="86"/>
    <w:family w:val="modern"/>
    <w:pitch w:val="default"/>
    <w:sig w:usb0="00000001" w:usb1="080E0000" w:usb2="00000000" w:usb3="00000000" w:csb0="00040000" w:csb1="00000000"/>
    <w:embedRegular r:id="rId15" w:fontKey="{6A7E5B13-1D97-4503-9688-BA5419A7C2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8572">
    <w:pPr>
      <w:pStyle w:val="25"/>
      <w:jc w:val="center"/>
    </w:pPr>
    <w:r>
      <w:fldChar w:fldCharType="begin"/>
    </w:r>
    <w:r>
      <w:instrText xml:space="preserve">PAGE   \* MERGEFORMAT</w:instrText>
    </w:r>
    <w:r>
      <w:fldChar w:fldCharType="separate"/>
    </w:r>
    <w:r>
      <w:rPr>
        <w:lang w:val="zh-CN"/>
      </w:rPr>
      <w:t>2</w:t>
    </w:r>
    <w:r>
      <w:rPr>
        <w:lang w:val="zh-CN"/>
      </w:rPr>
      <w:fldChar w:fldCharType="end"/>
    </w:r>
  </w:p>
  <w:p w14:paraId="76FB91CB">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97CA">
    <w:pPr>
      <w:pStyle w:val="25"/>
      <w:jc w:val="center"/>
    </w:pPr>
    <w:r>
      <w:fldChar w:fldCharType="begin"/>
    </w:r>
    <w:r>
      <w:instrText xml:space="preserve">PAGE   \* MERGEFORMAT</w:instrText>
    </w:r>
    <w:r>
      <w:fldChar w:fldCharType="separate"/>
    </w:r>
    <w:r>
      <w:rPr>
        <w:lang w:val="zh-CN"/>
      </w:rPr>
      <w:t>1</w:t>
    </w:r>
    <w:r>
      <w:rPr>
        <w:lang w:val="zh-CN"/>
      </w:rPr>
      <w:fldChar w:fldCharType="end"/>
    </w:r>
  </w:p>
  <w:p w14:paraId="679355A8">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0F1C">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FA6344">
                          <w:pPr>
                            <w:pStyle w:val="25"/>
                          </w:pPr>
                          <w:r>
                            <w:fldChar w:fldCharType="begin"/>
                          </w:r>
                          <w:r>
                            <w:instrText xml:space="preserve"> PAGE  \* MERGEFORMAT </w:instrText>
                          </w:r>
                          <w:r>
                            <w:fldChar w:fldCharType="separate"/>
                          </w:r>
                          <w:r>
                            <w:t>89</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ONH88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XocdJ2nBH97jDhSnjR1mGCRYXLwCTPXed3Sjjz2c9XDL7b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Vk40fzwEAAKoDAAAOAAAAAAAAAAEAIAAAAB4BAABkcnMv&#10;ZTJvRG9jLnhtbFBLBQYAAAAABgAGAFkBAABfBQAAAAA=&#10;">
              <v:fill on="f" focussize="0,0"/>
              <v:stroke on="f"/>
              <v:imagedata o:title=""/>
              <o:lock v:ext="edit" aspectratio="f"/>
              <v:textbox inset="0mm,0mm,0mm,0mm" style="mso-fit-shape-to-text:t;">
                <w:txbxContent>
                  <w:p w14:paraId="7CFA6344">
                    <w:pPr>
                      <w:pStyle w:val="25"/>
                    </w:pPr>
                    <w:r>
                      <w:fldChar w:fldCharType="begin"/>
                    </w:r>
                    <w:r>
                      <w:instrText xml:space="preserve"> PAGE  \* MERGEFORMAT </w:instrText>
                    </w:r>
                    <w:r>
                      <w:fldChar w:fldCharType="separate"/>
                    </w:r>
                    <w:r>
                      <w:t>89</w:t>
                    </w:r>
                    <w:r>
                      <w:fldChar w:fldCharType="end"/>
                    </w:r>
                  </w:p>
                </w:txbxContent>
              </v:textbox>
            </v:shape>
          </w:pict>
        </mc:Fallback>
      </mc:AlternateContent>
    </w:r>
  </w:p>
  <w:p w14:paraId="10E9162A">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1F92">
    <w:pPr>
      <w:pStyle w:val="25"/>
      <w:framePr w:wrap="around" w:vAnchor="text" w:hAnchor="margin" w:xAlign="center" w:y="1"/>
      <w:rPr>
        <w:rStyle w:val="41"/>
      </w:rPr>
    </w:pPr>
    <w:r>
      <w:fldChar w:fldCharType="begin"/>
    </w:r>
    <w:r>
      <w:rPr>
        <w:rStyle w:val="41"/>
      </w:rPr>
      <w:instrText xml:space="preserve">PAGE  </w:instrText>
    </w:r>
    <w:r>
      <w:fldChar w:fldCharType="end"/>
    </w:r>
  </w:p>
  <w:p w14:paraId="3933B300">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51E2">
    <w:pPr>
      <w:pStyle w:val="25"/>
      <w:framePr w:wrap="around" w:vAnchor="text" w:hAnchor="margin" w:xAlign="right" w:y="1"/>
      <w:rPr>
        <w:rStyle w:val="41"/>
      </w:rPr>
    </w:pPr>
    <w:r>
      <w:fldChar w:fldCharType="begin"/>
    </w:r>
    <w:r>
      <w:rPr>
        <w:rStyle w:val="41"/>
      </w:rPr>
      <w:instrText xml:space="preserve">PAGE  </w:instrText>
    </w:r>
    <w:r>
      <w:fldChar w:fldCharType="separate"/>
    </w:r>
    <w:r>
      <w:rPr>
        <w:rStyle w:val="41"/>
      </w:rPr>
      <w:t>122</w:t>
    </w:r>
    <w:r>
      <w:fldChar w:fldCharType="end"/>
    </w:r>
  </w:p>
  <w:p w14:paraId="4EC9F15A">
    <w:pPr>
      <w:pStyle w:val="25"/>
      <w:ind w:right="360"/>
      <w:jc w:val="both"/>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1A38">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79A467">
                          <w:pPr>
                            <w:pStyle w:val="25"/>
                          </w:pPr>
                          <w:r>
                            <w:fldChar w:fldCharType="begin"/>
                          </w:r>
                          <w:r>
                            <w:instrText xml:space="preserve"> PAGE  \* MERGEFORMAT </w:instrText>
                          </w:r>
                          <w:r>
                            <w:fldChar w:fldCharType="separate"/>
                          </w:r>
                          <w:r>
                            <w:t>99</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Mv4s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oy/izwEAAKoDAAAOAAAAAAAAAAEAIAAAAB4BAABkcnMv&#10;ZTJvRG9jLnhtbFBLBQYAAAAABgAGAFkBAABfBQAAAAA=&#10;">
              <v:fill on="f" focussize="0,0"/>
              <v:stroke on="f"/>
              <v:imagedata o:title=""/>
              <o:lock v:ext="edit" aspectratio="f"/>
              <v:textbox inset="0mm,0mm,0mm,0mm" style="mso-fit-shape-to-text:t;">
                <w:txbxContent>
                  <w:p w14:paraId="0679A467">
                    <w:pPr>
                      <w:pStyle w:val="25"/>
                    </w:pPr>
                    <w:r>
                      <w:fldChar w:fldCharType="begin"/>
                    </w:r>
                    <w:r>
                      <w:instrText xml:space="preserve"> PAGE  \* MERGEFORMAT </w:instrText>
                    </w:r>
                    <w:r>
                      <w:fldChar w:fldCharType="separate"/>
                    </w:r>
                    <w:r>
                      <w:t>99</w:t>
                    </w:r>
                    <w:r>
                      <w:fldChar w:fldCharType="end"/>
                    </w:r>
                  </w:p>
                </w:txbxContent>
              </v:textbox>
            </v:shape>
          </w:pict>
        </mc:Fallback>
      </mc:AlternateContent>
    </w:r>
  </w:p>
  <w:p w14:paraId="1E1E7747">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DDC32">
    <w:pPr>
      <w:pStyle w:val="25"/>
      <w:framePr w:wrap="around" w:vAnchor="text" w:hAnchor="margin" w:xAlign="center" w:y="1"/>
      <w:rPr>
        <w:rStyle w:val="41"/>
      </w:rPr>
    </w:pPr>
    <w:r>
      <w:fldChar w:fldCharType="begin"/>
    </w:r>
    <w:r>
      <w:rPr>
        <w:rStyle w:val="41"/>
      </w:rPr>
      <w:instrText xml:space="preserve">PAGE  </w:instrText>
    </w:r>
    <w:r>
      <w:fldChar w:fldCharType="end"/>
    </w:r>
  </w:p>
  <w:p w14:paraId="547A6A32">
    <w:pPr>
      <w:pStyle w:val="25"/>
    </w:pPr>
  </w:p>
  <w:p w14:paraId="675651C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D1A7">
    <w:pPr>
      <w:pStyle w:val="25"/>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E083B0">
                          <w:pPr>
                            <w:pStyle w:val="25"/>
                          </w:pPr>
                          <w:r>
                            <w:fldChar w:fldCharType="begin"/>
                          </w:r>
                          <w:r>
                            <w:instrText xml:space="preserve"> PAGE  \* MERGEFORMAT </w:instrText>
                          </w:r>
                          <w:r>
                            <w:fldChar w:fldCharType="separate"/>
                          </w:r>
                          <w:r>
                            <w:t>90</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WDBQPzwEAAKoDAAAOAAAAAAAAAAEAIAAAAB4BAABkcnMv&#10;ZTJvRG9jLnhtbFBLBQYAAAAABgAGAFkBAABfBQAAAAA=&#10;">
              <v:fill on="f" focussize="0,0"/>
              <v:stroke on="f"/>
              <v:imagedata o:title=""/>
              <o:lock v:ext="edit" aspectratio="f"/>
              <v:textbox inset="0mm,0mm,0mm,0mm" style="mso-fit-shape-to-text:t;">
                <w:txbxContent>
                  <w:p w14:paraId="31E083B0">
                    <w:pPr>
                      <w:pStyle w:val="25"/>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CB23C">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3883">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3FC1">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6149">
    <w:pPr>
      <w:pStyle w:val="26"/>
      <w:pBdr>
        <w:bottom w:val="none" w:color="auto" w:sz="0" w:space="0"/>
      </w:pBdr>
    </w:pPr>
  </w:p>
  <w:p w14:paraId="67DA89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9337C"/>
    <w:multiLevelType w:val="singleLevel"/>
    <w:tmpl w:val="37E9337C"/>
    <w:lvl w:ilvl="0" w:tentative="0">
      <w:start w:val="1"/>
      <w:numFmt w:val="decimal"/>
      <w:suff w:val="nothing"/>
      <w:lvlText w:val="（%1）"/>
      <w:lvlJc w:val="left"/>
    </w:lvl>
  </w:abstractNum>
  <w:abstractNum w:abstractNumId="1">
    <w:nsid w:val="4C601917"/>
    <w:multiLevelType w:val="singleLevel"/>
    <w:tmpl w:val="4C601917"/>
    <w:lvl w:ilvl="0" w:tentative="0">
      <w:start w:val="1"/>
      <w:numFmt w:val="decimal"/>
      <w:suff w:val="nothing"/>
      <w:lvlText w:val="（%1）"/>
      <w:lvlJc w:val="left"/>
    </w:lvl>
  </w:abstractNum>
  <w:abstractNum w:abstractNumId="2">
    <w:nsid w:val="5FABD14B"/>
    <w:multiLevelType w:val="singleLevel"/>
    <w:tmpl w:val="5FABD14B"/>
    <w:lvl w:ilvl="0" w:tentative="0">
      <w:start w:val="1"/>
      <w:numFmt w:val="decimal"/>
      <w:suff w:val="nothing"/>
      <w:lvlText w:val="（%1）"/>
      <w:lvlJc w:val="left"/>
    </w:lvl>
  </w:abstractNum>
  <w:abstractNum w:abstractNumId="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2UzODJhZjVkZWRiYzU0MmNhZWI4MTg4ZGJhYmQifQ=="/>
  </w:docVars>
  <w:rsids>
    <w:rsidRoot w:val="00F9008B"/>
    <w:rsid w:val="0000010C"/>
    <w:rsid w:val="00000466"/>
    <w:rsid w:val="00000D21"/>
    <w:rsid w:val="00000FE0"/>
    <w:rsid w:val="00001068"/>
    <w:rsid w:val="0000108F"/>
    <w:rsid w:val="0000114A"/>
    <w:rsid w:val="00001731"/>
    <w:rsid w:val="00001C2D"/>
    <w:rsid w:val="00001C55"/>
    <w:rsid w:val="00001CA8"/>
    <w:rsid w:val="00001FAE"/>
    <w:rsid w:val="00002291"/>
    <w:rsid w:val="00002300"/>
    <w:rsid w:val="00002644"/>
    <w:rsid w:val="00002DBF"/>
    <w:rsid w:val="00002E56"/>
    <w:rsid w:val="00002EC0"/>
    <w:rsid w:val="000030A4"/>
    <w:rsid w:val="00003224"/>
    <w:rsid w:val="000033A9"/>
    <w:rsid w:val="000033F5"/>
    <w:rsid w:val="000034A2"/>
    <w:rsid w:val="000034EA"/>
    <w:rsid w:val="0000350E"/>
    <w:rsid w:val="0000358C"/>
    <w:rsid w:val="00003BEF"/>
    <w:rsid w:val="00003E35"/>
    <w:rsid w:val="00004130"/>
    <w:rsid w:val="0000419B"/>
    <w:rsid w:val="0000431F"/>
    <w:rsid w:val="00004634"/>
    <w:rsid w:val="00004CBC"/>
    <w:rsid w:val="00004D8B"/>
    <w:rsid w:val="000059E2"/>
    <w:rsid w:val="00005BDA"/>
    <w:rsid w:val="00005F8A"/>
    <w:rsid w:val="000066DC"/>
    <w:rsid w:val="00006AE7"/>
    <w:rsid w:val="00006B9B"/>
    <w:rsid w:val="00006C35"/>
    <w:rsid w:val="000072B1"/>
    <w:rsid w:val="00007329"/>
    <w:rsid w:val="00007922"/>
    <w:rsid w:val="00007B0C"/>
    <w:rsid w:val="00007E28"/>
    <w:rsid w:val="00007E84"/>
    <w:rsid w:val="00010401"/>
    <w:rsid w:val="000105A1"/>
    <w:rsid w:val="000107AD"/>
    <w:rsid w:val="00010835"/>
    <w:rsid w:val="00010844"/>
    <w:rsid w:val="0001088E"/>
    <w:rsid w:val="00011747"/>
    <w:rsid w:val="000117A1"/>
    <w:rsid w:val="00011842"/>
    <w:rsid w:val="00012137"/>
    <w:rsid w:val="000121EB"/>
    <w:rsid w:val="000121EE"/>
    <w:rsid w:val="000121FF"/>
    <w:rsid w:val="000125B8"/>
    <w:rsid w:val="000125EC"/>
    <w:rsid w:val="00012692"/>
    <w:rsid w:val="00012A8F"/>
    <w:rsid w:val="00013446"/>
    <w:rsid w:val="0001349D"/>
    <w:rsid w:val="00013509"/>
    <w:rsid w:val="000135BC"/>
    <w:rsid w:val="000135DC"/>
    <w:rsid w:val="000136D6"/>
    <w:rsid w:val="00013979"/>
    <w:rsid w:val="00013E8C"/>
    <w:rsid w:val="00014085"/>
    <w:rsid w:val="000141DB"/>
    <w:rsid w:val="000141DE"/>
    <w:rsid w:val="00014B4C"/>
    <w:rsid w:val="00014DD9"/>
    <w:rsid w:val="000151E4"/>
    <w:rsid w:val="000153D8"/>
    <w:rsid w:val="00015577"/>
    <w:rsid w:val="000156E4"/>
    <w:rsid w:val="000159A7"/>
    <w:rsid w:val="00015A27"/>
    <w:rsid w:val="00015A66"/>
    <w:rsid w:val="00015C4C"/>
    <w:rsid w:val="00015C5E"/>
    <w:rsid w:val="00015DD6"/>
    <w:rsid w:val="00015FB8"/>
    <w:rsid w:val="00016076"/>
    <w:rsid w:val="0001609F"/>
    <w:rsid w:val="0001635B"/>
    <w:rsid w:val="00016549"/>
    <w:rsid w:val="00016BF7"/>
    <w:rsid w:val="00016D20"/>
    <w:rsid w:val="000171C0"/>
    <w:rsid w:val="0001744A"/>
    <w:rsid w:val="0001767E"/>
    <w:rsid w:val="0001776D"/>
    <w:rsid w:val="000178D7"/>
    <w:rsid w:val="00017B74"/>
    <w:rsid w:val="00017C00"/>
    <w:rsid w:val="00017D58"/>
    <w:rsid w:val="00017F31"/>
    <w:rsid w:val="00020607"/>
    <w:rsid w:val="00020E42"/>
    <w:rsid w:val="0002103A"/>
    <w:rsid w:val="000217E4"/>
    <w:rsid w:val="00021852"/>
    <w:rsid w:val="0002186C"/>
    <w:rsid w:val="00021A12"/>
    <w:rsid w:val="00021C6F"/>
    <w:rsid w:val="00021CF5"/>
    <w:rsid w:val="00021F18"/>
    <w:rsid w:val="00022622"/>
    <w:rsid w:val="000226C9"/>
    <w:rsid w:val="00022D86"/>
    <w:rsid w:val="00022FF4"/>
    <w:rsid w:val="000230F0"/>
    <w:rsid w:val="00023363"/>
    <w:rsid w:val="000235F3"/>
    <w:rsid w:val="00023644"/>
    <w:rsid w:val="00023712"/>
    <w:rsid w:val="00023748"/>
    <w:rsid w:val="00023AF0"/>
    <w:rsid w:val="00023BFB"/>
    <w:rsid w:val="00023CA4"/>
    <w:rsid w:val="00024365"/>
    <w:rsid w:val="0002440A"/>
    <w:rsid w:val="00024707"/>
    <w:rsid w:val="0002476C"/>
    <w:rsid w:val="00024E3C"/>
    <w:rsid w:val="00024EB0"/>
    <w:rsid w:val="00025117"/>
    <w:rsid w:val="0002547A"/>
    <w:rsid w:val="000259DF"/>
    <w:rsid w:val="00025A13"/>
    <w:rsid w:val="00025A93"/>
    <w:rsid w:val="00026048"/>
    <w:rsid w:val="000263D0"/>
    <w:rsid w:val="0002646A"/>
    <w:rsid w:val="0002651D"/>
    <w:rsid w:val="00026658"/>
    <w:rsid w:val="000269BE"/>
    <w:rsid w:val="00026A3A"/>
    <w:rsid w:val="00026A92"/>
    <w:rsid w:val="00026CFD"/>
    <w:rsid w:val="000270B9"/>
    <w:rsid w:val="000272DD"/>
    <w:rsid w:val="000279F9"/>
    <w:rsid w:val="00027A11"/>
    <w:rsid w:val="00027B0F"/>
    <w:rsid w:val="00027C8B"/>
    <w:rsid w:val="00027CD9"/>
    <w:rsid w:val="00027CE8"/>
    <w:rsid w:val="00027DD6"/>
    <w:rsid w:val="00027EC8"/>
    <w:rsid w:val="00027EDA"/>
    <w:rsid w:val="00030242"/>
    <w:rsid w:val="000308A0"/>
    <w:rsid w:val="00030B06"/>
    <w:rsid w:val="00030D31"/>
    <w:rsid w:val="0003134B"/>
    <w:rsid w:val="000313E0"/>
    <w:rsid w:val="000314B5"/>
    <w:rsid w:val="0003183A"/>
    <w:rsid w:val="00031CDC"/>
    <w:rsid w:val="00031DC8"/>
    <w:rsid w:val="0003263B"/>
    <w:rsid w:val="0003282C"/>
    <w:rsid w:val="00032EEC"/>
    <w:rsid w:val="0003304A"/>
    <w:rsid w:val="0003317E"/>
    <w:rsid w:val="000331F1"/>
    <w:rsid w:val="00033413"/>
    <w:rsid w:val="000334A6"/>
    <w:rsid w:val="000337F3"/>
    <w:rsid w:val="00033DD9"/>
    <w:rsid w:val="00034C27"/>
    <w:rsid w:val="00034E2A"/>
    <w:rsid w:val="000351BD"/>
    <w:rsid w:val="0003577F"/>
    <w:rsid w:val="00035808"/>
    <w:rsid w:val="00035903"/>
    <w:rsid w:val="00035947"/>
    <w:rsid w:val="000359FE"/>
    <w:rsid w:val="000361E7"/>
    <w:rsid w:val="00036466"/>
    <w:rsid w:val="000365F5"/>
    <w:rsid w:val="0003675E"/>
    <w:rsid w:val="000368F8"/>
    <w:rsid w:val="000373B4"/>
    <w:rsid w:val="000373F9"/>
    <w:rsid w:val="00037633"/>
    <w:rsid w:val="00037AD0"/>
    <w:rsid w:val="00037E9E"/>
    <w:rsid w:val="00037F87"/>
    <w:rsid w:val="00037FA2"/>
    <w:rsid w:val="000400D0"/>
    <w:rsid w:val="000401A5"/>
    <w:rsid w:val="0004044E"/>
    <w:rsid w:val="00041065"/>
    <w:rsid w:val="00041529"/>
    <w:rsid w:val="0004195D"/>
    <w:rsid w:val="00041ACD"/>
    <w:rsid w:val="00041C1C"/>
    <w:rsid w:val="000421C0"/>
    <w:rsid w:val="000425AC"/>
    <w:rsid w:val="00042655"/>
    <w:rsid w:val="00042C91"/>
    <w:rsid w:val="00042F4A"/>
    <w:rsid w:val="00043BE5"/>
    <w:rsid w:val="00043F9B"/>
    <w:rsid w:val="00044003"/>
    <w:rsid w:val="000442FB"/>
    <w:rsid w:val="000443E8"/>
    <w:rsid w:val="00044527"/>
    <w:rsid w:val="0004469E"/>
    <w:rsid w:val="00044897"/>
    <w:rsid w:val="00044A65"/>
    <w:rsid w:val="00044ACF"/>
    <w:rsid w:val="00044D83"/>
    <w:rsid w:val="00044E06"/>
    <w:rsid w:val="000451DA"/>
    <w:rsid w:val="000454F4"/>
    <w:rsid w:val="00045670"/>
    <w:rsid w:val="000456EB"/>
    <w:rsid w:val="00045D1E"/>
    <w:rsid w:val="00045E69"/>
    <w:rsid w:val="00045EF4"/>
    <w:rsid w:val="00045F00"/>
    <w:rsid w:val="000460F2"/>
    <w:rsid w:val="00046200"/>
    <w:rsid w:val="00046415"/>
    <w:rsid w:val="00046547"/>
    <w:rsid w:val="00046656"/>
    <w:rsid w:val="000466D7"/>
    <w:rsid w:val="00046753"/>
    <w:rsid w:val="00046979"/>
    <w:rsid w:val="00047254"/>
    <w:rsid w:val="000472FD"/>
    <w:rsid w:val="00050001"/>
    <w:rsid w:val="0005022B"/>
    <w:rsid w:val="00050547"/>
    <w:rsid w:val="00050771"/>
    <w:rsid w:val="00050803"/>
    <w:rsid w:val="00050B9B"/>
    <w:rsid w:val="000513F3"/>
    <w:rsid w:val="000515A1"/>
    <w:rsid w:val="000518C6"/>
    <w:rsid w:val="00051CE2"/>
    <w:rsid w:val="000520E9"/>
    <w:rsid w:val="00052287"/>
    <w:rsid w:val="000522E0"/>
    <w:rsid w:val="00052609"/>
    <w:rsid w:val="000527E2"/>
    <w:rsid w:val="00052951"/>
    <w:rsid w:val="00052D4B"/>
    <w:rsid w:val="00052F55"/>
    <w:rsid w:val="000532F4"/>
    <w:rsid w:val="00053624"/>
    <w:rsid w:val="000536AE"/>
    <w:rsid w:val="00053A2B"/>
    <w:rsid w:val="000542FB"/>
    <w:rsid w:val="000548E0"/>
    <w:rsid w:val="00054CD5"/>
    <w:rsid w:val="00054D03"/>
    <w:rsid w:val="000550AC"/>
    <w:rsid w:val="0005580E"/>
    <w:rsid w:val="0005584D"/>
    <w:rsid w:val="000559EC"/>
    <w:rsid w:val="00055CC3"/>
    <w:rsid w:val="00055CEE"/>
    <w:rsid w:val="00055F58"/>
    <w:rsid w:val="000566FA"/>
    <w:rsid w:val="00056738"/>
    <w:rsid w:val="00056A2B"/>
    <w:rsid w:val="00056E37"/>
    <w:rsid w:val="00056EE2"/>
    <w:rsid w:val="00056FE2"/>
    <w:rsid w:val="000570FB"/>
    <w:rsid w:val="00057138"/>
    <w:rsid w:val="00057248"/>
    <w:rsid w:val="000575B8"/>
    <w:rsid w:val="00057941"/>
    <w:rsid w:val="00057F4D"/>
    <w:rsid w:val="00060131"/>
    <w:rsid w:val="0006016D"/>
    <w:rsid w:val="0006026B"/>
    <w:rsid w:val="00060293"/>
    <w:rsid w:val="00060423"/>
    <w:rsid w:val="0006054F"/>
    <w:rsid w:val="0006141E"/>
    <w:rsid w:val="00061459"/>
    <w:rsid w:val="00061739"/>
    <w:rsid w:val="00061BDA"/>
    <w:rsid w:val="00062048"/>
    <w:rsid w:val="000621FE"/>
    <w:rsid w:val="00062B90"/>
    <w:rsid w:val="00062C70"/>
    <w:rsid w:val="00062DD0"/>
    <w:rsid w:val="00062E6F"/>
    <w:rsid w:val="000630C7"/>
    <w:rsid w:val="00063D37"/>
    <w:rsid w:val="0006400F"/>
    <w:rsid w:val="000643DA"/>
    <w:rsid w:val="000645DD"/>
    <w:rsid w:val="00064D7E"/>
    <w:rsid w:val="00064F65"/>
    <w:rsid w:val="00064FD0"/>
    <w:rsid w:val="0006534A"/>
    <w:rsid w:val="0006578E"/>
    <w:rsid w:val="00065A5D"/>
    <w:rsid w:val="00065BA2"/>
    <w:rsid w:val="00065E0D"/>
    <w:rsid w:val="000661CA"/>
    <w:rsid w:val="0006668D"/>
    <w:rsid w:val="00066B6C"/>
    <w:rsid w:val="00066EBC"/>
    <w:rsid w:val="00066F2B"/>
    <w:rsid w:val="00067002"/>
    <w:rsid w:val="0006710A"/>
    <w:rsid w:val="00067318"/>
    <w:rsid w:val="00067993"/>
    <w:rsid w:val="00067B1C"/>
    <w:rsid w:val="00067CED"/>
    <w:rsid w:val="00067D39"/>
    <w:rsid w:val="00067F66"/>
    <w:rsid w:val="0007041A"/>
    <w:rsid w:val="00070634"/>
    <w:rsid w:val="00070639"/>
    <w:rsid w:val="00070883"/>
    <w:rsid w:val="00070C3F"/>
    <w:rsid w:val="00070E02"/>
    <w:rsid w:val="0007102C"/>
    <w:rsid w:val="000710CB"/>
    <w:rsid w:val="00071109"/>
    <w:rsid w:val="0007183E"/>
    <w:rsid w:val="00071C5E"/>
    <w:rsid w:val="00071D68"/>
    <w:rsid w:val="00071DD2"/>
    <w:rsid w:val="00071FCE"/>
    <w:rsid w:val="000721BF"/>
    <w:rsid w:val="00072661"/>
    <w:rsid w:val="00072812"/>
    <w:rsid w:val="00072876"/>
    <w:rsid w:val="000729FA"/>
    <w:rsid w:val="00072B29"/>
    <w:rsid w:val="00072CCC"/>
    <w:rsid w:val="00073549"/>
    <w:rsid w:val="00073A58"/>
    <w:rsid w:val="000740C1"/>
    <w:rsid w:val="00074769"/>
    <w:rsid w:val="000747E1"/>
    <w:rsid w:val="0007483E"/>
    <w:rsid w:val="00074D4A"/>
    <w:rsid w:val="00074E1A"/>
    <w:rsid w:val="000751DB"/>
    <w:rsid w:val="000751E9"/>
    <w:rsid w:val="0007578F"/>
    <w:rsid w:val="000759A3"/>
    <w:rsid w:val="00075E43"/>
    <w:rsid w:val="00076291"/>
    <w:rsid w:val="0007651B"/>
    <w:rsid w:val="00077182"/>
    <w:rsid w:val="00077706"/>
    <w:rsid w:val="00077878"/>
    <w:rsid w:val="00077B5F"/>
    <w:rsid w:val="00077DD1"/>
    <w:rsid w:val="00077DE2"/>
    <w:rsid w:val="00077F02"/>
    <w:rsid w:val="000804EF"/>
    <w:rsid w:val="00080558"/>
    <w:rsid w:val="00080771"/>
    <w:rsid w:val="00080807"/>
    <w:rsid w:val="00081169"/>
    <w:rsid w:val="00081230"/>
    <w:rsid w:val="00081384"/>
    <w:rsid w:val="000814D4"/>
    <w:rsid w:val="000814E2"/>
    <w:rsid w:val="00081532"/>
    <w:rsid w:val="000818C9"/>
    <w:rsid w:val="00081CBB"/>
    <w:rsid w:val="00081D42"/>
    <w:rsid w:val="000822AC"/>
    <w:rsid w:val="000822EF"/>
    <w:rsid w:val="0008241E"/>
    <w:rsid w:val="000826F5"/>
    <w:rsid w:val="0008272C"/>
    <w:rsid w:val="000829B1"/>
    <w:rsid w:val="00082AAB"/>
    <w:rsid w:val="0008307D"/>
    <w:rsid w:val="000831E9"/>
    <w:rsid w:val="00083288"/>
    <w:rsid w:val="000833BB"/>
    <w:rsid w:val="000836C4"/>
    <w:rsid w:val="00083A03"/>
    <w:rsid w:val="00083D33"/>
    <w:rsid w:val="000840A6"/>
    <w:rsid w:val="0008452D"/>
    <w:rsid w:val="0008467B"/>
    <w:rsid w:val="000846E2"/>
    <w:rsid w:val="0008470F"/>
    <w:rsid w:val="00084B6F"/>
    <w:rsid w:val="00084F7A"/>
    <w:rsid w:val="000850FA"/>
    <w:rsid w:val="0008556B"/>
    <w:rsid w:val="00085C12"/>
    <w:rsid w:val="00085CCF"/>
    <w:rsid w:val="00085DA0"/>
    <w:rsid w:val="00085F82"/>
    <w:rsid w:val="00086506"/>
    <w:rsid w:val="00086B6E"/>
    <w:rsid w:val="00086C64"/>
    <w:rsid w:val="0008781A"/>
    <w:rsid w:val="000901DC"/>
    <w:rsid w:val="00090951"/>
    <w:rsid w:val="00090A61"/>
    <w:rsid w:val="00090C80"/>
    <w:rsid w:val="00090F08"/>
    <w:rsid w:val="000917E6"/>
    <w:rsid w:val="000918F5"/>
    <w:rsid w:val="000919B5"/>
    <w:rsid w:val="00091C1D"/>
    <w:rsid w:val="00091E08"/>
    <w:rsid w:val="00091E29"/>
    <w:rsid w:val="00092099"/>
    <w:rsid w:val="000920F6"/>
    <w:rsid w:val="000922D8"/>
    <w:rsid w:val="0009286A"/>
    <w:rsid w:val="000932E7"/>
    <w:rsid w:val="0009333A"/>
    <w:rsid w:val="00093459"/>
    <w:rsid w:val="00093B8B"/>
    <w:rsid w:val="00093CBF"/>
    <w:rsid w:val="00094218"/>
    <w:rsid w:val="00094EF9"/>
    <w:rsid w:val="000951E7"/>
    <w:rsid w:val="00095A05"/>
    <w:rsid w:val="00095A44"/>
    <w:rsid w:val="00095B82"/>
    <w:rsid w:val="00096098"/>
    <w:rsid w:val="000961C5"/>
    <w:rsid w:val="00096325"/>
    <w:rsid w:val="000968AF"/>
    <w:rsid w:val="000968CE"/>
    <w:rsid w:val="000969D9"/>
    <w:rsid w:val="00096D43"/>
    <w:rsid w:val="00096F37"/>
    <w:rsid w:val="00097142"/>
    <w:rsid w:val="0009759A"/>
    <w:rsid w:val="000975A5"/>
    <w:rsid w:val="00097D13"/>
    <w:rsid w:val="00097FE5"/>
    <w:rsid w:val="000A005B"/>
    <w:rsid w:val="000A0354"/>
    <w:rsid w:val="000A0355"/>
    <w:rsid w:val="000A05D7"/>
    <w:rsid w:val="000A091F"/>
    <w:rsid w:val="000A0958"/>
    <w:rsid w:val="000A0FCC"/>
    <w:rsid w:val="000A1033"/>
    <w:rsid w:val="000A170E"/>
    <w:rsid w:val="000A197C"/>
    <w:rsid w:val="000A1D71"/>
    <w:rsid w:val="000A2712"/>
    <w:rsid w:val="000A2877"/>
    <w:rsid w:val="000A28F5"/>
    <w:rsid w:val="000A2D31"/>
    <w:rsid w:val="000A30CB"/>
    <w:rsid w:val="000A33BD"/>
    <w:rsid w:val="000A34F4"/>
    <w:rsid w:val="000A355D"/>
    <w:rsid w:val="000A35DA"/>
    <w:rsid w:val="000A365C"/>
    <w:rsid w:val="000A371E"/>
    <w:rsid w:val="000A385B"/>
    <w:rsid w:val="000A3AF3"/>
    <w:rsid w:val="000A3DE5"/>
    <w:rsid w:val="000A4011"/>
    <w:rsid w:val="000A4397"/>
    <w:rsid w:val="000A45D5"/>
    <w:rsid w:val="000A490E"/>
    <w:rsid w:val="000A54E3"/>
    <w:rsid w:val="000A5B49"/>
    <w:rsid w:val="000A5F0F"/>
    <w:rsid w:val="000A5FE5"/>
    <w:rsid w:val="000A688F"/>
    <w:rsid w:val="000A7099"/>
    <w:rsid w:val="000A7218"/>
    <w:rsid w:val="000A740A"/>
    <w:rsid w:val="000A7446"/>
    <w:rsid w:val="000A76C4"/>
    <w:rsid w:val="000A7A56"/>
    <w:rsid w:val="000A7E7F"/>
    <w:rsid w:val="000A7ECD"/>
    <w:rsid w:val="000A7F3D"/>
    <w:rsid w:val="000B04DD"/>
    <w:rsid w:val="000B07E2"/>
    <w:rsid w:val="000B0BEC"/>
    <w:rsid w:val="000B0F01"/>
    <w:rsid w:val="000B1346"/>
    <w:rsid w:val="000B13DF"/>
    <w:rsid w:val="000B1795"/>
    <w:rsid w:val="000B180D"/>
    <w:rsid w:val="000B1914"/>
    <w:rsid w:val="000B19DC"/>
    <w:rsid w:val="000B1CA2"/>
    <w:rsid w:val="000B1E1A"/>
    <w:rsid w:val="000B202E"/>
    <w:rsid w:val="000B2293"/>
    <w:rsid w:val="000B24A4"/>
    <w:rsid w:val="000B255A"/>
    <w:rsid w:val="000B255C"/>
    <w:rsid w:val="000B259D"/>
    <w:rsid w:val="000B275D"/>
    <w:rsid w:val="000B2808"/>
    <w:rsid w:val="000B292B"/>
    <w:rsid w:val="000B2AB0"/>
    <w:rsid w:val="000B3328"/>
    <w:rsid w:val="000B3531"/>
    <w:rsid w:val="000B361C"/>
    <w:rsid w:val="000B395E"/>
    <w:rsid w:val="000B39C3"/>
    <w:rsid w:val="000B3A00"/>
    <w:rsid w:val="000B3BFD"/>
    <w:rsid w:val="000B40E6"/>
    <w:rsid w:val="000B4570"/>
    <w:rsid w:val="000B4840"/>
    <w:rsid w:val="000B4D79"/>
    <w:rsid w:val="000B4D92"/>
    <w:rsid w:val="000B4EB1"/>
    <w:rsid w:val="000B520E"/>
    <w:rsid w:val="000B525F"/>
    <w:rsid w:val="000B533B"/>
    <w:rsid w:val="000B53D5"/>
    <w:rsid w:val="000B55C8"/>
    <w:rsid w:val="000B5627"/>
    <w:rsid w:val="000B5671"/>
    <w:rsid w:val="000B5BE1"/>
    <w:rsid w:val="000B5D50"/>
    <w:rsid w:val="000B6557"/>
    <w:rsid w:val="000B6BF0"/>
    <w:rsid w:val="000B6CE8"/>
    <w:rsid w:val="000B7C16"/>
    <w:rsid w:val="000B7DAF"/>
    <w:rsid w:val="000C01A9"/>
    <w:rsid w:val="000C0520"/>
    <w:rsid w:val="000C071C"/>
    <w:rsid w:val="000C093E"/>
    <w:rsid w:val="000C09B4"/>
    <w:rsid w:val="000C0A5B"/>
    <w:rsid w:val="000C0BB4"/>
    <w:rsid w:val="000C0BEE"/>
    <w:rsid w:val="000C0D02"/>
    <w:rsid w:val="000C1212"/>
    <w:rsid w:val="000C126A"/>
    <w:rsid w:val="000C144D"/>
    <w:rsid w:val="000C1627"/>
    <w:rsid w:val="000C1CB9"/>
    <w:rsid w:val="000C2159"/>
    <w:rsid w:val="000C21BB"/>
    <w:rsid w:val="000C289B"/>
    <w:rsid w:val="000C2F0B"/>
    <w:rsid w:val="000C34B8"/>
    <w:rsid w:val="000C3DEE"/>
    <w:rsid w:val="000C3EFA"/>
    <w:rsid w:val="000C3F01"/>
    <w:rsid w:val="000C420D"/>
    <w:rsid w:val="000C4773"/>
    <w:rsid w:val="000C47DA"/>
    <w:rsid w:val="000C4944"/>
    <w:rsid w:val="000C4E24"/>
    <w:rsid w:val="000C559C"/>
    <w:rsid w:val="000C5A01"/>
    <w:rsid w:val="000C5C4A"/>
    <w:rsid w:val="000C5C87"/>
    <w:rsid w:val="000C5F01"/>
    <w:rsid w:val="000C6010"/>
    <w:rsid w:val="000C63C4"/>
    <w:rsid w:val="000C66C1"/>
    <w:rsid w:val="000C674D"/>
    <w:rsid w:val="000C6D81"/>
    <w:rsid w:val="000C6F0B"/>
    <w:rsid w:val="000C6F32"/>
    <w:rsid w:val="000C708E"/>
    <w:rsid w:val="000C778C"/>
    <w:rsid w:val="000C7819"/>
    <w:rsid w:val="000C7833"/>
    <w:rsid w:val="000C7DFB"/>
    <w:rsid w:val="000C7E1B"/>
    <w:rsid w:val="000C7E73"/>
    <w:rsid w:val="000D001B"/>
    <w:rsid w:val="000D03EB"/>
    <w:rsid w:val="000D07F3"/>
    <w:rsid w:val="000D0A45"/>
    <w:rsid w:val="000D128C"/>
    <w:rsid w:val="000D136E"/>
    <w:rsid w:val="000D14AC"/>
    <w:rsid w:val="000D15BA"/>
    <w:rsid w:val="000D184B"/>
    <w:rsid w:val="000D1F90"/>
    <w:rsid w:val="000D28D6"/>
    <w:rsid w:val="000D293E"/>
    <w:rsid w:val="000D29F5"/>
    <w:rsid w:val="000D2C9B"/>
    <w:rsid w:val="000D2DF8"/>
    <w:rsid w:val="000D340B"/>
    <w:rsid w:val="000D35FD"/>
    <w:rsid w:val="000D3D2D"/>
    <w:rsid w:val="000D3D99"/>
    <w:rsid w:val="000D43F4"/>
    <w:rsid w:val="000D4653"/>
    <w:rsid w:val="000D4696"/>
    <w:rsid w:val="000D4817"/>
    <w:rsid w:val="000D4B7C"/>
    <w:rsid w:val="000D4FB9"/>
    <w:rsid w:val="000D54B4"/>
    <w:rsid w:val="000D54F8"/>
    <w:rsid w:val="000D5600"/>
    <w:rsid w:val="000D584B"/>
    <w:rsid w:val="000D5F55"/>
    <w:rsid w:val="000D6372"/>
    <w:rsid w:val="000D6979"/>
    <w:rsid w:val="000D6B59"/>
    <w:rsid w:val="000D6CE7"/>
    <w:rsid w:val="000D6E38"/>
    <w:rsid w:val="000D6E63"/>
    <w:rsid w:val="000D711C"/>
    <w:rsid w:val="000D737F"/>
    <w:rsid w:val="000D77C6"/>
    <w:rsid w:val="000D7B6E"/>
    <w:rsid w:val="000E042A"/>
    <w:rsid w:val="000E057B"/>
    <w:rsid w:val="000E0644"/>
    <w:rsid w:val="000E076D"/>
    <w:rsid w:val="000E0AD0"/>
    <w:rsid w:val="000E0CD2"/>
    <w:rsid w:val="000E187C"/>
    <w:rsid w:val="000E1881"/>
    <w:rsid w:val="000E1B28"/>
    <w:rsid w:val="000E1B78"/>
    <w:rsid w:val="000E1E8D"/>
    <w:rsid w:val="000E1EBC"/>
    <w:rsid w:val="000E2173"/>
    <w:rsid w:val="000E220B"/>
    <w:rsid w:val="000E22BD"/>
    <w:rsid w:val="000E250D"/>
    <w:rsid w:val="000E2A50"/>
    <w:rsid w:val="000E2EDA"/>
    <w:rsid w:val="000E30F2"/>
    <w:rsid w:val="000E3140"/>
    <w:rsid w:val="000E316B"/>
    <w:rsid w:val="000E3320"/>
    <w:rsid w:val="000E3D08"/>
    <w:rsid w:val="000E43ED"/>
    <w:rsid w:val="000E4713"/>
    <w:rsid w:val="000E4728"/>
    <w:rsid w:val="000E4762"/>
    <w:rsid w:val="000E47C6"/>
    <w:rsid w:val="000E4A79"/>
    <w:rsid w:val="000E4C21"/>
    <w:rsid w:val="000E4D1F"/>
    <w:rsid w:val="000E4D2E"/>
    <w:rsid w:val="000E4F67"/>
    <w:rsid w:val="000E5658"/>
    <w:rsid w:val="000E568B"/>
    <w:rsid w:val="000E5698"/>
    <w:rsid w:val="000E5723"/>
    <w:rsid w:val="000E581B"/>
    <w:rsid w:val="000E58B4"/>
    <w:rsid w:val="000E5C83"/>
    <w:rsid w:val="000E5CD2"/>
    <w:rsid w:val="000E5F44"/>
    <w:rsid w:val="000E5F50"/>
    <w:rsid w:val="000E6336"/>
    <w:rsid w:val="000E649F"/>
    <w:rsid w:val="000E65D2"/>
    <w:rsid w:val="000E6919"/>
    <w:rsid w:val="000E6943"/>
    <w:rsid w:val="000E6B1B"/>
    <w:rsid w:val="000E6F0C"/>
    <w:rsid w:val="000E732D"/>
    <w:rsid w:val="000E7F32"/>
    <w:rsid w:val="000F07ED"/>
    <w:rsid w:val="000F0C69"/>
    <w:rsid w:val="000F0CF2"/>
    <w:rsid w:val="000F140F"/>
    <w:rsid w:val="000F14D9"/>
    <w:rsid w:val="000F14F6"/>
    <w:rsid w:val="000F1777"/>
    <w:rsid w:val="000F1A32"/>
    <w:rsid w:val="000F1C1E"/>
    <w:rsid w:val="000F1CC2"/>
    <w:rsid w:val="000F1D15"/>
    <w:rsid w:val="000F24B7"/>
    <w:rsid w:val="000F270A"/>
    <w:rsid w:val="000F34C8"/>
    <w:rsid w:val="000F38B5"/>
    <w:rsid w:val="000F38BC"/>
    <w:rsid w:val="000F38C6"/>
    <w:rsid w:val="000F3B06"/>
    <w:rsid w:val="000F3DAD"/>
    <w:rsid w:val="000F3DD1"/>
    <w:rsid w:val="000F3E2A"/>
    <w:rsid w:val="000F3F6D"/>
    <w:rsid w:val="000F41E4"/>
    <w:rsid w:val="000F42C5"/>
    <w:rsid w:val="000F45B5"/>
    <w:rsid w:val="000F477D"/>
    <w:rsid w:val="000F4CFA"/>
    <w:rsid w:val="000F4D26"/>
    <w:rsid w:val="000F4D91"/>
    <w:rsid w:val="000F53D8"/>
    <w:rsid w:val="000F547E"/>
    <w:rsid w:val="000F5639"/>
    <w:rsid w:val="000F583A"/>
    <w:rsid w:val="000F58A4"/>
    <w:rsid w:val="000F5941"/>
    <w:rsid w:val="000F5B2C"/>
    <w:rsid w:val="000F6833"/>
    <w:rsid w:val="000F6A24"/>
    <w:rsid w:val="000F6BB6"/>
    <w:rsid w:val="000F7610"/>
    <w:rsid w:val="000F7616"/>
    <w:rsid w:val="000F7DE9"/>
    <w:rsid w:val="000F7F7A"/>
    <w:rsid w:val="0010004B"/>
    <w:rsid w:val="0010026C"/>
    <w:rsid w:val="001002F4"/>
    <w:rsid w:val="00100409"/>
    <w:rsid w:val="001004C1"/>
    <w:rsid w:val="001005B4"/>
    <w:rsid w:val="001008A8"/>
    <w:rsid w:val="00100EEF"/>
    <w:rsid w:val="001011FC"/>
    <w:rsid w:val="0010165F"/>
    <w:rsid w:val="001018C1"/>
    <w:rsid w:val="00101A33"/>
    <w:rsid w:val="00101B81"/>
    <w:rsid w:val="00101E7C"/>
    <w:rsid w:val="0010221F"/>
    <w:rsid w:val="00102260"/>
    <w:rsid w:val="001023DC"/>
    <w:rsid w:val="0010256D"/>
    <w:rsid w:val="00102572"/>
    <w:rsid w:val="00102946"/>
    <w:rsid w:val="00102BBE"/>
    <w:rsid w:val="00102FBF"/>
    <w:rsid w:val="001030E6"/>
    <w:rsid w:val="0010333D"/>
    <w:rsid w:val="0010372A"/>
    <w:rsid w:val="00103A74"/>
    <w:rsid w:val="00103F41"/>
    <w:rsid w:val="001044C8"/>
    <w:rsid w:val="00104934"/>
    <w:rsid w:val="00104E77"/>
    <w:rsid w:val="00104F34"/>
    <w:rsid w:val="00104F3E"/>
    <w:rsid w:val="00105338"/>
    <w:rsid w:val="001053C5"/>
    <w:rsid w:val="001053CB"/>
    <w:rsid w:val="001055AD"/>
    <w:rsid w:val="00105C14"/>
    <w:rsid w:val="001065A3"/>
    <w:rsid w:val="00106730"/>
    <w:rsid w:val="0010691D"/>
    <w:rsid w:val="00106B33"/>
    <w:rsid w:val="00106C61"/>
    <w:rsid w:val="00106E69"/>
    <w:rsid w:val="00106EAA"/>
    <w:rsid w:val="0010716D"/>
    <w:rsid w:val="0010730E"/>
    <w:rsid w:val="00107C5D"/>
    <w:rsid w:val="00107E9D"/>
    <w:rsid w:val="00110749"/>
    <w:rsid w:val="00110AC5"/>
    <w:rsid w:val="00110D16"/>
    <w:rsid w:val="00110F0B"/>
    <w:rsid w:val="0011108B"/>
    <w:rsid w:val="00111136"/>
    <w:rsid w:val="00111164"/>
    <w:rsid w:val="00111761"/>
    <w:rsid w:val="00111ECE"/>
    <w:rsid w:val="00112164"/>
    <w:rsid w:val="0011241F"/>
    <w:rsid w:val="001128BF"/>
    <w:rsid w:val="00112D09"/>
    <w:rsid w:val="00112F03"/>
    <w:rsid w:val="00112F38"/>
    <w:rsid w:val="001136AB"/>
    <w:rsid w:val="00113821"/>
    <w:rsid w:val="00113931"/>
    <w:rsid w:val="0011394B"/>
    <w:rsid w:val="00113CEE"/>
    <w:rsid w:val="00114058"/>
    <w:rsid w:val="00114251"/>
    <w:rsid w:val="00114330"/>
    <w:rsid w:val="00114342"/>
    <w:rsid w:val="0011449E"/>
    <w:rsid w:val="001149BA"/>
    <w:rsid w:val="00115023"/>
    <w:rsid w:val="001153EF"/>
    <w:rsid w:val="00115D55"/>
    <w:rsid w:val="00115DE8"/>
    <w:rsid w:val="00115E45"/>
    <w:rsid w:val="00115F85"/>
    <w:rsid w:val="00115FD1"/>
    <w:rsid w:val="0011646A"/>
    <w:rsid w:val="001165CC"/>
    <w:rsid w:val="0011688E"/>
    <w:rsid w:val="001168D5"/>
    <w:rsid w:val="00116ACD"/>
    <w:rsid w:val="00117603"/>
    <w:rsid w:val="00117B7D"/>
    <w:rsid w:val="00120353"/>
    <w:rsid w:val="001203A1"/>
    <w:rsid w:val="001205A8"/>
    <w:rsid w:val="00120698"/>
    <w:rsid w:val="00120948"/>
    <w:rsid w:val="00120EFC"/>
    <w:rsid w:val="0012106B"/>
    <w:rsid w:val="001211D6"/>
    <w:rsid w:val="001212AB"/>
    <w:rsid w:val="00121329"/>
    <w:rsid w:val="001213AA"/>
    <w:rsid w:val="0012180B"/>
    <w:rsid w:val="00122A64"/>
    <w:rsid w:val="00123641"/>
    <w:rsid w:val="0012388A"/>
    <w:rsid w:val="0012388C"/>
    <w:rsid w:val="00123AFA"/>
    <w:rsid w:val="00123C8C"/>
    <w:rsid w:val="00123D68"/>
    <w:rsid w:val="00123E8B"/>
    <w:rsid w:val="00123EB1"/>
    <w:rsid w:val="00124033"/>
    <w:rsid w:val="00124457"/>
    <w:rsid w:val="00124B43"/>
    <w:rsid w:val="00124DF8"/>
    <w:rsid w:val="001253EA"/>
    <w:rsid w:val="0012567E"/>
    <w:rsid w:val="0012584D"/>
    <w:rsid w:val="00125B99"/>
    <w:rsid w:val="00125C2C"/>
    <w:rsid w:val="00126160"/>
    <w:rsid w:val="0012646F"/>
    <w:rsid w:val="00126DB5"/>
    <w:rsid w:val="00127178"/>
    <w:rsid w:val="00127D2B"/>
    <w:rsid w:val="00127DAD"/>
    <w:rsid w:val="00127F09"/>
    <w:rsid w:val="0013002A"/>
    <w:rsid w:val="0013085D"/>
    <w:rsid w:val="0013089C"/>
    <w:rsid w:val="00130A2D"/>
    <w:rsid w:val="00130A99"/>
    <w:rsid w:val="00130D57"/>
    <w:rsid w:val="00130F54"/>
    <w:rsid w:val="00131587"/>
    <w:rsid w:val="00131888"/>
    <w:rsid w:val="001318F4"/>
    <w:rsid w:val="00131F17"/>
    <w:rsid w:val="001323F9"/>
    <w:rsid w:val="0013251F"/>
    <w:rsid w:val="00132B6C"/>
    <w:rsid w:val="00132FA3"/>
    <w:rsid w:val="00133088"/>
    <w:rsid w:val="00133346"/>
    <w:rsid w:val="001333ED"/>
    <w:rsid w:val="001335B1"/>
    <w:rsid w:val="0013372D"/>
    <w:rsid w:val="00133733"/>
    <w:rsid w:val="0013375D"/>
    <w:rsid w:val="00133B4E"/>
    <w:rsid w:val="00133C44"/>
    <w:rsid w:val="00133D47"/>
    <w:rsid w:val="001346AF"/>
    <w:rsid w:val="00134990"/>
    <w:rsid w:val="00134AD9"/>
    <w:rsid w:val="001350AC"/>
    <w:rsid w:val="00135416"/>
    <w:rsid w:val="001354D1"/>
    <w:rsid w:val="001355E7"/>
    <w:rsid w:val="00135A0A"/>
    <w:rsid w:val="00135BB9"/>
    <w:rsid w:val="0013621D"/>
    <w:rsid w:val="00136354"/>
    <w:rsid w:val="00136674"/>
    <w:rsid w:val="00136B0E"/>
    <w:rsid w:val="00136C3B"/>
    <w:rsid w:val="00137103"/>
    <w:rsid w:val="00137223"/>
    <w:rsid w:val="0013753B"/>
    <w:rsid w:val="00137543"/>
    <w:rsid w:val="001376AB"/>
    <w:rsid w:val="0013777C"/>
    <w:rsid w:val="00137B7A"/>
    <w:rsid w:val="00137D5F"/>
    <w:rsid w:val="00137D93"/>
    <w:rsid w:val="00140082"/>
    <w:rsid w:val="00140175"/>
    <w:rsid w:val="0014036B"/>
    <w:rsid w:val="0014040A"/>
    <w:rsid w:val="0014073C"/>
    <w:rsid w:val="00140757"/>
    <w:rsid w:val="00140B62"/>
    <w:rsid w:val="00140D07"/>
    <w:rsid w:val="00140F9F"/>
    <w:rsid w:val="00141A3A"/>
    <w:rsid w:val="001422F4"/>
    <w:rsid w:val="001423FA"/>
    <w:rsid w:val="001427B5"/>
    <w:rsid w:val="0014289F"/>
    <w:rsid w:val="001428CF"/>
    <w:rsid w:val="00142D0C"/>
    <w:rsid w:val="00142E3C"/>
    <w:rsid w:val="00144013"/>
    <w:rsid w:val="00144362"/>
    <w:rsid w:val="00144B13"/>
    <w:rsid w:val="00145017"/>
    <w:rsid w:val="00145038"/>
    <w:rsid w:val="001454B8"/>
    <w:rsid w:val="001457A8"/>
    <w:rsid w:val="00145A17"/>
    <w:rsid w:val="00145BBE"/>
    <w:rsid w:val="00145D7F"/>
    <w:rsid w:val="00145F3B"/>
    <w:rsid w:val="001460B5"/>
    <w:rsid w:val="00146372"/>
    <w:rsid w:val="0014641F"/>
    <w:rsid w:val="001464A8"/>
    <w:rsid w:val="00146618"/>
    <w:rsid w:val="001467BB"/>
    <w:rsid w:val="00146AB3"/>
    <w:rsid w:val="00146CA8"/>
    <w:rsid w:val="001472A5"/>
    <w:rsid w:val="00147884"/>
    <w:rsid w:val="00150060"/>
    <w:rsid w:val="0015018A"/>
    <w:rsid w:val="0015021A"/>
    <w:rsid w:val="00150669"/>
    <w:rsid w:val="00150827"/>
    <w:rsid w:val="00150B0D"/>
    <w:rsid w:val="00150FFC"/>
    <w:rsid w:val="001515FC"/>
    <w:rsid w:val="00151E31"/>
    <w:rsid w:val="00151EDF"/>
    <w:rsid w:val="00151F49"/>
    <w:rsid w:val="00151F9B"/>
    <w:rsid w:val="00151FC1"/>
    <w:rsid w:val="00152095"/>
    <w:rsid w:val="00152289"/>
    <w:rsid w:val="00152425"/>
    <w:rsid w:val="00152536"/>
    <w:rsid w:val="00152648"/>
    <w:rsid w:val="001526DA"/>
    <w:rsid w:val="00152BAD"/>
    <w:rsid w:val="00152CE3"/>
    <w:rsid w:val="001532D1"/>
    <w:rsid w:val="0015350E"/>
    <w:rsid w:val="00153652"/>
    <w:rsid w:val="00153697"/>
    <w:rsid w:val="0015384A"/>
    <w:rsid w:val="00153956"/>
    <w:rsid w:val="00153B65"/>
    <w:rsid w:val="00153B95"/>
    <w:rsid w:val="00153CE6"/>
    <w:rsid w:val="001540CF"/>
    <w:rsid w:val="00154146"/>
    <w:rsid w:val="00154190"/>
    <w:rsid w:val="001545EA"/>
    <w:rsid w:val="001546D5"/>
    <w:rsid w:val="00154937"/>
    <w:rsid w:val="001549BA"/>
    <w:rsid w:val="00154FFC"/>
    <w:rsid w:val="00155099"/>
    <w:rsid w:val="001553F5"/>
    <w:rsid w:val="00155B43"/>
    <w:rsid w:val="00155C85"/>
    <w:rsid w:val="00155EFE"/>
    <w:rsid w:val="001568B8"/>
    <w:rsid w:val="00156A6C"/>
    <w:rsid w:val="00156B10"/>
    <w:rsid w:val="00156B2D"/>
    <w:rsid w:val="00156FDA"/>
    <w:rsid w:val="001571F2"/>
    <w:rsid w:val="00157823"/>
    <w:rsid w:val="0015790D"/>
    <w:rsid w:val="00157AD8"/>
    <w:rsid w:val="00157C2E"/>
    <w:rsid w:val="00157C5E"/>
    <w:rsid w:val="0016015A"/>
    <w:rsid w:val="00160171"/>
    <w:rsid w:val="0016020E"/>
    <w:rsid w:val="001603D4"/>
    <w:rsid w:val="00160503"/>
    <w:rsid w:val="00160701"/>
    <w:rsid w:val="00160D7C"/>
    <w:rsid w:val="00160E30"/>
    <w:rsid w:val="0016106D"/>
    <w:rsid w:val="001612E1"/>
    <w:rsid w:val="001614DB"/>
    <w:rsid w:val="0016194E"/>
    <w:rsid w:val="0016236C"/>
    <w:rsid w:val="001624EE"/>
    <w:rsid w:val="00162625"/>
    <w:rsid w:val="0016294C"/>
    <w:rsid w:val="001630A8"/>
    <w:rsid w:val="001634C7"/>
    <w:rsid w:val="00163826"/>
    <w:rsid w:val="001638E3"/>
    <w:rsid w:val="00163943"/>
    <w:rsid w:val="00163BA1"/>
    <w:rsid w:val="00163F22"/>
    <w:rsid w:val="001640B9"/>
    <w:rsid w:val="0016417B"/>
    <w:rsid w:val="001644B1"/>
    <w:rsid w:val="001645DE"/>
    <w:rsid w:val="0016470E"/>
    <w:rsid w:val="001647FF"/>
    <w:rsid w:val="001649DD"/>
    <w:rsid w:val="00164E0A"/>
    <w:rsid w:val="0016520F"/>
    <w:rsid w:val="001652D7"/>
    <w:rsid w:val="0016596E"/>
    <w:rsid w:val="00165A5F"/>
    <w:rsid w:val="00166223"/>
    <w:rsid w:val="00166326"/>
    <w:rsid w:val="00166492"/>
    <w:rsid w:val="001665A7"/>
    <w:rsid w:val="001666F9"/>
    <w:rsid w:val="001670D8"/>
    <w:rsid w:val="0016735E"/>
    <w:rsid w:val="0016793E"/>
    <w:rsid w:val="00167D4D"/>
    <w:rsid w:val="00167F4E"/>
    <w:rsid w:val="00170635"/>
    <w:rsid w:val="0017070D"/>
    <w:rsid w:val="00170837"/>
    <w:rsid w:val="00171035"/>
    <w:rsid w:val="001713B7"/>
    <w:rsid w:val="0017141E"/>
    <w:rsid w:val="00171ADB"/>
    <w:rsid w:val="00171F58"/>
    <w:rsid w:val="00171F9A"/>
    <w:rsid w:val="00172029"/>
    <w:rsid w:val="00172D5A"/>
    <w:rsid w:val="001733A4"/>
    <w:rsid w:val="001735A0"/>
    <w:rsid w:val="00173AB9"/>
    <w:rsid w:val="00173E29"/>
    <w:rsid w:val="00173EED"/>
    <w:rsid w:val="00174368"/>
    <w:rsid w:val="001744EA"/>
    <w:rsid w:val="001746C9"/>
    <w:rsid w:val="0017497D"/>
    <w:rsid w:val="00174B81"/>
    <w:rsid w:val="00174D2C"/>
    <w:rsid w:val="00174D82"/>
    <w:rsid w:val="00174E44"/>
    <w:rsid w:val="00174EC5"/>
    <w:rsid w:val="00175053"/>
    <w:rsid w:val="001751F7"/>
    <w:rsid w:val="001753B7"/>
    <w:rsid w:val="001757E7"/>
    <w:rsid w:val="00175873"/>
    <w:rsid w:val="0017592E"/>
    <w:rsid w:val="0017599C"/>
    <w:rsid w:val="00175C59"/>
    <w:rsid w:val="001760BC"/>
    <w:rsid w:val="00176573"/>
    <w:rsid w:val="00176674"/>
    <w:rsid w:val="00176818"/>
    <w:rsid w:val="0017686B"/>
    <w:rsid w:val="00176A1A"/>
    <w:rsid w:val="00176B82"/>
    <w:rsid w:val="00176E33"/>
    <w:rsid w:val="00176E3B"/>
    <w:rsid w:val="00176ECB"/>
    <w:rsid w:val="0017716E"/>
    <w:rsid w:val="001773FF"/>
    <w:rsid w:val="001774F9"/>
    <w:rsid w:val="0017752D"/>
    <w:rsid w:val="0017759F"/>
    <w:rsid w:val="001775DF"/>
    <w:rsid w:val="00177832"/>
    <w:rsid w:val="00177D48"/>
    <w:rsid w:val="001801A8"/>
    <w:rsid w:val="00180263"/>
    <w:rsid w:val="001805B0"/>
    <w:rsid w:val="00180A31"/>
    <w:rsid w:val="00180B81"/>
    <w:rsid w:val="00180F3C"/>
    <w:rsid w:val="00181071"/>
    <w:rsid w:val="00181178"/>
    <w:rsid w:val="0018119E"/>
    <w:rsid w:val="00181A05"/>
    <w:rsid w:val="00181C5C"/>
    <w:rsid w:val="00181EEF"/>
    <w:rsid w:val="00181F3E"/>
    <w:rsid w:val="00182123"/>
    <w:rsid w:val="001826F8"/>
    <w:rsid w:val="001828DD"/>
    <w:rsid w:val="00182FE0"/>
    <w:rsid w:val="0018359A"/>
    <w:rsid w:val="00183911"/>
    <w:rsid w:val="0018419E"/>
    <w:rsid w:val="00184293"/>
    <w:rsid w:val="001845FB"/>
    <w:rsid w:val="00184667"/>
    <w:rsid w:val="00184C15"/>
    <w:rsid w:val="00184CDD"/>
    <w:rsid w:val="00184DAB"/>
    <w:rsid w:val="00185490"/>
    <w:rsid w:val="001854C1"/>
    <w:rsid w:val="00185CED"/>
    <w:rsid w:val="00185DA6"/>
    <w:rsid w:val="00185F64"/>
    <w:rsid w:val="00186096"/>
    <w:rsid w:val="00186A3F"/>
    <w:rsid w:val="00186F7C"/>
    <w:rsid w:val="00186F9A"/>
    <w:rsid w:val="0018772E"/>
    <w:rsid w:val="00187852"/>
    <w:rsid w:val="00187A08"/>
    <w:rsid w:val="00187A94"/>
    <w:rsid w:val="00187A9C"/>
    <w:rsid w:val="00187F60"/>
    <w:rsid w:val="0019029E"/>
    <w:rsid w:val="00190329"/>
    <w:rsid w:val="00190616"/>
    <w:rsid w:val="00190804"/>
    <w:rsid w:val="0019088F"/>
    <w:rsid w:val="00190C51"/>
    <w:rsid w:val="001911CB"/>
    <w:rsid w:val="001914AA"/>
    <w:rsid w:val="0019178C"/>
    <w:rsid w:val="00191C45"/>
    <w:rsid w:val="001921DA"/>
    <w:rsid w:val="00192A85"/>
    <w:rsid w:val="00192FA5"/>
    <w:rsid w:val="001932D1"/>
    <w:rsid w:val="0019336B"/>
    <w:rsid w:val="00193645"/>
    <w:rsid w:val="001939A6"/>
    <w:rsid w:val="00193ACC"/>
    <w:rsid w:val="00193BFE"/>
    <w:rsid w:val="00193F29"/>
    <w:rsid w:val="001942A9"/>
    <w:rsid w:val="0019481E"/>
    <w:rsid w:val="00194E7E"/>
    <w:rsid w:val="00195240"/>
    <w:rsid w:val="00195322"/>
    <w:rsid w:val="0019560E"/>
    <w:rsid w:val="00195702"/>
    <w:rsid w:val="001958E3"/>
    <w:rsid w:val="0019601B"/>
    <w:rsid w:val="00196048"/>
    <w:rsid w:val="0019677E"/>
    <w:rsid w:val="00196A82"/>
    <w:rsid w:val="0019702C"/>
    <w:rsid w:val="0019769B"/>
    <w:rsid w:val="00197D8F"/>
    <w:rsid w:val="00197FFE"/>
    <w:rsid w:val="001A0D25"/>
    <w:rsid w:val="001A1215"/>
    <w:rsid w:val="001A1275"/>
    <w:rsid w:val="001A1488"/>
    <w:rsid w:val="001A1570"/>
    <w:rsid w:val="001A16FA"/>
    <w:rsid w:val="001A1917"/>
    <w:rsid w:val="001A19DD"/>
    <w:rsid w:val="001A1C64"/>
    <w:rsid w:val="001A1E7F"/>
    <w:rsid w:val="001A21FE"/>
    <w:rsid w:val="001A228D"/>
    <w:rsid w:val="001A2435"/>
    <w:rsid w:val="001A286F"/>
    <w:rsid w:val="001A2918"/>
    <w:rsid w:val="001A2A3C"/>
    <w:rsid w:val="001A2D02"/>
    <w:rsid w:val="001A2DFE"/>
    <w:rsid w:val="001A3076"/>
    <w:rsid w:val="001A3120"/>
    <w:rsid w:val="001A31A5"/>
    <w:rsid w:val="001A33EA"/>
    <w:rsid w:val="001A389C"/>
    <w:rsid w:val="001A3B75"/>
    <w:rsid w:val="001A3D65"/>
    <w:rsid w:val="001A4168"/>
    <w:rsid w:val="001A46FB"/>
    <w:rsid w:val="001A5273"/>
    <w:rsid w:val="001A590C"/>
    <w:rsid w:val="001A5944"/>
    <w:rsid w:val="001A5D05"/>
    <w:rsid w:val="001A5EA2"/>
    <w:rsid w:val="001A5F7B"/>
    <w:rsid w:val="001A5FB1"/>
    <w:rsid w:val="001A60B0"/>
    <w:rsid w:val="001A68A0"/>
    <w:rsid w:val="001A698A"/>
    <w:rsid w:val="001A6CCC"/>
    <w:rsid w:val="001A70C8"/>
    <w:rsid w:val="001A71C9"/>
    <w:rsid w:val="001A7429"/>
    <w:rsid w:val="001A760C"/>
    <w:rsid w:val="001A76D8"/>
    <w:rsid w:val="001A799B"/>
    <w:rsid w:val="001A7AC7"/>
    <w:rsid w:val="001A7C38"/>
    <w:rsid w:val="001B02F8"/>
    <w:rsid w:val="001B044A"/>
    <w:rsid w:val="001B2104"/>
    <w:rsid w:val="001B2279"/>
    <w:rsid w:val="001B2672"/>
    <w:rsid w:val="001B2729"/>
    <w:rsid w:val="001B2866"/>
    <w:rsid w:val="001B2881"/>
    <w:rsid w:val="001B2B02"/>
    <w:rsid w:val="001B34A3"/>
    <w:rsid w:val="001B3675"/>
    <w:rsid w:val="001B37C8"/>
    <w:rsid w:val="001B48BA"/>
    <w:rsid w:val="001B4A10"/>
    <w:rsid w:val="001B4B2C"/>
    <w:rsid w:val="001B4F10"/>
    <w:rsid w:val="001B5026"/>
    <w:rsid w:val="001B50DE"/>
    <w:rsid w:val="001B5154"/>
    <w:rsid w:val="001B5647"/>
    <w:rsid w:val="001B5AD8"/>
    <w:rsid w:val="001B5B75"/>
    <w:rsid w:val="001B5B8B"/>
    <w:rsid w:val="001B69F1"/>
    <w:rsid w:val="001B6E30"/>
    <w:rsid w:val="001B713B"/>
    <w:rsid w:val="001B77B6"/>
    <w:rsid w:val="001B7C83"/>
    <w:rsid w:val="001B7D97"/>
    <w:rsid w:val="001B7F9E"/>
    <w:rsid w:val="001C0206"/>
    <w:rsid w:val="001C0246"/>
    <w:rsid w:val="001C04D4"/>
    <w:rsid w:val="001C0A4F"/>
    <w:rsid w:val="001C0B34"/>
    <w:rsid w:val="001C0BE5"/>
    <w:rsid w:val="001C0D35"/>
    <w:rsid w:val="001C11C0"/>
    <w:rsid w:val="001C12A3"/>
    <w:rsid w:val="001C12CC"/>
    <w:rsid w:val="001C12E8"/>
    <w:rsid w:val="001C17BB"/>
    <w:rsid w:val="001C187E"/>
    <w:rsid w:val="001C1A37"/>
    <w:rsid w:val="001C1BC8"/>
    <w:rsid w:val="001C1C49"/>
    <w:rsid w:val="001C1EE1"/>
    <w:rsid w:val="001C2154"/>
    <w:rsid w:val="001C2225"/>
    <w:rsid w:val="001C22F7"/>
    <w:rsid w:val="001C286F"/>
    <w:rsid w:val="001C2B86"/>
    <w:rsid w:val="001C2C32"/>
    <w:rsid w:val="001C2CC6"/>
    <w:rsid w:val="001C2F54"/>
    <w:rsid w:val="001C2FBE"/>
    <w:rsid w:val="001C3308"/>
    <w:rsid w:val="001C3BBB"/>
    <w:rsid w:val="001C40D1"/>
    <w:rsid w:val="001C4356"/>
    <w:rsid w:val="001C468A"/>
    <w:rsid w:val="001C4A38"/>
    <w:rsid w:val="001C4A9E"/>
    <w:rsid w:val="001C5001"/>
    <w:rsid w:val="001C5103"/>
    <w:rsid w:val="001C52A8"/>
    <w:rsid w:val="001C5704"/>
    <w:rsid w:val="001C5858"/>
    <w:rsid w:val="001C5ADF"/>
    <w:rsid w:val="001C5E56"/>
    <w:rsid w:val="001C5E8E"/>
    <w:rsid w:val="001C6120"/>
    <w:rsid w:val="001C6516"/>
    <w:rsid w:val="001C6B5C"/>
    <w:rsid w:val="001C6B8F"/>
    <w:rsid w:val="001C70AE"/>
    <w:rsid w:val="001C7155"/>
    <w:rsid w:val="001C71D9"/>
    <w:rsid w:val="001C738F"/>
    <w:rsid w:val="001C7DFB"/>
    <w:rsid w:val="001C7E48"/>
    <w:rsid w:val="001C7F49"/>
    <w:rsid w:val="001D039B"/>
    <w:rsid w:val="001D0E2E"/>
    <w:rsid w:val="001D0FDC"/>
    <w:rsid w:val="001D1258"/>
    <w:rsid w:val="001D14AB"/>
    <w:rsid w:val="001D1AB8"/>
    <w:rsid w:val="001D20BB"/>
    <w:rsid w:val="001D2100"/>
    <w:rsid w:val="001D2374"/>
    <w:rsid w:val="001D25D1"/>
    <w:rsid w:val="001D286F"/>
    <w:rsid w:val="001D2C94"/>
    <w:rsid w:val="001D316E"/>
    <w:rsid w:val="001D32F6"/>
    <w:rsid w:val="001D33D9"/>
    <w:rsid w:val="001D36F6"/>
    <w:rsid w:val="001D3D5F"/>
    <w:rsid w:val="001D4303"/>
    <w:rsid w:val="001D45E5"/>
    <w:rsid w:val="001D461A"/>
    <w:rsid w:val="001D4A9D"/>
    <w:rsid w:val="001D4AAD"/>
    <w:rsid w:val="001D4D1C"/>
    <w:rsid w:val="001D5722"/>
    <w:rsid w:val="001D5AFA"/>
    <w:rsid w:val="001D6103"/>
    <w:rsid w:val="001D62FA"/>
    <w:rsid w:val="001D6BB5"/>
    <w:rsid w:val="001D6CFC"/>
    <w:rsid w:val="001D7018"/>
    <w:rsid w:val="001D7177"/>
    <w:rsid w:val="001D756E"/>
    <w:rsid w:val="001D784A"/>
    <w:rsid w:val="001D7A07"/>
    <w:rsid w:val="001E04A4"/>
    <w:rsid w:val="001E04EE"/>
    <w:rsid w:val="001E07C5"/>
    <w:rsid w:val="001E0AF4"/>
    <w:rsid w:val="001E0FC4"/>
    <w:rsid w:val="001E12EA"/>
    <w:rsid w:val="001E176D"/>
    <w:rsid w:val="001E1BCE"/>
    <w:rsid w:val="001E1CB6"/>
    <w:rsid w:val="001E1E05"/>
    <w:rsid w:val="001E2086"/>
    <w:rsid w:val="001E2616"/>
    <w:rsid w:val="001E2898"/>
    <w:rsid w:val="001E339F"/>
    <w:rsid w:val="001E3629"/>
    <w:rsid w:val="001E36C6"/>
    <w:rsid w:val="001E3B2C"/>
    <w:rsid w:val="001E3BA3"/>
    <w:rsid w:val="001E3EB7"/>
    <w:rsid w:val="001E3FCD"/>
    <w:rsid w:val="001E40F0"/>
    <w:rsid w:val="001E4172"/>
    <w:rsid w:val="001E4AC7"/>
    <w:rsid w:val="001E5263"/>
    <w:rsid w:val="001E5315"/>
    <w:rsid w:val="001E5405"/>
    <w:rsid w:val="001E5490"/>
    <w:rsid w:val="001E5513"/>
    <w:rsid w:val="001E552D"/>
    <w:rsid w:val="001E5730"/>
    <w:rsid w:val="001E5E2E"/>
    <w:rsid w:val="001E60EC"/>
    <w:rsid w:val="001E6274"/>
    <w:rsid w:val="001E6352"/>
    <w:rsid w:val="001E657E"/>
    <w:rsid w:val="001E6746"/>
    <w:rsid w:val="001E6AD7"/>
    <w:rsid w:val="001E70AD"/>
    <w:rsid w:val="001E7237"/>
    <w:rsid w:val="001E76F6"/>
    <w:rsid w:val="001E7AF6"/>
    <w:rsid w:val="001E7BE6"/>
    <w:rsid w:val="001E7F99"/>
    <w:rsid w:val="001E7FBF"/>
    <w:rsid w:val="001F01B8"/>
    <w:rsid w:val="001F04E3"/>
    <w:rsid w:val="001F08E0"/>
    <w:rsid w:val="001F0C44"/>
    <w:rsid w:val="001F0D8E"/>
    <w:rsid w:val="001F0FC3"/>
    <w:rsid w:val="001F1188"/>
    <w:rsid w:val="001F1499"/>
    <w:rsid w:val="001F19D4"/>
    <w:rsid w:val="001F1B8D"/>
    <w:rsid w:val="001F1C7C"/>
    <w:rsid w:val="001F1CAB"/>
    <w:rsid w:val="001F1EC5"/>
    <w:rsid w:val="001F1F11"/>
    <w:rsid w:val="001F22F0"/>
    <w:rsid w:val="001F26C8"/>
    <w:rsid w:val="001F274F"/>
    <w:rsid w:val="001F27AD"/>
    <w:rsid w:val="001F289C"/>
    <w:rsid w:val="001F2BF9"/>
    <w:rsid w:val="001F36DD"/>
    <w:rsid w:val="001F3AF2"/>
    <w:rsid w:val="001F4D86"/>
    <w:rsid w:val="001F5086"/>
    <w:rsid w:val="001F50F4"/>
    <w:rsid w:val="001F5AA7"/>
    <w:rsid w:val="001F6008"/>
    <w:rsid w:val="001F61A9"/>
    <w:rsid w:val="001F641B"/>
    <w:rsid w:val="001F66F3"/>
    <w:rsid w:val="001F6705"/>
    <w:rsid w:val="001F6C19"/>
    <w:rsid w:val="001F6D4D"/>
    <w:rsid w:val="001F7C00"/>
    <w:rsid w:val="0020042C"/>
    <w:rsid w:val="002009A3"/>
    <w:rsid w:val="00200D16"/>
    <w:rsid w:val="00200F1A"/>
    <w:rsid w:val="0020130D"/>
    <w:rsid w:val="00201538"/>
    <w:rsid w:val="00201D06"/>
    <w:rsid w:val="00201D1A"/>
    <w:rsid w:val="00201E9F"/>
    <w:rsid w:val="00201F23"/>
    <w:rsid w:val="00201F47"/>
    <w:rsid w:val="00202790"/>
    <w:rsid w:val="00202F25"/>
    <w:rsid w:val="00203514"/>
    <w:rsid w:val="00203546"/>
    <w:rsid w:val="002035B3"/>
    <w:rsid w:val="00203929"/>
    <w:rsid w:val="00203A20"/>
    <w:rsid w:val="00203AF6"/>
    <w:rsid w:val="00203BFE"/>
    <w:rsid w:val="00203CD6"/>
    <w:rsid w:val="00203D90"/>
    <w:rsid w:val="00203EBF"/>
    <w:rsid w:val="00203F0A"/>
    <w:rsid w:val="00204460"/>
    <w:rsid w:val="002051D7"/>
    <w:rsid w:val="002051EA"/>
    <w:rsid w:val="002056C5"/>
    <w:rsid w:val="00205B0A"/>
    <w:rsid w:val="00205CBC"/>
    <w:rsid w:val="00205E9E"/>
    <w:rsid w:val="00205EDF"/>
    <w:rsid w:val="00206259"/>
    <w:rsid w:val="002064C5"/>
    <w:rsid w:val="00206794"/>
    <w:rsid w:val="0020682C"/>
    <w:rsid w:val="00206CE5"/>
    <w:rsid w:val="002073F5"/>
    <w:rsid w:val="002074B7"/>
    <w:rsid w:val="0020758D"/>
    <w:rsid w:val="00207818"/>
    <w:rsid w:val="00207C7B"/>
    <w:rsid w:val="00207DFF"/>
    <w:rsid w:val="00210FAC"/>
    <w:rsid w:val="00211470"/>
    <w:rsid w:val="00211922"/>
    <w:rsid w:val="00211A6D"/>
    <w:rsid w:val="00211DD0"/>
    <w:rsid w:val="0021213A"/>
    <w:rsid w:val="0021265F"/>
    <w:rsid w:val="002127D4"/>
    <w:rsid w:val="00212992"/>
    <w:rsid w:val="002135D7"/>
    <w:rsid w:val="00213817"/>
    <w:rsid w:val="002138FF"/>
    <w:rsid w:val="00213C93"/>
    <w:rsid w:val="00213E00"/>
    <w:rsid w:val="00214295"/>
    <w:rsid w:val="00214428"/>
    <w:rsid w:val="002145EB"/>
    <w:rsid w:val="00214BBD"/>
    <w:rsid w:val="00214DB7"/>
    <w:rsid w:val="002157EC"/>
    <w:rsid w:val="00215834"/>
    <w:rsid w:val="00215A55"/>
    <w:rsid w:val="00215CC2"/>
    <w:rsid w:val="00215ED8"/>
    <w:rsid w:val="00216653"/>
    <w:rsid w:val="00217636"/>
    <w:rsid w:val="0021768E"/>
    <w:rsid w:val="00217700"/>
    <w:rsid w:val="002177E2"/>
    <w:rsid w:val="00217A21"/>
    <w:rsid w:val="00217CAC"/>
    <w:rsid w:val="0022059A"/>
    <w:rsid w:val="002205F3"/>
    <w:rsid w:val="0022085B"/>
    <w:rsid w:val="00220E32"/>
    <w:rsid w:val="00220E53"/>
    <w:rsid w:val="00220ED8"/>
    <w:rsid w:val="002216CC"/>
    <w:rsid w:val="0022175C"/>
    <w:rsid w:val="0022176C"/>
    <w:rsid w:val="002225D1"/>
    <w:rsid w:val="002226B2"/>
    <w:rsid w:val="00222B8D"/>
    <w:rsid w:val="002230FA"/>
    <w:rsid w:val="002232B1"/>
    <w:rsid w:val="00223503"/>
    <w:rsid w:val="002235D9"/>
    <w:rsid w:val="00223972"/>
    <w:rsid w:val="00223AB9"/>
    <w:rsid w:val="00223DF2"/>
    <w:rsid w:val="00223F44"/>
    <w:rsid w:val="0022415E"/>
    <w:rsid w:val="0022426E"/>
    <w:rsid w:val="00224737"/>
    <w:rsid w:val="00224C0C"/>
    <w:rsid w:val="00224DD2"/>
    <w:rsid w:val="00225026"/>
    <w:rsid w:val="00225323"/>
    <w:rsid w:val="002256C2"/>
    <w:rsid w:val="002256D0"/>
    <w:rsid w:val="00225C8E"/>
    <w:rsid w:val="00225D86"/>
    <w:rsid w:val="002261DE"/>
    <w:rsid w:val="00226428"/>
    <w:rsid w:val="00226538"/>
    <w:rsid w:val="002265A9"/>
    <w:rsid w:val="00226601"/>
    <w:rsid w:val="002266CB"/>
    <w:rsid w:val="00226777"/>
    <w:rsid w:val="0022701E"/>
    <w:rsid w:val="00227052"/>
    <w:rsid w:val="002272D5"/>
    <w:rsid w:val="0022738E"/>
    <w:rsid w:val="002277F8"/>
    <w:rsid w:val="00227906"/>
    <w:rsid w:val="00227934"/>
    <w:rsid w:val="00227D1F"/>
    <w:rsid w:val="00227E21"/>
    <w:rsid w:val="00230178"/>
    <w:rsid w:val="002303A7"/>
    <w:rsid w:val="00230748"/>
    <w:rsid w:val="00230B42"/>
    <w:rsid w:val="00230D49"/>
    <w:rsid w:val="00230EEB"/>
    <w:rsid w:val="00231710"/>
    <w:rsid w:val="00231A5D"/>
    <w:rsid w:val="00231D05"/>
    <w:rsid w:val="00232145"/>
    <w:rsid w:val="00232219"/>
    <w:rsid w:val="002323FF"/>
    <w:rsid w:val="00232FD7"/>
    <w:rsid w:val="002336E2"/>
    <w:rsid w:val="0023374D"/>
    <w:rsid w:val="00233AC2"/>
    <w:rsid w:val="00233BAF"/>
    <w:rsid w:val="00234027"/>
    <w:rsid w:val="00234132"/>
    <w:rsid w:val="002342CB"/>
    <w:rsid w:val="0023471E"/>
    <w:rsid w:val="002348E0"/>
    <w:rsid w:val="00235420"/>
    <w:rsid w:val="00235633"/>
    <w:rsid w:val="002356A5"/>
    <w:rsid w:val="00235AD3"/>
    <w:rsid w:val="00235DAA"/>
    <w:rsid w:val="00236ED1"/>
    <w:rsid w:val="0023793A"/>
    <w:rsid w:val="0024019D"/>
    <w:rsid w:val="0024026C"/>
    <w:rsid w:val="0024065B"/>
    <w:rsid w:val="002409A6"/>
    <w:rsid w:val="00240C06"/>
    <w:rsid w:val="00240E9B"/>
    <w:rsid w:val="00240EA5"/>
    <w:rsid w:val="0024109C"/>
    <w:rsid w:val="00241132"/>
    <w:rsid w:val="00241205"/>
    <w:rsid w:val="002418C5"/>
    <w:rsid w:val="002419ED"/>
    <w:rsid w:val="00241A9C"/>
    <w:rsid w:val="0024261D"/>
    <w:rsid w:val="00242AF4"/>
    <w:rsid w:val="00242DFB"/>
    <w:rsid w:val="00243807"/>
    <w:rsid w:val="00243CF3"/>
    <w:rsid w:val="002440AC"/>
    <w:rsid w:val="00244365"/>
    <w:rsid w:val="0024459A"/>
    <w:rsid w:val="00244771"/>
    <w:rsid w:val="00244903"/>
    <w:rsid w:val="00244AFB"/>
    <w:rsid w:val="00244B16"/>
    <w:rsid w:val="0024501D"/>
    <w:rsid w:val="002453D4"/>
    <w:rsid w:val="002453DF"/>
    <w:rsid w:val="0024589A"/>
    <w:rsid w:val="00245A64"/>
    <w:rsid w:val="00245A81"/>
    <w:rsid w:val="00245AA3"/>
    <w:rsid w:val="00246508"/>
    <w:rsid w:val="00246B86"/>
    <w:rsid w:val="00247335"/>
    <w:rsid w:val="002473EF"/>
    <w:rsid w:val="002475D2"/>
    <w:rsid w:val="002476A4"/>
    <w:rsid w:val="002477B9"/>
    <w:rsid w:val="00247CBE"/>
    <w:rsid w:val="00247CC4"/>
    <w:rsid w:val="002500BF"/>
    <w:rsid w:val="00250100"/>
    <w:rsid w:val="00250283"/>
    <w:rsid w:val="00250A1F"/>
    <w:rsid w:val="00250ADA"/>
    <w:rsid w:val="00250F1D"/>
    <w:rsid w:val="00250F5C"/>
    <w:rsid w:val="002511E7"/>
    <w:rsid w:val="00251491"/>
    <w:rsid w:val="00251633"/>
    <w:rsid w:val="00251640"/>
    <w:rsid w:val="0025194E"/>
    <w:rsid w:val="00251FF1"/>
    <w:rsid w:val="002520BA"/>
    <w:rsid w:val="00252234"/>
    <w:rsid w:val="002522E7"/>
    <w:rsid w:val="00252460"/>
    <w:rsid w:val="002527AF"/>
    <w:rsid w:val="002528E3"/>
    <w:rsid w:val="00252944"/>
    <w:rsid w:val="00252D55"/>
    <w:rsid w:val="00252D82"/>
    <w:rsid w:val="00253006"/>
    <w:rsid w:val="002532BA"/>
    <w:rsid w:val="002533F5"/>
    <w:rsid w:val="002538CE"/>
    <w:rsid w:val="00253C60"/>
    <w:rsid w:val="00253F21"/>
    <w:rsid w:val="00253F41"/>
    <w:rsid w:val="0025429D"/>
    <w:rsid w:val="002543DC"/>
    <w:rsid w:val="00254900"/>
    <w:rsid w:val="002549E9"/>
    <w:rsid w:val="00254F75"/>
    <w:rsid w:val="00254FAB"/>
    <w:rsid w:val="00254FF6"/>
    <w:rsid w:val="00255099"/>
    <w:rsid w:val="00255315"/>
    <w:rsid w:val="00255545"/>
    <w:rsid w:val="002555C6"/>
    <w:rsid w:val="00255697"/>
    <w:rsid w:val="00255B10"/>
    <w:rsid w:val="00255E14"/>
    <w:rsid w:val="0025615C"/>
    <w:rsid w:val="00256B05"/>
    <w:rsid w:val="00256FDC"/>
    <w:rsid w:val="00257059"/>
    <w:rsid w:val="0025712F"/>
    <w:rsid w:val="00257395"/>
    <w:rsid w:val="00257791"/>
    <w:rsid w:val="00257857"/>
    <w:rsid w:val="002578DA"/>
    <w:rsid w:val="00257CBC"/>
    <w:rsid w:val="00257FB8"/>
    <w:rsid w:val="002602C2"/>
    <w:rsid w:val="002602DA"/>
    <w:rsid w:val="0026040B"/>
    <w:rsid w:val="002604FE"/>
    <w:rsid w:val="0026051A"/>
    <w:rsid w:val="002607B1"/>
    <w:rsid w:val="00260802"/>
    <w:rsid w:val="002609E3"/>
    <w:rsid w:val="00261223"/>
    <w:rsid w:val="0026172A"/>
    <w:rsid w:val="002617AB"/>
    <w:rsid w:val="00261A18"/>
    <w:rsid w:val="00261D08"/>
    <w:rsid w:val="00261DCC"/>
    <w:rsid w:val="00261EC0"/>
    <w:rsid w:val="002624D0"/>
    <w:rsid w:val="00262764"/>
    <w:rsid w:val="002627E6"/>
    <w:rsid w:val="00262BC5"/>
    <w:rsid w:val="002632C8"/>
    <w:rsid w:val="002632DD"/>
    <w:rsid w:val="0026347D"/>
    <w:rsid w:val="0026367E"/>
    <w:rsid w:val="00263AE7"/>
    <w:rsid w:val="00263EC7"/>
    <w:rsid w:val="00264441"/>
    <w:rsid w:val="0026491B"/>
    <w:rsid w:val="00264A36"/>
    <w:rsid w:val="00264AD1"/>
    <w:rsid w:val="00264B06"/>
    <w:rsid w:val="00264B57"/>
    <w:rsid w:val="00264C1B"/>
    <w:rsid w:val="00265571"/>
    <w:rsid w:val="00265E2E"/>
    <w:rsid w:val="00265EAB"/>
    <w:rsid w:val="002661AB"/>
    <w:rsid w:val="00266663"/>
    <w:rsid w:val="0026666D"/>
    <w:rsid w:val="002668DB"/>
    <w:rsid w:val="0026742B"/>
    <w:rsid w:val="002674FE"/>
    <w:rsid w:val="00267528"/>
    <w:rsid w:val="002676D2"/>
    <w:rsid w:val="0026780D"/>
    <w:rsid w:val="00267D88"/>
    <w:rsid w:val="00267DA5"/>
    <w:rsid w:val="00267DC4"/>
    <w:rsid w:val="00267F02"/>
    <w:rsid w:val="00270748"/>
    <w:rsid w:val="0027105A"/>
    <w:rsid w:val="0027117F"/>
    <w:rsid w:val="00271283"/>
    <w:rsid w:val="002712DC"/>
    <w:rsid w:val="00271875"/>
    <w:rsid w:val="002718FF"/>
    <w:rsid w:val="00271955"/>
    <w:rsid w:val="00271D29"/>
    <w:rsid w:val="00272278"/>
    <w:rsid w:val="00272432"/>
    <w:rsid w:val="00272633"/>
    <w:rsid w:val="002728F2"/>
    <w:rsid w:val="00272CAB"/>
    <w:rsid w:val="00272E88"/>
    <w:rsid w:val="00272FBF"/>
    <w:rsid w:val="00273A10"/>
    <w:rsid w:val="00273A58"/>
    <w:rsid w:val="00273FBB"/>
    <w:rsid w:val="0027400E"/>
    <w:rsid w:val="002746F2"/>
    <w:rsid w:val="00274CAB"/>
    <w:rsid w:val="00274E8A"/>
    <w:rsid w:val="0027507D"/>
    <w:rsid w:val="00275FCE"/>
    <w:rsid w:val="002766B8"/>
    <w:rsid w:val="0027680F"/>
    <w:rsid w:val="002776D0"/>
    <w:rsid w:val="00277B5D"/>
    <w:rsid w:val="0028087C"/>
    <w:rsid w:val="00281006"/>
    <w:rsid w:val="002815B1"/>
    <w:rsid w:val="0028190B"/>
    <w:rsid w:val="00281A37"/>
    <w:rsid w:val="00281A3D"/>
    <w:rsid w:val="00281C1F"/>
    <w:rsid w:val="00281EEA"/>
    <w:rsid w:val="00281F88"/>
    <w:rsid w:val="002822B5"/>
    <w:rsid w:val="0028288D"/>
    <w:rsid w:val="002829B7"/>
    <w:rsid w:val="00282B4E"/>
    <w:rsid w:val="00282B82"/>
    <w:rsid w:val="00282C74"/>
    <w:rsid w:val="00282E43"/>
    <w:rsid w:val="00282E5B"/>
    <w:rsid w:val="00282F51"/>
    <w:rsid w:val="00283995"/>
    <w:rsid w:val="00283A02"/>
    <w:rsid w:val="00283B11"/>
    <w:rsid w:val="00283CE1"/>
    <w:rsid w:val="00284090"/>
    <w:rsid w:val="002841A9"/>
    <w:rsid w:val="00284313"/>
    <w:rsid w:val="00284389"/>
    <w:rsid w:val="002845DE"/>
    <w:rsid w:val="00284612"/>
    <w:rsid w:val="002848AD"/>
    <w:rsid w:val="00284906"/>
    <w:rsid w:val="00284A5E"/>
    <w:rsid w:val="00284C04"/>
    <w:rsid w:val="00284F02"/>
    <w:rsid w:val="00284FA2"/>
    <w:rsid w:val="002850CA"/>
    <w:rsid w:val="00285154"/>
    <w:rsid w:val="00285893"/>
    <w:rsid w:val="0028599B"/>
    <w:rsid w:val="00285BF2"/>
    <w:rsid w:val="00285C78"/>
    <w:rsid w:val="0028637F"/>
    <w:rsid w:val="002863CE"/>
    <w:rsid w:val="002868CF"/>
    <w:rsid w:val="0028702A"/>
    <w:rsid w:val="0028732A"/>
    <w:rsid w:val="00287349"/>
    <w:rsid w:val="002874C3"/>
    <w:rsid w:val="00287B30"/>
    <w:rsid w:val="00287E19"/>
    <w:rsid w:val="002904F7"/>
    <w:rsid w:val="0029054A"/>
    <w:rsid w:val="0029075F"/>
    <w:rsid w:val="00290F01"/>
    <w:rsid w:val="00290FEA"/>
    <w:rsid w:val="00291035"/>
    <w:rsid w:val="00291492"/>
    <w:rsid w:val="00291527"/>
    <w:rsid w:val="0029199A"/>
    <w:rsid w:val="00291BBE"/>
    <w:rsid w:val="00291FEB"/>
    <w:rsid w:val="002920B3"/>
    <w:rsid w:val="0029248C"/>
    <w:rsid w:val="00292897"/>
    <w:rsid w:val="00293146"/>
    <w:rsid w:val="0029361E"/>
    <w:rsid w:val="002939B7"/>
    <w:rsid w:val="00293A72"/>
    <w:rsid w:val="00293D68"/>
    <w:rsid w:val="00293F88"/>
    <w:rsid w:val="00294137"/>
    <w:rsid w:val="0029431E"/>
    <w:rsid w:val="00294352"/>
    <w:rsid w:val="002944A0"/>
    <w:rsid w:val="00294533"/>
    <w:rsid w:val="00294596"/>
    <w:rsid w:val="002946E4"/>
    <w:rsid w:val="0029495C"/>
    <w:rsid w:val="00294AC4"/>
    <w:rsid w:val="00294CEE"/>
    <w:rsid w:val="00295117"/>
    <w:rsid w:val="002957D9"/>
    <w:rsid w:val="002959F9"/>
    <w:rsid w:val="00295A48"/>
    <w:rsid w:val="00295B52"/>
    <w:rsid w:val="00296024"/>
    <w:rsid w:val="0029619D"/>
    <w:rsid w:val="00296293"/>
    <w:rsid w:val="0029686F"/>
    <w:rsid w:val="00296AF7"/>
    <w:rsid w:val="002972F9"/>
    <w:rsid w:val="002977CA"/>
    <w:rsid w:val="00297862"/>
    <w:rsid w:val="00297A64"/>
    <w:rsid w:val="00297DC9"/>
    <w:rsid w:val="00297ED7"/>
    <w:rsid w:val="002A0007"/>
    <w:rsid w:val="002A0216"/>
    <w:rsid w:val="002A03AA"/>
    <w:rsid w:val="002A0432"/>
    <w:rsid w:val="002A056D"/>
    <w:rsid w:val="002A0649"/>
    <w:rsid w:val="002A07FE"/>
    <w:rsid w:val="002A094D"/>
    <w:rsid w:val="002A0CAF"/>
    <w:rsid w:val="002A10F4"/>
    <w:rsid w:val="002A1565"/>
    <w:rsid w:val="002A15E4"/>
    <w:rsid w:val="002A16A9"/>
    <w:rsid w:val="002A18E6"/>
    <w:rsid w:val="002A2489"/>
    <w:rsid w:val="002A2941"/>
    <w:rsid w:val="002A2AF3"/>
    <w:rsid w:val="002A2DC4"/>
    <w:rsid w:val="002A33EC"/>
    <w:rsid w:val="002A3B5B"/>
    <w:rsid w:val="002A3E69"/>
    <w:rsid w:val="002A41F7"/>
    <w:rsid w:val="002A442D"/>
    <w:rsid w:val="002A44F9"/>
    <w:rsid w:val="002A46D1"/>
    <w:rsid w:val="002A49EF"/>
    <w:rsid w:val="002A4B8B"/>
    <w:rsid w:val="002A4C3D"/>
    <w:rsid w:val="002A4D7A"/>
    <w:rsid w:val="002A4DBE"/>
    <w:rsid w:val="002A5107"/>
    <w:rsid w:val="002A535E"/>
    <w:rsid w:val="002A5915"/>
    <w:rsid w:val="002A6406"/>
    <w:rsid w:val="002A6AD0"/>
    <w:rsid w:val="002A6CF0"/>
    <w:rsid w:val="002A6D6E"/>
    <w:rsid w:val="002A6FB0"/>
    <w:rsid w:val="002A6FFC"/>
    <w:rsid w:val="002A7010"/>
    <w:rsid w:val="002A70BA"/>
    <w:rsid w:val="002A756C"/>
    <w:rsid w:val="002A7732"/>
    <w:rsid w:val="002A7A57"/>
    <w:rsid w:val="002A7BB2"/>
    <w:rsid w:val="002A7D80"/>
    <w:rsid w:val="002A7DCB"/>
    <w:rsid w:val="002A7E6A"/>
    <w:rsid w:val="002A7ED6"/>
    <w:rsid w:val="002B0900"/>
    <w:rsid w:val="002B0B53"/>
    <w:rsid w:val="002B0C18"/>
    <w:rsid w:val="002B0F1A"/>
    <w:rsid w:val="002B0F57"/>
    <w:rsid w:val="002B1617"/>
    <w:rsid w:val="002B194B"/>
    <w:rsid w:val="002B1D11"/>
    <w:rsid w:val="002B1D2E"/>
    <w:rsid w:val="002B1F3C"/>
    <w:rsid w:val="002B25E3"/>
    <w:rsid w:val="002B273B"/>
    <w:rsid w:val="002B29AA"/>
    <w:rsid w:val="002B2A7E"/>
    <w:rsid w:val="002B2F1B"/>
    <w:rsid w:val="002B3F5D"/>
    <w:rsid w:val="002B43A0"/>
    <w:rsid w:val="002B46DA"/>
    <w:rsid w:val="002B4A32"/>
    <w:rsid w:val="002B4ABD"/>
    <w:rsid w:val="002B4C6B"/>
    <w:rsid w:val="002B4CB6"/>
    <w:rsid w:val="002B50CB"/>
    <w:rsid w:val="002B52DF"/>
    <w:rsid w:val="002B5AFB"/>
    <w:rsid w:val="002B6320"/>
    <w:rsid w:val="002B66AC"/>
    <w:rsid w:val="002B6852"/>
    <w:rsid w:val="002B69E9"/>
    <w:rsid w:val="002B75A4"/>
    <w:rsid w:val="002B7616"/>
    <w:rsid w:val="002B77E1"/>
    <w:rsid w:val="002C019F"/>
    <w:rsid w:val="002C03DF"/>
    <w:rsid w:val="002C053D"/>
    <w:rsid w:val="002C0714"/>
    <w:rsid w:val="002C08A9"/>
    <w:rsid w:val="002C0A96"/>
    <w:rsid w:val="002C0EE7"/>
    <w:rsid w:val="002C10A8"/>
    <w:rsid w:val="002C18DE"/>
    <w:rsid w:val="002C1BF4"/>
    <w:rsid w:val="002C1CD0"/>
    <w:rsid w:val="002C1E0D"/>
    <w:rsid w:val="002C1E88"/>
    <w:rsid w:val="002C203E"/>
    <w:rsid w:val="002C2266"/>
    <w:rsid w:val="002C2309"/>
    <w:rsid w:val="002C24D1"/>
    <w:rsid w:val="002C28EB"/>
    <w:rsid w:val="002C3260"/>
    <w:rsid w:val="002C3265"/>
    <w:rsid w:val="002C3666"/>
    <w:rsid w:val="002C3AED"/>
    <w:rsid w:val="002C3C92"/>
    <w:rsid w:val="002C3E56"/>
    <w:rsid w:val="002C414C"/>
    <w:rsid w:val="002C4309"/>
    <w:rsid w:val="002C4C2F"/>
    <w:rsid w:val="002C4CF5"/>
    <w:rsid w:val="002C4FC7"/>
    <w:rsid w:val="002C5776"/>
    <w:rsid w:val="002C5BF2"/>
    <w:rsid w:val="002C5CD6"/>
    <w:rsid w:val="002C5EED"/>
    <w:rsid w:val="002C629E"/>
    <w:rsid w:val="002C66DE"/>
    <w:rsid w:val="002C6E0C"/>
    <w:rsid w:val="002C7193"/>
    <w:rsid w:val="002C7699"/>
    <w:rsid w:val="002C7713"/>
    <w:rsid w:val="002C7A49"/>
    <w:rsid w:val="002C7B1A"/>
    <w:rsid w:val="002D0128"/>
    <w:rsid w:val="002D0231"/>
    <w:rsid w:val="002D0E85"/>
    <w:rsid w:val="002D0F9B"/>
    <w:rsid w:val="002D0FA7"/>
    <w:rsid w:val="002D12FB"/>
    <w:rsid w:val="002D1306"/>
    <w:rsid w:val="002D1713"/>
    <w:rsid w:val="002D19D1"/>
    <w:rsid w:val="002D1E7C"/>
    <w:rsid w:val="002D1F35"/>
    <w:rsid w:val="002D1FA3"/>
    <w:rsid w:val="002D207B"/>
    <w:rsid w:val="002D20CD"/>
    <w:rsid w:val="002D23C6"/>
    <w:rsid w:val="002D24F0"/>
    <w:rsid w:val="002D25EB"/>
    <w:rsid w:val="002D29F3"/>
    <w:rsid w:val="002D29FE"/>
    <w:rsid w:val="002D2B51"/>
    <w:rsid w:val="002D2B65"/>
    <w:rsid w:val="002D3126"/>
    <w:rsid w:val="002D3529"/>
    <w:rsid w:val="002D3682"/>
    <w:rsid w:val="002D3994"/>
    <w:rsid w:val="002D3ACD"/>
    <w:rsid w:val="002D3D0A"/>
    <w:rsid w:val="002D3D19"/>
    <w:rsid w:val="002D43F9"/>
    <w:rsid w:val="002D4476"/>
    <w:rsid w:val="002D478E"/>
    <w:rsid w:val="002D47AE"/>
    <w:rsid w:val="002D4A94"/>
    <w:rsid w:val="002D55F6"/>
    <w:rsid w:val="002D569B"/>
    <w:rsid w:val="002D5CBF"/>
    <w:rsid w:val="002D5E94"/>
    <w:rsid w:val="002D65FF"/>
    <w:rsid w:val="002D6D10"/>
    <w:rsid w:val="002D71E2"/>
    <w:rsid w:val="002D7367"/>
    <w:rsid w:val="002D74E8"/>
    <w:rsid w:val="002D7961"/>
    <w:rsid w:val="002D7B6A"/>
    <w:rsid w:val="002D7E36"/>
    <w:rsid w:val="002E0026"/>
    <w:rsid w:val="002E00F6"/>
    <w:rsid w:val="002E02E0"/>
    <w:rsid w:val="002E041B"/>
    <w:rsid w:val="002E0732"/>
    <w:rsid w:val="002E08E8"/>
    <w:rsid w:val="002E0918"/>
    <w:rsid w:val="002E0BAA"/>
    <w:rsid w:val="002E0D96"/>
    <w:rsid w:val="002E0EA5"/>
    <w:rsid w:val="002E1A33"/>
    <w:rsid w:val="002E1E19"/>
    <w:rsid w:val="002E219B"/>
    <w:rsid w:val="002E22B7"/>
    <w:rsid w:val="002E24B5"/>
    <w:rsid w:val="002E2558"/>
    <w:rsid w:val="002E283F"/>
    <w:rsid w:val="002E2854"/>
    <w:rsid w:val="002E2E74"/>
    <w:rsid w:val="002E32D2"/>
    <w:rsid w:val="002E361B"/>
    <w:rsid w:val="002E37AB"/>
    <w:rsid w:val="002E3A80"/>
    <w:rsid w:val="002E41C7"/>
    <w:rsid w:val="002E41DE"/>
    <w:rsid w:val="002E4828"/>
    <w:rsid w:val="002E4AC7"/>
    <w:rsid w:val="002E4BB3"/>
    <w:rsid w:val="002E51DF"/>
    <w:rsid w:val="002E5545"/>
    <w:rsid w:val="002E555B"/>
    <w:rsid w:val="002E57B9"/>
    <w:rsid w:val="002E600C"/>
    <w:rsid w:val="002E6127"/>
    <w:rsid w:val="002E67E2"/>
    <w:rsid w:val="002E6885"/>
    <w:rsid w:val="002E6CD2"/>
    <w:rsid w:val="002E6E7C"/>
    <w:rsid w:val="002E6E81"/>
    <w:rsid w:val="002E72E4"/>
    <w:rsid w:val="002E739D"/>
    <w:rsid w:val="002E7674"/>
    <w:rsid w:val="002E7B3C"/>
    <w:rsid w:val="002E7BF8"/>
    <w:rsid w:val="002E7DEC"/>
    <w:rsid w:val="002E7E45"/>
    <w:rsid w:val="002F0062"/>
    <w:rsid w:val="002F023F"/>
    <w:rsid w:val="002F0242"/>
    <w:rsid w:val="002F080D"/>
    <w:rsid w:val="002F0E00"/>
    <w:rsid w:val="002F0E87"/>
    <w:rsid w:val="002F0F36"/>
    <w:rsid w:val="002F1276"/>
    <w:rsid w:val="002F16E1"/>
    <w:rsid w:val="002F1986"/>
    <w:rsid w:val="002F1E5F"/>
    <w:rsid w:val="002F2705"/>
    <w:rsid w:val="002F2A49"/>
    <w:rsid w:val="002F30F1"/>
    <w:rsid w:val="002F321C"/>
    <w:rsid w:val="002F3550"/>
    <w:rsid w:val="002F3766"/>
    <w:rsid w:val="002F37CD"/>
    <w:rsid w:val="002F3B63"/>
    <w:rsid w:val="002F3C56"/>
    <w:rsid w:val="002F41E7"/>
    <w:rsid w:val="002F46B0"/>
    <w:rsid w:val="002F4B17"/>
    <w:rsid w:val="002F5150"/>
    <w:rsid w:val="002F5463"/>
    <w:rsid w:val="002F5651"/>
    <w:rsid w:val="002F58C2"/>
    <w:rsid w:val="002F5932"/>
    <w:rsid w:val="002F5C85"/>
    <w:rsid w:val="002F603B"/>
    <w:rsid w:val="002F6201"/>
    <w:rsid w:val="002F6884"/>
    <w:rsid w:val="002F6A2B"/>
    <w:rsid w:val="002F6CB1"/>
    <w:rsid w:val="002F6E9C"/>
    <w:rsid w:val="002F6F04"/>
    <w:rsid w:val="002F724B"/>
    <w:rsid w:val="002F72BA"/>
    <w:rsid w:val="002F7582"/>
    <w:rsid w:val="002F7B89"/>
    <w:rsid w:val="00300267"/>
    <w:rsid w:val="003004D2"/>
    <w:rsid w:val="00300674"/>
    <w:rsid w:val="00300C88"/>
    <w:rsid w:val="00300D6B"/>
    <w:rsid w:val="0030132A"/>
    <w:rsid w:val="00301380"/>
    <w:rsid w:val="00301E89"/>
    <w:rsid w:val="00301ECC"/>
    <w:rsid w:val="00302052"/>
    <w:rsid w:val="00302142"/>
    <w:rsid w:val="00302169"/>
    <w:rsid w:val="00302286"/>
    <w:rsid w:val="00302315"/>
    <w:rsid w:val="00302612"/>
    <w:rsid w:val="00302A29"/>
    <w:rsid w:val="00302ADB"/>
    <w:rsid w:val="00302D43"/>
    <w:rsid w:val="00302DEC"/>
    <w:rsid w:val="00302E5C"/>
    <w:rsid w:val="00303254"/>
    <w:rsid w:val="00303AFF"/>
    <w:rsid w:val="00303B08"/>
    <w:rsid w:val="00303E0B"/>
    <w:rsid w:val="0030408D"/>
    <w:rsid w:val="00304135"/>
    <w:rsid w:val="00304320"/>
    <w:rsid w:val="003044D9"/>
    <w:rsid w:val="00304570"/>
    <w:rsid w:val="003048E8"/>
    <w:rsid w:val="003048F8"/>
    <w:rsid w:val="00304942"/>
    <w:rsid w:val="00304D8A"/>
    <w:rsid w:val="00305083"/>
    <w:rsid w:val="00305216"/>
    <w:rsid w:val="0030555B"/>
    <w:rsid w:val="00305BFD"/>
    <w:rsid w:val="003061F5"/>
    <w:rsid w:val="00306D27"/>
    <w:rsid w:val="0030739C"/>
    <w:rsid w:val="00307493"/>
    <w:rsid w:val="00307655"/>
    <w:rsid w:val="00307A74"/>
    <w:rsid w:val="00307C82"/>
    <w:rsid w:val="00310231"/>
    <w:rsid w:val="0031086C"/>
    <w:rsid w:val="00310D51"/>
    <w:rsid w:val="00310DD7"/>
    <w:rsid w:val="0031109C"/>
    <w:rsid w:val="003110DC"/>
    <w:rsid w:val="00311B36"/>
    <w:rsid w:val="00311C12"/>
    <w:rsid w:val="00311C92"/>
    <w:rsid w:val="00311DF3"/>
    <w:rsid w:val="003122FA"/>
    <w:rsid w:val="00312854"/>
    <w:rsid w:val="003128D5"/>
    <w:rsid w:val="00312974"/>
    <w:rsid w:val="003133AE"/>
    <w:rsid w:val="00313414"/>
    <w:rsid w:val="0031371B"/>
    <w:rsid w:val="00313F2D"/>
    <w:rsid w:val="00314003"/>
    <w:rsid w:val="003140A7"/>
    <w:rsid w:val="00314156"/>
    <w:rsid w:val="00314BD1"/>
    <w:rsid w:val="00315081"/>
    <w:rsid w:val="0031535B"/>
    <w:rsid w:val="00315565"/>
    <w:rsid w:val="00315E40"/>
    <w:rsid w:val="00316418"/>
    <w:rsid w:val="003168E5"/>
    <w:rsid w:val="00316A0E"/>
    <w:rsid w:val="003170F4"/>
    <w:rsid w:val="003172D7"/>
    <w:rsid w:val="0031750F"/>
    <w:rsid w:val="00317CF7"/>
    <w:rsid w:val="00317F1F"/>
    <w:rsid w:val="0032014D"/>
    <w:rsid w:val="0032035D"/>
    <w:rsid w:val="003205E9"/>
    <w:rsid w:val="003208F9"/>
    <w:rsid w:val="00320B28"/>
    <w:rsid w:val="00320C92"/>
    <w:rsid w:val="0032123E"/>
    <w:rsid w:val="003216D5"/>
    <w:rsid w:val="003216FF"/>
    <w:rsid w:val="00321866"/>
    <w:rsid w:val="00321A83"/>
    <w:rsid w:val="00321C1A"/>
    <w:rsid w:val="00321F6B"/>
    <w:rsid w:val="00322389"/>
    <w:rsid w:val="00322624"/>
    <w:rsid w:val="003228E6"/>
    <w:rsid w:val="00322A11"/>
    <w:rsid w:val="00322BE5"/>
    <w:rsid w:val="00322E87"/>
    <w:rsid w:val="0032312D"/>
    <w:rsid w:val="00323A2F"/>
    <w:rsid w:val="00323AA5"/>
    <w:rsid w:val="0032413F"/>
    <w:rsid w:val="003242E4"/>
    <w:rsid w:val="003244EB"/>
    <w:rsid w:val="003245EC"/>
    <w:rsid w:val="0032468D"/>
    <w:rsid w:val="00324926"/>
    <w:rsid w:val="00324B25"/>
    <w:rsid w:val="00324BC0"/>
    <w:rsid w:val="00324CB0"/>
    <w:rsid w:val="0032522F"/>
    <w:rsid w:val="003253C4"/>
    <w:rsid w:val="0032550F"/>
    <w:rsid w:val="00325992"/>
    <w:rsid w:val="00325B74"/>
    <w:rsid w:val="00325F66"/>
    <w:rsid w:val="0032638F"/>
    <w:rsid w:val="0032672F"/>
    <w:rsid w:val="00326A77"/>
    <w:rsid w:val="00326B59"/>
    <w:rsid w:val="00326D8C"/>
    <w:rsid w:val="003272C6"/>
    <w:rsid w:val="0032746C"/>
    <w:rsid w:val="00327752"/>
    <w:rsid w:val="00327C40"/>
    <w:rsid w:val="00327C7C"/>
    <w:rsid w:val="00330009"/>
    <w:rsid w:val="003301E6"/>
    <w:rsid w:val="0033049F"/>
    <w:rsid w:val="00330773"/>
    <w:rsid w:val="00330931"/>
    <w:rsid w:val="00330A5A"/>
    <w:rsid w:val="00330CCD"/>
    <w:rsid w:val="003310AB"/>
    <w:rsid w:val="003314D2"/>
    <w:rsid w:val="00331712"/>
    <w:rsid w:val="003318EF"/>
    <w:rsid w:val="00331A3F"/>
    <w:rsid w:val="00331C43"/>
    <w:rsid w:val="00332191"/>
    <w:rsid w:val="00332720"/>
    <w:rsid w:val="00332EED"/>
    <w:rsid w:val="003334A7"/>
    <w:rsid w:val="0033368C"/>
    <w:rsid w:val="003337E8"/>
    <w:rsid w:val="00333A14"/>
    <w:rsid w:val="00333B2A"/>
    <w:rsid w:val="00333FD5"/>
    <w:rsid w:val="003346EB"/>
    <w:rsid w:val="003350E9"/>
    <w:rsid w:val="003350F4"/>
    <w:rsid w:val="003351BA"/>
    <w:rsid w:val="0033520F"/>
    <w:rsid w:val="00335519"/>
    <w:rsid w:val="00335827"/>
    <w:rsid w:val="0033596B"/>
    <w:rsid w:val="00335A93"/>
    <w:rsid w:val="00335BFF"/>
    <w:rsid w:val="00336474"/>
    <w:rsid w:val="003364BC"/>
    <w:rsid w:val="0033650E"/>
    <w:rsid w:val="0033653F"/>
    <w:rsid w:val="003366EF"/>
    <w:rsid w:val="00336877"/>
    <w:rsid w:val="00336907"/>
    <w:rsid w:val="003369DF"/>
    <w:rsid w:val="00336C71"/>
    <w:rsid w:val="00336D96"/>
    <w:rsid w:val="00336DFC"/>
    <w:rsid w:val="00337230"/>
    <w:rsid w:val="00337470"/>
    <w:rsid w:val="00337588"/>
    <w:rsid w:val="003375D7"/>
    <w:rsid w:val="003377D0"/>
    <w:rsid w:val="0033794D"/>
    <w:rsid w:val="00337B7E"/>
    <w:rsid w:val="00337D5A"/>
    <w:rsid w:val="00337D75"/>
    <w:rsid w:val="00340020"/>
    <w:rsid w:val="0034081A"/>
    <w:rsid w:val="00340925"/>
    <w:rsid w:val="00341162"/>
    <w:rsid w:val="00341866"/>
    <w:rsid w:val="003418D1"/>
    <w:rsid w:val="0034195D"/>
    <w:rsid w:val="00341DAF"/>
    <w:rsid w:val="00342181"/>
    <w:rsid w:val="00342E6D"/>
    <w:rsid w:val="00342EAB"/>
    <w:rsid w:val="00342ED5"/>
    <w:rsid w:val="0034339B"/>
    <w:rsid w:val="00343560"/>
    <w:rsid w:val="00343646"/>
    <w:rsid w:val="00343A20"/>
    <w:rsid w:val="00343DAD"/>
    <w:rsid w:val="00343FA8"/>
    <w:rsid w:val="0034402B"/>
    <w:rsid w:val="0034449E"/>
    <w:rsid w:val="003445C5"/>
    <w:rsid w:val="00344664"/>
    <w:rsid w:val="00344BDE"/>
    <w:rsid w:val="00344D46"/>
    <w:rsid w:val="00344EAC"/>
    <w:rsid w:val="003451CE"/>
    <w:rsid w:val="003457C4"/>
    <w:rsid w:val="00345A03"/>
    <w:rsid w:val="0034621B"/>
    <w:rsid w:val="003465A5"/>
    <w:rsid w:val="0034661C"/>
    <w:rsid w:val="003466D2"/>
    <w:rsid w:val="00346730"/>
    <w:rsid w:val="00346817"/>
    <w:rsid w:val="003468E8"/>
    <w:rsid w:val="00347440"/>
    <w:rsid w:val="003475EA"/>
    <w:rsid w:val="0034792D"/>
    <w:rsid w:val="00347A27"/>
    <w:rsid w:val="00347CD4"/>
    <w:rsid w:val="00347E21"/>
    <w:rsid w:val="00350045"/>
    <w:rsid w:val="0035074E"/>
    <w:rsid w:val="00350A55"/>
    <w:rsid w:val="00350DF8"/>
    <w:rsid w:val="00350FE2"/>
    <w:rsid w:val="00351004"/>
    <w:rsid w:val="003510D9"/>
    <w:rsid w:val="003510F2"/>
    <w:rsid w:val="0035139B"/>
    <w:rsid w:val="0035153A"/>
    <w:rsid w:val="0035160C"/>
    <w:rsid w:val="0035168A"/>
    <w:rsid w:val="00351A8A"/>
    <w:rsid w:val="00351C0E"/>
    <w:rsid w:val="0035245D"/>
    <w:rsid w:val="00352541"/>
    <w:rsid w:val="0035266A"/>
    <w:rsid w:val="0035279C"/>
    <w:rsid w:val="00352803"/>
    <w:rsid w:val="00352B23"/>
    <w:rsid w:val="00352C49"/>
    <w:rsid w:val="00352D17"/>
    <w:rsid w:val="003534D3"/>
    <w:rsid w:val="003535D2"/>
    <w:rsid w:val="0035384D"/>
    <w:rsid w:val="00353BF0"/>
    <w:rsid w:val="00353C0B"/>
    <w:rsid w:val="00353FBA"/>
    <w:rsid w:val="00354A4A"/>
    <w:rsid w:val="00354AE4"/>
    <w:rsid w:val="00354B0A"/>
    <w:rsid w:val="00354C22"/>
    <w:rsid w:val="00355254"/>
    <w:rsid w:val="00355363"/>
    <w:rsid w:val="0035551B"/>
    <w:rsid w:val="003555ED"/>
    <w:rsid w:val="003555FF"/>
    <w:rsid w:val="00355911"/>
    <w:rsid w:val="00355A74"/>
    <w:rsid w:val="00355DF8"/>
    <w:rsid w:val="00356316"/>
    <w:rsid w:val="0035636B"/>
    <w:rsid w:val="00356714"/>
    <w:rsid w:val="00356CD1"/>
    <w:rsid w:val="00356DA9"/>
    <w:rsid w:val="00357424"/>
    <w:rsid w:val="00360102"/>
    <w:rsid w:val="003603A6"/>
    <w:rsid w:val="003608A2"/>
    <w:rsid w:val="00361789"/>
    <w:rsid w:val="0036196D"/>
    <w:rsid w:val="00361A60"/>
    <w:rsid w:val="00361E6E"/>
    <w:rsid w:val="00361EEC"/>
    <w:rsid w:val="0036208F"/>
    <w:rsid w:val="0036240D"/>
    <w:rsid w:val="003627BD"/>
    <w:rsid w:val="00362876"/>
    <w:rsid w:val="00362997"/>
    <w:rsid w:val="003629B5"/>
    <w:rsid w:val="00362A40"/>
    <w:rsid w:val="00362C59"/>
    <w:rsid w:val="00363040"/>
    <w:rsid w:val="003630B7"/>
    <w:rsid w:val="00363275"/>
    <w:rsid w:val="00363436"/>
    <w:rsid w:val="00363786"/>
    <w:rsid w:val="003638A4"/>
    <w:rsid w:val="003639BF"/>
    <w:rsid w:val="00363AA8"/>
    <w:rsid w:val="00363C48"/>
    <w:rsid w:val="00363DDC"/>
    <w:rsid w:val="00363E41"/>
    <w:rsid w:val="00363ED8"/>
    <w:rsid w:val="00363EDD"/>
    <w:rsid w:val="00363FD2"/>
    <w:rsid w:val="003644D0"/>
    <w:rsid w:val="00364CD8"/>
    <w:rsid w:val="00365182"/>
    <w:rsid w:val="003651F5"/>
    <w:rsid w:val="0036538D"/>
    <w:rsid w:val="0036572E"/>
    <w:rsid w:val="00365ED8"/>
    <w:rsid w:val="00365F6A"/>
    <w:rsid w:val="00366082"/>
    <w:rsid w:val="0036638C"/>
    <w:rsid w:val="003663D9"/>
    <w:rsid w:val="003666BF"/>
    <w:rsid w:val="00366707"/>
    <w:rsid w:val="00366D79"/>
    <w:rsid w:val="00366EE3"/>
    <w:rsid w:val="00366FA9"/>
    <w:rsid w:val="00367388"/>
    <w:rsid w:val="003679BA"/>
    <w:rsid w:val="00367BF4"/>
    <w:rsid w:val="00367E49"/>
    <w:rsid w:val="003700E6"/>
    <w:rsid w:val="003701F8"/>
    <w:rsid w:val="0037099C"/>
    <w:rsid w:val="00370C9A"/>
    <w:rsid w:val="00370E3F"/>
    <w:rsid w:val="00371365"/>
    <w:rsid w:val="003714DA"/>
    <w:rsid w:val="00371B88"/>
    <w:rsid w:val="00371C86"/>
    <w:rsid w:val="00371CDC"/>
    <w:rsid w:val="0037207A"/>
    <w:rsid w:val="003721A3"/>
    <w:rsid w:val="00372211"/>
    <w:rsid w:val="0037236C"/>
    <w:rsid w:val="003725E5"/>
    <w:rsid w:val="003725EC"/>
    <w:rsid w:val="003729DE"/>
    <w:rsid w:val="003735D3"/>
    <w:rsid w:val="0037386D"/>
    <w:rsid w:val="00373956"/>
    <w:rsid w:val="00374120"/>
    <w:rsid w:val="00374153"/>
    <w:rsid w:val="00374A3F"/>
    <w:rsid w:val="003750E0"/>
    <w:rsid w:val="0037598F"/>
    <w:rsid w:val="00375AF1"/>
    <w:rsid w:val="00375C2F"/>
    <w:rsid w:val="00375FC5"/>
    <w:rsid w:val="0037689B"/>
    <w:rsid w:val="003769BA"/>
    <w:rsid w:val="00376C10"/>
    <w:rsid w:val="00377871"/>
    <w:rsid w:val="003778B2"/>
    <w:rsid w:val="00377E58"/>
    <w:rsid w:val="00377F13"/>
    <w:rsid w:val="00380192"/>
    <w:rsid w:val="0038057E"/>
    <w:rsid w:val="003805E3"/>
    <w:rsid w:val="00380618"/>
    <w:rsid w:val="0038062E"/>
    <w:rsid w:val="003807F7"/>
    <w:rsid w:val="003809D5"/>
    <w:rsid w:val="00381610"/>
    <w:rsid w:val="00381FD8"/>
    <w:rsid w:val="00382106"/>
    <w:rsid w:val="0038262B"/>
    <w:rsid w:val="00382657"/>
    <w:rsid w:val="00382AE9"/>
    <w:rsid w:val="00382B6A"/>
    <w:rsid w:val="00382B82"/>
    <w:rsid w:val="0038300C"/>
    <w:rsid w:val="00383668"/>
    <w:rsid w:val="00383BDB"/>
    <w:rsid w:val="00383E73"/>
    <w:rsid w:val="00384085"/>
    <w:rsid w:val="003844BF"/>
    <w:rsid w:val="00384691"/>
    <w:rsid w:val="00384AED"/>
    <w:rsid w:val="00385206"/>
    <w:rsid w:val="003852BA"/>
    <w:rsid w:val="00385385"/>
    <w:rsid w:val="003854D5"/>
    <w:rsid w:val="0038552A"/>
    <w:rsid w:val="003859EA"/>
    <w:rsid w:val="00385DB1"/>
    <w:rsid w:val="0038709E"/>
    <w:rsid w:val="00387229"/>
    <w:rsid w:val="003877EC"/>
    <w:rsid w:val="00387D30"/>
    <w:rsid w:val="00390205"/>
    <w:rsid w:val="003907CC"/>
    <w:rsid w:val="00390A4D"/>
    <w:rsid w:val="00390A61"/>
    <w:rsid w:val="00390B7F"/>
    <w:rsid w:val="00391753"/>
    <w:rsid w:val="00391C7F"/>
    <w:rsid w:val="003921A8"/>
    <w:rsid w:val="00392454"/>
    <w:rsid w:val="00392839"/>
    <w:rsid w:val="00392A6C"/>
    <w:rsid w:val="00392C85"/>
    <w:rsid w:val="00392D3B"/>
    <w:rsid w:val="00392FD8"/>
    <w:rsid w:val="0039330A"/>
    <w:rsid w:val="003936E8"/>
    <w:rsid w:val="00393E11"/>
    <w:rsid w:val="00393E82"/>
    <w:rsid w:val="00394475"/>
    <w:rsid w:val="003946F7"/>
    <w:rsid w:val="00394A09"/>
    <w:rsid w:val="00394C0D"/>
    <w:rsid w:val="00394C48"/>
    <w:rsid w:val="003950A7"/>
    <w:rsid w:val="0039517A"/>
    <w:rsid w:val="00395B51"/>
    <w:rsid w:val="00396796"/>
    <w:rsid w:val="00396EC6"/>
    <w:rsid w:val="00396F3C"/>
    <w:rsid w:val="003970BA"/>
    <w:rsid w:val="0039746C"/>
    <w:rsid w:val="003974B2"/>
    <w:rsid w:val="00397C36"/>
    <w:rsid w:val="00397C48"/>
    <w:rsid w:val="00397DC6"/>
    <w:rsid w:val="003A00E3"/>
    <w:rsid w:val="003A0413"/>
    <w:rsid w:val="003A0B44"/>
    <w:rsid w:val="003A0BAE"/>
    <w:rsid w:val="003A0E82"/>
    <w:rsid w:val="003A0FAC"/>
    <w:rsid w:val="003A184D"/>
    <w:rsid w:val="003A1C35"/>
    <w:rsid w:val="003A1E82"/>
    <w:rsid w:val="003A1FB7"/>
    <w:rsid w:val="003A2317"/>
    <w:rsid w:val="003A275D"/>
    <w:rsid w:val="003A2962"/>
    <w:rsid w:val="003A2AFC"/>
    <w:rsid w:val="003A2D3B"/>
    <w:rsid w:val="003A2E61"/>
    <w:rsid w:val="003A371E"/>
    <w:rsid w:val="003A3BFE"/>
    <w:rsid w:val="003A3E76"/>
    <w:rsid w:val="003A4261"/>
    <w:rsid w:val="003A45E7"/>
    <w:rsid w:val="003A462A"/>
    <w:rsid w:val="003A4782"/>
    <w:rsid w:val="003A4C9F"/>
    <w:rsid w:val="003A4CE8"/>
    <w:rsid w:val="003A586A"/>
    <w:rsid w:val="003A595F"/>
    <w:rsid w:val="003A5B9A"/>
    <w:rsid w:val="003A5CE1"/>
    <w:rsid w:val="003A5EEC"/>
    <w:rsid w:val="003A5F39"/>
    <w:rsid w:val="003A60B8"/>
    <w:rsid w:val="003A60F4"/>
    <w:rsid w:val="003A642D"/>
    <w:rsid w:val="003A6AFC"/>
    <w:rsid w:val="003A6FD3"/>
    <w:rsid w:val="003A79AE"/>
    <w:rsid w:val="003A7B94"/>
    <w:rsid w:val="003A7CA3"/>
    <w:rsid w:val="003B00B6"/>
    <w:rsid w:val="003B01C4"/>
    <w:rsid w:val="003B0BB0"/>
    <w:rsid w:val="003B11EE"/>
    <w:rsid w:val="003B121E"/>
    <w:rsid w:val="003B1332"/>
    <w:rsid w:val="003B15F8"/>
    <w:rsid w:val="003B18EB"/>
    <w:rsid w:val="003B1AA7"/>
    <w:rsid w:val="003B230B"/>
    <w:rsid w:val="003B23BC"/>
    <w:rsid w:val="003B28D7"/>
    <w:rsid w:val="003B2DB5"/>
    <w:rsid w:val="003B2F05"/>
    <w:rsid w:val="003B3072"/>
    <w:rsid w:val="003B3966"/>
    <w:rsid w:val="003B39B7"/>
    <w:rsid w:val="003B4342"/>
    <w:rsid w:val="003B4745"/>
    <w:rsid w:val="003B4C54"/>
    <w:rsid w:val="003B4EB0"/>
    <w:rsid w:val="003B5BF5"/>
    <w:rsid w:val="003B5F6A"/>
    <w:rsid w:val="003B649C"/>
    <w:rsid w:val="003B66C8"/>
    <w:rsid w:val="003B6A64"/>
    <w:rsid w:val="003B6B7F"/>
    <w:rsid w:val="003B6F77"/>
    <w:rsid w:val="003B7820"/>
    <w:rsid w:val="003B7B1D"/>
    <w:rsid w:val="003B7E3C"/>
    <w:rsid w:val="003C01A4"/>
    <w:rsid w:val="003C0219"/>
    <w:rsid w:val="003C04BC"/>
    <w:rsid w:val="003C04DA"/>
    <w:rsid w:val="003C07DF"/>
    <w:rsid w:val="003C07FE"/>
    <w:rsid w:val="003C0C12"/>
    <w:rsid w:val="003C0F54"/>
    <w:rsid w:val="003C10F1"/>
    <w:rsid w:val="003C16EE"/>
    <w:rsid w:val="003C1C87"/>
    <w:rsid w:val="003C2310"/>
    <w:rsid w:val="003C29DF"/>
    <w:rsid w:val="003C2BCB"/>
    <w:rsid w:val="003C2C85"/>
    <w:rsid w:val="003C2D3D"/>
    <w:rsid w:val="003C2F3D"/>
    <w:rsid w:val="003C2F61"/>
    <w:rsid w:val="003C330A"/>
    <w:rsid w:val="003C345E"/>
    <w:rsid w:val="003C41D1"/>
    <w:rsid w:val="003C4409"/>
    <w:rsid w:val="003C4997"/>
    <w:rsid w:val="003C4B70"/>
    <w:rsid w:val="003C4B97"/>
    <w:rsid w:val="003C4DA5"/>
    <w:rsid w:val="003C5666"/>
    <w:rsid w:val="003C5791"/>
    <w:rsid w:val="003C5B29"/>
    <w:rsid w:val="003C6135"/>
    <w:rsid w:val="003C6304"/>
    <w:rsid w:val="003C64F4"/>
    <w:rsid w:val="003C65B9"/>
    <w:rsid w:val="003C6DE1"/>
    <w:rsid w:val="003C724B"/>
    <w:rsid w:val="003C73DB"/>
    <w:rsid w:val="003C7855"/>
    <w:rsid w:val="003C7F05"/>
    <w:rsid w:val="003D0185"/>
    <w:rsid w:val="003D02CB"/>
    <w:rsid w:val="003D0382"/>
    <w:rsid w:val="003D0456"/>
    <w:rsid w:val="003D057A"/>
    <w:rsid w:val="003D069C"/>
    <w:rsid w:val="003D06F9"/>
    <w:rsid w:val="003D0767"/>
    <w:rsid w:val="003D0BC2"/>
    <w:rsid w:val="003D11B5"/>
    <w:rsid w:val="003D16E8"/>
    <w:rsid w:val="003D1889"/>
    <w:rsid w:val="003D191E"/>
    <w:rsid w:val="003D1A43"/>
    <w:rsid w:val="003D21E5"/>
    <w:rsid w:val="003D22A5"/>
    <w:rsid w:val="003D22C7"/>
    <w:rsid w:val="003D23A4"/>
    <w:rsid w:val="003D305B"/>
    <w:rsid w:val="003D31E1"/>
    <w:rsid w:val="003D3414"/>
    <w:rsid w:val="003D3426"/>
    <w:rsid w:val="003D3721"/>
    <w:rsid w:val="003D3811"/>
    <w:rsid w:val="003D3941"/>
    <w:rsid w:val="003D4076"/>
    <w:rsid w:val="003D46BA"/>
    <w:rsid w:val="003D4E5F"/>
    <w:rsid w:val="003D5859"/>
    <w:rsid w:val="003D590A"/>
    <w:rsid w:val="003D5BF5"/>
    <w:rsid w:val="003D6722"/>
    <w:rsid w:val="003D6CD9"/>
    <w:rsid w:val="003D7178"/>
    <w:rsid w:val="003D7213"/>
    <w:rsid w:val="003D7428"/>
    <w:rsid w:val="003D74BD"/>
    <w:rsid w:val="003D77F2"/>
    <w:rsid w:val="003D78CC"/>
    <w:rsid w:val="003D7901"/>
    <w:rsid w:val="003D79D9"/>
    <w:rsid w:val="003D7AC7"/>
    <w:rsid w:val="003D7D01"/>
    <w:rsid w:val="003D7ED8"/>
    <w:rsid w:val="003E0003"/>
    <w:rsid w:val="003E002F"/>
    <w:rsid w:val="003E0099"/>
    <w:rsid w:val="003E0176"/>
    <w:rsid w:val="003E08C7"/>
    <w:rsid w:val="003E0992"/>
    <w:rsid w:val="003E1A72"/>
    <w:rsid w:val="003E1BAB"/>
    <w:rsid w:val="003E1FF0"/>
    <w:rsid w:val="003E274C"/>
    <w:rsid w:val="003E2880"/>
    <w:rsid w:val="003E28FB"/>
    <w:rsid w:val="003E2A00"/>
    <w:rsid w:val="003E2B3C"/>
    <w:rsid w:val="003E2E56"/>
    <w:rsid w:val="003E319D"/>
    <w:rsid w:val="003E348F"/>
    <w:rsid w:val="003E3591"/>
    <w:rsid w:val="003E376F"/>
    <w:rsid w:val="003E382C"/>
    <w:rsid w:val="003E39F0"/>
    <w:rsid w:val="003E3C6F"/>
    <w:rsid w:val="003E3D00"/>
    <w:rsid w:val="003E3D75"/>
    <w:rsid w:val="003E3E52"/>
    <w:rsid w:val="003E3FD6"/>
    <w:rsid w:val="003E4048"/>
    <w:rsid w:val="003E4531"/>
    <w:rsid w:val="003E4771"/>
    <w:rsid w:val="003E4CE5"/>
    <w:rsid w:val="003E54A8"/>
    <w:rsid w:val="003E5833"/>
    <w:rsid w:val="003E5C50"/>
    <w:rsid w:val="003E5DA8"/>
    <w:rsid w:val="003E7109"/>
    <w:rsid w:val="003E73E0"/>
    <w:rsid w:val="003E77DC"/>
    <w:rsid w:val="003E7BC1"/>
    <w:rsid w:val="003F03D8"/>
    <w:rsid w:val="003F03E3"/>
    <w:rsid w:val="003F0453"/>
    <w:rsid w:val="003F097D"/>
    <w:rsid w:val="003F0B3D"/>
    <w:rsid w:val="003F0C9F"/>
    <w:rsid w:val="003F0F55"/>
    <w:rsid w:val="003F144A"/>
    <w:rsid w:val="003F1B02"/>
    <w:rsid w:val="003F1EFE"/>
    <w:rsid w:val="003F2212"/>
    <w:rsid w:val="003F2240"/>
    <w:rsid w:val="003F2460"/>
    <w:rsid w:val="003F27B9"/>
    <w:rsid w:val="003F2BD1"/>
    <w:rsid w:val="003F2DF6"/>
    <w:rsid w:val="003F2E7B"/>
    <w:rsid w:val="003F2FDE"/>
    <w:rsid w:val="003F3932"/>
    <w:rsid w:val="003F39C7"/>
    <w:rsid w:val="003F3CD5"/>
    <w:rsid w:val="003F3D35"/>
    <w:rsid w:val="003F3F9C"/>
    <w:rsid w:val="003F3FAA"/>
    <w:rsid w:val="003F4473"/>
    <w:rsid w:val="003F4CF5"/>
    <w:rsid w:val="003F4E31"/>
    <w:rsid w:val="003F5019"/>
    <w:rsid w:val="003F51EE"/>
    <w:rsid w:val="003F5694"/>
    <w:rsid w:val="003F574E"/>
    <w:rsid w:val="003F60D6"/>
    <w:rsid w:val="003F622C"/>
    <w:rsid w:val="003F6543"/>
    <w:rsid w:val="003F68E9"/>
    <w:rsid w:val="003F73EA"/>
    <w:rsid w:val="003F75FC"/>
    <w:rsid w:val="003F768F"/>
    <w:rsid w:val="003F7731"/>
    <w:rsid w:val="003F7A59"/>
    <w:rsid w:val="003F7E15"/>
    <w:rsid w:val="003F7FDA"/>
    <w:rsid w:val="00400DE4"/>
    <w:rsid w:val="00401337"/>
    <w:rsid w:val="00401397"/>
    <w:rsid w:val="004013AD"/>
    <w:rsid w:val="0040186D"/>
    <w:rsid w:val="004021C0"/>
    <w:rsid w:val="004027AE"/>
    <w:rsid w:val="00402865"/>
    <w:rsid w:val="004028CE"/>
    <w:rsid w:val="0040313D"/>
    <w:rsid w:val="00403C1D"/>
    <w:rsid w:val="004043FA"/>
    <w:rsid w:val="00404970"/>
    <w:rsid w:val="00404CEB"/>
    <w:rsid w:val="00404E63"/>
    <w:rsid w:val="00405181"/>
    <w:rsid w:val="0040567F"/>
    <w:rsid w:val="00405873"/>
    <w:rsid w:val="00405A06"/>
    <w:rsid w:val="00405F09"/>
    <w:rsid w:val="0040611D"/>
    <w:rsid w:val="004066F4"/>
    <w:rsid w:val="00406A32"/>
    <w:rsid w:val="0040760B"/>
    <w:rsid w:val="00407677"/>
    <w:rsid w:val="00407A22"/>
    <w:rsid w:val="00407A80"/>
    <w:rsid w:val="00407EF8"/>
    <w:rsid w:val="00407FD7"/>
    <w:rsid w:val="00410117"/>
    <w:rsid w:val="00410277"/>
    <w:rsid w:val="004106B2"/>
    <w:rsid w:val="004108D1"/>
    <w:rsid w:val="00410A53"/>
    <w:rsid w:val="00410C32"/>
    <w:rsid w:val="00410D79"/>
    <w:rsid w:val="00411062"/>
    <w:rsid w:val="004111FB"/>
    <w:rsid w:val="00411237"/>
    <w:rsid w:val="00411557"/>
    <w:rsid w:val="00411575"/>
    <w:rsid w:val="004115DE"/>
    <w:rsid w:val="00411994"/>
    <w:rsid w:val="00411D74"/>
    <w:rsid w:val="00411DDE"/>
    <w:rsid w:val="00411F84"/>
    <w:rsid w:val="00412069"/>
    <w:rsid w:val="004121A1"/>
    <w:rsid w:val="00412477"/>
    <w:rsid w:val="004124EB"/>
    <w:rsid w:val="00412570"/>
    <w:rsid w:val="00412795"/>
    <w:rsid w:val="004127A2"/>
    <w:rsid w:val="004127E2"/>
    <w:rsid w:val="0041280A"/>
    <w:rsid w:val="00412A9D"/>
    <w:rsid w:val="00412CB1"/>
    <w:rsid w:val="00412F76"/>
    <w:rsid w:val="004133A5"/>
    <w:rsid w:val="0041364E"/>
    <w:rsid w:val="00413787"/>
    <w:rsid w:val="00413B02"/>
    <w:rsid w:val="00413D45"/>
    <w:rsid w:val="00414197"/>
    <w:rsid w:val="0041434C"/>
    <w:rsid w:val="00414B25"/>
    <w:rsid w:val="00414BDB"/>
    <w:rsid w:val="00414C71"/>
    <w:rsid w:val="00414D68"/>
    <w:rsid w:val="00414FD9"/>
    <w:rsid w:val="004150D0"/>
    <w:rsid w:val="00415475"/>
    <w:rsid w:val="00415773"/>
    <w:rsid w:val="004159D1"/>
    <w:rsid w:val="00415CAE"/>
    <w:rsid w:val="00415EE7"/>
    <w:rsid w:val="004160FA"/>
    <w:rsid w:val="004161E8"/>
    <w:rsid w:val="004164AE"/>
    <w:rsid w:val="004165A6"/>
    <w:rsid w:val="0041669E"/>
    <w:rsid w:val="004169C7"/>
    <w:rsid w:val="00416ACA"/>
    <w:rsid w:val="00416C56"/>
    <w:rsid w:val="00417169"/>
    <w:rsid w:val="00417294"/>
    <w:rsid w:val="004176B8"/>
    <w:rsid w:val="0041788D"/>
    <w:rsid w:val="004178EE"/>
    <w:rsid w:val="00417B99"/>
    <w:rsid w:val="00417CE0"/>
    <w:rsid w:val="00420027"/>
    <w:rsid w:val="004200DC"/>
    <w:rsid w:val="004209D5"/>
    <w:rsid w:val="00420B1E"/>
    <w:rsid w:val="00420EC5"/>
    <w:rsid w:val="00420FAF"/>
    <w:rsid w:val="00421184"/>
    <w:rsid w:val="004212C1"/>
    <w:rsid w:val="00421449"/>
    <w:rsid w:val="00421458"/>
    <w:rsid w:val="004214B7"/>
    <w:rsid w:val="00421895"/>
    <w:rsid w:val="00421988"/>
    <w:rsid w:val="00421F3A"/>
    <w:rsid w:val="00421F50"/>
    <w:rsid w:val="00421FB5"/>
    <w:rsid w:val="0042219F"/>
    <w:rsid w:val="004226ED"/>
    <w:rsid w:val="00422916"/>
    <w:rsid w:val="00422AF4"/>
    <w:rsid w:val="004235F4"/>
    <w:rsid w:val="004236AD"/>
    <w:rsid w:val="004236C9"/>
    <w:rsid w:val="00423CF3"/>
    <w:rsid w:val="00423E18"/>
    <w:rsid w:val="00424B7C"/>
    <w:rsid w:val="0042500C"/>
    <w:rsid w:val="0042539C"/>
    <w:rsid w:val="00425514"/>
    <w:rsid w:val="004256BD"/>
    <w:rsid w:val="00425863"/>
    <w:rsid w:val="0042598E"/>
    <w:rsid w:val="00425D02"/>
    <w:rsid w:val="00425EDC"/>
    <w:rsid w:val="00426B5D"/>
    <w:rsid w:val="00426C3E"/>
    <w:rsid w:val="00426F85"/>
    <w:rsid w:val="00426FAA"/>
    <w:rsid w:val="00427091"/>
    <w:rsid w:val="004270C3"/>
    <w:rsid w:val="004275CD"/>
    <w:rsid w:val="00427FEB"/>
    <w:rsid w:val="00427FF2"/>
    <w:rsid w:val="004305C0"/>
    <w:rsid w:val="004308F9"/>
    <w:rsid w:val="00430B20"/>
    <w:rsid w:val="00430B6C"/>
    <w:rsid w:val="00430CF3"/>
    <w:rsid w:val="00430F96"/>
    <w:rsid w:val="00431228"/>
    <w:rsid w:val="0043135D"/>
    <w:rsid w:val="0043158C"/>
    <w:rsid w:val="00431718"/>
    <w:rsid w:val="00431A55"/>
    <w:rsid w:val="00431C28"/>
    <w:rsid w:val="0043227C"/>
    <w:rsid w:val="00432A02"/>
    <w:rsid w:val="00432B30"/>
    <w:rsid w:val="004331C7"/>
    <w:rsid w:val="004331EC"/>
    <w:rsid w:val="00433449"/>
    <w:rsid w:val="004335AC"/>
    <w:rsid w:val="004335C0"/>
    <w:rsid w:val="00433791"/>
    <w:rsid w:val="00433989"/>
    <w:rsid w:val="00433AFC"/>
    <w:rsid w:val="00433B89"/>
    <w:rsid w:val="00434193"/>
    <w:rsid w:val="004342E3"/>
    <w:rsid w:val="004345CD"/>
    <w:rsid w:val="0043480D"/>
    <w:rsid w:val="00434AC0"/>
    <w:rsid w:val="00435068"/>
    <w:rsid w:val="00435715"/>
    <w:rsid w:val="0043571B"/>
    <w:rsid w:val="00435EE0"/>
    <w:rsid w:val="00435F29"/>
    <w:rsid w:val="0043610C"/>
    <w:rsid w:val="004366A6"/>
    <w:rsid w:val="004366FF"/>
    <w:rsid w:val="00436A9C"/>
    <w:rsid w:val="00436F56"/>
    <w:rsid w:val="004376D3"/>
    <w:rsid w:val="0043777D"/>
    <w:rsid w:val="0043790C"/>
    <w:rsid w:val="00437D83"/>
    <w:rsid w:val="004401DD"/>
    <w:rsid w:val="0044028A"/>
    <w:rsid w:val="00440344"/>
    <w:rsid w:val="00440415"/>
    <w:rsid w:val="00441264"/>
    <w:rsid w:val="00441353"/>
    <w:rsid w:val="00441607"/>
    <w:rsid w:val="00441996"/>
    <w:rsid w:val="00441B0F"/>
    <w:rsid w:val="00441D29"/>
    <w:rsid w:val="00441F06"/>
    <w:rsid w:val="00441F87"/>
    <w:rsid w:val="004421EA"/>
    <w:rsid w:val="004425C6"/>
    <w:rsid w:val="00443512"/>
    <w:rsid w:val="00443A55"/>
    <w:rsid w:val="00443CA6"/>
    <w:rsid w:val="00443D5D"/>
    <w:rsid w:val="00443FC5"/>
    <w:rsid w:val="00444034"/>
    <w:rsid w:val="00444092"/>
    <w:rsid w:val="0044578A"/>
    <w:rsid w:val="00445CBA"/>
    <w:rsid w:val="00446168"/>
    <w:rsid w:val="004463CB"/>
    <w:rsid w:val="004466F7"/>
    <w:rsid w:val="00446806"/>
    <w:rsid w:val="00446858"/>
    <w:rsid w:val="00446991"/>
    <w:rsid w:val="00447304"/>
    <w:rsid w:val="00447BF8"/>
    <w:rsid w:val="00447D48"/>
    <w:rsid w:val="00447E9A"/>
    <w:rsid w:val="00450127"/>
    <w:rsid w:val="0045075F"/>
    <w:rsid w:val="004507C5"/>
    <w:rsid w:val="00450936"/>
    <w:rsid w:val="00450C95"/>
    <w:rsid w:val="00450CFB"/>
    <w:rsid w:val="004512EC"/>
    <w:rsid w:val="004516AD"/>
    <w:rsid w:val="00451E84"/>
    <w:rsid w:val="00451EA3"/>
    <w:rsid w:val="00451F01"/>
    <w:rsid w:val="00452107"/>
    <w:rsid w:val="0045283E"/>
    <w:rsid w:val="00453349"/>
    <w:rsid w:val="00453644"/>
    <w:rsid w:val="00453772"/>
    <w:rsid w:val="00453BB9"/>
    <w:rsid w:val="00454661"/>
    <w:rsid w:val="004546A7"/>
    <w:rsid w:val="004547B1"/>
    <w:rsid w:val="00454831"/>
    <w:rsid w:val="004548DF"/>
    <w:rsid w:val="00454F01"/>
    <w:rsid w:val="004552D3"/>
    <w:rsid w:val="00455B98"/>
    <w:rsid w:val="00455D7E"/>
    <w:rsid w:val="00455E25"/>
    <w:rsid w:val="00456130"/>
    <w:rsid w:val="00456760"/>
    <w:rsid w:val="00456CC0"/>
    <w:rsid w:val="00456D35"/>
    <w:rsid w:val="0045755C"/>
    <w:rsid w:val="004577E9"/>
    <w:rsid w:val="00457933"/>
    <w:rsid w:val="00457A9D"/>
    <w:rsid w:val="00457C78"/>
    <w:rsid w:val="00457DF6"/>
    <w:rsid w:val="00460136"/>
    <w:rsid w:val="00460204"/>
    <w:rsid w:val="004602D3"/>
    <w:rsid w:val="004604D6"/>
    <w:rsid w:val="0046064C"/>
    <w:rsid w:val="00460735"/>
    <w:rsid w:val="00460AD5"/>
    <w:rsid w:val="00460EB8"/>
    <w:rsid w:val="00461090"/>
    <w:rsid w:val="004611D5"/>
    <w:rsid w:val="004617D8"/>
    <w:rsid w:val="00461991"/>
    <w:rsid w:val="00461A6B"/>
    <w:rsid w:val="00461C43"/>
    <w:rsid w:val="00461F19"/>
    <w:rsid w:val="00461F7F"/>
    <w:rsid w:val="00462125"/>
    <w:rsid w:val="00463216"/>
    <w:rsid w:val="0046334D"/>
    <w:rsid w:val="004636F7"/>
    <w:rsid w:val="00463848"/>
    <w:rsid w:val="00463BBF"/>
    <w:rsid w:val="00463C95"/>
    <w:rsid w:val="00463E1C"/>
    <w:rsid w:val="00464052"/>
    <w:rsid w:val="0046422F"/>
    <w:rsid w:val="004643CF"/>
    <w:rsid w:val="00464808"/>
    <w:rsid w:val="00464A35"/>
    <w:rsid w:val="00464C9C"/>
    <w:rsid w:val="00465153"/>
    <w:rsid w:val="00465602"/>
    <w:rsid w:val="00465D4A"/>
    <w:rsid w:val="004661E6"/>
    <w:rsid w:val="004669A6"/>
    <w:rsid w:val="00466AFD"/>
    <w:rsid w:val="00466E99"/>
    <w:rsid w:val="0046713A"/>
    <w:rsid w:val="004673D8"/>
    <w:rsid w:val="0046774E"/>
    <w:rsid w:val="0046782E"/>
    <w:rsid w:val="00467BD2"/>
    <w:rsid w:val="00470563"/>
    <w:rsid w:val="00470633"/>
    <w:rsid w:val="00470696"/>
    <w:rsid w:val="00470F8D"/>
    <w:rsid w:val="00471059"/>
    <w:rsid w:val="004717F1"/>
    <w:rsid w:val="004724C9"/>
    <w:rsid w:val="00472585"/>
    <w:rsid w:val="0047268D"/>
    <w:rsid w:val="00472A70"/>
    <w:rsid w:val="00472B63"/>
    <w:rsid w:val="00472C9C"/>
    <w:rsid w:val="00473045"/>
    <w:rsid w:val="004732D2"/>
    <w:rsid w:val="004735B4"/>
    <w:rsid w:val="00474130"/>
    <w:rsid w:val="004747B0"/>
    <w:rsid w:val="0047497C"/>
    <w:rsid w:val="00475123"/>
    <w:rsid w:val="004754EE"/>
    <w:rsid w:val="0047563B"/>
    <w:rsid w:val="00475702"/>
    <w:rsid w:val="00475A6C"/>
    <w:rsid w:val="00475F0E"/>
    <w:rsid w:val="004763A1"/>
    <w:rsid w:val="004764AF"/>
    <w:rsid w:val="00476757"/>
    <w:rsid w:val="00476875"/>
    <w:rsid w:val="00476D04"/>
    <w:rsid w:val="004771EC"/>
    <w:rsid w:val="004776FF"/>
    <w:rsid w:val="0047775E"/>
    <w:rsid w:val="00477AAE"/>
    <w:rsid w:val="00477AF6"/>
    <w:rsid w:val="00477B3B"/>
    <w:rsid w:val="00477BCB"/>
    <w:rsid w:val="004801A7"/>
    <w:rsid w:val="004802CE"/>
    <w:rsid w:val="00480912"/>
    <w:rsid w:val="00480D91"/>
    <w:rsid w:val="00480E47"/>
    <w:rsid w:val="004812B9"/>
    <w:rsid w:val="0048135F"/>
    <w:rsid w:val="00481446"/>
    <w:rsid w:val="00481666"/>
    <w:rsid w:val="0048181B"/>
    <w:rsid w:val="00481F2B"/>
    <w:rsid w:val="004820C5"/>
    <w:rsid w:val="00482198"/>
    <w:rsid w:val="004823D8"/>
    <w:rsid w:val="0048249E"/>
    <w:rsid w:val="0048285B"/>
    <w:rsid w:val="00482BAC"/>
    <w:rsid w:val="00482EEA"/>
    <w:rsid w:val="00482F20"/>
    <w:rsid w:val="00482FD1"/>
    <w:rsid w:val="004830F6"/>
    <w:rsid w:val="00483196"/>
    <w:rsid w:val="0048340F"/>
    <w:rsid w:val="004834F7"/>
    <w:rsid w:val="004836C3"/>
    <w:rsid w:val="0048384A"/>
    <w:rsid w:val="00483872"/>
    <w:rsid w:val="0048392B"/>
    <w:rsid w:val="0048423C"/>
    <w:rsid w:val="00484381"/>
    <w:rsid w:val="00484449"/>
    <w:rsid w:val="004845A6"/>
    <w:rsid w:val="00484947"/>
    <w:rsid w:val="00484C71"/>
    <w:rsid w:val="00484E89"/>
    <w:rsid w:val="004852CE"/>
    <w:rsid w:val="0048540C"/>
    <w:rsid w:val="004854F2"/>
    <w:rsid w:val="0048561D"/>
    <w:rsid w:val="00485EDD"/>
    <w:rsid w:val="00485F92"/>
    <w:rsid w:val="004860BD"/>
    <w:rsid w:val="004866E1"/>
    <w:rsid w:val="00486836"/>
    <w:rsid w:val="00486C72"/>
    <w:rsid w:val="004870CD"/>
    <w:rsid w:val="004875FC"/>
    <w:rsid w:val="004877B5"/>
    <w:rsid w:val="00487FB6"/>
    <w:rsid w:val="0049030D"/>
    <w:rsid w:val="00490954"/>
    <w:rsid w:val="00490D04"/>
    <w:rsid w:val="00490EA3"/>
    <w:rsid w:val="00490FF8"/>
    <w:rsid w:val="0049100A"/>
    <w:rsid w:val="0049171F"/>
    <w:rsid w:val="0049188F"/>
    <w:rsid w:val="004921DC"/>
    <w:rsid w:val="0049277A"/>
    <w:rsid w:val="00492B38"/>
    <w:rsid w:val="00492B8A"/>
    <w:rsid w:val="00492FE4"/>
    <w:rsid w:val="00493035"/>
    <w:rsid w:val="00493321"/>
    <w:rsid w:val="004936DE"/>
    <w:rsid w:val="00493C3F"/>
    <w:rsid w:val="004942A1"/>
    <w:rsid w:val="004942ED"/>
    <w:rsid w:val="00495110"/>
    <w:rsid w:val="0049544E"/>
    <w:rsid w:val="00495670"/>
    <w:rsid w:val="00495CAC"/>
    <w:rsid w:val="00495DE0"/>
    <w:rsid w:val="00495F8A"/>
    <w:rsid w:val="00496028"/>
    <w:rsid w:val="0049604B"/>
    <w:rsid w:val="00496212"/>
    <w:rsid w:val="00496495"/>
    <w:rsid w:val="004968C9"/>
    <w:rsid w:val="00496AC9"/>
    <w:rsid w:val="00496CC5"/>
    <w:rsid w:val="00497113"/>
    <w:rsid w:val="00497F8A"/>
    <w:rsid w:val="004A040E"/>
    <w:rsid w:val="004A042D"/>
    <w:rsid w:val="004A0686"/>
    <w:rsid w:val="004A0F32"/>
    <w:rsid w:val="004A11E0"/>
    <w:rsid w:val="004A1C7F"/>
    <w:rsid w:val="004A1FC5"/>
    <w:rsid w:val="004A2158"/>
    <w:rsid w:val="004A2934"/>
    <w:rsid w:val="004A2979"/>
    <w:rsid w:val="004A29A5"/>
    <w:rsid w:val="004A3225"/>
    <w:rsid w:val="004A3494"/>
    <w:rsid w:val="004A36DB"/>
    <w:rsid w:val="004A374A"/>
    <w:rsid w:val="004A376B"/>
    <w:rsid w:val="004A395B"/>
    <w:rsid w:val="004A39D9"/>
    <w:rsid w:val="004A3BF3"/>
    <w:rsid w:val="004A3C59"/>
    <w:rsid w:val="004A3FE2"/>
    <w:rsid w:val="004A3FF5"/>
    <w:rsid w:val="004A480D"/>
    <w:rsid w:val="004A494D"/>
    <w:rsid w:val="004A4D76"/>
    <w:rsid w:val="004A522F"/>
    <w:rsid w:val="004A5851"/>
    <w:rsid w:val="004A5A91"/>
    <w:rsid w:val="004A5AE2"/>
    <w:rsid w:val="004A5B0F"/>
    <w:rsid w:val="004A5CF1"/>
    <w:rsid w:val="004A5DED"/>
    <w:rsid w:val="004A66E0"/>
    <w:rsid w:val="004A6AF3"/>
    <w:rsid w:val="004A732C"/>
    <w:rsid w:val="004A7522"/>
    <w:rsid w:val="004A7AAE"/>
    <w:rsid w:val="004A7D49"/>
    <w:rsid w:val="004A7F21"/>
    <w:rsid w:val="004B0077"/>
    <w:rsid w:val="004B0896"/>
    <w:rsid w:val="004B08DB"/>
    <w:rsid w:val="004B0EA9"/>
    <w:rsid w:val="004B1422"/>
    <w:rsid w:val="004B24EB"/>
    <w:rsid w:val="004B29A6"/>
    <w:rsid w:val="004B29AC"/>
    <w:rsid w:val="004B2A27"/>
    <w:rsid w:val="004B2B73"/>
    <w:rsid w:val="004B2D0F"/>
    <w:rsid w:val="004B32D0"/>
    <w:rsid w:val="004B3C5A"/>
    <w:rsid w:val="004B3C8B"/>
    <w:rsid w:val="004B415E"/>
    <w:rsid w:val="004B442A"/>
    <w:rsid w:val="004B44A9"/>
    <w:rsid w:val="004B4509"/>
    <w:rsid w:val="004B452A"/>
    <w:rsid w:val="004B4871"/>
    <w:rsid w:val="004B4ADF"/>
    <w:rsid w:val="004B4C00"/>
    <w:rsid w:val="004B4E06"/>
    <w:rsid w:val="004B50CE"/>
    <w:rsid w:val="004B5493"/>
    <w:rsid w:val="004B5914"/>
    <w:rsid w:val="004B5CA1"/>
    <w:rsid w:val="004B5ECC"/>
    <w:rsid w:val="004B69FB"/>
    <w:rsid w:val="004B6B15"/>
    <w:rsid w:val="004B6C77"/>
    <w:rsid w:val="004B6D0A"/>
    <w:rsid w:val="004B7995"/>
    <w:rsid w:val="004C02B3"/>
    <w:rsid w:val="004C098E"/>
    <w:rsid w:val="004C0BBE"/>
    <w:rsid w:val="004C0E25"/>
    <w:rsid w:val="004C0E2F"/>
    <w:rsid w:val="004C1194"/>
    <w:rsid w:val="004C12DA"/>
    <w:rsid w:val="004C15C8"/>
    <w:rsid w:val="004C183E"/>
    <w:rsid w:val="004C222E"/>
    <w:rsid w:val="004C2561"/>
    <w:rsid w:val="004C2806"/>
    <w:rsid w:val="004C2EF1"/>
    <w:rsid w:val="004C371E"/>
    <w:rsid w:val="004C3893"/>
    <w:rsid w:val="004C3ADD"/>
    <w:rsid w:val="004C3B0C"/>
    <w:rsid w:val="004C428E"/>
    <w:rsid w:val="004C440F"/>
    <w:rsid w:val="004C4775"/>
    <w:rsid w:val="004C483D"/>
    <w:rsid w:val="004C48A9"/>
    <w:rsid w:val="004C590B"/>
    <w:rsid w:val="004C6326"/>
    <w:rsid w:val="004C63C7"/>
    <w:rsid w:val="004C6D39"/>
    <w:rsid w:val="004C6D98"/>
    <w:rsid w:val="004C7217"/>
    <w:rsid w:val="004C74F5"/>
    <w:rsid w:val="004C75B5"/>
    <w:rsid w:val="004C7602"/>
    <w:rsid w:val="004C7743"/>
    <w:rsid w:val="004C778E"/>
    <w:rsid w:val="004C77A7"/>
    <w:rsid w:val="004C7DBE"/>
    <w:rsid w:val="004C7F57"/>
    <w:rsid w:val="004D0199"/>
    <w:rsid w:val="004D032B"/>
    <w:rsid w:val="004D039E"/>
    <w:rsid w:val="004D04A3"/>
    <w:rsid w:val="004D04BB"/>
    <w:rsid w:val="004D07B6"/>
    <w:rsid w:val="004D0C9F"/>
    <w:rsid w:val="004D0E01"/>
    <w:rsid w:val="004D0F15"/>
    <w:rsid w:val="004D1126"/>
    <w:rsid w:val="004D15FD"/>
    <w:rsid w:val="004D2369"/>
    <w:rsid w:val="004D2453"/>
    <w:rsid w:val="004D2485"/>
    <w:rsid w:val="004D25CE"/>
    <w:rsid w:val="004D2998"/>
    <w:rsid w:val="004D2C4B"/>
    <w:rsid w:val="004D3211"/>
    <w:rsid w:val="004D372D"/>
    <w:rsid w:val="004D3750"/>
    <w:rsid w:val="004D384C"/>
    <w:rsid w:val="004D3A57"/>
    <w:rsid w:val="004D3B2A"/>
    <w:rsid w:val="004D44AA"/>
    <w:rsid w:val="004D47FF"/>
    <w:rsid w:val="004D4B7E"/>
    <w:rsid w:val="004D4D35"/>
    <w:rsid w:val="004D518F"/>
    <w:rsid w:val="004D54D7"/>
    <w:rsid w:val="004D5BB7"/>
    <w:rsid w:val="004D6053"/>
    <w:rsid w:val="004D61EF"/>
    <w:rsid w:val="004D698D"/>
    <w:rsid w:val="004D69FD"/>
    <w:rsid w:val="004D6C05"/>
    <w:rsid w:val="004D6FA4"/>
    <w:rsid w:val="004D70CA"/>
    <w:rsid w:val="004D7C23"/>
    <w:rsid w:val="004D7EBE"/>
    <w:rsid w:val="004E0157"/>
    <w:rsid w:val="004E01C6"/>
    <w:rsid w:val="004E0212"/>
    <w:rsid w:val="004E0358"/>
    <w:rsid w:val="004E0ADC"/>
    <w:rsid w:val="004E0D11"/>
    <w:rsid w:val="004E0FB1"/>
    <w:rsid w:val="004E1043"/>
    <w:rsid w:val="004E1DCA"/>
    <w:rsid w:val="004E1F76"/>
    <w:rsid w:val="004E21B4"/>
    <w:rsid w:val="004E252B"/>
    <w:rsid w:val="004E2782"/>
    <w:rsid w:val="004E2861"/>
    <w:rsid w:val="004E2A85"/>
    <w:rsid w:val="004E2C09"/>
    <w:rsid w:val="004E2E0B"/>
    <w:rsid w:val="004E2E57"/>
    <w:rsid w:val="004E3002"/>
    <w:rsid w:val="004E3616"/>
    <w:rsid w:val="004E3895"/>
    <w:rsid w:val="004E3D1F"/>
    <w:rsid w:val="004E3F72"/>
    <w:rsid w:val="004E47FD"/>
    <w:rsid w:val="004E4A78"/>
    <w:rsid w:val="004E4E4C"/>
    <w:rsid w:val="004E551E"/>
    <w:rsid w:val="004E572E"/>
    <w:rsid w:val="004E58F6"/>
    <w:rsid w:val="004E5E37"/>
    <w:rsid w:val="004E5E4C"/>
    <w:rsid w:val="004E623E"/>
    <w:rsid w:val="004E67B7"/>
    <w:rsid w:val="004E6CF9"/>
    <w:rsid w:val="004E734E"/>
    <w:rsid w:val="004E7744"/>
    <w:rsid w:val="004E7AF4"/>
    <w:rsid w:val="004E7EC0"/>
    <w:rsid w:val="004E7F48"/>
    <w:rsid w:val="004F014E"/>
    <w:rsid w:val="004F0A0E"/>
    <w:rsid w:val="004F0B40"/>
    <w:rsid w:val="004F0BC6"/>
    <w:rsid w:val="004F1123"/>
    <w:rsid w:val="004F1715"/>
    <w:rsid w:val="004F17DA"/>
    <w:rsid w:val="004F184C"/>
    <w:rsid w:val="004F1AE0"/>
    <w:rsid w:val="004F1C93"/>
    <w:rsid w:val="004F2927"/>
    <w:rsid w:val="004F2988"/>
    <w:rsid w:val="004F2A43"/>
    <w:rsid w:val="004F2D61"/>
    <w:rsid w:val="004F2EA5"/>
    <w:rsid w:val="004F3873"/>
    <w:rsid w:val="004F3BD2"/>
    <w:rsid w:val="004F3CDC"/>
    <w:rsid w:val="004F3D02"/>
    <w:rsid w:val="004F3DCA"/>
    <w:rsid w:val="004F40E1"/>
    <w:rsid w:val="004F4372"/>
    <w:rsid w:val="004F43E0"/>
    <w:rsid w:val="004F45EB"/>
    <w:rsid w:val="004F506F"/>
    <w:rsid w:val="004F521B"/>
    <w:rsid w:val="004F52BB"/>
    <w:rsid w:val="004F53BF"/>
    <w:rsid w:val="004F545A"/>
    <w:rsid w:val="004F5547"/>
    <w:rsid w:val="004F5582"/>
    <w:rsid w:val="004F5725"/>
    <w:rsid w:val="004F595E"/>
    <w:rsid w:val="004F59B3"/>
    <w:rsid w:val="004F59B8"/>
    <w:rsid w:val="004F5BD9"/>
    <w:rsid w:val="004F5C70"/>
    <w:rsid w:val="004F62A7"/>
    <w:rsid w:val="004F62F9"/>
    <w:rsid w:val="004F66B3"/>
    <w:rsid w:val="004F674C"/>
    <w:rsid w:val="004F6EB0"/>
    <w:rsid w:val="004F7352"/>
    <w:rsid w:val="004F7EE2"/>
    <w:rsid w:val="0050015C"/>
    <w:rsid w:val="005002F7"/>
    <w:rsid w:val="00500418"/>
    <w:rsid w:val="00500A74"/>
    <w:rsid w:val="00500CCF"/>
    <w:rsid w:val="00500E62"/>
    <w:rsid w:val="005010DE"/>
    <w:rsid w:val="005011FD"/>
    <w:rsid w:val="0050164B"/>
    <w:rsid w:val="00502958"/>
    <w:rsid w:val="00502BD2"/>
    <w:rsid w:val="00502DA4"/>
    <w:rsid w:val="00503017"/>
    <w:rsid w:val="005038A9"/>
    <w:rsid w:val="00503A43"/>
    <w:rsid w:val="00503A9B"/>
    <w:rsid w:val="00503F83"/>
    <w:rsid w:val="0050421C"/>
    <w:rsid w:val="005047A1"/>
    <w:rsid w:val="00504A9B"/>
    <w:rsid w:val="00504E9A"/>
    <w:rsid w:val="00504F01"/>
    <w:rsid w:val="00504F50"/>
    <w:rsid w:val="00504F83"/>
    <w:rsid w:val="00505057"/>
    <w:rsid w:val="005058CF"/>
    <w:rsid w:val="005059B9"/>
    <w:rsid w:val="00505F64"/>
    <w:rsid w:val="005067C9"/>
    <w:rsid w:val="00506DCD"/>
    <w:rsid w:val="00507268"/>
    <w:rsid w:val="00507325"/>
    <w:rsid w:val="0050745C"/>
    <w:rsid w:val="005077B5"/>
    <w:rsid w:val="00507AB5"/>
    <w:rsid w:val="00507C56"/>
    <w:rsid w:val="00507F13"/>
    <w:rsid w:val="005100F8"/>
    <w:rsid w:val="00510809"/>
    <w:rsid w:val="005109D4"/>
    <w:rsid w:val="00510CF4"/>
    <w:rsid w:val="005112D4"/>
    <w:rsid w:val="0051160A"/>
    <w:rsid w:val="005117AA"/>
    <w:rsid w:val="005118BA"/>
    <w:rsid w:val="00511B8E"/>
    <w:rsid w:val="00511C45"/>
    <w:rsid w:val="005129C6"/>
    <w:rsid w:val="00512D87"/>
    <w:rsid w:val="005130DA"/>
    <w:rsid w:val="00513998"/>
    <w:rsid w:val="00513999"/>
    <w:rsid w:val="00513A24"/>
    <w:rsid w:val="00513A40"/>
    <w:rsid w:val="00513DDA"/>
    <w:rsid w:val="00513E19"/>
    <w:rsid w:val="005148B4"/>
    <w:rsid w:val="00514B29"/>
    <w:rsid w:val="00514C19"/>
    <w:rsid w:val="005152B1"/>
    <w:rsid w:val="005152F0"/>
    <w:rsid w:val="00515856"/>
    <w:rsid w:val="005159C2"/>
    <w:rsid w:val="00515C4E"/>
    <w:rsid w:val="00515F30"/>
    <w:rsid w:val="005161D3"/>
    <w:rsid w:val="005163E6"/>
    <w:rsid w:val="005167B6"/>
    <w:rsid w:val="00516D8A"/>
    <w:rsid w:val="0051701F"/>
    <w:rsid w:val="00517263"/>
    <w:rsid w:val="005172EC"/>
    <w:rsid w:val="0051740D"/>
    <w:rsid w:val="00517888"/>
    <w:rsid w:val="005178CE"/>
    <w:rsid w:val="005179FC"/>
    <w:rsid w:val="00517C27"/>
    <w:rsid w:val="005205D1"/>
    <w:rsid w:val="00520ACF"/>
    <w:rsid w:val="00520E7C"/>
    <w:rsid w:val="00521226"/>
    <w:rsid w:val="00521786"/>
    <w:rsid w:val="00521CAB"/>
    <w:rsid w:val="00521D58"/>
    <w:rsid w:val="00521FCC"/>
    <w:rsid w:val="005224EF"/>
    <w:rsid w:val="00522654"/>
    <w:rsid w:val="00522721"/>
    <w:rsid w:val="00522835"/>
    <w:rsid w:val="0052293D"/>
    <w:rsid w:val="00522AF4"/>
    <w:rsid w:val="00522B93"/>
    <w:rsid w:val="00523098"/>
    <w:rsid w:val="00523499"/>
    <w:rsid w:val="00523BC7"/>
    <w:rsid w:val="00523C08"/>
    <w:rsid w:val="00523C10"/>
    <w:rsid w:val="005245D5"/>
    <w:rsid w:val="00524889"/>
    <w:rsid w:val="005249EA"/>
    <w:rsid w:val="00524B29"/>
    <w:rsid w:val="0052575D"/>
    <w:rsid w:val="00525A53"/>
    <w:rsid w:val="00525AC7"/>
    <w:rsid w:val="00525C1F"/>
    <w:rsid w:val="00525EBE"/>
    <w:rsid w:val="00526569"/>
    <w:rsid w:val="00526726"/>
    <w:rsid w:val="00526A20"/>
    <w:rsid w:val="00526A44"/>
    <w:rsid w:val="00526C28"/>
    <w:rsid w:val="00527256"/>
    <w:rsid w:val="005273FD"/>
    <w:rsid w:val="0052797C"/>
    <w:rsid w:val="00527B2D"/>
    <w:rsid w:val="00527B57"/>
    <w:rsid w:val="00527B83"/>
    <w:rsid w:val="00527C8D"/>
    <w:rsid w:val="0053021B"/>
    <w:rsid w:val="005303A9"/>
    <w:rsid w:val="00530AC4"/>
    <w:rsid w:val="00530F35"/>
    <w:rsid w:val="005310F0"/>
    <w:rsid w:val="00531978"/>
    <w:rsid w:val="00532115"/>
    <w:rsid w:val="005322A3"/>
    <w:rsid w:val="0053265B"/>
    <w:rsid w:val="0053266C"/>
    <w:rsid w:val="00532E2D"/>
    <w:rsid w:val="00532E73"/>
    <w:rsid w:val="00533169"/>
    <w:rsid w:val="00533194"/>
    <w:rsid w:val="005332C8"/>
    <w:rsid w:val="00533396"/>
    <w:rsid w:val="00533514"/>
    <w:rsid w:val="00533BBA"/>
    <w:rsid w:val="0053464E"/>
    <w:rsid w:val="005346C8"/>
    <w:rsid w:val="00534A02"/>
    <w:rsid w:val="00535073"/>
    <w:rsid w:val="00535092"/>
    <w:rsid w:val="005352C8"/>
    <w:rsid w:val="005354C1"/>
    <w:rsid w:val="005355BB"/>
    <w:rsid w:val="00535619"/>
    <w:rsid w:val="005359F0"/>
    <w:rsid w:val="00535F99"/>
    <w:rsid w:val="00536134"/>
    <w:rsid w:val="00536356"/>
    <w:rsid w:val="0053635B"/>
    <w:rsid w:val="00536697"/>
    <w:rsid w:val="005367F9"/>
    <w:rsid w:val="00536CBB"/>
    <w:rsid w:val="00536DDD"/>
    <w:rsid w:val="00536EB2"/>
    <w:rsid w:val="00536F56"/>
    <w:rsid w:val="00537033"/>
    <w:rsid w:val="00537085"/>
    <w:rsid w:val="0053737C"/>
    <w:rsid w:val="00537622"/>
    <w:rsid w:val="00537B29"/>
    <w:rsid w:val="00537EA4"/>
    <w:rsid w:val="0054009B"/>
    <w:rsid w:val="005403B9"/>
    <w:rsid w:val="00540A37"/>
    <w:rsid w:val="00540A8D"/>
    <w:rsid w:val="00540B49"/>
    <w:rsid w:val="00540D43"/>
    <w:rsid w:val="0054177D"/>
    <w:rsid w:val="00541824"/>
    <w:rsid w:val="005418DB"/>
    <w:rsid w:val="00541F08"/>
    <w:rsid w:val="005427EB"/>
    <w:rsid w:val="00542CA1"/>
    <w:rsid w:val="00542E23"/>
    <w:rsid w:val="005432FC"/>
    <w:rsid w:val="005434D9"/>
    <w:rsid w:val="005434EA"/>
    <w:rsid w:val="00543722"/>
    <w:rsid w:val="00543A86"/>
    <w:rsid w:val="005441C9"/>
    <w:rsid w:val="0054453E"/>
    <w:rsid w:val="00544601"/>
    <w:rsid w:val="00544857"/>
    <w:rsid w:val="005449FD"/>
    <w:rsid w:val="00544A32"/>
    <w:rsid w:val="00544FBD"/>
    <w:rsid w:val="00545D55"/>
    <w:rsid w:val="00545FE4"/>
    <w:rsid w:val="005461AB"/>
    <w:rsid w:val="005466D1"/>
    <w:rsid w:val="00546C6A"/>
    <w:rsid w:val="00546FBA"/>
    <w:rsid w:val="005471D0"/>
    <w:rsid w:val="0054782D"/>
    <w:rsid w:val="00547F04"/>
    <w:rsid w:val="0055001F"/>
    <w:rsid w:val="0055091E"/>
    <w:rsid w:val="00550924"/>
    <w:rsid w:val="00550958"/>
    <w:rsid w:val="00550D63"/>
    <w:rsid w:val="00550EF1"/>
    <w:rsid w:val="00551075"/>
    <w:rsid w:val="005513C8"/>
    <w:rsid w:val="0055140F"/>
    <w:rsid w:val="005519AD"/>
    <w:rsid w:val="00551B37"/>
    <w:rsid w:val="00551B3C"/>
    <w:rsid w:val="0055236E"/>
    <w:rsid w:val="0055248E"/>
    <w:rsid w:val="00552678"/>
    <w:rsid w:val="0055352C"/>
    <w:rsid w:val="005535EA"/>
    <w:rsid w:val="00553672"/>
    <w:rsid w:val="0055382A"/>
    <w:rsid w:val="005538A6"/>
    <w:rsid w:val="00553F43"/>
    <w:rsid w:val="005546E7"/>
    <w:rsid w:val="00554F94"/>
    <w:rsid w:val="00555161"/>
    <w:rsid w:val="00555932"/>
    <w:rsid w:val="00555DE6"/>
    <w:rsid w:val="00555EB3"/>
    <w:rsid w:val="00555F50"/>
    <w:rsid w:val="00556062"/>
    <w:rsid w:val="005565F5"/>
    <w:rsid w:val="005567F6"/>
    <w:rsid w:val="00556E29"/>
    <w:rsid w:val="00557474"/>
    <w:rsid w:val="005575C9"/>
    <w:rsid w:val="00557BC3"/>
    <w:rsid w:val="00557DAA"/>
    <w:rsid w:val="00557DAD"/>
    <w:rsid w:val="005601BB"/>
    <w:rsid w:val="00560317"/>
    <w:rsid w:val="005605B4"/>
    <w:rsid w:val="00560B72"/>
    <w:rsid w:val="00560DE0"/>
    <w:rsid w:val="00561138"/>
    <w:rsid w:val="00561438"/>
    <w:rsid w:val="00561699"/>
    <w:rsid w:val="00561746"/>
    <w:rsid w:val="0056194F"/>
    <w:rsid w:val="005619E1"/>
    <w:rsid w:val="00562629"/>
    <w:rsid w:val="0056273A"/>
    <w:rsid w:val="005628FE"/>
    <w:rsid w:val="0056330E"/>
    <w:rsid w:val="00563320"/>
    <w:rsid w:val="00563613"/>
    <w:rsid w:val="0056364B"/>
    <w:rsid w:val="00563A8C"/>
    <w:rsid w:val="00563B34"/>
    <w:rsid w:val="00564191"/>
    <w:rsid w:val="00564557"/>
    <w:rsid w:val="0056458C"/>
    <w:rsid w:val="00564628"/>
    <w:rsid w:val="005648B9"/>
    <w:rsid w:val="00564A3C"/>
    <w:rsid w:val="00564F82"/>
    <w:rsid w:val="005651A7"/>
    <w:rsid w:val="005651F8"/>
    <w:rsid w:val="005653AF"/>
    <w:rsid w:val="0056540E"/>
    <w:rsid w:val="00565501"/>
    <w:rsid w:val="00565755"/>
    <w:rsid w:val="0056598D"/>
    <w:rsid w:val="00565CE5"/>
    <w:rsid w:val="00565E87"/>
    <w:rsid w:val="0056601E"/>
    <w:rsid w:val="00566251"/>
    <w:rsid w:val="005662CC"/>
    <w:rsid w:val="005663D6"/>
    <w:rsid w:val="00566406"/>
    <w:rsid w:val="005664D6"/>
    <w:rsid w:val="00566538"/>
    <w:rsid w:val="00566562"/>
    <w:rsid w:val="00566E64"/>
    <w:rsid w:val="0056725A"/>
    <w:rsid w:val="0056741F"/>
    <w:rsid w:val="00567647"/>
    <w:rsid w:val="0056764F"/>
    <w:rsid w:val="0056781B"/>
    <w:rsid w:val="00567BE2"/>
    <w:rsid w:val="00570102"/>
    <w:rsid w:val="00570406"/>
    <w:rsid w:val="005704A5"/>
    <w:rsid w:val="00570505"/>
    <w:rsid w:val="00570BA5"/>
    <w:rsid w:val="00570EBC"/>
    <w:rsid w:val="005710B8"/>
    <w:rsid w:val="00571122"/>
    <w:rsid w:val="005712E6"/>
    <w:rsid w:val="00571527"/>
    <w:rsid w:val="00571B8C"/>
    <w:rsid w:val="00571FC0"/>
    <w:rsid w:val="0057238D"/>
    <w:rsid w:val="0057252E"/>
    <w:rsid w:val="00572757"/>
    <w:rsid w:val="00572942"/>
    <w:rsid w:val="00572A6E"/>
    <w:rsid w:val="005730DB"/>
    <w:rsid w:val="00573251"/>
    <w:rsid w:val="005733A8"/>
    <w:rsid w:val="00573425"/>
    <w:rsid w:val="0057348F"/>
    <w:rsid w:val="0057364C"/>
    <w:rsid w:val="00573B5B"/>
    <w:rsid w:val="00573F55"/>
    <w:rsid w:val="00574ADB"/>
    <w:rsid w:val="0057540E"/>
    <w:rsid w:val="005757B6"/>
    <w:rsid w:val="00575BBA"/>
    <w:rsid w:val="005761C7"/>
    <w:rsid w:val="005767FF"/>
    <w:rsid w:val="0057698B"/>
    <w:rsid w:val="00576BE8"/>
    <w:rsid w:val="00576EB8"/>
    <w:rsid w:val="005775E0"/>
    <w:rsid w:val="0057776E"/>
    <w:rsid w:val="00577BF5"/>
    <w:rsid w:val="0058000F"/>
    <w:rsid w:val="00580557"/>
    <w:rsid w:val="0058074F"/>
    <w:rsid w:val="005808F3"/>
    <w:rsid w:val="00580A76"/>
    <w:rsid w:val="00580B22"/>
    <w:rsid w:val="00581042"/>
    <w:rsid w:val="00581558"/>
    <w:rsid w:val="00581703"/>
    <w:rsid w:val="00581A30"/>
    <w:rsid w:val="00581B15"/>
    <w:rsid w:val="00581B9C"/>
    <w:rsid w:val="00581E93"/>
    <w:rsid w:val="00581F49"/>
    <w:rsid w:val="005821DD"/>
    <w:rsid w:val="00582446"/>
    <w:rsid w:val="00582953"/>
    <w:rsid w:val="00582E42"/>
    <w:rsid w:val="005836D9"/>
    <w:rsid w:val="00583908"/>
    <w:rsid w:val="005842FB"/>
    <w:rsid w:val="00584523"/>
    <w:rsid w:val="0058455F"/>
    <w:rsid w:val="00584590"/>
    <w:rsid w:val="00584757"/>
    <w:rsid w:val="005847BC"/>
    <w:rsid w:val="00584E21"/>
    <w:rsid w:val="005856D5"/>
    <w:rsid w:val="0058608B"/>
    <w:rsid w:val="005863C1"/>
    <w:rsid w:val="0058654D"/>
    <w:rsid w:val="00586786"/>
    <w:rsid w:val="00586E1E"/>
    <w:rsid w:val="00587147"/>
    <w:rsid w:val="0058763B"/>
    <w:rsid w:val="00587729"/>
    <w:rsid w:val="00587886"/>
    <w:rsid w:val="00587A66"/>
    <w:rsid w:val="00590147"/>
    <w:rsid w:val="0059095C"/>
    <w:rsid w:val="00590BD1"/>
    <w:rsid w:val="00590D26"/>
    <w:rsid w:val="00591276"/>
    <w:rsid w:val="00591490"/>
    <w:rsid w:val="0059151A"/>
    <w:rsid w:val="005916C9"/>
    <w:rsid w:val="00591ABD"/>
    <w:rsid w:val="00591C7E"/>
    <w:rsid w:val="00591DCF"/>
    <w:rsid w:val="005929B4"/>
    <w:rsid w:val="00592A3C"/>
    <w:rsid w:val="00592C26"/>
    <w:rsid w:val="0059367F"/>
    <w:rsid w:val="00593696"/>
    <w:rsid w:val="00593720"/>
    <w:rsid w:val="00593909"/>
    <w:rsid w:val="00593A71"/>
    <w:rsid w:val="00593E96"/>
    <w:rsid w:val="00593FA1"/>
    <w:rsid w:val="005941E1"/>
    <w:rsid w:val="005943E2"/>
    <w:rsid w:val="005946A0"/>
    <w:rsid w:val="00594769"/>
    <w:rsid w:val="00594B8A"/>
    <w:rsid w:val="00595009"/>
    <w:rsid w:val="005954B7"/>
    <w:rsid w:val="00595A05"/>
    <w:rsid w:val="00595BA7"/>
    <w:rsid w:val="00595F17"/>
    <w:rsid w:val="00595F3D"/>
    <w:rsid w:val="00595F7A"/>
    <w:rsid w:val="00595F89"/>
    <w:rsid w:val="00596873"/>
    <w:rsid w:val="00596999"/>
    <w:rsid w:val="00596BB3"/>
    <w:rsid w:val="00596BD4"/>
    <w:rsid w:val="00596FA8"/>
    <w:rsid w:val="0059705A"/>
    <w:rsid w:val="005970CF"/>
    <w:rsid w:val="005971A7"/>
    <w:rsid w:val="00597310"/>
    <w:rsid w:val="005977AB"/>
    <w:rsid w:val="005A01C5"/>
    <w:rsid w:val="005A0201"/>
    <w:rsid w:val="005A0532"/>
    <w:rsid w:val="005A05AA"/>
    <w:rsid w:val="005A07E7"/>
    <w:rsid w:val="005A0A57"/>
    <w:rsid w:val="005A0B9F"/>
    <w:rsid w:val="005A0DB3"/>
    <w:rsid w:val="005A0DBB"/>
    <w:rsid w:val="005A0EBD"/>
    <w:rsid w:val="005A1270"/>
    <w:rsid w:val="005A1295"/>
    <w:rsid w:val="005A12EB"/>
    <w:rsid w:val="005A1A24"/>
    <w:rsid w:val="005A1FBF"/>
    <w:rsid w:val="005A2081"/>
    <w:rsid w:val="005A2602"/>
    <w:rsid w:val="005A29B1"/>
    <w:rsid w:val="005A2BD7"/>
    <w:rsid w:val="005A2EBF"/>
    <w:rsid w:val="005A380B"/>
    <w:rsid w:val="005A3883"/>
    <w:rsid w:val="005A46E2"/>
    <w:rsid w:val="005A4890"/>
    <w:rsid w:val="005A49D4"/>
    <w:rsid w:val="005A4D7C"/>
    <w:rsid w:val="005A51C9"/>
    <w:rsid w:val="005A5BEE"/>
    <w:rsid w:val="005A5DC0"/>
    <w:rsid w:val="005A6B6D"/>
    <w:rsid w:val="005A6F0E"/>
    <w:rsid w:val="005A6F57"/>
    <w:rsid w:val="005A7079"/>
    <w:rsid w:val="005A7235"/>
    <w:rsid w:val="005A74D6"/>
    <w:rsid w:val="005A795B"/>
    <w:rsid w:val="005A7A1A"/>
    <w:rsid w:val="005A7AEB"/>
    <w:rsid w:val="005A7BAF"/>
    <w:rsid w:val="005B0652"/>
    <w:rsid w:val="005B09EB"/>
    <w:rsid w:val="005B0B6B"/>
    <w:rsid w:val="005B1213"/>
    <w:rsid w:val="005B1329"/>
    <w:rsid w:val="005B1512"/>
    <w:rsid w:val="005B16D8"/>
    <w:rsid w:val="005B1B55"/>
    <w:rsid w:val="005B1DBD"/>
    <w:rsid w:val="005B1FBB"/>
    <w:rsid w:val="005B2769"/>
    <w:rsid w:val="005B284A"/>
    <w:rsid w:val="005B2F7B"/>
    <w:rsid w:val="005B3EBD"/>
    <w:rsid w:val="005B48E8"/>
    <w:rsid w:val="005B4D42"/>
    <w:rsid w:val="005B56D9"/>
    <w:rsid w:val="005B5BA3"/>
    <w:rsid w:val="005B5E62"/>
    <w:rsid w:val="005B611D"/>
    <w:rsid w:val="005B62DC"/>
    <w:rsid w:val="005B6524"/>
    <w:rsid w:val="005B6B27"/>
    <w:rsid w:val="005B6D17"/>
    <w:rsid w:val="005B727B"/>
    <w:rsid w:val="005B7341"/>
    <w:rsid w:val="005B742F"/>
    <w:rsid w:val="005B74F9"/>
    <w:rsid w:val="005B7555"/>
    <w:rsid w:val="005B778C"/>
    <w:rsid w:val="005B7BD6"/>
    <w:rsid w:val="005B7E57"/>
    <w:rsid w:val="005B7E97"/>
    <w:rsid w:val="005B7F46"/>
    <w:rsid w:val="005C0993"/>
    <w:rsid w:val="005C09A7"/>
    <w:rsid w:val="005C0DEB"/>
    <w:rsid w:val="005C102D"/>
    <w:rsid w:val="005C132C"/>
    <w:rsid w:val="005C16C3"/>
    <w:rsid w:val="005C17FB"/>
    <w:rsid w:val="005C1833"/>
    <w:rsid w:val="005C1838"/>
    <w:rsid w:val="005C18C2"/>
    <w:rsid w:val="005C1A9C"/>
    <w:rsid w:val="005C1C20"/>
    <w:rsid w:val="005C1D93"/>
    <w:rsid w:val="005C1DF1"/>
    <w:rsid w:val="005C1E85"/>
    <w:rsid w:val="005C2063"/>
    <w:rsid w:val="005C244F"/>
    <w:rsid w:val="005C2767"/>
    <w:rsid w:val="005C28D5"/>
    <w:rsid w:val="005C2922"/>
    <w:rsid w:val="005C292F"/>
    <w:rsid w:val="005C2C27"/>
    <w:rsid w:val="005C2CD8"/>
    <w:rsid w:val="005C2EDE"/>
    <w:rsid w:val="005C2F60"/>
    <w:rsid w:val="005C2F77"/>
    <w:rsid w:val="005C323D"/>
    <w:rsid w:val="005C326B"/>
    <w:rsid w:val="005C3380"/>
    <w:rsid w:val="005C356B"/>
    <w:rsid w:val="005C3772"/>
    <w:rsid w:val="005C37A9"/>
    <w:rsid w:val="005C39C3"/>
    <w:rsid w:val="005C3C7B"/>
    <w:rsid w:val="005C3E93"/>
    <w:rsid w:val="005C4229"/>
    <w:rsid w:val="005C4580"/>
    <w:rsid w:val="005C4FC7"/>
    <w:rsid w:val="005C5065"/>
    <w:rsid w:val="005C52F3"/>
    <w:rsid w:val="005C55ED"/>
    <w:rsid w:val="005C564C"/>
    <w:rsid w:val="005C5983"/>
    <w:rsid w:val="005C59FD"/>
    <w:rsid w:val="005C5E13"/>
    <w:rsid w:val="005C6234"/>
    <w:rsid w:val="005C6605"/>
    <w:rsid w:val="005C6890"/>
    <w:rsid w:val="005C6DA5"/>
    <w:rsid w:val="005C6DBA"/>
    <w:rsid w:val="005C71A0"/>
    <w:rsid w:val="005C751C"/>
    <w:rsid w:val="005C7802"/>
    <w:rsid w:val="005C7B50"/>
    <w:rsid w:val="005C7E73"/>
    <w:rsid w:val="005C7F03"/>
    <w:rsid w:val="005D029E"/>
    <w:rsid w:val="005D0427"/>
    <w:rsid w:val="005D0776"/>
    <w:rsid w:val="005D07AE"/>
    <w:rsid w:val="005D0B55"/>
    <w:rsid w:val="005D0C83"/>
    <w:rsid w:val="005D113B"/>
    <w:rsid w:val="005D154C"/>
    <w:rsid w:val="005D1732"/>
    <w:rsid w:val="005D1BAC"/>
    <w:rsid w:val="005D1EC3"/>
    <w:rsid w:val="005D2CAD"/>
    <w:rsid w:val="005D2D9A"/>
    <w:rsid w:val="005D3827"/>
    <w:rsid w:val="005D3A6E"/>
    <w:rsid w:val="005D3B21"/>
    <w:rsid w:val="005D3F7E"/>
    <w:rsid w:val="005D4019"/>
    <w:rsid w:val="005D41DC"/>
    <w:rsid w:val="005D422C"/>
    <w:rsid w:val="005D43C3"/>
    <w:rsid w:val="005D460F"/>
    <w:rsid w:val="005D4638"/>
    <w:rsid w:val="005D4D7D"/>
    <w:rsid w:val="005D4DC5"/>
    <w:rsid w:val="005D5C22"/>
    <w:rsid w:val="005D5E6C"/>
    <w:rsid w:val="005D63A9"/>
    <w:rsid w:val="005D65D5"/>
    <w:rsid w:val="005D6BAD"/>
    <w:rsid w:val="005D6C56"/>
    <w:rsid w:val="005D6D46"/>
    <w:rsid w:val="005D6F49"/>
    <w:rsid w:val="005D79D5"/>
    <w:rsid w:val="005D7AAE"/>
    <w:rsid w:val="005D7E8A"/>
    <w:rsid w:val="005D7F99"/>
    <w:rsid w:val="005E06FA"/>
    <w:rsid w:val="005E0CF4"/>
    <w:rsid w:val="005E0DA8"/>
    <w:rsid w:val="005E0FC7"/>
    <w:rsid w:val="005E1052"/>
    <w:rsid w:val="005E11A5"/>
    <w:rsid w:val="005E1245"/>
    <w:rsid w:val="005E1292"/>
    <w:rsid w:val="005E13D4"/>
    <w:rsid w:val="005E1435"/>
    <w:rsid w:val="005E1E4C"/>
    <w:rsid w:val="005E2049"/>
    <w:rsid w:val="005E21F3"/>
    <w:rsid w:val="005E235C"/>
    <w:rsid w:val="005E3078"/>
    <w:rsid w:val="005E34C0"/>
    <w:rsid w:val="005E3D71"/>
    <w:rsid w:val="005E4317"/>
    <w:rsid w:val="005E4363"/>
    <w:rsid w:val="005E44F1"/>
    <w:rsid w:val="005E49CA"/>
    <w:rsid w:val="005E4EF3"/>
    <w:rsid w:val="005E5427"/>
    <w:rsid w:val="005E5428"/>
    <w:rsid w:val="005E55A9"/>
    <w:rsid w:val="005E5A7C"/>
    <w:rsid w:val="005E5C33"/>
    <w:rsid w:val="005E5F53"/>
    <w:rsid w:val="005E6311"/>
    <w:rsid w:val="005E65D9"/>
    <w:rsid w:val="005E6976"/>
    <w:rsid w:val="005E6E12"/>
    <w:rsid w:val="005E70CD"/>
    <w:rsid w:val="005E70F9"/>
    <w:rsid w:val="005E74B3"/>
    <w:rsid w:val="005E74EC"/>
    <w:rsid w:val="005E7505"/>
    <w:rsid w:val="005E7AB6"/>
    <w:rsid w:val="005E7B1E"/>
    <w:rsid w:val="005E7CBC"/>
    <w:rsid w:val="005F0A62"/>
    <w:rsid w:val="005F0FA8"/>
    <w:rsid w:val="005F145C"/>
    <w:rsid w:val="005F1C5D"/>
    <w:rsid w:val="005F1C7E"/>
    <w:rsid w:val="005F1EBE"/>
    <w:rsid w:val="005F211B"/>
    <w:rsid w:val="005F222B"/>
    <w:rsid w:val="005F222D"/>
    <w:rsid w:val="005F2317"/>
    <w:rsid w:val="005F2550"/>
    <w:rsid w:val="005F297E"/>
    <w:rsid w:val="005F2B2D"/>
    <w:rsid w:val="005F2D9C"/>
    <w:rsid w:val="005F2FD5"/>
    <w:rsid w:val="005F3138"/>
    <w:rsid w:val="005F32D9"/>
    <w:rsid w:val="005F340A"/>
    <w:rsid w:val="005F3AE8"/>
    <w:rsid w:val="005F3B09"/>
    <w:rsid w:val="005F3B47"/>
    <w:rsid w:val="005F47C1"/>
    <w:rsid w:val="005F4926"/>
    <w:rsid w:val="005F4B6F"/>
    <w:rsid w:val="005F4F2A"/>
    <w:rsid w:val="005F4FFE"/>
    <w:rsid w:val="005F5009"/>
    <w:rsid w:val="005F5054"/>
    <w:rsid w:val="005F530F"/>
    <w:rsid w:val="005F5C58"/>
    <w:rsid w:val="005F5E9C"/>
    <w:rsid w:val="005F6177"/>
    <w:rsid w:val="005F65D9"/>
    <w:rsid w:val="005F6768"/>
    <w:rsid w:val="005F69CF"/>
    <w:rsid w:val="005F6A44"/>
    <w:rsid w:val="005F6E39"/>
    <w:rsid w:val="005F6E58"/>
    <w:rsid w:val="005F6F57"/>
    <w:rsid w:val="005F6FF2"/>
    <w:rsid w:val="005F704C"/>
    <w:rsid w:val="005F71EB"/>
    <w:rsid w:val="005F74FE"/>
    <w:rsid w:val="005F7833"/>
    <w:rsid w:val="005F78D5"/>
    <w:rsid w:val="005F7A22"/>
    <w:rsid w:val="005F7A30"/>
    <w:rsid w:val="005F7B9D"/>
    <w:rsid w:val="005F7F82"/>
    <w:rsid w:val="00600205"/>
    <w:rsid w:val="006003FB"/>
    <w:rsid w:val="00600501"/>
    <w:rsid w:val="006006CD"/>
    <w:rsid w:val="00600B0C"/>
    <w:rsid w:val="00601078"/>
    <w:rsid w:val="00601246"/>
    <w:rsid w:val="0060158B"/>
    <w:rsid w:val="006021C2"/>
    <w:rsid w:val="00602268"/>
    <w:rsid w:val="00602543"/>
    <w:rsid w:val="0060254C"/>
    <w:rsid w:val="0060270B"/>
    <w:rsid w:val="00602A63"/>
    <w:rsid w:val="00602DFA"/>
    <w:rsid w:val="00603035"/>
    <w:rsid w:val="006031D1"/>
    <w:rsid w:val="00603300"/>
    <w:rsid w:val="006033BF"/>
    <w:rsid w:val="00603702"/>
    <w:rsid w:val="00603B4B"/>
    <w:rsid w:val="00603DF3"/>
    <w:rsid w:val="00603F20"/>
    <w:rsid w:val="00603F94"/>
    <w:rsid w:val="006042BD"/>
    <w:rsid w:val="00604A11"/>
    <w:rsid w:val="00604F37"/>
    <w:rsid w:val="0060508A"/>
    <w:rsid w:val="006055AF"/>
    <w:rsid w:val="00605942"/>
    <w:rsid w:val="00605C9F"/>
    <w:rsid w:val="00605D48"/>
    <w:rsid w:val="00605E5F"/>
    <w:rsid w:val="00606562"/>
    <w:rsid w:val="0060671D"/>
    <w:rsid w:val="006067BF"/>
    <w:rsid w:val="00606814"/>
    <w:rsid w:val="006068E8"/>
    <w:rsid w:val="00606ADB"/>
    <w:rsid w:val="00606E72"/>
    <w:rsid w:val="0060729F"/>
    <w:rsid w:val="006072DE"/>
    <w:rsid w:val="006072FD"/>
    <w:rsid w:val="00607539"/>
    <w:rsid w:val="006075F4"/>
    <w:rsid w:val="006078A8"/>
    <w:rsid w:val="00607BAD"/>
    <w:rsid w:val="00607EC7"/>
    <w:rsid w:val="0061048A"/>
    <w:rsid w:val="006104F8"/>
    <w:rsid w:val="00610500"/>
    <w:rsid w:val="006106EB"/>
    <w:rsid w:val="00610AE7"/>
    <w:rsid w:val="00610BEE"/>
    <w:rsid w:val="0061104B"/>
    <w:rsid w:val="00611178"/>
    <w:rsid w:val="006113DF"/>
    <w:rsid w:val="0061148D"/>
    <w:rsid w:val="006118A0"/>
    <w:rsid w:val="00611AD9"/>
    <w:rsid w:val="00611C10"/>
    <w:rsid w:val="00611D01"/>
    <w:rsid w:val="00612249"/>
    <w:rsid w:val="006124B3"/>
    <w:rsid w:val="006125AA"/>
    <w:rsid w:val="00612611"/>
    <w:rsid w:val="0061279A"/>
    <w:rsid w:val="0061282F"/>
    <w:rsid w:val="00613009"/>
    <w:rsid w:val="0061324F"/>
    <w:rsid w:val="006132EA"/>
    <w:rsid w:val="00613680"/>
    <w:rsid w:val="00613F9B"/>
    <w:rsid w:val="0061401C"/>
    <w:rsid w:val="006141C9"/>
    <w:rsid w:val="0061420B"/>
    <w:rsid w:val="00614931"/>
    <w:rsid w:val="00614B59"/>
    <w:rsid w:val="00614D33"/>
    <w:rsid w:val="0061537D"/>
    <w:rsid w:val="0061537F"/>
    <w:rsid w:val="00615DEA"/>
    <w:rsid w:val="0061640F"/>
    <w:rsid w:val="00616452"/>
    <w:rsid w:val="006167F6"/>
    <w:rsid w:val="0061693D"/>
    <w:rsid w:val="00616A60"/>
    <w:rsid w:val="00616EE6"/>
    <w:rsid w:val="006171FB"/>
    <w:rsid w:val="00617211"/>
    <w:rsid w:val="0061784B"/>
    <w:rsid w:val="00617A2A"/>
    <w:rsid w:val="006207F4"/>
    <w:rsid w:val="00620C67"/>
    <w:rsid w:val="00621616"/>
    <w:rsid w:val="00621646"/>
    <w:rsid w:val="00621803"/>
    <w:rsid w:val="006218B0"/>
    <w:rsid w:val="00621ED7"/>
    <w:rsid w:val="006220F1"/>
    <w:rsid w:val="006232D5"/>
    <w:rsid w:val="00623B02"/>
    <w:rsid w:val="00623C68"/>
    <w:rsid w:val="00623CDE"/>
    <w:rsid w:val="00623E46"/>
    <w:rsid w:val="00624604"/>
    <w:rsid w:val="0062467E"/>
    <w:rsid w:val="00624D2C"/>
    <w:rsid w:val="00624EF1"/>
    <w:rsid w:val="00625145"/>
    <w:rsid w:val="0062552C"/>
    <w:rsid w:val="00625C94"/>
    <w:rsid w:val="00626487"/>
    <w:rsid w:val="006265E8"/>
    <w:rsid w:val="00626A8A"/>
    <w:rsid w:val="00626D88"/>
    <w:rsid w:val="00627402"/>
    <w:rsid w:val="006274EA"/>
    <w:rsid w:val="00627C51"/>
    <w:rsid w:val="00630480"/>
    <w:rsid w:val="0063058E"/>
    <w:rsid w:val="006305F8"/>
    <w:rsid w:val="00631375"/>
    <w:rsid w:val="00631DA7"/>
    <w:rsid w:val="0063213B"/>
    <w:rsid w:val="006324D0"/>
    <w:rsid w:val="006327B0"/>
    <w:rsid w:val="00632B9C"/>
    <w:rsid w:val="00632C36"/>
    <w:rsid w:val="00632F18"/>
    <w:rsid w:val="00632FB1"/>
    <w:rsid w:val="006332D7"/>
    <w:rsid w:val="0063333D"/>
    <w:rsid w:val="006336FE"/>
    <w:rsid w:val="006337B6"/>
    <w:rsid w:val="00633A57"/>
    <w:rsid w:val="00634225"/>
    <w:rsid w:val="00634B7E"/>
    <w:rsid w:val="00635003"/>
    <w:rsid w:val="006351CE"/>
    <w:rsid w:val="006352FD"/>
    <w:rsid w:val="00635524"/>
    <w:rsid w:val="00635B15"/>
    <w:rsid w:val="006362E1"/>
    <w:rsid w:val="00636475"/>
    <w:rsid w:val="00636544"/>
    <w:rsid w:val="006367DA"/>
    <w:rsid w:val="00636F8C"/>
    <w:rsid w:val="00636FAD"/>
    <w:rsid w:val="006370E1"/>
    <w:rsid w:val="006375B2"/>
    <w:rsid w:val="006375BB"/>
    <w:rsid w:val="006379DE"/>
    <w:rsid w:val="00637EC7"/>
    <w:rsid w:val="006401DD"/>
    <w:rsid w:val="00640396"/>
    <w:rsid w:val="006404A7"/>
    <w:rsid w:val="00640739"/>
    <w:rsid w:val="006407FE"/>
    <w:rsid w:val="006409EE"/>
    <w:rsid w:val="00640BF7"/>
    <w:rsid w:val="00640C7D"/>
    <w:rsid w:val="00640CCD"/>
    <w:rsid w:val="00640E7E"/>
    <w:rsid w:val="00640F62"/>
    <w:rsid w:val="00640FFF"/>
    <w:rsid w:val="006416A4"/>
    <w:rsid w:val="00641761"/>
    <w:rsid w:val="0064217D"/>
    <w:rsid w:val="006421D9"/>
    <w:rsid w:val="006424FE"/>
    <w:rsid w:val="0064253B"/>
    <w:rsid w:val="006425FC"/>
    <w:rsid w:val="00642631"/>
    <w:rsid w:val="00642B9A"/>
    <w:rsid w:val="00642C3C"/>
    <w:rsid w:val="00642DF5"/>
    <w:rsid w:val="0064304A"/>
    <w:rsid w:val="0064329C"/>
    <w:rsid w:val="0064380B"/>
    <w:rsid w:val="00643A4F"/>
    <w:rsid w:val="00643FF5"/>
    <w:rsid w:val="00644004"/>
    <w:rsid w:val="006441FD"/>
    <w:rsid w:val="006443C4"/>
    <w:rsid w:val="00644A20"/>
    <w:rsid w:val="00644E43"/>
    <w:rsid w:val="00644E5A"/>
    <w:rsid w:val="00644F2C"/>
    <w:rsid w:val="00644FFC"/>
    <w:rsid w:val="00645141"/>
    <w:rsid w:val="00645490"/>
    <w:rsid w:val="00645805"/>
    <w:rsid w:val="00645950"/>
    <w:rsid w:val="00645974"/>
    <w:rsid w:val="00645AEE"/>
    <w:rsid w:val="00646428"/>
    <w:rsid w:val="00646B93"/>
    <w:rsid w:val="0064707F"/>
    <w:rsid w:val="006471E8"/>
    <w:rsid w:val="00647999"/>
    <w:rsid w:val="00647BA6"/>
    <w:rsid w:val="00647E90"/>
    <w:rsid w:val="00647FA3"/>
    <w:rsid w:val="006500F7"/>
    <w:rsid w:val="006504F8"/>
    <w:rsid w:val="0065069A"/>
    <w:rsid w:val="006506F2"/>
    <w:rsid w:val="00650769"/>
    <w:rsid w:val="00650BA2"/>
    <w:rsid w:val="00650DF8"/>
    <w:rsid w:val="00650F29"/>
    <w:rsid w:val="006513D9"/>
    <w:rsid w:val="006516B7"/>
    <w:rsid w:val="006518E4"/>
    <w:rsid w:val="00651F9D"/>
    <w:rsid w:val="00651FB8"/>
    <w:rsid w:val="0065282B"/>
    <w:rsid w:val="0065294C"/>
    <w:rsid w:val="00652BA0"/>
    <w:rsid w:val="00652DF6"/>
    <w:rsid w:val="00652FCA"/>
    <w:rsid w:val="00653045"/>
    <w:rsid w:val="0065395C"/>
    <w:rsid w:val="00653A25"/>
    <w:rsid w:val="00653D93"/>
    <w:rsid w:val="00653F75"/>
    <w:rsid w:val="00653FDA"/>
    <w:rsid w:val="006540EF"/>
    <w:rsid w:val="006541A0"/>
    <w:rsid w:val="00654BB5"/>
    <w:rsid w:val="00654D61"/>
    <w:rsid w:val="00654E99"/>
    <w:rsid w:val="00654F79"/>
    <w:rsid w:val="00655104"/>
    <w:rsid w:val="0065548F"/>
    <w:rsid w:val="0065558B"/>
    <w:rsid w:val="00655633"/>
    <w:rsid w:val="00655797"/>
    <w:rsid w:val="006559BB"/>
    <w:rsid w:val="006559CB"/>
    <w:rsid w:val="00655A93"/>
    <w:rsid w:val="00655D93"/>
    <w:rsid w:val="00655E86"/>
    <w:rsid w:val="00656614"/>
    <w:rsid w:val="00656C4D"/>
    <w:rsid w:val="006577CD"/>
    <w:rsid w:val="006578A6"/>
    <w:rsid w:val="00657CCC"/>
    <w:rsid w:val="00660162"/>
    <w:rsid w:val="0066036D"/>
    <w:rsid w:val="006604FA"/>
    <w:rsid w:val="00660746"/>
    <w:rsid w:val="00660879"/>
    <w:rsid w:val="006610A3"/>
    <w:rsid w:val="00661548"/>
    <w:rsid w:val="00661639"/>
    <w:rsid w:val="0066174D"/>
    <w:rsid w:val="006617AA"/>
    <w:rsid w:val="006617EE"/>
    <w:rsid w:val="00661E36"/>
    <w:rsid w:val="00661F03"/>
    <w:rsid w:val="00662300"/>
    <w:rsid w:val="00662334"/>
    <w:rsid w:val="006623C3"/>
    <w:rsid w:val="00662498"/>
    <w:rsid w:val="00662800"/>
    <w:rsid w:val="006631D3"/>
    <w:rsid w:val="00663306"/>
    <w:rsid w:val="006637B0"/>
    <w:rsid w:val="00663C1C"/>
    <w:rsid w:val="00663D0F"/>
    <w:rsid w:val="00664525"/>
    <w:rsid w:val="0066465B"/>
    <w:rsid w:val="00664C81"/>
    <w:rsid w:val="006651FF"/>
    <w:rsid w:val="0066521A"/>
    <w:rsid w:val="0066540C"/>
    <w:rsid w:val="0066581A"/>
    <w:rsid w:val="00665E59"/>
    <w:rsid w:val="00665EAE"/>
    <w:rsid w:val="006661EA"/>
    <w:rsid w:val="00666275"/>
    <w:rsid w:val="0066634D"/>
    <w:rsid w:val="006663EB"/>
    <w:rsid w:val="00666836"/>
    <w:rsid w:val="00666909"/>
    <w:rsid w:val="00666EBC"/>
    <w:rsid w:val="00667034"/>
    <w:rsid w:val="00667189"/>
    <w:rsid w:val="00667199"/>
    <w:rsid w:val="006671C5"/>
    <w:rsid w:val="0066749E"/>
    <w:rsid w:val="00667CCB"/>
    <w:rsid w:val="00667EFD"/>
    <w:rsid w:val="00670475"/>
    <w:rsid w:val="00670B8C"/>
    <w:rsid w:val="00670C4A"/>
    <w:rsid w:val="006712BB"/>
    <w:rsid w:val="00671F3E"/>
    <w:rsid w:val="00672482"/>
    <w:rsid w:val="00672A18"/>
    <w:rsid w:val="00672B94"/>
    <w:rsid w:val="006733DD"/>
    <w:rsid w:val="006735D0"/>
    <w:rsid w:val="006738F8"/>
    <w:rsid w:val="006739E9"/>
    <w:rsid w:val="00673BC5"/>
    <w:rsid w:val="00673F94"/>
    <w:rsid w:val="00674950"/>
    <w:rsid w:val="00674AF5"/>
    <w:rsid w:val="00674D52"/>
    <w:rsid w:val="00674F93"/>
    <w:rsid w:val="0067546F"/>
    <w:rsid w:val="00675A94"/>
    <w:rsid w:val="0067670C"/>
    <w:rsid w:val="00676AF1"/>
    <w:rsid w:val="00676C51"/>
    <w:rsid w:val="00676CE4"/>
    <w:rsid w:val="00676EC2"/>
    <w:rsid w:val="00676FA5"/>
    <w:rsid w:val="006770C9"/>
    <w:rsid w:val="006771A4"/>
    <w:rsid w:val="006771AD"/>
    <w:rsid w:val="006774A8"/>
    <w:rsid w:val="00677572"/>
    <w:rsid w:val="00680224"/>
    <w:rsid w:val="00680A00"/>
    <w:rsid w:val="00681229"/>
    <w:rsid w:val="0068185E"/>
    <w:rsid w:val="00681BE5"/>
    <w:rsid w:val="00681D04"/>
    <w:rsid w:val="00681E30"/>
    <w:rsid w:val="0068271A"/>
    <w:rsid w:val="00683011"/>
    <w:rsid w:val="0068342B"/>
    <w:rsid w:val="00683709"/>
    <w:rsid w:val="0068379B"/>
    <w:rsid w:val="006839C2"/>
    <w:rsid w:val="00683D98"/>
    <w:rsid w:val="00683D99"/>
    <w:rsid w:val="00684079"/>
    <w:rsid w:val="006841A9"/>
    <w:rsid w:val="00684229"/>
    <w:rsid w:val="0068465F"/>
    <w:rsid w:val="0068629B"/>
    <w:rsid w:val="0068655E"/>
    <w:rsid w:val="00686C12"/>
    <w:rsid w:val="00686C3B"/>
    <w:rsid w:val="00686D75"/>
    <w:rsid w:val="0068736A"/>
    <w:rsid w:val="00687610"/>
    <w:rsid w:val="00687D17"/>
    <w:rsid w:val="00690024"/>
    <w:rsid w:val="0069017D"/>
    <w:rsid w:val="006901C6"/>
    <w:rsid w:val="006903A4"/>
    <w:rsid w:val="00690659"/>
    <w:rsid w:val="00690883"/>
    <w:rsid w:val="00690CAA"/>
    <w:rsid w:val="00690E5A"/>
    <w:rsid w:val="00690EFB"/>
    <w:rsid w:val="0069106A"/>
    <w:rsid w:val="006911F9"/>
    <w:rsid w:val="006912CB"/>
    <w:rsid w:val="0069137B"/>
    <w:rsid w:val="006913EC"/>
    <w:rsid w:val="006914B7"/>
    <w:rsid w:val="00691742"/>
    <w:rsid w:val="00691DEE"/>
    <w:rsid w:val="00691F8D"/>
    <w:rsid w:val="00692147"/>
    <w:rsid w:val="00692242"/>
    <w:rsid w:val="0069236E"/>
    <w:rsid w:val="00692704"/>
    <w:rsid w:val="00692E67"/>
    <w:rsid w:val="00693408"/>
    <w:rsid w:val="00693ACF"/>
    <w:rsid w:val="00693EE5"/>
    <w:rsid w:val="00693FBC"/>
    <w:rsid w:val="0069429A"/>
    <w:rsid w:val="006942F8"/>
    <w:rsid w:val="006944C5"/>
    <w:rsid w:val="00694A7D"/>
    <w:rsid w:val="00694A7E"/>
    <w:rsid w:val="00694B8D"/>
    <w:rsid w:val="0069561C"/>
    <w:rsid w:val="00695634"/>
    <w:rsid w:val="006958F9"/>
    <w:rsid w:val="00695A22"/>
    <w:rsid w:val="00695B97"/>
    <w:rsid w:val="00695C8A"/>
    <w:rsid w:val="00695F90"/>
    <w:rsid w:val="0069600D"/>
    <w:rsid w:val="00696143"/>
    <w:rsid w:val="006963AE"/>
    <w:rsid w:val="0069640F"/>
    <w:rsid w:val="0069691D"/>
    <w:rsid w:val="00696B07"/>
    <w:rsid w:val="00696FB8"/>
    <w:rsid w:val="00697053"/>
    <w:rsid w:val="00697353"/>
    <w:rsid w:val="00697A6B"/>
    <w:rsid w:val="006A00C4"/>
    <w:rsid w:val="006A00F1"/>
    <w:rsid w:val="006A01F4"/>
    <w:rsid w:val="006A066A"/>
    <w:rsid w:val="006A06CA"/>
    <w:rsid w:val="006A083E"/>
    <w:rsid w:val="006A0B0E"/>
    <w:rsid w:val="006A0EC8"/>
    <w:rsid w:val="006A0FFD"/>
    <w:rsid w:val="006A1170"/>
    <w:rsid w:val="006A14A3"/>
    <w:rsid w:val="006A14DA"/>
    <w:rsid w:val="006A159D"/>
    <w:rsid w:val="006A18BF"/>
    <w:rsid w:val="006A1F58"/>
    <w:rsid w:val="006A23A7"/>
    <w:rsid w:val="006A242E"/>
    <w:rsid w:val="006A24FB"/>
    <w:rsid w:val="006A26AB"/>
    <w:rsid w:val="006A2752"/>
    <w:rsid w:val="006A27C5"/>
    <w:rsid w:val="006A298D"/>
    <w:rsid w:val="006A2B97"/>
    <w:rsid w:val="006A2F80"/>
    <w:rsid w:val="006A3189"/>
    <w:rsid w:val="006A329A"/>
    <w:rsid w:val="006A3966"/>
    <w:rsid w:val="006A3FD6"/>
    <w:rsid w:val="006A4076"/>
    <w:rsid w:val="006A436F"/>
    <w:rsid w:val="006A4B38"/>
    <w:rsid w:val="006A4E5B"/>
    <w:rsid w:val="006A53D6"/>
    <w:rsid w:val="006A582E"/>
    <w:rsid w:val="006A59D8"/>
    <w:rsid w:val="006A5A45"/>
    <w:rsid w:val="006A5C13"/>
    <w:rsid w:val="006A608E"/>
    <w:rsid w:val="006A660E"/>
    <w:rsid w:val="006A69EC"/>
    <w:rsid w:val="006A6B7B"/>
    <w:rsid w:val="006A6CB3"/>
    <w:rsid w:val="006A7111"/>
    <w:rsid w:val="006A73D2"/>
    <w:rsid w:val="006A75E6"/>
    <w:rsid w:val="006A78F8"/>
    <w:rsid w:val="006A7991"/>
    <w:rsid w:val="006A7C26"/>
    <w:rsid w:val="006A7E27"/>
    <w:rsid w:val="006A7E9A"/>
    <w:rsid w:val="006B00B9"/>
    <w:rsid w:val="006B010E"/>
    <w:rsid w:val="006B011E"/>
    <w:rsid w:val="006B0210"/>
    <w:rsid w:val="006B050D"/>
    <w:rsid w:val="006B0714"/>
    <w:rsid w:val="006B091F"/>
    <w:rsid w:val="006B0CAF"/>
    <w:rsid w:val="006B0ED0"/>
    <w:rsid w:val="006B0EED"/>
    <w:rsid w:val="006B147E"/>
    <w:rsid w:val="006B190E"/>
    <w:rsid w:val="006B1A07"/>
    <w:rsid w:val="006B1A66"/>
    <w:rsid w:val="006B1DF6"/>
    <w:rsid w:val="006B1FDA"/>
    <w:rsid w:val="006B21D8"/>
    <w:rsid w:val="006B233F"/>
    <w:rsid w:val="006B275E"/>
    <w:rsid w:val="006B28EA"/>
    <w:rsid w:val="006B296C"/>
    <w:rsid w:val="006B298A"/>
    <w:rsid w:val="006B2DA3"/>
    <w:rsid w:val="006B2FBB"/>
    <w:rsid w:val="006B3036"/>
    <w:rsid w:val="006B309A"/>
    <w:rsid w:val="006B3189"/>
    <w:rsid w:val="006B376D"/>
    <w:rsid w:val="006B378A"/>
    <w:rsid w:val="006B3BD5"/>
    <w:rsid w:val="006B4185"/>
    <w:rsid w:val="006B4196"/>
    <w:rsid w:val="006B4224"/>
    <w:rsid w:val="006B4493"/>
    <w:rsid w:val="006B4569"/>
    <w:rsid w:val="006B4990"/>
    <w:rsid w:val="006B4B62"/>
    <w:rsid w:val="006B53DC"/>
    <w:rsid w:val="006B5423"/>
    <w:rsid w:val="006B5855"/>
    <w:rsid w:val="006B58CB"/>
    <w:rsid w:val="006B5AB2"/>
    <w:rsid w:val="006B5AD7"/>
    <w:rsid w:val="006B5C67"/>
    <w:rsid w:val="006B5F5B"/>
    <w:rsid w:val="006B6B5D"/>
    <w:rsid w:val="006B6C0D"/>
    <w:rsid w:val="006B702F"/>
    <w:rsid w:val="006B7825"/>
    <w:rsid w:val="006B7D68"/>
    <w:rsid w:val="006C033F"/>
    <w:rsid w:val="006C0D9C"/>
    <w:rsid w:val="006C0F54"/>
    <w:rsid w:val="006C1770"/>
    <w:rsid w:val="006C1818"/>
    <w:rsid w:val="006C1CCA"/>
    <w:rsid w:val="006C1F8B"/>
    <w:rsid w:val="006C1FF3"/>
    <w:rsid w:val="006C23E6"/>
    <w:rsid w:val="006C2721"/>
    <w:rsid w:val="006C2FDF"/>
    <w:rsid w:val="006C30AC"/>
    <w:rsid w:val="006C3234"/>
    <w:rsid w:val="006C323A"/>
    <w:rsid w:val="006C329B"/>
    <w:rsid w:val="006C3868"/>
    <w:rsid w:val="006C38FF"/>
    <w:rsid w:val="006C39EC"/>
    <w:rsid w:val="006C3E6E"/>
    <w:rsid w:val="006C3EEA"/>
    <w:rsid w:val="006C43A6"/>
    <w:rsid w:val="006C44DA"/>
    <w:rsid w:val="006C44EC"/>
    <w:rsid w:val="006C49F0"/>
    <w:rsid w:val="006C4A4A"/>
    <w:rsid w:val="006C5114"/>
    <w:rsid w:val="006C52AF"/>
    <w:rsid w:val="006C53EB"/>
    <w:rsid w:val="006C561F"/>
    <w:rsid w:val="006C57DC"/>
    <w:rsid w:val="006C589F"/>
    <w:rsid w:val="006C5944"/>
    <w:rsid w:val="006C5D29"/>
    <w:rsid w:val="006C62F6"/>
    <w:rsid w:val="006C650D"/>
    <w:rsid w:val="006C69A5"/>
    <w:rsid w:val="006C6A4D"/>
    <w:rsid w:val="006C6B01"/>
    <w:rsid w:val="006C6CF3"/>
    <w:rsid w:val="006C707A"/>
    <w:rsid w:val="006C72EC"/>
    <w:rsid w:val="006C7385"/>
    <w:rsid w:val="006C7740"/>
    <w:rsid w:val="006C7894"/>
    <w:rsid w:val="006D0389"/>
    <w:rsid w:val="006D0848"/>
    <w:rsid w:val="006D0BA5"/>
    <w:rsid w:val="006D0C15"/>
    <w:rsid w:val="006D0D8B"/>
    <w:rsid w:val="006D0FBF"/>
    <w:rsid w:val="006D10DC"/>
    <w:rsid w:val="006D1586"/>
    <w:rsid w:val="006D19C1"/>
    <w:rsid w:val="006D19DD"/>
    <w:rsid w:val="006D19F0"/>
    <w:rsid w:val="006D1B7A"/>
    <w:rsid w:val="006D1E72"/>
    <w:rsid w:val="006D1ED7"/>
    <w:rsid w:val="006D2827"/>
    <w:rsid w:val="006D2848"/>
    <w:rsid w:val="006D2B19"/>
    <w:rsid w:val="006D2EC9"/>
    <w:rsid w:val="006D328A"/>
    <w:rsid w:val="006D3A05"/>
    <w:rsid w:val="006D3B62"/>
    <w:rsid w:val="006D3FDF"/>
    <w:rsid w:val="006D424C"/>
    <w:rsid w:val="006D4527"/>
    <w:rsid w:val="006D4B05"/>
    <w:rsid w:val="006D4B85"/>
    <w:rsid w:val="006D4EB3"/>
    <w:rsid w:val="006D4EE5"/>
    <w:rsid w:val="006D4F86"/>
    <w:rsid w:val="006D5C6D"/>
    <w:rsid w:val="006D5F98"/>
    <w:rsid w:val="006D6665"/>
    <w:rsid w:val="006D6D14"/>
    <w:rsid w:val="006D7098"/>
    <w:rsid w:val="006D740E"/>
    <w:rsid w:val="006D772C"/>
    <w:rsid w:val="006D7C8A"/>
    <w:rsid w:val="006D7F72"/>
    <w:rsid w:val="006E00B7"/>
    <w:rsid w:val="006E04CB"/>
    <w:rsid w:val="006E0603"/>
    <w:rsid w:val="006E0CB5"/>
    <w:rsid w:val="006E0E5B"/>
    <w:rsid w:val="006E1248"/>
    <w:rsid w:val="006E1252"/>
    <w:rsid w:val="006E132F"/>
    <w:rsid w:val="006E160B"/>
    <w:rsid w:val="006E173B"/>
    <w:rsid w:val="006E177D"/>
    <w:rsid w:val="006E2419"/>
    <w:rsid w:val="006E2701"/>
    <w:rsid w:val="006E2C65"/>
    <w:rsid w:val="006E3023"/>
    <w:rsid w:val="006E3369"/>
    <w:rsid w:val="006E3D12"/>
    <w:rsid w:val="006E449C"/>
    <w:rsid w:val="006E4726"/>
    <w:rsid w:val="006E4E72"/>
    <w:rsid w:val="006E4EA3"/>
    <w:rsid w:val="006E4FCD"/>
    <w:rsid w:val="006E5012"/>
    <w:rsid w:val="006E50D0"/>
    <w:rsid w:val="006E549E"/>
    <w:rsid w:val="006E57E8"/>
    <w:rsid w:val="006E5B0B"/>
    <w:rsid w:val="006E5CBE"/>
    <w:rsid w:val="006E5D2A"/>
    <w:rsid w:val="006E6156"/>
    <w:rsid w:val="006E63F7"/>
    <w:rsid w:val="006E64FB"/>
    <w:rsid w:val="006E660F"/>
    <w:rsid w:val="006E663E"/>
    <w:rsid w:val="006E6655"/>
    <w:rsid w:val="006E6EDF"/>
    <w:rsid w:val="006E719A"/>
    <w:rsid w:val="006E77BB"/>
    <w:rsid w:val="006E7BA5"/>
    <w:rsid w:val="006E7CD2"/>
    <w:rsid w:val="006F0163"/>
    <w:rsid w:val="006F01E8"/>
    <w:rsid w:val="006F02D7"/>
    <w:rsid w:val="006F030A"/>
    <w:rsid w:val="006F06C6"/>
    <w:rsid w:val="006F07FA"/>
    <w:rsid w:val="006F0CD6"/>
    <w:rsid w:val="006F0EBB"/>
    <w:rsid w:val="006F13FB"/>
    <w:rsid w:val="006F1758"/>
    <w:rsid w:val="006F1E59"/>
    <w:rsid w:val="006F1E96"/>
    <w:rsid w:val="006F2133"/>
    <w:rsid w:val="006F21E3"/>
    <w:rsid w:val="006F240D"/>
    <w:rsid w:val="006F29F9"/>
    <w:rsid w:val="006F2C9D"/>
    <w:rsid w:val="006F2D24"/>
    <w:rsid w:val="006F37F7"/>
    <w:rsid w:val="006F38C3"/>
    <w:rsid w:val="006F3909"/>
    <w:rsid w:val="006F3C47"/>
    <w:rsid w:val="006F4036"/>
    <w:rsid w:val="006F410D"/>
    <w:rsid w:val="006F428E"/>
    <w:rsid w:val="006F452E"/>
    <w:rsid w:val="006F48E1"/>
    <w:rsid w:val="006F49A0"/>
    <w:rsid w:val="006F4A8C"/>
    <w:rsid w:val="006F5160"/>
    <w:rsid w:val="006F5374"/>
    <w:rsid w:val="006F5953"/>
    <w:rsid w:val="006F5B0C"/>
    <w:rsid w:val="006F60DF"/>
    <w:rsid w:val="006F60EB"/>
    <w:rsid w:val="006F68C1"/>
    <w:rsid w:val="006F6B60"/>
    <w:rsid w:val="006F6CE2"/>
    <w:rsid w:val="006F6E07"/>
    <w:rsid w:val="006F6E10"/>
    <w:rsid w:val="006F718B"/>
    <w:rsid w:val="006F71F2"/>
    <w:rsid w:val="006F7800"/>
    <w:rsid w:val="006F788E"/>
    <w:rsid w:val="007003A0"/>
    <w:rsid w:val="00700E9D"/>
    <w:rsid w:val="007010FE"/>
    <w:rsid w:val="007014F8"/>
    <w:rsid w:val="0070150D"/>
    <w:rsid w:val="0070151A"/>
    <w:rsid w:val="007016D2"/>
    <w:rsid w:val="007018D8"/>
    <w:rsid w:val="00701EC7"/>
    <w:rsid w:val="00702079"/>
    <w:rsid w:val="00702788"/>
    <w:rsid w:val="0070291B"/>
    <w:rsid w:val="007029E8"/>
    <w:rsid w:val="00702C89"/>
    <w:rsid w:val="00703107"/>
    <w:rsid w:val="00703138"/>
    <w:rsid w:val="00703277"/>
    <w:rsid w:val="00703319"/>
    <w:rsid w:val="0070356D"/>
    <w:rsid w:val="0070381A"/>
    <w:rsid w:val="00703981"/>
    <w:rsid w:val="00703D67"/>
    <w:rsid w:val="00703D7E"/>
    <w:rsid w:val="00703DE6"/>
    <w:rsid w:val="007041A7"/>
    <w:rsid w:val="0070462F"/>
    <w:rsid w:val="0070495F"/>
    <w:rsid w:val="00704B6E"/>
    <w:rsid w:val="00704F73"/>
    <w:rsid w:val="0070508D"/>
    <w:rsid w:val="0070524A"/>
    <w:rsid w:val="0070542E"/>
    <w:rsid w:val="00705605"/>
    <w:rsid w:val="00705A16"/>
    <w:rsid w:val="00706096"/>
    <w:rsid w:val="007060D4"/>
    <w:rsid w:val="0070624C"/>
    <w:rsid w:val="00706451"/>
    <w:rsid w:val="00706481"/>
    <w:rsid w:val="00706662"/>
    <w:rsid w:val="007069A8"/>
    <w:rsid w:val="0070744C"/>
    <w:rsid w:val="00707E0F"/>
    <w:rsid w:val="007100F9"/>
    <w:rsid w:val="007101CA"/>
    <w:rsid w:val="007103B9"/>
    <w:rsid w:val="0071068A"/>
    <w:rsid w:val="00710717"/>
    <w:rsid w:val="00710E19"/>
    <w:rsid w:val="00710E52"/>
    <w:rsid w:val="0071127F"/>
    <w:rsid w:val="00711327"/>
    <w:rsid w:val="0071154B"/>
    <w:rsid w:val="007116B6"/>
    <w:rsid w:val="0071174F"/>
    <w:rsid w:val="0071196A"/>
    <w:rsid w:val="00711C03"/>
    <w:rsid w:val="0071227C"/>
    <w:rsid w:val="007131CF"/>
    <w:rsid w:val="007131FB"/>
    <w:rsid w:val="007132CD"/>
    <w:rsid w:val="007133C0"/>
    <w:rsid w:val="007134E6"/>
    <w:rsid w:val="00713613"/>
    <w:rsid w:val="007137C6"/>
    <w:rsid w:val="007138FC"/>
    <w:rsid w:val="0071393D"/>
    <w:rsid w:val="00713E6A"/>
    <w:rsid w:val="00713E79"/>
    <w:rsid w:val="00714004"/>
    <w:rsid w:val="00714245"/>
    <w:rsid w:val="007147A2"/>
    <w:rsid w:val="00714B77"/>
    <w:rsid w:val="00714B90"/>
    <w:rsid w:val="00714BC7"/>
    <w:rsid w:val="00714C20"/>
    <w:rsid w:val="0071533A"/>
    <w:rsid w:val="0071533E"/>
    <w:rsid w:val="00715441"/>
    <w:rsid w:val="00715445"/>
    <w:rsid w:val="00715739"/>
    <w:rsid w:val="0071576C"/>
    <w:rsid w:val="00715C94"/>
    <w:rsid w:val="00715EA7"/>
    <w:rsid w:val="007161D8"/>
    <w:rsid w:val="00716460"/>
    <w:rsid w:val="00716A09"/>
    <w:rsid w:val="007170DB"/>
    <w:rsid w:val="007171F2"/>
    <w:rsid w:val="0071740A"/>
    <w:rsid w:val="007177F7"/>
    <w:rsid w:val="00717880"/>
    <w:rsid w:val="00717A70"/>
    <w:rsid w:val="00717CA8"/>
    <w:rsid w:val="007205E7"/>
    <w:rsid w:val="007209C4"/>
    <w:rsid w:val="00720B48"/>
    <w:rsid w:val="00720D99"/>
    <w:rsid w:val="00720F99"/>
    <w:rsid w:val="00721181"/>
    <w:rsid w:val="0072181E"/>
    <w:rsid w:val="007219AB"/>
    <w:rsid w:val="00721ACB"/>
    <w:rsid w:val="00721E9E"/>
    <w:rsid w:val="00721F50"/>
    <w:rsid w:val="00722062"/>
    <w:rsid w:val="007227AC"/>
    <w:rsid w:val="007227FE"/>
    <w:rsid w:val="0072290A"/>
    <w:rsid w:val="007233C3"/>
    <w:rsid w:val="00723C95"/>
    <w:rsid w:val="00723FFA"/>
    <w:rsid w:val="007240C6"/>
    <w:rsid w:val="007244E7"/>
    <w:rsid w:val="00724B9D"/>
    <w:rsid w:val="0072505F"/>
    <w:rsid w:val="00725128"/>
    <w:rsid w:val="00725241"/>
    <w:rsid w:val="007254F0"/>
    <w:rsid w:val="00725B00"/>
    <w:rsid w:val="00725E54"/>
    <w:rsid w:val="0072609C"/>
    <w:rsid w:val="0072680C"/>
    <w:rsid w:val="00726845"/>
    <w:rsid w:val="0072698B"/>
    <w:rsid w:val="00726A25"/>
    <w:rsid w:val="00726B3D"/>
    <w:rsid w:val="00726B9C"/>
    <w:rsid w:val="00726C64"/>
    <w:rsid w:val="00726FC6"/>
    <w:rsid w:val="0073055C"/>
    <w:rsid w:val="00730D12"/>
    <w:rsid w:val="007310B7"/>
    <w:rsid w:val="00731237"/>
    <w:rsid w:val="00731DEA"/>
    <w:rsid w:val="00731E26"/>
    <w:rsid w:val="0073207E"/>
    <w:rsid w:val="007321AD"/>
    <w:rsid w:val="00732664"/>
    <w:rsid w:val="00732BA7"/>
    <w:rsid w:val="007332A0"/>
    <w:rsid w:val="007333EA"/>
    <w:rsid w:val="00733535"/>
    <w:rsid w:val="00733601"/>
    <w:rsid w:val="00733699"/>
    <w:rsid w:val="00733A57"/>
    <w:rsid w:val="00733CA4"/>
    <w:rsid w:val="00733E17"/>
    <w:rsid w:val="00733F36"/>
    <w:rsid w:val="007340CE"/>
    <w:rsid w:val="00734781"/>
    <w:rsid w:val="00734801"/>
    <w:rsid w:val="0073492D"/>
    <w:rsid w:val="007349C6"/>
    <w:rsid w:val="007349FC"/>
    <w:rsid w:val="00734B6F"/>
    <w:rsid w:val="00734C7B"/>
    <w:rsid w:val="00735293"/>
    <w:rsid w:val="00735376"/>
    <w:rsid w:val="007354FE"/>
    <w:rsid w:val="0073579C"/>
    <w:rsid w:val="007363A4"/>
    <w:rsid w:val="007363EA"/>
    <w:rsid w:val="00736588"/>
    <w:rsid w:val="00736764"/>
    <w:rsid w:val="00736E06"/>
    <w:rsid w:val="00736E37"/>
    <w:rsid w:val="00737286"/>
    <w:rsid w:val="007373DB"/>
    <w:rsid w:val="007375F8"/>
    <w:rsid w:val="00737A1B"/>
    <w:rsid w:val="00737B40"/>
    <w:rsid w:val="00737F27"/>
    <w:rsid w:val="00737FD3"/>
    <w:rsid w:val="00740558"/>
    <w:rsid w:val="007407DB"/>
    <w:rsid w:val="0074085F"/>
    <w:rsid w:val="00740BFC"/>
    <w:rsid w:val="00740D87"/>
    <w:rsid w:val="00740F76"/>
    <w:rsid w:val="00741037"/>
    <w:rsid w:val="00741584"/>
    <w:rsid w:val="007418A7"/>
    <w:rsid w:val="0074198F"/>
    <w:rsid w:val="00741AFA"/>
    <w:rsid w:val="007422B3"/>
    <w:rsid w:val="007424BF"/>
    <w:rsid w:val="007426A4"/>
    <w:rsid w:val="007434BD"/>
    <w:rsid w:val="007435F1"/>
    <w:rsid w:val="00743DDD"/>
    <w:rsid w:val="00743E0C"/>
    <w:rsid w:val="00743E9F"/>
    <w:rsid w:val="00743FC1"/>
    <w:rsid w:val="0074415D"/>
    <w:rsid w:val="00744625"/>
    <w:rsid w:val="00744660"/>
    <w:rsid w:val="007446BB"/>
    <w:rsid w:val="0074508F"/>
    <w:rsid w:val="00745139"/>
    <w:rsid w:val="00745659"/>
    <w:rsid w:val="0074570D"/>
    <w:rsid w:val="00745882"/>
    <w:rsid w:val="00745A04"/>
    <w:rsid w:val="00745A0F"/>
    <w:rsid w:val="00745DFD"/>
    <w:rsid w:val="007460F3"/>
    <w:rsid w:val="00746197"/>
    <w:rsid w:val="007462BF"/>
    <w:rsid w:val="007465B5"/>
    <w:rsid w:val="00746842"/>
    <w:rsid w:val="0074689C"/>
    <w:rsid w:val="00746B3F"/>
    <w:rsid w:val="00746C95"/>
    <w:rsid w:val="00747117"/>
    <w:rsid w:val="007475C3"/>
    <w:rsid w:val="00747973"/>
    <w:rsid w:val="007479C2"/>
    <w:rsid w:val="00747B0D"/>
    <w:rsid w:val="007503B0"/>
    <w:rsid w:val="00750587"/>
    <w:rsid w:val="00750712"/>
    <w:rsid w:val="00750872"/>
    <w:rsid w:val="00750F95"/>
    <w:rsid w:val="007511BA"/>
    <w:rsid w:val="00751452"/>
    <w:rsid w:val="00751C58"/>
    <w:rsid w:val="00751CFF"/>
    <w:rsid w:val="00751D06"/>
    <w:rsid w:val="00751D74"/>
    <w:rsid w:val="007521A5"/>
    <w:rsid w:val="00752243"/>
    <w:rsid w:val="007531BA"/>
    <w:rsid w:val="007534CB"/>
    <w:rsid w:val="00753959"/>
    <w:rsid w:val="00753DD6"/>
    <w:rsid w:val="007542AF"/>
    <w:rsid w:val="0075490C"/>
    <w:rsid w:val="00754A4A"/>
    <w:rsid w:val="007556F0"/>
    <w:rsid w:val="00755A7A"/>
    <w:rsid w:val="007567A8"/>
    <w:rsid w:val="00756B3F"/>
    <w:rsid w:val="00757451"/>
    <w:rsid w:val="007605DC"/>
    <w:rsid w:val="00760616"/>
    <w:rsid w:val="00760881"/>
    <w:rsid w:val="00760AB6"/>
    <w:rsid w:val="00760D1E"/>
    <w:rsid w:val="00760F66"/>
    <w:rsid w:val="00761103"/>
    <w:rsid w:val="007611F8"/>
    <w:rsid w:val="00761200"/>
    <w:rsid w:val="00761291"/>
    <w:rsid w:val="007613BC"/>
    <w:rsid w:val="007615F6"/>
    <w:rsid w:val="007616CA"/>
    <w:rsid w:val="007618E2"/>
    <w:rsid w:val="00761931"/>
    <w:rsid w:val="00761B1B"/>
    <w:rsid w:val="00761BD1"/>
    <w:rsid w:val="00761CAF"/>
    <w:rsid w:val="00761F50"/>
    <w:rsid w:val="00762555"/>
    <w:rsid w:val="0076278C"/>
    <w:rsid w:val="007627BA"/>
    <w:rsid w:val="0076291E"/>
    <w:rsid w:val="007629B7"/>
    <w:rsid w:val="00762AAA"/>
    <w:rsid w:val="00762D81"/>
    <w:rsid w:val="00762E09"/>
    <w:rsid w:val="007630B7"/>
    <w:rsid w:val="0076317B"/>
    <w:rsid w:val="007634BA"/>
    <w:rsid w:val="007634C7"/>
    <w:rsid w:val="00763CB9"/>
    <w:rsid w:val="00763D32"/>
    <w:rsid w:val="007643D5"/>
    <w:rsid w:val="00764576"/>
    <w:rsid w:val="007652CC"/>
    <w:rsid w:val="00765366"/>
    <w:rsid w:val="0076553A"/>
    <w:rsid w:val="00765614"/>
    <w:rsid w:val="00765914"/>
    <w:rsid w:val="0076614D"/>
    <w:rsid w:val="0076624C"/>
    <w:rsid w:val="0076627D"/>
    <w:rsid w:val="00766304"/>
    <w:rsid w:val="00766867"/>
    <w:rsid w:val="0076777D"/>
    <w:rsid w:val="00767845"/>
    <w:rsid w:val="00767A28"/>
    <w:rsid w:val="00767BBE"/>
    <w:rsid w:val="00767DD2"/>
    <w:rsid w:val="007705DA"/>
    <w:rsid w:val="007707A9"/>
    <w:rsid w:val="0077082B"/>
    <w:rsid w:val="00770B03"/>
    <w:rsid w:val="00770B12"/>
    <w:rsid w:val="00770E60"/>
    <w:rsid w:val="00771448"/>
    <w:rsid w:val="00771C8F"/>
    <w:rsid w:val="00771E60"/>
    <w:rsid w:val="00772019"/>
    <w:rsid w:val="00772057"/>
    <w:rsid w:val="00772468"/>
    <w:rsid w:val="0077266E"/>
    <w:rsid w:val="0077292E"/>
    <w:rsid w:val="00772995"/>
    <w:rsid w:val="007737D8"/>
    <w:rsid w:val="0077391C"/>
    <w:rsid w:val="00773D24"/>
    <w:rsid w:val="00773EEC"/>
    <w:rsid w:val="0077428F"/>
    <w:rsid w:val="00774322"/>
    <w:rsid w:val="00774576"/>
    <w:rsid w:val="007747C2"/>
    <w:rsid w:val="00774F2B"/>
    <w:rsid w:val="0077508A"/>
    <w:rsid w:val="007751CD"/>
    <w:rsid w:val="00775567"/>
    <w:rsid w:val="007759C3"/>
    <w:rsid w:val="00775E0D"/>
    <w:rsid w:val="00775E8D"/>
    <w:rsid w:val="00775EFF"/>
    <w:rsid w:val="00775F9D"/>
    <w:rsid w:val="00776343"/>
    <w:rsid w:val="00776416"/>
    <w:rsid w:val="00776B35"/>
    <w:rsid w:val="00776C7B"/>
    <w:rsid w:val="00776CEF"/>
    <w:rsid w:val="0077790B"/>
    <w:rsid w:val="00777E7E"/>
    <w:rsid w:val="00780194"/>
    <w:rsid w:val="007804DD"/>
    <w:rsid w:val="0078065D"/>
    <w:rsid w:val="007808D3"/>
    <w:rsid w:val="0078095A"/>
    <w:rsid w:val="00780A7E"/>
    <w:rsid w:val="00780F3B"/>
    <w:rsid w:val="007810FF"/>
    <w:rsid w:val="007816EE"/>
    <w:rsid w:val="00781862"/>
    <w:rsid w:val="00781D31"/>
    <w:rsid w:val="00782071"/>
    <w:rsid w:val="007827E0"/>
    <w:rsid w:val="00782946"/>
    <w:rsid w:val="007829D9"/>
    <w:rsid w:val="00782AB1"/>
    <w:rsid w:val="00782EB7"/>
    <w:rsid w:val="00782ECD"/>
    <w:rsid w:val="007832D9"/>
    <w:rsid w:val="0078363B"/>
    <w:rsid w:val="007838BE"/>
    <w:rsid w:val="00783CCF"/>
    <w:rsid w:val="00783E85"/>
    <w:rsid w:val="00783F5B"/>
    <w:rsid w:val="007845AF"/>
    <w:rsid w:val="00784609"/>
    <w:rsid w:val="00784720"/>
    <w:rsid w:val="00784768"/>
    <w:rsid w:val="0078481D"/>
    <w:rsid w:val="00784F9C"/>
    <w:rsid w:val="0078541E"/>
    <w:rsid w:val="007859FC"/>
    <w:rsid w:val="00785B13"/>
    <w:rsid w:val="00785F4C"/>
    <w:rsid w:val="0078604B"/>
    <w:rsid w:val="0078609C"/>
    <w:rsid w:val="00786171"/>
    <w:rsid w:val="00786355"/>
    <w:rsid w:val="00787370"/>
    <w:rsid w:val="007874AE"/>
    <w:rsid w:val="0078750B"/>
    <w:rsid w:val="0078768E"/>
    <w:rsid w:val="00787F5E"/>
    <w:rsid w:val="0079024D"/>
    <w:rsid w:val="007911B8"/>
    <w:rsid w:val="00791C0B"/>
    <w:rsid w:val="00791C9B"/>
    <w:rsid w:val="00791DAE"/>
    <w:rsid w:val="00791DF6"/>
    <w:rsid w:val="00792C32"/>
    <w:rsid w:val="00792D72"/>
    <w:rsid w:val="007930E8"/>
    <w:rsid w:val="007935F5"/>
    <w:rsid w:val="00793909"/>
    <w:rsid w:val="00793C69"/>
    <w:rsid w:val="00793D04"/>
    <w:rsid w:val="00793E8D"/>
    <w:rsid w:val="00793F28"/>
    <w:rsid w:val="00793FDB"/>
    <w:rsid w:val="00794252"/>
    <w:rsid w:val="007944D2"/>
    <w:rsid w:val="00794A17"/>
    <w:rsid w:val="00794B13"/>
    <w:rsid w:val="00794B19"/>
    <w:rsid w:val="00794FD8"/>
    <w:rsid w:val="00795B8D"/>
    <w:rsid w:val="00795C74"/>
    <w:rsid w:val="00795EB9"/>
    <w:rsid w:val="00795F0E"/>
    <w:rsid w:val="007960A9"/>
    <w:rsid w:val="00797C86"/>
    <w:rsid w:val="00797D8F"/>
    <w:rsid w:val="00797E14"/>
    <w:rsid w:val="007A0762"/>
    <w:rsid w:val="007A0C00"/>
    <w:rsid w:val="007A0E15"/>
    <w:rsid w:val="007A1091"/>
    <w:rsid w:val="007A11F7"/>
    <w:rsid w:val="007A176E"/>
    <w:rsid w:val="007A19BF"/>
    <w:rsid w:val="007A2A69"/>
    <w:rsid w:val="007A2CF1"/>
    <w:rsid w:val="007A317D"/>
    <w:rsid w:val="007A36E7"/>
    <w:rsid w:val="007A3A5F"/>
    <w:rsid w:val="007A3A6A"/>
    <w:rsid w:val="007A3D05"/>
    <w:rsid w:val="007A41B5"/>
    <w:rsid w:val="007A4486"/>
    <w:rsid w:val="007A44A2"/>
    <w:rsid w:val="007A4568"/>
    <w:rsid w:val="007A4682"/>
    <w:rsid w:val="007A5879"/>
    <w:rsid w:val="007A58A8"/>
    <w:rsid w:val="007A58C8"/>
    <w:rsid w:val="007A5A1C"/>
    <w:rsid w:val="007A5BDC"/>
    <w:rsid w:val="007A629D"/>
    <w:rsid w:val="007A6610"/>
    <w:rsid w:val="007A6933"/>
    <w:rsid w:val="007A6DD3"/>
    <w:rsid w:val="007A6FF3"/>
    <w:rsid w:val="007A71DC"/>
    <w:rsid w:val="007A754E"/>
    <w:rsid w:val="007A7A04"/>
    <w:rsid w:val="007A7B46"/>
    <w:rsid w:val="007B04FF"/>
    <w:rsid w:val="007B0976"/>
    <w:rsid w:val="007B09A5"/>
    <w:rsid w:val="007B09A8"/>
    <w:rsid w:val="007B0CAC"/>
    <w:rsid w:val="007B15F3"/>
    <w:rsid w:val="007B1701"/>
    <w:rsid w:val="007B17C0"/>
    <w:rsid w:val="007B18EC"/>
    <w:rsid w:val="007B1C32"/>
    <w:rsid w:val="007B1DBB"/>
    <w:rsid w:val="007B2158"/>
    <w:rsid w:val="007B2319"/>
    <w:rsid w:val="007B2889"/>
    <w:rsid w:val="007B2FBF"/>
    <w:rsid w:val="007B3E13"/>
    <w:rsid w:val="007B4046"/>
    <w:rsid w:val="007B4300"/>
    <w:rsid w:val="007B44CE"/>
    <w:rsid w:val="007B44F9"/>
    <w:rsid w:val="007B49D4"/>
    <w:rsid w:val="007B5036"/>
    <w:rsid w:val="007B5475"/>
    <w:rsid w:val="007B565C"/>
    <w:rsid w:val="007B58F9"/>
    <w:rsid w:val="007B595F"/>
    <w:rsid w:val="007B5984"/>
    <w:rsid w:val="007B5B8D"/>
    <w:rsid w:val="007B5D75"/>
    <w:rsid w:val="007B6029"/>
    <w:rsid w:val="007B6206"/>
    <w:rsid w:val="007B6388"/>
    <w:rsid w:val="007B64B5"/>
    <w:rsid w:val="007B6979"/>
    <w:rsid w:val="007B6D5E"/>
    <w:rsid w:val="007B7115"/>
    <w:rsid w:val="007B736B"/>
    <w:rsid w:val="007B74F9"/>
    <w:rsid w:val="007B76A7"/>
    <w:rsid w:val="007B77A8"/>
    <w:rsid w:val="007B7F29"/>
    <w:rsid w:val="007C007A"/>
    <w:rsid w:val="007C0090"/>
    <w:rsid w:val="007C0853"/>
    <w:rsid w:val="007C08D0"/>
    <w:rsid w:val="007C08FD"/>
    <w:rsid w:val="007C0C90"/>
    <w:rsid w:val="007C0E07"/>
    <w:rsid w:val="007C0E86"/>
    <w:rsid w:val="007C15D2"/>
    <w:rsid w:val="007C2015"/>
    <w:rsid w:val="007C224A"/>
    <w:rsid w:val="007C249E"/>
    <w:rsid w:val="007C26CF"/>
    <w:rsid w:val="007C271B"/>
    <w:rsid w:val="007C2740"/>
    <w:rsid w:val="007C2AF7"/>
    <w:rsid w:val="007C2C14"/>
    <w:rsid w:val="007C2D50"/>
    <w:rsid w:val="007C30AA"/>
    <w:rsid w:val="007C357D"/>
    <w:rsid w:val="007C3A55"/>
    <w:rsid w:val="007C3CAE"/>
    <w:rsid w:val="007C4166"/>
    <w:rsid w:val="007C44E1"/>
    <w:rsid w:val="007C475A"/>
    <w:rsid w:val="007C47EC"/>
    <w:rsid w:val="007C48DD"/>
    <w:rsid w:val="007C4A05"/>
    <w:rsid w:val="007C4B2F"/>
    <w:rsid w:val="007C4D79"/>
    <w:rsid w:val="007C5041"/>
    <w:rsid w:val="007C5711"/>
    <w:rsid w:val="007C57B9"/>
    <w:rsid w:val="007C5E09"/>
    <w:rsid w:val="007C6114"/>
    <w:rsid w:val="007C62EF"/>
    <w:rsid w:val="007C6325"/>
    <w:rsid w:val="007C6C53"/>
    <w:rsid w:val="007C6F40"/>
    <w:rsid w:val="007C71FB"/>
    <w:rsid w:val="007C7213"/>
    <w:rsid w:val="007C73A3"/>
    <w:rsid w:val="007C73E8"/>
    <w:rsid w:val="007C7854"/>
    <w:rsid w:val="007C7871"/>
    <w:rsid w:val="007C7975"/>
    <w:rsid w:val="007C7BA3"/>
    <w:rsid w:val="007C7EF5"/>
    <w:rsid w:val="007D06AC"/>
    <w:rsid w:val="007D0741"/>
    <w:rsid w:val="007D0A53"/>
    <w:rsid w:val="007D0C62"/>
    <w:rsid w:val="007D0FFC"/>
    <w:rsid w:val="007D1013"/>
    <w:rsid w:val="007D19EC"/>
    <w:rsid w:val="007D1DEE"/>
    <w:rsid w:val="007D2180"/>
    <w:rsid w:val="007D2608"/>
    <w:rsid w:val="007D27B6"/>
    <w:rsid w:val="007D3022"/>
    <w:rsid w:val="007D30C3"/>
    <w:rsid w:val="007D35AC"/>
    <w:rsid w:val="007D36B1"/>
    <w:rsid w:val="007D36D7"/>
    <w:rsid w:val="007D38B1"/>
    <w:rsid w:val="007D38F9"/>
    <w:rsid w:val="007D3BA1"/>
    <w:rsid w:val="007D3BDB"/>
    <w:rsid w:val="007D3EC8"/>
    <w:rsid w:val="007D40AC"/>
    <w:rsid w:val="007D41E9"/>
    <w:rsid w:val="007D4317"/>
    <w:rsid w:val="007D48B9"/>
    <w:rsid w:val="007D4C12"/>
    <w:rsid w:val="007D4E3E"/>
    <w:rsid w:val="007D54A4"/>
    <w:rsid w:val="007D5787"/>
    <w:rsid w:val="007D57E0"/>
    <w:rsid w:val="007D5962"/>
    <w:rsid w:val="007D5C94"/>
    <w:rsid w:val="007D5D5B"/>
    <w:rsid w:val="007D63B2"/>
    <w:rsid w:val="007D651D"/>
    <w:rsid w:val="007D6559"/>
    <w:rsid w:val="007D679A"/>
    <w:rsid w:val="007D6D51"/>
    <w:rsid w:val="007D6F81"/>
    <w:rsid w:val="007D71B7"/>
    <w:rsid w:val="007D7936"/>
    <w:rsid w:val="007D7C5C"/>
    <w:rsid w:val="007D7C66"/>
    <w:rsid w:val="007D7CF3"/>
    <w:rsid w:val="007E024D"/>
    <w:rsid w:val="007E0274"/>
    <w:rsid w:val="007E02A7"/>
    <w:rsid w:val="007E0415"/>
    <w:rsid w:val="007E04F3"/>
    <w:rsid w:val="007E08BC"/>
    <w:rsid w:val="007E0991"/>
    <w:rsid w:val="007E0B2C"/>
    <w:rsid w:val="007E107F"/>
    <w:rsid w:val="007E1184"/>
    <w:rsid w:val="007E1BC4"/>
    <w:rsid w:val="007E1C84"/>
    <w:rsid w:val="007E21FA"/>
    <w:rsid w:val="007E25ED"/>
    <w:rsid w:val="007E26AE"/>
    <w:rsid w:val="007E2764"/>
    <w:rsid w:val="007E2F1E"/>
    <w:rsid w:val="007E2FA9"/>
    <w:rsid w:val="007E2FD7"/>
    <w:rsid w:val="007E310B"/>
    <w:rsid w:val="007E3161"/>
    <w:rsid w:val="007E3558"/>
    <w:rsid w:val="007E38DA"/>
    <w:rsid w:val="007E3D65"/>
    <w:rsid w:val="007E3EE2"/>
    <w:rsid w:val="007E42C6"/>
    <w:rsid w:val="007E47E7"/>
    <w:rsid w:val="007E4836"/>
    <w:rsid w:val="007E4929"/>
    <w:rsid w:val="007E4A39"/>
    <w:rsid w:val="007E4A5E"/>
    <w:rsid w:val="007E4A98"/>
    <w:rsid w:val="007E4EA1"/>
    <w:rsid w:val="007E4EB6"/>
    <w:rsid w:val="007E50AA"/>
    <w:rsid w:val="007E5729"/>
    <w:rsid w:val="007E5DD7"/>
    <w:rsid w:val="007E7139"/>
    <w:rsid w:val="007E71EC"/>
    <w:rsid w:val="007E7366"/>
    <w:rsid w:val="007E7A2D"/>
    <w:rsid w:val="007E7EA1"/>
    <w:rsid w:val="007E7EA4"/>
    <w:rsid w:val="007F03CE"/>
    <w:rsid w:val="007F04D3"/>
    <w:rsid w:val="007F0690"/>
    <w:rsid w:val="007F06A4"/>
    <w:rsid w:val="007F0DB7"/>
    <w:rsid w:val="007F0E95"/>
    <w:rsid w:val="007F0EE6"/>
    <w:rsid w:val="007F0FBD"/>
    <w:rsid w:val="007F124D"/>
    <w:rsid w:val="007F137D"/>
    <w:rsid w:val="007F1F25"/>
    <w:rsid w:val="007F2D8D"/>
    <w:rsid w:val="007F2EBF"/>
    <w:rsid w:val="007F2F68"/>
    <w:rsid w:val="007F3044"/>
    <w:rsid w:val="007F3054"/>
    <w:rsid w:val="007F3249"/>
    <w:rsid w:val="007F416E"/>
    <w:rsid w:val="007F4657"/>
    <w:rsid w:val="007F49E6"/>
    <w:rsid w:val="007F4CE9"/>
    <w:rsid w:val="007F5409"/>
    <w:rsid w:val="007F5609"/>
    <w:rsid w:val="007F5625"/>
    <w:rsid w:val="007F568A"/>
    <w:rsid w:val="007F59F7"/>
    <w:rsid w:val="007F5D13"/>
    <w:rsid w:val="007F5E21"/>
    <w:rsid w:val="007F619D"/>
    <w:rsid w:val="007F6413"/>
    <w:rsid w:val="007F676E"/>
    <w:rsid w:val="007F67FA"/>
    <w:rsid w:val="007F6B11"/>
    <w:rsid w:val="007F6C91"/>
    <w:rsid w:val="007F6E2B"/>
    <w:rsid w:val="007F6EF3"/>
    <w:rsid w:val="007F6F3C"/>
    <w:rsid w:val="007F7D12"/>
    <w:rsid w:val="007F7F02"/>
    <w:rsid w:val="00800258"/>
    <w:rsid w:val="008002B2"/>
    <w:rsid w:val="00800562"/>
    <w:rsid w:val="00800913"/>
    <w:rsid w:val="00800C97"/>
    <w:rsid w:val="00800E69"/>
    <w:rsid w:val="00800FA7"/>
    <w:rsid w:val="008014EC"/>
    <w:rsid w:val="008015BF"/>
    <w:rsid w:val="0080220F"/>
    <w:rsid w:val="00802735"/>
    <w:rsid w:val="008027BF"/>
    <w:rsid w:val="008028C2"/>
    <w:rsid w:val="00802C28"/>
    <w:rsid w:val="00802DDB"/>
    <w:rsid w:val="00802E8F"/>
    <w:rsid w:val="00803156"/>
    <w:rsid w:val="00803165"/>
    <w:rsid w:val="008037D8"/>
    <w:rsid w:val="00803B7E"/>
    <w:rsid w:val="00803DA6"/>
    <w:rsid w:val="008040D9"/>
    <w:rsid w:val="00804197"/>
    <w:rsid w:val="0080436E"/>
    <w:rsid w:val="00804937"/>
    <w:rsid w:val="00804A65"/>
    <w:rsid w:val="00804E1E"/>
    <w:rsid w:val="00804E43"/>
    <w:rsid w:val="008050B7"/>
    <w:rsid w:val="008050F5"/>
    <w:rsid w:val="00805112"/>
    <w:rsid w:val="0080512F"/>
    <w:rsid w:val="0080519C"/>
    <w:rsid w:val="00805345"/>
    <w:rsid w:val="0080563E"/>
    <w:rsid w:val="00805720"/>
    <w:rsid w:val="00805C71"/>
    <w:rsid w:val="008062B6"/>
    <w:rsid w:val="00806779"/>
    <w:rsid w:val="0080702E"/>
    <w:rsid w:val="00807C70"/>
    <w:rsid w:val="00810710"/>
    <w:rsid w:val="00810BC2"/>
    <w:rsid w:val="00811683"/>
    <w:rsid w:val="00811AFF"/>
    <w:rsid w:val="00812030"/>
    <w:rsid w:val="00812102"/>
    <w:rsid w:val="00812195"/>
    <w:rsid w:val="00812373"/>
    <w:rsid w:val="008123FF"/>
    <w:rsid w:val="0081322C"/>
    <w:rsid w:val="00813F3A"/>
    <w:rsid w:val="008140E8"/>
    <w:rsid w:val="00814271"/>
    <w:rsid w:val="0081429C"/>
    <w:rsid w:val="008142EA"/>
    <w:rsid w:val="00814388"/>
    <w:rsid w:val="0081476A"/>
    <w:rsid w:val="0081478F"/>
    <w:rsid w:val="00814941"/>
    <w:rsid w:val="00814955"/>
    <w:rsid w:val="00814A65"/>
    <w:rsid w:val="00814B85"/>
    <w:rsid w:val="00814BD9"/>
    <w:rsid w:val="00814D0E"/>
    <w:rsid w:val="008152B3"/>
    <w:rsid w:val="0081532C"/>
    <w:rsid w:val="008158AC"/>
    <w:rsid w:val="00816805"/>
    <w:rsid w:val="00816A47"/>
    <w:rsid w:val="00816BE8"/>
    <w:rsid w:val="00816CD5"/>
    <w:rsid w:val="00816DBD"/>
    <w:rsid w:val="00816FE2"/>
    <w:rsid w:val="00817062"/>
    <w:rsid w:val="0081797B"/>
    <w:rsid w:val="00817991"/>
    <w:rsid w:val="00817B5A"/>
    <w:rsid w:val="00817F30"/>
    <w:rsid w:val="00817F58"/>
    <w:rsid w:val="0082003A"/>
    <w:rsid w:val="008203C5"/>
    <w:rsid w:val="00820862"/>
    <w:rsid w:val="00820B84"/>
    <w:rsid w:val="00820BF6"/>
    <w:rsid w:val="00820D32"/>
    <w:rsid w:val="00820F6D"/>
    <w:rsid w:val="0082199B"/>
    <w:rsid w:val="008219B2"/>
    <w:rsid w:val="00821BD3"/>
    <w:rsid w:val="00821C2A"/>
    <w:rsid w:val="00822477"/>
    <w:rsid w:val="008227B7"/>
    <w:rsid w:val="00822879"/>
    <w:rsid w:val="008230EA"/>
    <w:rsid w:val="00823925"/>
    <w:rsid w:val="0082429A"/>
    <w:rsid w:val="0082439A"/>
    <w:rsid w:val="008243A8"/>
    <w:rsid w:val="00824446"/>
    <w:rsid w:val="00824925"/>
    <w:rsid w:val="00824BB5"/>
    <w:rsid w:val="00824C8B"/>
    <w:rsid w:val="00824EA9"/>
    <w:rsid w:val="008252E8"/>
    <w:rsid w:val="008257A9"/>
    <w:rsid w:val="00825BA8"/>
    <w:rsid w:val="00825BD1"/>
    <w:rsid w:val="00825C14"/>
    <w:rsid w:val="00825F4F"/>
    <w:rsid w:val="00825FD5"/>
    <w:rsid w:val="0082641D"/>
    <w:rsid w:val="008267CA"/>
    <w:rsid w:val="00826821"/>
    <w:rsid w:val="00826C53"/>
    <w:rsid w:val="0082722B"/>
    <w:rsid w:val="00827288"/>
    <w:rsid w:val="00827456"/>
    <w:rsid w:val="008275D3"/>
    <w:rsid w:val="00827B60"/>
    <w:rsid w:val="00827C1B"/>
    <w:rsid w:val="008300C7"/>
    <w:rsid w:val="0083016B"/>
    <w:rsid w:val="008301F1"/>
    <w:rsid w:val="00830C0E"/>
    <w:rsid w:val="008311B6"/>
    <w:rsid w:val="008311E8"/>
    <w:rsid w:val="008313E0"/>
    <w:rsid w:val="00831742"/>
    <w:rsid w:val="008317EC"/>
    <w:rsid w:val="0083195D"/>
    <w:rsid w:val="00831B7B"/>
    <w:rsid w:val="00831D90"/>
    <w:rsid w:val="00832411"/>
    <w:rsid w:val="008324F3"/>
    <w:rsid w:val="00832691"/>
    <w:rsid w:val="0083296B"/>
    <w:rsid w:val="00832D82"/>
    <w:rsid w:val="00833547"/>
    <w:rsid w:val="008337BD"/>
    <w:rsid w:val="00833852"/>
    <w:rsid w:val="00833AB9"/>
    <w:rsid w:val="00834247"/>
    <w:rsid w:val="008344EC"/>
    <w:rsid w:val="00834820"/>
    <w:rsid w:val="00834C82"/>
    <w:rsid w:val="00834DB6"/>
    <w:rsid w:val="00834F93"/>
    <w:rsid w:val="008354DB"/>
    <w:rsid w:val="0083580A"/>
    <w:rsid w:val="00836798"/>
    <w:rsid w:val="00836B54"/>
    <w:rsid w:val="00836B8E"/>
    <w:rsid w:val="00836C32"/>
    <w:rsid w:val="0083704B"/>
    <w:rsid w:val="008371F8"/>
    <w:rsid w:val="00837273"/>
    <w:rsid w:val="00837E1D"/>
    <w:rsid w:val="008402FB"/>
    <w:rsid w:val="00840C4A"/>
    <w:rsid w:val="0084108C"/>
    <w:rsid w:val="008411B9"/>
    <w:rsid w:val="0084122F"/>
    <w:rsid w:val="00841573"/>
    <w:rsid w:val="00841D08"/>
    <w:rsid w:val="008422BA"/>
    <w:rsid w:val="008424DA"/>
    <w:rsid w:val="00842624"/>
    <w:rsid w:val="0084273D"/>
    <w:rsid w:val="00842D43"/>
    <w:rsid w:val="00842DA4"/>
    <w:rsid w:val="0084323E"/>
    <w:rsid w:val="008435BA"/>
    <w:rsid w:val="0084375D"/>
    <w:rsid w:val="00843AC3"/>
    <w:rsid w:val="00843B35"/>
    <w:rsid w:val="00843D50"/>
    <w:rsid w:val="00843D6C"/>
    <w:rsid w:val="0084464E"/>
    <w:rsid w:val="008446DF"/>
    <w:rsid w:val="00844E77"/>
    <w:rsid w:val="008458BF"/>
    <w:rsid w:val="00845D46"/>
    <w:rsid w:val="00846262"/>
    <w:rsid w:val="00846370"/>
    <w:rsid w:val="00846DA2"/>
    <w:rsid w:val="00846DCD"/>
    <w:rsid w:val="00846EC0"/>
    <w:rsid w:val="00847193"/>
    <w:rsid w:val="00847665"/>
    <w:rsid w:val="00847BC5"/>
    <w:rsid w:val="00847C38"/>
    <w:rsid w:val="00847F11"/>
    <w:rsid w:val="00850010"/>
    <w:rsid w:val="008500EB"/>
    <w:rsid w:val="008503F4"/>
    <w:rsid w:val="008504A0"/>
    <w:rsid w:val="00850555"/>
    <w:rsid w:val="00850613"/>
    <w:rsid w:val="00850630"/>
    <w:rsid w:val="00850AC1"/>
    <w:rsid w:val="00850C2A"/>
    <w:rsid w:val="00850DFA"/>
    <w:rsid w:val="00851331"/>
    <w:rsid w:val="008514C7"/>
    <w:rsid w:val="008516A3"/>
    <w:rsid w:val="008516D1"/>
    <w:rsid w:val="00852003"/>
    <w:rsid w:val="0085212C"/>
    <w:rsid w:val="0085240A"/>
    <w:rsid w:val="00852410"/>
    <w:rsid w:val="008526A5"/>
    <w:rsid w:val="00852E7A"/>
    <w:rsid w:val="00852F9E"/>
    <w:rsid w:val="00853913"/>
    <w:rsid w:val="00853A43"/>
    <w:rsid w:val="00853C35"/>
    <w:rsid w:val="00854053"/>
    <w:rsid w:val="00854372"/>
    <w:rsid w:val="008543AC"/>
    <w:rsid w:val="008544E6"/>
    <w:rsid w:val="008548B8"/>
    <w:rsid w:val="008548BE"/>
    <w:rsid w:val="00854965"/>
    <w:rsid w:val="00855314"/>
    <w:rsid w:val="008554D1"/>
    <w:rsid w:val="008558E0"/>
    <w:rsid w:val="00856710"/>
    <w:rsid w:val="00857264"/>
    <w:rsid w:val="00857450"/>
    <w:rsid w:val="0085745E"/>
    <w:rsid w:val="00857AF7"/>
    <w:rsid w:val="00857F51"/>
    <w:rsid w:val="00860109"/>
    <w:rsid w:val="008601BD"/>
    <w:rsid w:val="00860359"/>
    <w:rsid w:val="008603E7"/>
    <w:rsid w:val="00860700"/>
    <w:rsid w:val="00860E43"/>
    <w:rsid w:val="00860EE9"/>
    <w:rsid w:val="00861075"/>
    <w:rsid w:val="00861252"/>
    <w:rsid w:val="0086171A"/>
    <w:rsid w:val="0086187D"/>
    <w:rsid w:val="00861B89"/>
    <w:rsid w:val="0086226C"/>
    <w:rsid w:val="008623BB"/>
    <w:rsid w:val="00862C76"/>
    <w:rsid w:val="00862D3C"/>
    <w:rsid w:val="0086316F"/>
    <w:rsid w:val="00863229"/>
    <w:rsid w:val="008638F5"/>
    <w:rsid w:val="00863968"/>
    <w:rsid w:val="00863C08"/>
    <w:rsid w:val="008640E9"/>
    <w:rsid w:val="008644A4"/>
    <w:rsid w:val="00864A6C"/>
    <w:rsid w:val="00864B97"/>
    <w:rsid w:val="00864BB1"/>
    <w:rsid w:val="00864DF7"/>
    <w:rsid w:val="00864FDB"/>
    <w:rsid w:val="00865278"/>
    <w:rsid w:val="008653DF"/>
    <w:rsid w:val="008654F9"/>
    <w:rsid w:val="008657DA"/>
    <w:rsid w:val="008657F2"/>
    <w:rsid w:val="008658C0"/>
    <w:rsid w:val="00865CB4"/>
    <w:rsid w:val="0086623E"/>
    <w:rsid w:val="00866388"/>
    <w:rsid w:val="00866395"/>
    <w:rsid w:val="00866614"/>
    <w:rsid w:val="00866773"/>
    <w:rsid w:val="008667A7"/>
    <w:rsid w:val="00866FE3"/>
    <w:rsid w:val="0086722D"/>
    <w:rsid w:val="008672C7"/>
    <w:rsid w:val="0086776E"/>
    <w:rsid w:val="00867D56"/>
    <w:rsid w:val="0087028A"/>
    <w:rsid w:val="008707AB"/>
    <w:rsid w:val="00870BAA"/>
    <w:rsid w:val="00870D91"/>
    <w:rsid w:val="008716D1"/>
    <w:rsid w:val="008716ED"/>
    <w:rsid w:val="0087193F"/>
    <w:rsid w:val="00871CC5"/>
    <w:rsid w:val="008724E6"/>
    <w:rsid w:val="00872767"/>
    <w:rsid w:val="008728C8"/>
    <w:rsid w:val="00873205"/>
    <w:rsid w:val="008735E8"/>
    <w:rsid w:val="0087377E"/>
    <w:rsid w:val="008739AB"/>
    <w:rsid w:val="00873FB1"/>
    <w:rsid w:val="00874043"/>
    <w:rsid w:val="008741D4"/>
    <w:rsid w:val="00874594"/>
    <w:rsid w:val="0087476B"/>
    <w:rsid w:val="00874776"/>
    <w:rsid w:val="0087487C"/>
    <w:rsid w:val="008748F5"/>
    <w:rsid w:val="00874A07"/>
    <w:rsid w:val="00874B75"/>
    <w:rsid w:val="00874FE3"/>
    <w:rsid w:val="00875007"/>
    <w:rsid w:val="008750DB"/>
    <w:rsid w:val="00875144"/>
    <w:rsid w:val="008751B4"/>
    <w:rsid w:val="0087527F"/>
    <w:rsid w:val="0087543F"/>
    <w:rsid w:val="008754B5"/>
    <w:rsid w:val="008757FB"/>
    <w:rsid w:val="008758A8"/>
    <w:rsid w:val="00875AF3"/>
    <w:rsid w:val="00875FD6"/>
    <w:rsid w:val="008765E9"/>
    <w:rsid w:val="00876605"/>
    <w:rsid w:val="00876B13"/>
    <w:rsid w:val="00876F18"/>
    <w:rsid w:val="00877321"/>
    <w:rsid w:val="00877743"/>
    <w:rsid w:val="00877AFF"/>
    <w:rsid w:val="00877B92"/>
    <w:rsid w:val="00880017"/>
    <w:rsid w:val="0088005C"/>
    <w:rsid w:val="00880305"/>
    <w:rsid w:val="00880315"/>
    <w:rsid w:val="0088031C"/>
    <w:rsid w:val="008805D1"/>
    <w:rsid w:val="0088088A"/>
    <w:rsid w:val="00880A3F"/>
    <w:rsid w:val="00880E1B"/>
    <w:rsid w:val="00880EE2"/>
    <w:rsid w:val="00881318"/>
    <w:rsid w:val="00881732"/>
    <w:rsid w:val="008818A2"/>
    <w:rsid w:val="008820FB"/>
    <w:rsid w:val="0088213D"/>
    <w:rsid w:val="008821C6"/>
    <w:rsid w:val="0088243C"/>
    <w:rsid w:val="0088243D"/>
    <w:rsid w:val="0088251A"/>
    <w:rsid w:val="0088284A"/>
    <w:rsid w:val="008829BB"/>
    <w:rsid w:val="00882D28"/>
    <w:rsid w:val="00882F4A"/>
    <w:rsid w:val="0088369E"/>
    <w:rsid w:val="008837CD"/>
    <w:rsid w:val="008837D2"/>
    <w:rsid w:val="00883A67"/>
    <w:rsid w:val="00883D33"/>
    <w:rsid w:val="00883E19"/>
    <w:rsid w:val="0088400F"/>
    <w:rsid w:val="008848E9"/>
    <w:rsid w:val="00884FD8"/>
    <w:rsid w:val="00885244"/>
    <w:rsid w:val="008857C7"/>
    <w:rsid w:val="008858B3"/>
    <w:rsid w:val="00885ACA"/>
    <w:rsid w:val="00885E6F"/>
    <w:rsid w:val="00885EB7"/>
    <w:rsid w:val="008860F6"/>
    <w:rsid w:val="008861BF"/>
    <w:rsid w:val="008866CF"/>
    <w:rsid w:val="00886782"/>
    <w:rsid w:val="00886852"/>
    <w:rsid w:val="008869A1"/>
    <w:rsid w:val="00886B3F"/>
    <w:rsid w:val="00886F8E"/>
    <w:rsid w:val="00886FC9"/>
    <w:rsid w:val="0088738B"/>
    <w:rsid w:val="00887489"/>
    <w:rsid w:val="0088756B"/>
    <w:rsid w:val="00887F8F"/>
    <w:rsid w:val="0089015D"/>
    <w:rsid w:val="0089021A"/>
    <w:rsid w:val="0089022E"/>
    <w:rsid w:val="00890475"/>
    <w:rsid w:val="008907D1"/>
    <w:rsid w:val="00890A7C"/>
    <w:rsid w:val="00890D11"/>
    <w:rsid w:val="00890F1B"/>
    <w:rsid w:val="008910C4"/>
    <w:rsid w:val="008910EE"/>
    <w:rsid w:val="00891A26"/>
    <w:rsid w:val="00892014"/>
    <w:rsid w:val="008923F8"/>
    <w:rsid w:val="0089253F"/>
    <w:rsid w:val="008928F1"/>
    <w:rsid w:val="00892BBF"/>
    <w:rsid w:val="00892C09"/>
    <w:rsid w:val="00892C3F"/>
    <w:rsid w:val="00892DB5"/>
    <w:rsid w:val="00892F62"/>
    <w:rsid w:val="00893668"/>
    <w:rsid w:val="00893670"/>
    <w:rsid w:val="0089389C"/>
    <w:rsid w:val="00893A7E"/>
    <w:rsid w:val="0089414C"/>
    <w:rsid w:val="008942BD"/>
    <w:rsid w:val="0089478A"/>
    <w:rsid w:val="0089480A"/>
    <w:rsid w:val="00894BEE"/>
    <w:rsid w:val="00894FE5"/>
    <w:rsid w:val="008951A6"/>
    <w:rsid w:val="008954D2"/>
    <w:rsid w:val="00895658"/>
    <w:rsid w:val="008956DA"/>
    <w:rsid w:val="008959E5"/>
    <w:rsid w:val="00895BA9"/>
    <w:rsid w:val="00895D79"/>
    <w:rsid w:val="0089601B"/>
    <w:rsid w:val="0089655D"/>
    <w:rsid w:val="00896784"/>
    <w:rsid w:val="00897824"/>
    <w:rsid w:val="008979DB"/>
    <w:rsid w:val="00897BBF"/>
    <w:rsid w:val="00897BCB"/>
    <w:rsid w:val="00897C07"/>
    <w:rsid w:val="00897D19"/>
    <w:rsid w:val="00897DBA"/>
    <w:rsid w:val="008A000F"/>
    <w:rsid w:val="008A02FA"/>
    <w:rsid w:val="008A06A8"/>
    <w:rsid w:val="008A193B"/>
    <w:rsid w:val="008A1AAC"/>
    <w:rsid w:val="008A1C18"/>
    <w:rsid w:val="008A1D3C"/>
    <w:rsid w:val="008A20CA"/>
    <w:rsid w:val="008A21A1"/>
    <w:rsid w:val="008A22DD"/>
    <w:rsid w:val="008A239B"/>
    <w:rsid w:val="008A2956"/>
    <w:rsid w:val="008A2AC2"/>
    <w:rsid w:val="008A2EA1"/>
    <w:rsid w:val="008A2EF6"/>
    <w:rsid w:val="008A3480"/>
    <w:rsid w:val="008A34AC"/>
    <w:rsid w:val="008A351C"/>
    <w:rsid w:val="008A36F8"/>
    <w:rsid w:val="008A37B3"/>
    <w:rsid w:val="008A425D"/>
    <w:rsid w:val="008A44CA"/>
    <w:rsid w:val="008A44DF"/>
    <w:rsid w:val="008A48F7"/>
    <w:rsid w:val="008A49F4"/>
    <w:rsid w:val="008A4B88"/>
    <w:rsid w:val="008A4F3C"/>
    <w:rsid w:val="008A51AD"/>
    <w:rsid w:val="008A53BA"/>
    <w:rsid w:val="008A551D"/>
    <w:rsid w:val="008A5648"/>
    <w:rsid w:val="008A56BA"/>
    <w:rsid w:val="008A570A"/>
    <w:rsid w:val="008A58E4"/>
    <w:rsid w:val="008A58E7"/>
    <w:rsid w:val="008A5C1D"/>
    <w:rsid w:val="008A5D5F"/>
    <w:rsid w:val="008A5E92"/>
    <w:rsid w:val="008A615A"/>
    <w:rsid w:val="008A6239"/>
    <w:rsid w:val="008A629D"/>
    <w:rsid w:val="008A648A"/>
    <w:rsid w:val="008A650C"/>
    <w:rsid w:val="008A6A36"/>
    <w:rsid w:val="008A6CB9"/>
    <w:rsid w:val="008A6DC1"/>
    <w:rsid w:val="008A7100"/>
    <w:rsid w:val="008A7139"/>
    <w:rsid w:val="008A776D"/>
    <w:rsid w:val="008A778F"/>
    <w:rsid w:val="008A7C74"/>
    <w:rsid w:val="008B0065"/>
    <w:rsid w:val="008B0107"/>
    <w:rsid w:val="008B04C0"/>
    <w:rsid w:val="008B04E0"/>
    <w:rsid w:val="008B0579"/>
    <w:rsid w:val="008B09F8"/>
    <w:rsid w:val="008B0A83"/>
    <w:rsid w:val="008B0E93"/>
    <w:rsid w:val="008B0EAD"/>
    <w:rsid w:val="008B101B"/>
    <w:rsid w:val="008B1269"/>
    <w:rsid w:val="008B165B"/>
    <w:rsid w:val="008B198D"/>
    <w:rsid w:val="008B27B8"/>
    <w:rsid w:val="008B29A4"/>
    <w:rsid w:val="008B2BB4"/>
    <w:rsid w:val="008B2C15"/>
    <w:rsid w:val="008B2C30"/>
    <w:rsid w:val="008B2D73"/>
    <w:rsid w:val="008B2F92"/>
    <w:rsid w:val="008B3282"/>
    <w:rsid w:val="008B33B8"/>
    <w:rsid w:val="008B395E"/>
    <w:rsid w:val="008B3AB6"/>
    <w:rsid w:val="008B3C2B"/>
    <w:rsid w:val="008B3DBF"/>
    <w:rsid w:val="008B435A"/>
    <w:rsid w:val="008B4679"/>
    <w:rsid w:val="008B4A4A"/>
    <w:rsid w:val="008B4D00"/>
    <w:rsid w:val="008B4D13"/>
    <w:rsid w:val="008B4E78"/>
    <w:rsid w:val="008B4ED2"/>
    <w:rsid w:val="008B4FE2"/>
    <w:rsid w:val="008B52EB"/>
    <w:rsid w:val="008B5978"/>
    <w:rsid w:val="008B5F10"/>
    <w:rsid w:val="008B61A1"/>
    <w:rsid w:val="008B66EE"/>
    <w:rsid w:val="008B6793"/>
    <w:rsid w:val="008B6E62"/>
    <w:rsid w:val="008B6E87"/>
    <w:rsid w:val="008B728A"/>
    <w:rsid w:val="008B7342"/>
    <w:rsid w:val="008B75C2"/>
    <w:rsid w:val="008B75FC"/>
    <w:rsid w:val="008B770F"/>
    <w:rsid w:val="008B787A"/>
    <w:rsid w:val="008B7B77"/>
    <w:rsid w:val="008C04F3"/>
    <w:rsid w:val="008C0773"/>
    <w:rsid w:val="008C08E9"/>
    <w:rsid w:val="008C0A89"/>
    <w:rsid w:val="008C0E71"/>
    <w:rsid w:val="008C1165"/>
    <w:rsid w:val="008C1634"/>
    <w:rsid w:val="008C1852"/>
    <w:rsid w:val="008C1C7A"/>
    <w:rsid w:val="008C2672"/>
    <w:rsid w:val="008C27B4"/>
    <w:rsid w:val="008C280C"/>
    <w:rsid w:val="008C2CFF"/>
    <w:rsid w:val="008C2DD0"/>
    <w:rsid w:val="008C2E1E"/>
    <w:rsid w:val="008C2E22"/>
    <w:rsid w:val="008C2ED2"/>
    <w:rsid w:val="008C311D"/>
    <w:rsid w:val="008C3352"/>
    <w:rsid w:val="008C3C56"/>
    <w:rsid w:val="008C3D4D"/>
    <w:rsid w:val="008C4026"/>
    <w:rsid w:val="008C417E"/>
    <w:rsid w:val="008C45A1"/>
    <w:rsid w:val="008C4879"/>
    <w:rsid w:val="008C526C"/>
    <w:rsid w:val="008C5A09"/>
    <w:rsid w:val="008C5B51"/>
    <w:rsid w:val="008C5F0A"/>
    <w:rsid w:val="008C6105"/>
    <w:rsid w:val="008C6124"/>
    <w:rsid w:val="008C613B"/>
    <w:rsid w:val="008C6334"/>
    <w:rsid w:val="008C63DF"/>
    <w:rsid w:val="008C655D"/>
    <w:rsid w:val="008C66BD"/>
    <w:rsid w:val="008C672D"/>
    <w:rsid w:val="008C6968"/>
    <w:rsid w:val="008C72D0"/>
    <w:rsid w:val="008C742A"/>
    <w:rsid w:val="008C74C7"/>
    <w:rsid w:val="008C7714"/>
    <w:rsid w:val="008C78C7"/>
    <w:rsid w:val="008C7F4F"/>
    <w:rsid w:val="008D00F3"/>
    <w:rsid w:val="008D0C19"/>
    <w:rsid w:val="008D0C3F"/>
    <w:rsid w:val="008D0E1D"/>
    <w:rsid w:val="008D0F27"/>
    <w:rsid w:val="008D15A2"/>
    <w:rsid w:val="008D18CD"/>
    <w:rsid w:val="008D1F86"/>
    <w:rsid w:val="008D1FA2"/>
    <w:rsid w:val="008D20D3"/>
    <w:rsid w:val="008D20E0"/>
    <w:rsid w:val="008D26A3"/>
    <w:rsid w:val="008D2796"/>
    <w:rsid w:val="008D2B6E"/>
    <w:rsid w:val="008D335C"/>
    <w:rsid w:val="008D35B7"/>
    <w:rsid w:val="008D4007"/>
    <w:rsid w:val="008D4095"/>
    <w:rsid w:val="008D436A"/>
    <w:rsid w:val="008D45DD"/>
    <w:rsid w:val="008D4AC9"/>
    <w:rsid w:val="008D4C72"/>
    <w:rsid w:val="008D50BA"/>
    <w:rsid w:val="008D5257"/>
    <w:rsid w:val="008D561B"/>
    <w:rsid w:val="008D582B"/>
    <w:rsid w:val="008D5BCD"/>
    <w:rsid w:val="008D5CF9"/>
    <w:rsid w:val="008D5D0A"/>
    <w:rsid w:val="008D6455"/>
    <w:rsid w:val="008D6794"/>
    <w:rsid w:val="008D6C4C"/>
    <w:rsid w:val="008D6E9B"/>
    <w:rsid w:val="008D7F65"/>
    <w:rsid w:val="008E0178"/>
    <w:rsid w:val="008E02F8"/>
    <w:rsid w:val="008E0A88"/>
    <w:rsid w:val="008E1189"/>
    <w:rsid w:val="008E12AF"/>
    <w:rsid w:val="008E12E6"/>
    <w:rsid w:val="008E147C"/>
    <w:rsid w:val="008E1592"/>
    <w:rsid w:val="008E1A34"/>
    <w:rsid w:val="008E1FBE"/>
    <w:rsid w:val="008E211C"/>
    <w:rsid w:val="008E2BB3"/>
    <w:rsid w:val="008E2BC5"/>
    <w:rsid w:val="008E2C79"/>
    <w:rsid w:val="008E3176"/>
    <w:rsid w:val="008E34C8"/>
    <w:rsid w:val="008E3564"/>
    <w:rsid w:val="008E3A0B"/>
    <w:rsid w:val="008E3A90"/>
    <w:rsid w:val="008E3AAB"/>
    <w:rsid w:val="008E3CBC"/>
    <w:rsid w:val="008E3DBC"/>
    <w:rsid w:val="008E4043"/>
    <w:rsid w:val="008E4163"/>
    <w:rsid w:val="008E41E2"/>
    <w:rsid w:val="008E4412"/>
    <w:rsid w:val="008E4520"/>
    <w:rsid w:val="008E4AE7"/>
    <w:rsid w:val="008E4B5F"/>
    <w:rsid w:val="008E4DC6"/>
    <w:rsid w:val="008E51B3"/>
    <w:rsid w:val="008E54E8"/>
    <w:rsid w:val="008E54F6"/>
    <w:rsid w:val="008E5740"/>
    <w:rsid w:val="008E5868"/>
    <w:rsid w:val="008E5DC8"/>
    <w:rsid w:val="008E6465"/>
    <w:rsid w:val="008E6C57"/>
    <w:rsid w:val="008E6E66"/>
    <w:rsid w:val="008E7082"/>
    <w:rsid w:val="008E7162"/>
    <w:rsid w:val="008E72AF"/>
    <w:rsid w:val="008E76CF"/>
    <w:rsid w:val="008F00B3"/>
    <w:rsid w:val="008F041E"/>
    <w:rsid w:val="008F0952"/>
    <w:rsid w:val="008F0F82"/>
    <w:rsid w:val="008F1154"/>
    <w:rsid w:val="008F1192"/>
    <w:rsid w:val="008F15A1"/>
    <w:rsid w:val="008F19EE"/>
    <w:rsid w:val="008F1B84"/>
    <w:rsid w:val="008F1B9D"/>
    <w:rsid w:val="008F1DB6"/>
    <w:rsid w:val="008F1DDC"/>
    <w:rsid w:val="008F2D6D"/>
    <w:rsid w:val="008F33EF"/>
    <w:rsid w:val="008F344D"/>
    <w:rsid w:val="008F3455"/>
    <w:rsid w:val="008F38B0"/>
    <w:rsid w:val="008F39C0"/>
    <w:rsid w:val="008F3A9F"/>
    <w:rsid w:val="008F3CC0"/>
    <w:rsid w:val="008F4981"/>
    <w:rsid w:val="008F4E41"/>
    <w:rsid w:val="008F57CD"/>
    <w:rsid w:val="008F5960"/>
    <w:rsid w:val="008F5CD0"/>
    <w:rsid w:val="008F5E87"/>
    <w:rsid w:val="008F60E7"/>
    <w:rsid w:val="008F6100"/>
    <w:rsid w:val="008F615B"/>
    <w:rsid w:val="008F629A"/>
    <w:rsid w:val="008F6A27"/>
    <w:rsid w:val="008F6A9B"/>
    <w:rsid w:val="008F6B64"/>
    <w:rsid w:val="008F6C3D"/>
    <w:rsid w:val="008F6C67"/>
    <w:rsid w:val="008F6F03"/>
    <w:rsid w:val="008F6F9D"/>
    <w:rsid w:val="008F74D2"/>
    <w:rsid w:val="008F7603"/>
    <w:rsid w:val="008F769D"/>
    <w:rsid w:val="008F76DC"/>
    <w:rsid w:val="008F797D"/>
    <w:rsid w:val="008F7A06"/>
    <w:rsid w:val="008F7D2F"/>
    <w:rsid w:val="008F7D84"/>
    <w:rsid w:val="008F7FBF"/>
    <w:rsid w:val="00900296"/>
    <w:rsid w:val="00900A22"/>
    <w:rsid w:val="00900F6D"/>
    <w:rsid w:val="009013C5"/>
    <w:rsid w:val="0090147B"/>
    <w:rsid w:val="00901649"/>
    <w:rsid w:val="00901B21"/>
    <w:rsid w:val="00901CBA"/>
    <w:rsid w:val="00901D27"/>
    <w:rsid w:val="00901DC6"/>
    <w:rsid w:val="00901E56"/>
    <w:rsid w:val="00902090"/>
    <w:rsid w:val="009021DC"/>
    <w:rsid w:val="00902343"/>
    <w:rsid w:val="00903026"/>
    <w:rsid w:val="00903424"/>
    <w:rsid w:val="0090357B"/>
    <w:rsid w:val="0090378C"/>
    <w:rsid w:val="00903832"/>
    <w:rsid w:val="00903D1A"/>
    <w:rsid w:val="009044BE"/>
    <w:rsid w:val="009048EB"/>
    <w:rsid w:val="00904913"/>
    <w:rsid w:val="00904D4B"/>
    <w:rsid w:val="00904D5E"/>
    <w:rsid w:val="00904E61"/>
    <w:rsid w:val="009050B3"/>
    <w:rsid w:val="00905945"/>
    <w:rsid w:val="00905FEB"/>
    <w:rsid w:val="00906252"/>
    <w:rsid w:val="0090672E"/>
    <w:rsid w:val="00906A4F"/>
    <w:rsid w:val="00906BD6"/>
    <w:rsid w:val="00907074"/>
    <w:rsid w:val="00907110"/>
    <w:rsid w:val="009073C7"/>
    <w:rsid w:val="009078BA"/>
    <w:rsid w:val="009079C7"/>
    <w:rsid w:val="009079F7"/>
    <w:rsid w:val="00907B1B"/>
    <w:rsid w:val="00907B44"/>
    <w:rsid w:val="00907BAA"/>
    <w:rsid w:val="00907C33"/>
    <w:rsid w:val="009108D2"/>
    <w:rsid w:val="00910B10"/>
    <w:rsid w:val="00910C20"/>
    <w:rsid w:val="00910FE1"/>
    <w:rsid w:val="0091106A"/>
    <w:rsid w:val="00911172"/>
    <w:rsid w:val="0091118F"/>
    <w:rsid w:val="0091142D"/>
    <w:rsid w:val="0091166A"/>
    <w:rsid w:val="009117D0"/>
    <w:rsid w:val="00911809"/>
    <w:rsid w:val="00911A6D"/>
    <w:rsid w:val="00911C77"/>
    <w:rsid w:val="00911D1C"/>
    <w:rsid w:val="00911E6E"/>
    <w:rsid w:val="0091261F"/>
    <w:rsid w:val="00912890"/>
    <w:rsid w:val="00912F38"/>
    <w:rsid w:val="00912FAC"/>
    <w:rsid w:val="009138D1"/>
    <w:rsid w:val="00913C58"/>
    <w:rsid w:val="00913DBC"/>
    <w:rsid w:val="00913FCD"/>
    <w:rsid w:val="009140B4"/>
    <w:rsid w:val="00914174"/>
    <w:rsid w:val="009141CA"/>
    <w:rsid w:val="0091428A"/>
    <w:rsid w:val="00914733"/>
    <w:rsid w:val="00914AA5"/>
    <w:rsid w:val="00914C0A"/>
    <w:rsid w:val="00914C83"/>
    <w:rsid w:val="0091532E"/>
    <w:rsid w:val="00915621"/>
    <w:rsid w:val="009162DD"/>
    <w:rsid w:val="009163E7"/>
    <w:rsid w:val="009165B6"/>
    <w:rsid w:val="0091671A"/>
    <w:rsid w:val="009169F6"/>
    <w:rsid w:val="00916D5B"/>
    <w:rsid w:val="0091715C"/>
    <w:rsid w:val="0091719D"/>
    <w:rsid w:val="0091761E"/>
    <w:rsid w:val="00917903"/>
    <w:rsid w:val="00917FE1"/>
    <w:rsid w:val="009200D3"/>
    <w:rsid w:val="009201B5"/>
    <w:rsid w:val="00920497"/>
    <w:rsid w:val="00920997"/>
    <w:rsid w:val="00920B1E"/>
    <w:rsid w:val="00920DD5"/>
    <w:rsid w:val="00921161"/>
    <w:rsid w:val="0092158B"/>
    <w:rsid w:val="00921824"/>
    <w:rsid w:val="00921861"/>
    <w:rsid w:val="00921C60"/>
    <w:rsid w:val="00921E0A"/>
    <w:rsid w:val="00921F2C"/>
    <w:rsid w:val="00922492"/>
    <w:rsid w:val="009224EB"/>
    <w:rsid w:val="00922504"/>
    <w:rsid w:val="0092272F"/>
    <w:rsid w:val="00922BE2"/>
    <w:rsid w:val="00922EDE"/>
    <w:rsid w:val="0092337C"/>
    <w:rsid w:val="009237D9"/>
    <w:rsid w:val="009238BC"/>
    <w:rsid w:val="00923948"/>
    <w:rsid w:val="009239D2"/>
    <w:rsid w:val="00923FE0"/>
    <w:rsid w:val="0092406C"/>
    <w:rsid w:val="00924096"/>
    <w:rsid w:val="009243BC"/>
    <w:rsid w:val="0092444D"/>
    <w:rsid w:val="009244D5"/>
    <w:rsid w:val="00924C5B"/>
    <w:rsid w:val="0092506C"/>
    <w:rsid w:val="00925183"/>
    <w:rsid w:val="009252F1"/>
    <w:rsid w:val="00925588"/>
    <w:rsid w:val="00925992"/>
    <w:rsid w:val="00925AF5"/>
    <w:rsid w:val="00925AFA"/>
    <w:rsid w:val="00925C76"/>
    <w:rsid w:val="00926268"/>
    <w:rsid w:val="009264A2"/>
    <w:rsid w:val="00926A89"/>
    <w:rsid w:val="00926B2C"/>
    <w:rsid w:val="00926D96"/>
    <w:rsid w:val="00926E91"/>
    <w:rsid w:val="00926F3D"/>
    <w:rsid w:val="0092715D"/>
    <w:rsid w:val="00927206"/>
    <w:rsid w:val="009278DB"/>
    <w:rsid w:val="009279FF"/>
    <w:rsid w:val="00930057"/>
    <w:rsid w:val="009300CB"/>
    <w:rsid w:val="00930632"/>
    <w:rsid w:val="009310BC"/>
    <w:rsid w:val="009310EC"/>
    <w:rsid w:val="00931D3F"/>
    <w:rsid w:val="0093228F"/>
    <w:rsid w:val="009324C4"/>
    <w:rsid w:val="00932671"/>
    <w:rsid w:val="0093276C"/>
    <w:rsid w:val="00932A7A"/>
    <w:rsid w:val="00932A87"/>
    <w:rsid w:val="009330BF"/>
    <w:rsid w:val="00933637"/>
    <w:rsid w:val="00933817"/>
    <w:rsid w:val="00933BC5"/>
    <w:rsid w:val="00933C07"/>
    <w:rsid w:val="00933CAC"/>
    <w:rsid w:val="00933DBE"/>
    <w:rsid w:val="00934510"/>
    <w:rsid w:val="0093476C"/>
    <w:rsid w:val="00935772"/>
    <w:rsid w:val="00935A1E"/>
    <w:rsid w:val="00935B7C"/>
    <w:rsid w:val="00935E3A"/>
    <w:rsid w:val="00936005"/>
    <w:rsid w:val="0093607C"/>
    <w:rsid w:val="00936713"/>
    <w:rsid w:val="009369C4"/>
    <w:rsid w:val="00936D90"/>
    <w:rsid w:val="00937538"/>
    <w:rsid w:val="00937849"/>
    <w:rsid w:val="009378DB"/>
    <w:rsid w:val="00937A83"/>
    <w:rsid w:val="00937B51"/>
    <w:rsid w:val="00937BF1"/>
    <w:rsid w:val="00940008"/>
    <w:rsid w:val="00940FC3"/>
    <w:rsid w:val="00940FFA"/>
    <w:rsid w:val="00941503"/>
    <w:rsid w:val="00941543"/>
    <w:rsid w:val="009417E3"/>
    <w:rsid w:val="0094187D"/>
    <w:rsid w:val="00941A6F"/>
    <w:rsid w:val="00941D4D"/>
    <w:rsid w:val="00942227"/>
    <w:rsid w:val="009427D0"/>
    <w:rsid w:val="009429EE"/>
    <w:rsid w:val="00942A82"/>
    <w:rsid w:val="00942C64"/>
    <w:rsid w:val="00942C90"/>
    <w:rsid w:val="00942D31"/>
    <w:rsid w:val="00942F29"/>
    <w:rsid w:val="00942FB6"/>
    <w:rsid w:val="00942FF7"/>
    <w:rsid w:val="009434EB"/>
    <w:rsid w:val="00943BFB"/>
    <w:rsid w:val="00943EA6"/>
    <w:rsid w:val="0094400C"/>
    <w:rsid w:val="00944400"/>
    <w:rsid w:val="009448F2"/>
    <w:rsid w:val="009448F3"/>
    <w:rsid w:val="0094524B"/>
    <w:rsid w:val="009456E3"/>
    <w:rsid w:val="00945759"/>
    <w:rsid w:val="00945F14"/>
    <w:rsid w:val="009466E9"/>
    <w:rsid w:val="00946850"/>
    <w:rsid w:val="00946A49"/>
    <w:rsid w:val="00946CB3"/>
    <w:rsid w:val="00946D20"/>
    <w:rsid w:val="00946E51"/>
    <w:rsid w:val="009473F4"/>
    <w:rsid w:val="00947455"/>
    <w:rsid w:val="00947656"/>
    <w:rsid w:val="0094767D"/>
    <w:rsid w:val="009478EB"/>
    <w:rsid w:val="00947FC1"/>
    <w:rsid w:val="00950231"/>
    <w:rsid w:val="009503A2"/>
    <w:rsid w:val="00950794"/>
    <w:rsid w:val="009507AA"/>
    <w:rsid w:val="009509EF"/>
    <w:rsid w:val="00951550"/>
    <w:rsid w:val="009515CA"/>
    <w:rsid w:val="00951691"/>
    <w:rsid w:val="00951A1F"/>
    <w:rsid w:val="00951FCE"/>
    <w:rsid w:val="00952126"/>
    <w:rsid w:val="009521CC"/>
    <w:rsid w:val="0095226C"/>
    <w:rsid w:val="009524A4"/>
    <w:rsid w:val="00952548"/>
    <w:rsid w:val="00952C05"/>
    <w:rsid w:val="00952D52"/>
    <w:rsid w:val="00952D68"/>
    <w:rsid w:val="00953681"/>
    <w:rsid w:val="00953847"/>
    <w:rsid w:val="00953D31"/>
    <w:rsid w:val="009540B7"/>
    <w:rsid w:val="009543D0"/>
    <w:rsid w:val="009545B4"/>
    <w:rsid w:val="0095485C"/>
    <w:rsid w:val="00954DAE"/>
    <w:rsid w:val="00955265"/>
    <w:rsid w:val="00955410"/>
    <w:rsid w:val="0095555D"/>
    <w:rsid w:val="00955821"/>
    <w:rsid w:val="009558EE"/>
    <w:rsid w:val="009559D5"/>
    <w:rsid w:val="00955C17"/>
    <w:rsid w:val="00955D04"/>
    <w:rsid w:val="00955D82"/>
    <w:rsid w:val="00955FFA"/>
    <w:rsid w:val="009560D0"/>
    <w:rsid w:val="00956170"/>
    <w:rsid w:val="00956A20"/>
    <w:rsid w:val="00956BA1"/>
    <w:rsid w:val="00956D42"/>
    <w:rsid w:val="00956F0F"/>
    <w:rsid w:val="00957065"/>
    <w:rsid w:val="0095727F"/>
    <w:rsid w:val="009572AF"/>
    <w:rsid w:val="00957C78"/>
    <w:rsid w:val="00957D14"/>
    <w:rsid w:val="00957E41"/>
    <w:rsid w:val="0096023A"/>
    <w:rsid w:val="0096029E"/>
    <w:rsid w:val="0096051C"/>
    <w:rsid w:val="0096072E"/>
    <w:rsid w:val="009607AB"/>
    <w:rsid w:val="00960A9A"/>
    <w:rsid w:val="0096107C"/>
    <w:rsid w:val="0096107E"/>
    <w:rsid w:val="0096113C"/>
    <w:rsid w:val="009615DB"/>
    <w:rsid w:val="00961A8A"/>
    <w:rsid w:val="00961E17"/>
    <w:rsid w:val="009621B8"/>
    <w:rsid w:val="00962683"/>
    <w:rsid w:val="00962E23"/>
    <w:rsid w:val="00962ED0"/>
    <w:rsid w:val="00963149"/>
    <w:rsid w:val="009635D4"/>
    <w:rsid w:val="009635F5"/>
    <w:rsid w:val="00963CE6"/>
    <w:rsid w:val="00963E3A"/>
    <w:rsid w:val="00964137"/>
    <w:rsid w:val="0096456D"/>
    <w:rsid w:val="0096487C"/>
    <w:rsid w:val="00964B36"/>
    <w:rsid w:val="00964BC2"/>
    <w:rsid w:val="00964D4A"/>
    <w:rsid w:val="00964E20"/>
    <w:rsid w:val="00964EAE"/>
    <w:rsid w:val="00965023"/>
    <w:rsid w:val="009650B7"/>
    <w:rsid w:val="0096515D"/>
    <w:rsid w:val="00965635"/>
    <w:rsid w:val="00965841"/>
    <w:rsid w:val="00965A0D"/>
    <w:rsid w:val="00965EE1"/>
    <w:rsid w:val="00966623"/>
    <w:rsid w:val="009668D5"/>
    <w:rsid w:val="00966D23"/>
    <w:rsid w:val="009678DB"/>
    <w:rsid w:val="00967920"/>
    <w:rsid w:val="00967CB5"/>
    <w:rsid w:val="009700B6"/>
    <w:rsid w:val="00970728"/>
    <w:rsid w:val="009707C9"/>
    <w:rsid w:val="0097082A"/>
    <w:rsid w:val="00970DBB"/>
    <w:rsid w:val="009715E0"/>
    <w:rsid w:val="00971A3C"/>
    <w:rsid w:val="00971D40"/>
    <w:rsid w:val="00971E0B"/>
    <w:rsid w:val="00972101"/>
    <w:rsid w:val="00972D22"/>
    <w:rsid w:val="00972FB5"/>
    <w:rsid w:val="00973510"/>
    <w:rsid w:val="00973669"/>
    <w:rsid w:val="009736FE"/>
    <w:rsid w:val="00973B96"/>
    <w:rsid w:val="00973BAA"/>
    <w:rsid w:val="00973BB6"/>
    <w:rsid w:val="00973E3C"/>
    <w:rsid w:val="00974763"/>
    <w:rsid w:val="00974B73"/>
    <w:rsid w:val="00974F96"/>
    <w:rsid w:val="00975234"/>
    <w:rsid w:val="0097563C"/>
    <w:rsid w:val="009757CA"/>
    <w:rsid w:val="00975AF3"/>
    <w:rsid w:val="00975C9D"/>
    <w:rsid w:val="00975E2A"/>
    <w:rsid w:val="0097602E"/>
    <w:rsid w:val="00976E22"/>
    <w:rsid w:val="00976E76"/>
    <w:rsid w:val="0097718F"/>
    <w:rsid w:val="00977A14"/>
    <w:rsid w:val="00977C00"/>
    <w:rsid w:val="00977E9B"/>
    <w:rsid w:val="00977EA6"/>
    <w:rsid w:val="0098036E"/>
    <w:rsid w:val="00980443"/>
    <w:rsid w:val="009804BE"/>
    <w:rsid w:val="009807BF"/>
    <w:rsid w:val="009808EF"/>
    <w:rsid w:val="009808F6"/>
    <w:rsid w:val="009809CE"/>
    <w:rsid w:val="00980D42"/>
    <w:rsid w:val="009811BB"/>
    <w:rsid w:val="0098131F"/>
    <w:rsid w:val="00981479"/>
    <w:rsid w:val="00981C55"/>
    <w:rsid w:val="00981CF9"/>
    <w:rsid w:val="00981D30"/>
    <w:rsid w:val="00982295"/>
    <w:rsid w:val="009829B3"/>
    <w:rsid w:val="00982C31"/>
    <w:rsid w:val="00982D45"/>
    <w:rsid w:val="00982FE4"/>
    <w:rsid w:val="00983165"/>
    <w:rsid w:val="00983343"/>
    <w:rsid w:val="009833C4"/>
    <w:rsid w:val="009834E0"/>
    <w:rsid w:val="009837B6"/>
    <w:rsid w:val="009838FF"/>
    <w:rsid w:val="00983A78"/>
    <w:rsid w:val="00983C5A"/>
    <w:rsid w:val="00983E33"/>
    <w:rsid w:val="00983FA9"/>
    <w:rsid w:val="00984149"/>
    <w:rsid w:val="00984195"/>
    <w:rsid w:val="0098447A"/>
    <w:rsid w:val="00984759"/>
    <w:rsid w:val="00984788"/>
    <w:rsid w:val="00984909"/>
    <w:rsid w:val="00984D7E"/>
    <w:rsid w:val="00984E69"/>
    <w:rsid w:val="00984FF3"/>
    <w:rsid w:val="00984FF9"/>
    <w:rsid w:val="009850C5"/>
    <w:rsid w:val="00985164"/>
    <w:rsid w:val="0098594C"/>
    <w:rsid w:val="00985D4C"/>
    <w:rsid w:val="00986326"/>
    <w:rsid w:val="00986849"/>
    <w:rsid w:val="00986BB7"/>
    <w:rsid w:val="00986D4B"/>
    <w:rsid w:val="00986E11"/>
    <w:rsid w:val="00986E1E"/>
    <w:rsid w:val="00986F6D"/>
    <w:rsid w:val="0098727C"/>
    <w:rsid w:val="00987412"/>
    <w:rsid w:val="00987708"/>
    <w:rsid w:val="00987DDD"/>
    <w:rsid w:val="00987DF0"/>
    <w:rsid w:val="00987DF4"/>
    <w:rsid w:val="00987E2E"/>
    <w:rsid w:val="0099008B"/>
    <w:rsid w:val="0099015F"/>
    <w:rsid w:val="00990D3F"/>
    <w:rsid w:val="00990E18"/>
    <w:rsid w:val="009911F3"/>
    <w:rsid w:val="00991202"/>
    <w:rsid w:val="0099177B"/>
    <w:rsid w:val="009917E0"/>
    <w:rsid w:val="00991BB7"/>
    <w:rsid w:val="00992516"/>
    <w:rsid w:val="00992C1C"/>
    <w:rsid w:val="00992DEC"/>
    <w:rsid w:val="009931A3"/>
    <w:rsid w:val="0099367E"/>
    <w:rsid w:val="00993B7A"/>
    <w:rsid w:val="00993FE4"/>
    <w:rsid w:val="0099425E"/>
    <w:rsid w:val="009946DC"/>
    <w:rsid w:val="0099482F"/>
    <w:rsid w:val="00994A02"/>
    <w:rsid w:val="00994B14"/>
    <w:rsid w:val="00994CDC"/>
    <w:rsid w:val="009954C7"/>
    <w:rsid w:val="00995518"/>
    <w:rsid w:val="009969CD"/>
    <w:rsid w:val="00996CFC"/>
    <w:rsid w:val="009974C3"/>
    <w:rsid w:val="0099750A"/>
    <w:rsid w:val="0099770A"/>
    <w:rsid w:val="00997769"/>
    <w:rsid w:val="00997A2E"/>
    <w:rsid w:val="00997B9F"/>
    <w:rsid w:val="00997CB7"/>
    <w:rsid w:val="009A048E"/>
    <w:rsid w:val="009A0A2C"/>
    <w:rsid w:val="009A0AD9"/>
    <w:rsid w:val="009A119F"/>
    <w:rsid w:val="009A15E6"/>
    <w:rsid w:val="009A1609"/>
    <w:rsid w:val="009A1A7E"/>
    <w:rsid w:val="009A33D8"/>
    <w:rsid w:val="009A3480"/>
    <w:rsid w:val="009A3DB8"/>
    <w:rsid w:val="009A4356"/>
    <w:rsid w:val="009A438C"/>
    <w:rsid w:val="009A43B3"/>
    <w:rsid w:val="009A464D"/>
    <w:rsid w:val="009A4781"/>
    <w:rsid w:val="009A47D3"/>
    <w:rsid w:val="009A496F"/>
    <w:rsid w:val="009A4B78"/>
    <w:rsid w:val="009A4D73"/>
    <w:rsid w:val="009A4E41"/>
    <w:rsid w:val="009A4F24"/>
    <w:rsid w:val="009A5297"/>
    <w:rsid w:val="009A5326"/>
    <w:rsid w:val="009A537A"/>
    <w:rsid w:val="009A53DC"/>
    <w:rsid w:val="009A5A88"/>
    <w:rsid w:val="009A5D40"/>
    <w:rsid w:val="009A5E10"/>
    <w:rsid w:val="009A5E7C"/>
    <w:rsid w:val="009A5E9E"/>
    <w:rsid w:val="009A6665"/>
    <w:rsid w:val="009A6785"/>
    <w:rsid w:val="009A743F"/>
    <w:rsid w:val="009A74F7"/>
    <w:rsid w:val="009A76B0"/>
    <w:rsid w:val="009A76B2"/>
    <w:rsid w:val="009A785E"/>
    <w:rsid w:val="009A7CF2"/>
    <w:rsid w:val="009A7E88"/>
    <w:rsid w:val="009A7FD7"/>
    <w:rsid w:val="009B00F2"/>
    <w:rsid w:val="009B0FB2"/>
    <w:rsid w:val="009B1113"/>
    <w:rsid w:val="009B1285"/>
    <w:rsid w:val="009B1C34"/>
    <w:rsid w:val="009B1D22"/>
    <w:rsid w:val="009B1E86"/>
    <w:rsid w:val="009B2031"/>
    <w:rsid w:val="009B27C4"/>
    <w:rsid w:val="009B2D92"/>
    <w:rsid w:val="009B2EFF"/>
    <w:rsid w:val="009B3250"/>
    <w:rsid w:val="009B327E"/>
    <w:rsid w:val="009B3344"/>
    <w:rsid w:val="009B401A"/>
    <w:rsid w:val="009B40D1"/>
    <w:rsid w:val="009B415D"/>
    <w:rsid w:val="009B42D2"/>
    <w:rsid w:val="009B42D4"/>
    <w:rsid w:val="009B439B"/>
    <w:rsid w:val="009B439E"/>
    <w:rsid w:val="009B4A06"/>
    <w:rsid w:val="009B4F56"/>
    <w:rsid w:val="009B51DB"/>
    <w:rsid w:val="009B53CF"/>
    <w:rsid w:val="009B5E9C"/>
    <w:rsid w:val="009B609E"/>
    <w:rsid w:val="009B6A9E"/>
    <w:rsid w:val="009B6CCC"/>
    <w:rsid w:val="009B70C8"/>
    <w:rsid w:val="009B722F"/>
    <w:rsid w:val="009B737C"/>
    <w:rsid w:val="009B742E"/>
    <w:rsid w:val="009B75A4"/>
    <w:rsid w:val="009B7BCF"/>
    <w:rsid w:val="009C0AC6"/>
    <w:rsid w:val="009C0E66"/>
    <w:rsid w:val="009C0EC0"/>
    <w:rsid w:val="009C111D"/>
    <w:rsid w:val="009C11B2"/>
    <w:rsid w:val="009C125F"/>
    <w:rsid w:val="009C1456"/>
    <w:rsid w:val="009C164F"/>
    <w:rsid w:val="009C1871"/>
    <w:rsid w:val="009C1C30"/>
    <w:rsid w:val="009C22DD"/>
    <w:rsid w:val="009C2551"/>
    <w:rsid w:val="009C29D5"/>
    <w:rsid w:val="009C30A0"/>
    <w:rsid w:val="009C32EF"/>
    <w:rsid w:val="009C359E"/>
    <w:rsid w:val="009C35EF"/>
    <w:rsid w:val="009C37FE"/>
    <w:rsid w:val="009C3827"/>
    <w:rsid w:val="009C3B3C"/>
    <w:rsid w:val="009C4059"/>
    <w:rsid w:val="009C4082"/>
    <w:rsid w:val="009C47BF"/>
    <w:rsid w:val="009C4806"/>
    <w:rsid w:val="009C4A38"/>
    <w:rsid w:val="009C4AD8"/>
    <w:rsid w:val="009C4D3D"/>
    <w:rsid w:val="009C51D4"/>
    <w:rsid w:val="009C53DB"/>
    <w:rsid w:val="009C53FF"/>
    <w:rsid w:val="009C55E2"/>
    <w:rsid w:val="009C5692"/>
    <w:rsid w:val="009C5A4E"/>
    <w:rsid w:val="009C5EE5"/>
    <w:rsid w:val="009C61E3"/>
    <w:rsid w:val="009C638C"/>
    <w:rsid w:val="009C6760"/>
    <w:rsid w:val="009C6A82"/>
    <w:rsid w:val="009C6B56"/>
    <w:rsid w:val="009C6C93"/>
    <w:rsid w:val="009C76F9"/>
    <w:rsid w:val="009C7727"/>
    <w:rsid w:val="009C7785"/>
    <w:rsid w:val="009C7DB8"/>
    <w:rsid w:val="009C7FF0"/>
    <w:rsid w:val="009D010D"/>
    <w:rsid w:val="009D0244"/>
    <w:rsid w:val="009D050F"/>
    <w:rsid w:val="009D0612"/>
    <w:rsid w:val="009D0772"/>
    <w:rsid w:val="009D0A23"/>
    <w:rsid w:val="009D0F71"/>
    <w:rsid w:val="009D111C"/>
    <w:rsid w:val="009D13E4"/>
    <w:rsid w:val="009D141A"/>
    <w:rsid w:val="009D17A0"/>
    <w:rsid w:val="009D1A08"/>
    <w:rsid w:val="009D1E51"/>
    <w:rsid w:val="009D1F7A"/>
    <w:rsid w:val="009D2165"/>
    <w:rsid w:val="009D2873"/>
    <w:rsid w:val="009D2942"/>
    <w:rsid w:val="009D2B86"/>
    <w:rsid w:val="009D3827"/>
    <w:rsid w:val="009D3A1A"/>
    <w:rsid w:val="009D3A9F"/>
    <w:rsid w:val="009D417F"/>
    <w:rsid w:val="009D426A"/>
    <w:rsid w:val="009D4602"/>
    <w:rsid w:val="009D478D"/>
    <w:rsid w:val="009D480E"/>
    <w:rsid w:val="009D4B7B"/>
    <w:rsid w:val="009D4D98"/>
    <w:rsid w:val="009D5222"/>
    <w:rsid w:val="009D54E0"/>
    <w:rsid w:val="009D5766"/>
    <w:rsid w:val="009D5BDB"/>
    <w:rsid w:val="009D5CCA"/>
    <w:rsid w:val="009D6453"/>
    <w:rsid w:val="009D648A"/>
    <w:rsid w:val="009D6B03"/>
    <w:rsid w:val="009D6B3D"/>
    <w:rsid w:val="009D6ED8"/>
    <w:rsid w:val="009D7422"/>
    <w:rsid w:val="009D77A4"/>
    <w:rsid w:val="009D78E7"/>
    <w:rsid w:val="009D7AF8"/>
    <w:rsid w:val="009D7DAE"/>
    <w:rsid w:val="009E0505"/>
    <w:rsid w:val="009E0742"/>
    <w:rsid w:val="009E092E"/>
    <w:rsid w:val="009E09EB"/>
    <w:rsid w:val="009E0C4D"/>
    <w:rsid w:val="009E0EE8"/>
    <w:rsid w:val="009E125B"/>
    <w:rsid w:val="009E1291"/>
    <w:rsid w:val="009E12BC"/>
    <w:rsid w:val="009E1ED1"/>
    <w:rsid w:val="009E1F53"/>
    <w:rsid w:val="009E224D"/>
    <w:rsid w:val="009E2415"/>
    <w:rsid w:val="009E2521"/>
    <w:rsid w:val="009E26D5"/>
    <w:rsid w:val="009E276C"/>
    <w:rsid w:val="009E27C1"/>
    <w:rsid w:val="009E289D"/>
    <w:rsid w:val="009E2A07"/>
    <w:rsid w:val="009E2C6D"/>
    <w:rsid w:val="009E3398"/>
    <w:rsid w:val="009E3577"/>
    <w:rsid w:val="009E36A4"/>
    <w:rsid w:val="009E3C18"/>
    <w:rsid w:val="009E3D2B"/>
    <w:rsid w:val="009E3E84"/>
    <w:rsid w:val="009E3EC6"/>
    <w:rsid w:val="009E4097"/>
    <w:rsid w:val="009E4664"/>
    <w:rsid w:val="009E47C6"/>
    <w:rsid w:val="009E4D8E"/>
    <w:rsid w:val="009E4E90"/>
    <w:rsid w:val="009E4EB7"/>
    <w:rsid w:val="009E4F2C"/>
    <w:rsid w:val="009E5105"/>
    <w:rsid w:val="009E5609"/>
    <w:rsid w:val="009E56C7"/>
    <w:rsid w:val="009E57C1"/>
    <w:rsid w:val="009E624A"/>
    <w:rsid w:val="009E6508"/>
    <w:rsid w:val="009E6986"/>
    <w:rsid w:val="009E6AC2"/>
    <w:rsid w:val="009E6B32"/>
    <w:rsid w:val="009E70F3"/>
    <w:rsid w:val="009E7B46"/>
    <w:rsid w:val="009E7E98"/>
    <w:rsid w:val="009E7F64"/>
    <w:rsid w:val="009F00EE"/>
    <w:rsid w:val="009F00EF"/>
    <w:rsid w:val="009F0374"/>
    <w:rsid w:val="009F0827"/>
    <w:rsid w:val="009F0BED"/>
    <w:rsid w:val="009F15CF"/>
    <w:rsid w:val="009F1673"/>
    <w:rsid w:val="009F167D"/>
    <w:rsid w:val="009F16D7"/>
    <w:rsid w:val="009F1EA5"/>
    <w:rsid w:val="009F22DB"/>
    <w:rsid w:val="009F25FA"/>
    <w:rsid w:val="009F3255"/>
    <w:rsid w:val="009F34AA"/>
    <w:rsid w:val="009F3DCE"/>
    <w:rsid w:val="009F3E2F"/>
    <w:rsid w:val="009F44FF"/>
    <w:rsid w:val="009F46E8"/>
    <w:rsid w:val="009F472D"/>
    <w:rsid w:val="009F4CF0"/>
    <w:rsid w:val="009F4E88"/>
    <w:rsid w:val="009F4F54"/>
    <w:rsid w:val="009F50D1"/>
    <w:rsid w:val="009F568A"/>
    <w:rsid w:val="009F573B"/>
    <w:rsid w:val="009F5918"/>
    <w:rsid w:val="009F596D"/>
    <w:rsid w:val="009F5D37"/>
    <w:rsid w:val="009F672E"/>
    <w:rsid w:val="009F6782"/>
    <w:rsid w:val="009F6A91"/>
    <w:rsid w:val="009F6C0F"/>
    <w:rsid w:val="009F71A6"/>
    <w:rsid w:val="009F71AA"/>
    <w:rsid w:val="009F7326"/>
    <w:rsid w:val="009F754A"/>
    <w:rsid w:val="009F791F"/>
    <w:rsid w:val="009F7EC0"/>
    <w:rsid w:val="009F7F86"/>
    <w:rsid w:val="00A0034D"/>
    <w:rsid w:val="00A00BFB"/>
    <w:rsid w:val="00A00DCF"/>
    <w:rsid w:val="00A0126C"/>
    <w:rsid w:val="00A012DA"/>
    <w:rsid w:val="00A0187E"/>
    <w:rsid w:val="00A02000"/>
    <w:rsid w:val="00A023AF"/>
    <w:rsid w:val="00A02450"/>
    <w:rsid w:val="00A026F0"/>
    <w:rsid w:val="00A02B64"/>
    <w:rsid w:val="00A02BED"/>
    <w:rsid w:val="00A02F2D"/>
    <w:rsid w:val="00A02F61"/>
    <w:rsid w:val="00A03CD7"/>
    <w:rsid w:val="00A03E0E"/>
    <w:rsid w:val="00A040D1"/>
    <w:rsid w:val="00A04197"/>
    <w:rsid w:val="00A04325"/>
    <w:rsid w:val="00A04424"/>
    <w:rsid w:val="00A04A0A"/>
    <w:rsid w:val="00A04E54"/>
    <w:rsid w:val="00A050A8"/>
    <w:rsid w:val="00A056A3"/>
    <w:rsid w:val="00A056AA"/>
    <w:rsid w:val="00A057DF"/>
    <w:rsid w:val="00A05B51"/>
    <w:rsid w:val="00A06286"/>
    <w:rsid w:val="00A06318"/>
    <w:rsid w:val="00A063BC"/>
    <w:rsid w:val="00A068E1"/>
    <w:rsid w:val="00A06A80"/>
    <w:rsid w:val="00A06CC5"/>
    <w:rsid w:val="00A06D8A"/>
    <w:rsid w:val="00A0711F"/>
    <w:rsid w:val="00A07B0B"/>
    <w:rsid w:val="00A1023A"/>
    <w:rsid w:val="00A102A0"/>
    <w:rsid w:val="00A104AE"/>
    <w:rsid w:val="00A108C2"/>
    <w:rsid w:val="00A10E23"/>
    <w:rsid w:val="00A10E90"/>
    <w:rsid w:val="00A114FA"/>
    <w:rsid w:val="00A11AF3"/>
    <w:rsid w:val="00A11DE0"/>
    <w:rsid w:val="00A1256B"/>
    <w:rsid w:val="00A12798"/>
    <w:rsid w:val="00A12C09"/>
    <w:rsid w:val="00A12E40"/>
    <w:rsid w:val="00A13084"/>
    <w:rsid w:val="00A1327F"/>
    <w:rsid w:val="00A137A8"/>
    <w:rsid w:val="00A13817"/>
    <w:rsid w:val="00A138D3"/>
    <w:rsid w:val="00A13DC7"/>
    <w:rsid w:val="00A13E0F"/>
    <w:rsid w:val="00A144B7"/>
    <w:rsid w:val="00A149B4"/>
    <w:rsid w:val="00A15600"/>
    <w:rsid w:val="00A15698"/>
    <w:rsid w:val="00A158C9"/>
    <w:rsid w:val="00A15A4E"/>
    <w:rsid w:val="00A15F4F"/>
    <w:rsid w:val="00A160AB"/>
    <w:rsid w:val="00A160F0"/>
    <w:rsid w:val="00A164B2"/>
    <w:rsid w:val="00A16745"/>
    <w:rsid w:val="00A16747"/>
    <w:rsid w:val="00A16AB4"/>
    <w:rsid w:val="00A1719F"/>
    <w:rsid w:val="00A175A4"/>
    <w:rsid w:val="00A17800"/>
    <w:rsid w:val="00A17A6F"/>
    <w:rsid w:val="00A17C1D"/>
    <w:rsid w:val="00A20013"/>
    <w:rsid w:val="00A20582"/>
    <w:rsid w:val="00A20C65"/>
    <w:rsid w:val="00A214B2"/>
    <w:rsid w:val="00A21767"/>
    <w:rsid w:val="00A219BC"/>
    <w:rsid w:val="00A21FD5"/>
    <w:rsid w:val="00A22434"/>
    <w:rsid w:val="00A22614"/>
    <w:rsid w:val="00A226FF"/>
    <w:rsid w:val="00A22751"/>
    <w:rsid w:val="00A228DC"/>
    <w:rsid w:val="00A22940"/>
    <w:rsid w:val="00A23102"/>
    <w:rsid w:val="00A23284"/>
    <w:rsid w:val="00A2343F"/>
    <w:rsid w:val="00A234CF"/>
    <w:rsid w:val="00A23505"/>
    <w:rsid w:val="00A23598"/>
    <w:rsid w:val="00A23D17"/>
    <w:rsid w:val="00A2428B"/>
    <w:rsid w:val="00A24498"/>
    <w:rsid w:val="00A244F1"/>
    <w:rsid w:val="00A2476B"/>
    <w:rsid w:val="00A247E5"/>
    <w:rsid w:val="00A24D81"/>
    <w:rsid w:val="00A24EA5"/>
    <w:rsid w:val="00A2500A"/>
    <w:rsid w:val="00A25173"/>
    <w:rsid w:val="00A252F0"/>
    <w:rsid w:val="00A253E7"/>
    <w:rsid w:val="00A259F2"/>
    <w:rsid w:val="00A25E0C"/>
    <w:rsid w:val="00A25FDB"/>
    <w:rsid w:val="00A26463"/>
    <w:rsid w:val="00A26608"/>
    <w:rsid w:val="00A2660E"/>
    <w:rsid w:val="00A267E9"/>
    <w:rsid w:val="00A26916"/>
    <w:rsid w:val="00A26AD1"/>
    <w:rsid w:val="00A26B09"/>
    <w:rsid w:val="00A26B47"/>
    <w:rsid w:val="00A26DD9"/>
    <w:rsid w:val="00A26FF1"/>
    <w:rsid w:val="00A277CE"/>
    <w:rsid w:val="00A27806"/>
    <w:rsid w:val="00A2780E"/>
    <w:rsid w:val="00A27D3B"/>
    <w:rsid w:val="00A3068C"/>
    <w:rsid w:val="00A306EB"/>
    <w:rsid w:val="00A3127F"/>
    <w:rsid w:val="00A314CC"/>
    <w:rsid w:val="00A314EB"/>
    <w:rsid w:val="00A31509"/>
    <w:rsid w:val="00A316E6"/>
    <w:rsid w:val="00A31922"/>
    <w:rsid w:val="00A3199F"/>
    <w:rsid w:val="00A31BCC"/>
    <w:rsid w:val="00A31C70"/>
    <w:rsid w:val="00A3224E"/>
    <w:rsid w:val="00A32382"/>
    <w:rsid w:val="00A3258B"/>
    <w:rsid w:val="00A325BB"/>
    <w:rsid w:val="00A32629"/>
    <w:rsid w:val="00A326E7"/>
    <w:rsid w:val="00A326EB"/>
    <w:rsid w:val="00A3297A"/>
    <w:rsid w:val="00A32A58"/>
    <w:rsid w:val="00A32EEC"/>
    <w:rsid w:val="00A3318D"/>
    <w:rsid w:val="00A336C5"/>
    <w:rsid w:val="00A338D6"/>
    <w:rsid w:val="00A339CF"/>
    <w:rsid w:val="00A33CA2"/>
    <w:rsid w:val="00A3439C"/>
    <w:rsid w:val="00A34CFE"/>
    <w:rsid w:val="00A34FAB"/>
    <w:rsid w:val="00A3510A"/>
    <w:rsid w:val="00A3515F"/>
    <w:rsid w:val="00A35751"/>
    <w:rsid w:val="00A35762"/>
    <w:rsid w:val="00A3577F"/>
    <w:rsid w:val="00A35799"/>
    <w:rsid w:val="00A35B52"/>
    <w:rsid w:val="00A35BBC"/>
    <w:rsid w:val="00A35DAB"/>
    <w:rsid w:val="00A35FAE"/>
    <w:rsid w:val="00A36160"/>
    <w:rsid w:val="00A365F5"/>
    <w:rsid w:val="00A36679"/>
    <w:rsid w:val="00A36724"/>
    <w:rsid w:val="00A367AF"/>
    <w:rsid w:val="00A36AA0"/>
    <w:rsid w:val="00A36C13"/>
    <w:rsid w:val="00A37412"/>
    <w:rsid w:val="00A37560"/>
    <w:rsid w:val="00A37674"/>
    <w:rsid w:val="00A377C2"/>
    <w:rsid w:val="00A37A31"/>
    <w:rsid w:val="00A37C04"/>
    <w:rsid w:val="00A4005A"/>
    <w:rsid w:val="00A40092"/>
    <w:rsid w:val="00A402EC"/>
    <w:rsid w:val="00A40B1F"/>
    <w:rsid w:val="00A40B4D"/>
    <w:rsid w:val="00A40B60"/>
    <w:rsid w:val="00A411E2"/>
    <w:rsid w:val="00A41302"/>
    <w:rsid w:val="00A41373"/>
    <w:rsid w:val="00A415DF"/>
    <w:rsid w:val="00A41638"/>
    <w:rsid w:val="00A41B15"/>
    <w:rsid w:val="00A4224E"/>
    <w:rsid w:val="00A4229F"/>
    <w:rsid w:val="00A4263C"/>
    <w:rsid w:val="00A4277E"/>
    <w:rsid w:val="00A428A9"/>
    <w:rsid w:val="00A42ACA"/>
    <w:rsid w:val="00A436C0"/>
    <w:rsid w:val="00A43880"/>
    <w:rsid w:val="00A43AAB"/>
    <w:rsid w:val="00A43AFE"/>
    <w:rsid w:val="00A43F38"/>
    <w:rsid w:val="00A440CD"/>
    <w:rsid w:val="00A44AAD"/>
    <w:rsid w:val="00A44CC6"/>
    <w:rsid w:val="00A44E8A"/>
    <w:rsid w:val="00A45280"/>
    <w:rsid w:val="00A4562B"/>
    <w:rsid w:val="00A45BF7"/>
    <w:rsid w:val="00A45DBB"/>
    <w:rsid w:val="00A45F01"/>
    <w:rsid w:val="00A463B5"/>
    <w:rsid w:val="00A463BA"/>
    <w:rsid w:val="00A46415"/>
    <w:rsid w:val="00A464D3"/>
    <w:rsid w:val="00A464F0"/>
    <w:rsid w:val="00A46675"/>
    <w:rsid w:val="00A46CEC"/>
    <w:rsid w:val="00A471A3"/>
    <w:rsid w:val="00A474BF"/>
    <w:rsid w:val="00A47597"/>
    <w:rsid w:val="00A47A9E"/>
    <w:rsid w:val="00A47B35"/>
    <w:rsid w:val="00A47CB5"/>
    <w:rsid w:val="00A47E08"/>
    <w:rsid w:val="00A47E44"/>
    <w:rsid w:val="00A47F91"/>
    <w:rsid w:val="00A507D7"/>
    <w:rsid w:val="00A508D0"/>
    <w:rsid w:val="00A50A5C"/>
    <w:rsid w:val="00A50BE2"/>
    <w:rsid w:val="00A50CC6"/>
    <w:rsid w:val="00A50CE0"/>
    <w:rsid w:val="00A50E40"/>
    <w:rsid w:val="00A510C2"/>
    <w:rsid w:val="00A51135"/>
    <w:rsid w:val="00A51462"/>
    <w:rsid w:val="00A515CE"/>
    <w:rsid w:val="00A51946"/>
    <w:rsid w:val="00A51C1F"/>
    <w:rsid w:val="00A51FF7"/>
    <w:rsid w:val="00A52079"/>
    <w:rsid w:val="00A52143"/>
    <w:rsid w:val="00A521A4"/>
    <w:rsid w:val="00A521E9"/>
    <w:rsid w:val="00A5298E"/>
    <w:rsid w:val="00A52B3E"/>
    <w:rsid w:val="00A52DD5"/>
    <w:rsid w:val="00A5306B"/>
    <w:rsid w:val="00A5313B"/>
    <w:rsid w:val="00A5320E"/>
    <w:rsid w:val="00A537C9"/>
    <w:rsid w:val="00A5397B"/>
    <w:rsid w:val="00A53F38"/>
    <w:rsid w:val="00A53F7B"/>
    <w:rsid w:val="00A54090"/>
    <w:rsid w:val="00A54282"/>
    <w:rsid w:val="00A549D3"/>
    <w:rsid w:val="00A54BE2"/>
    <w:rsid w:val="00A54DF0"/>
    <w:rsid w:val="00A566D5"/>
    <w:rsid w:val="00A56BCA"/>
    <w:rsid w:val="00A56E99"/>
    <w:rsid w:val="00A571C2"/>
    <w:rsid w:val="00A57212"/>
    <w:rsid w:val="00A5762E"/>
    <w:rsid w:val="00A57657"/>
    <w:rsid w:val="00A57880"/>
    <w:rsid w:val="00A57D36"/>
    <w:rsid w:val="00A57E98"/>
    <w:rsid w:val="00A60662"/>
    <w:rsid w:val="00A60730"/>
    <w:rsid w:val="00A60849"/>
    <w:rsid w:val="00A60DDD"/>
    <w:rsid w:val="00A6105B"/>
    <w:rsid w:val="00A61117"/>
    <w:rsid w:val="00A61355"/>
    <w:rsid w:val="00A614D6"/>
    <w:rsid w:val="00A61668"/>
    <w:rsid w:val="00A6172E"/>
    <w:rsid w:val="00A617C5"/>
    <w:rsid w:val="00A61E1F"/>
    <w:rsid w:val="00A61F9D"/>
    <w:rsid w:val="00A62177"/>
    <w:rsid w:val="00A621CF"/>
    <w:rsid w:val="00A621D3"/>
    <w:rsid w:val="00A626B0"/>
    <w:rsid w:val="00A628F8"/>
    <w:rsid w:val="00A62B7A"/>
    <w:rsid w:val="00A62EFB"/>
    <w:rsid w:val="00A63140"/>
    <w:rsid w:val="00A632EA"/>
    <w:rsid w:val="00A634BE"/>
    <w:rsid w:val="00A634CD"/>
    <w:rsid w:val="00A63AD7"/>
    <w:rsid w:val="00A63BFD"/>
    <w:rsid w:val="00A6422A"/>
    <w:rsid w:val="00A643E3"/>
    <w:rsid w:val="00A6444A"/>
    <w:rsid w:val="00A6491F"/>
    <w:rsid w:val="00A64C72"/>
    <w:rsid w:val="00A64D1A"/>
    <w:rsid w:val="00A65320"/>
    <w:rsid w:val="00A653D8"/>
    <w:rsid w:val="00A6552D"/>
    <w:rsid w:val="00A6580C"/>
    <w:rsid w:val="00A658E0"/>
    <w:rsid w:val="00A65BA5"/>
    <w:rsid w:val="00A66006"/>
    <w:rsid w:val="00A660F5"/>
    <w:rsid w:val="00A66288"/>
    <w:rsid w:val="00A66354"/>
    <w:rsid w:val="00A663C7"/>
    <w:rsid w:val="00A6650C"/>
    <w:rsid w:val="00A665C6"/>
    <w:rsid w:val="00A6668D"/>
    <w:rsid w:val="00A66E37"/>
    <w:rsid w:val="00A66ECF"/>
    <w:rsid w:val="00A67319"/>
    <w:rsid w:val="00A67A08"/>
    <w:rsid w:val="00A67E38"/>
    <w:rsid w:val="00A703E4"/>
    <w:rsid w:val="00A70AC8"/>
    <w:rsid w:val="00A70DC6"/>
    <w:rsid w:val="00A70FFC"/>
    <w:rsid w:val="00A71058"/>
    <w:rsid w:val="00A71080"/>
    <w:rsid w:val="00A713B3"/>
    <w:rsid w:val="00A71986"/>
    <w:rsid w:val="00A71E73"/>
    <w:rsid w:val="00A71F4E"/>
    <w:rsid w:val="00A72740"/>
    <w:rsid w:val="00A72A7A"/>
    <w:rsid w:val="00A72D09"/>
    <w:rsid w:val="00A7317C"/>
    <w:rsid w:val="00A73596"/>
    <w:rsid w:val="00A73A64"/>
    <w:rsid w:val="00A73AD9"/>
    <w:rsid w:val="00A73DD8"/>
    <w:rsid w:val="00A740CB"/>
    <w:rsid w:val="00A74270"/>
    <w:rsid w:val="00A742AD"/>
    <w:rsid w:val="00A746D7"/>
    <w:rsid w:val="00A74AB2"/>
    <w:rsid w:val="00A74DE1"/>
    <w:rsid w:val="00A74E2E"/>
    <w:rsid w:val="00A75124"/>
    <w:rsid w:val="00A75585"/>
    <w:rsid w:val="00A75A46"/>
    <w:rsid w:val="00A75B36"/>
    <w:rsid w:val="00A762F1"/>
    <w:rsid w:val="00A7663A"/>
    <w:rsid w:val="00A7696B"/>
    <w:rsid w:val="00A769D4"/>
    <w:rsid w:val="00A769E7"/>
    <w:rsid w:val="00A76A42"/>
    <w:rsid w:val="00A76EB4"/>
    <w:rsid w:val="00A76FA7"/>
    <w:rsid w:val="00A770DA"/>
    <w:rsid w:val="00A774AD"/>
    <w:rsid w:val="00A775FB"/>
    <w:rsid w:val="00A80268"/>
    <w:rsid w:val="00A804C7"/>
    <w:rsid w:val="00A80857"/>
    <w:rsid w:val="00A80A39"/>
    <w:rsid w:val="00A80DF0"/>
    <w:rsid w:val="00A80E64"/>
    <w:rsid w:val="00A81A15"/>
    <w:rsid w:val="00A81A16"/>
    <w:rsid w:val="00A823A7"/>
    <w:rsid w:val="00A825C8"/>
    <w:rsid w:val="00A826EE"/>
    <w:rsid w:val="00A82742"/>
    <w:rsid w:val="00A829B8"/>
    <w:rsid w:val="00A8372F"/>
    <w:rsid w:val="00A83984"/>
    <w:rsid w:val="00A83A1E"/>
    <w:rsid w:val="00A84198"/>
    <w:rsid w:val="00A841AB"/>
    <w:rsid w:val="00A842BE"/>
    <w:rsid w:val="00A84C34"/>
    <w:rsid w:val="00A84FFD"/>
    <w:rsid w:val="00A85026"/>
    <w:rsid w:val="00A85191"/>
    <w:rsid w:val="00A85265"/>
    <w:rsid w:val="00A854AD"/>
    <w:rsid w:val="00A86104"/>
    <w:rsid w:val="00A862A9"/>
    <w:rsid w:val="00A8655A"/>
    <w:rsid w:val="00A869C0"/>
    <w:rsid w:val="00A86EB0"/>
    <w:rsid w:val="00A87201"/>
    <w:rsid w:val="00A87203"/>
    <w:rsid w:val="00A872C7"/>
    <w:rsid w:val="00A87744"/>
    <w:rsid w:val="00A87AE6"/>
    <w:rsid w:val="00A87B09"/>
    <w:rsid w:val="00A87B98"/>
    <w:rsid w:val="00A87C22"/>
    <w:rsid w:val="00A87CAB"/>
    <w:rsid w:val="00A87F28"/>
    <w:rsid w:val="00A90590"/>
    <w:rsid w:val="00A906F7"/>
    <w:rsid w:val="00A90A97"/>
    <w:rsid w:val="00A90BE9"/>
    <w:rsid w:val="00A90CB4"/>
    <w:rsid w:val="00A90D97"/>
    <w:rsid w:val="00A90DD0"/>
    <w:rsid w:val="00A910DA"/>
    <w:rsid w:val="00A91E73"/>
    <w:rsid w:val="00A92044"/>
    <w:rsid w:val="00A920E1"/>
    <w:rsid w:val="00A9223A"/>
    <w:rsid w:val="00A923D6"/>
    <w:rsid w:val="00A92B42"/>
    <w:rsid w:val="00A933AE"/>
    <w:rsid w:val="00A93863"/>
    <w:rsid w:val="00A9393C"/>
    <w:rsid w:val="00A9415E"/>
    <w:rsid w:val="00A9423F"/>
    <w:rsid w:val="00A942D0"/>
    <w:rsid w:val="00A94B22"/>
    <w:rsid w:val="00A94D93"/>
    <w:rsid w:val="00A94EBD"/>
    <w:rsid w:val="00A950B3"/>
    <w:rsid w:val="00A9510D"/>
    <w:rsid w:val="00A95474"/>
    <w:rsid w:val="00A954DE"/>
    <w:rsid w:val="00A956AC"/>
    <w:rsid w:val="00A95B09"/>
    <w:rsid w:val="00A95D2A"/>
    <w:rsid w:val="00A95D7D"/>
    <w:rsid w:val="00A95E79"/>
    <w:rsid w:val="00A96214"/>
    <w:rsid w:val="00A965DA"/>
    <w:rsid w:val="00A9669B"/>
    <w:rsid w:val="00A967E8"/>
    <w:rsid w:val="00A970EB"/>
    <w:rsid w:val="00A97152"/>
    <w:rsid w:val="00A9793B"/>
    <w:rsid w:val="00A97AF8"/>
    <w:rsid w:val="00A97D38"/>
    <w:rsid w:val="00A97F4B"/>
    <w:rsid w:val="00AA04C5"/>
    <w:rsid w:val="00AA08A9"/>
    <w:rsid w:val="00AA1044"/>
    <w:rsid w:val="00AA10B1"/>
    <w:rsid w:val="00AA1769"/>
    <w:rsid w:val="00AA1810"/>
    <w:rsid w:val="00AA20A8"/>
    <w:rsid w:val="00AA2100"/>
    <w:rsid w:val="00AA239B"/>
    <w:rsid w:val="00AA276B"/>
    <w:rsid w:val="00AA2803"/>
    <w:rsid w:val="00AA29D3"/>
    <w:rsid w:val="00AA2BF2"/>
    <w:rsid w:val="00AA2D65"/>
    <w:rsid w:val="00AA2D68"/>
    <w:rsid w:val="00AA2D6F"/>
    <w:rsid w:val="00AA3987"/>
    <w:rsid w:val="00AA3B68"/>
    <w:rsid w:val="00AA3E79"/>
    <w:rsid w:val="00AA447C"/>
    <w:rsid w:val="00AA49B9"/>
    <w:rsid w:val="00AA4FB4"/>
    <w:rsid w:val="00AA5C0B"/>
    <w:rsid w:val="00AA5E3B"/>
    <w:rsid w:val="00AA62E8"/>
    <w:rsid w:val="00AA63AD"/>
    <w:rsid w:val="00AA63F1"/>
    <w:rsid w:val="00AA65B4"/>
    <w:rsid w:val="00AA65DC"/>
    <w:rsid w:val="00AA745E"/>
    <w:rsid w:val="00AA7B41"/>
    <w:rsid w:val="00AA7E43"/>
    <w:rsid w:val="00AB01BE"/>
    <w:rsid w:val="00AB0352"/>
    <w:rsid w:val="00AB047A"/>
    <w:rsid w:val="00AB04AB"/>
    <w:rsid w:val="00AB0733"/>
    <w:rsid w:val="00AB082F"/>
    <w:rsid w:val="00AB09D2"/>
    <w:rsid w:val="00AB0A49"/>
    <w:rsid w:val="00AB0B64"/>
    <w:rsid w:val="00AB0C30"/>
    <w:rsid w:val="00AB0CC4"/>
    <w:rsid w:val="00AB0D71"/>
    <w:rsid w:val="00AB0EED"/>
    <w:rsid w:val="00AB161B"/>
    <w:rsid w:val="00AB173A"/>
    <w:rsid w:val="00AB176B"/>
    <w:rsid w:val="00AB1BAB"/>
    <w:rsid w:val="00AB3110"/>
    <w:rsid w:val="00AB36D0"/>
    <w:rsid w:val="00AB37E6"/>
    <w:rsid w:val="00AB3ADC"/>
    <w:rsid w:val="00AB3DBA"/>
    <w:rsid w:val="00AB405A"/>
    <w:rsid w:val="00AB431C"/>
    <w:rsid w:val="00AB470E"/>
    <w:rsid w:val="00AB475F"/>
    <w:rsid w:val="00AB5728"/>
    <w:rsid w:val="00AB5750"/>
    <w:rsid w:val="00AB57D6"/>
    <w:rsid w:val="00AB5950"/>
    <w:rsid w:val="00AB5A7E"/>
    <w:rsid w:val="00AB6ED6"/>
    <w:rsid w:val="00AB74B7"/>
    <w:rsid w:val="00AB7538"/>
    <w:rsid w:val="00AB75A7"/>
    <w:rsid w:val="00AB7645"/>
    <w:rsid w:val="00AB77F3"/>
    <w:rsid w:val="00AB7BE7"/>
    <w:rsid w:val="00AC0AAD"/>
    <w:rsid w:val="00AC0C2A"/>
    <w:rsid w:val="00AC1231"/>
    <w:rsid w:val="00AC15D4"/>
    <w:rsid w:val="00AC1992"/>
    <w:rsid w:val="00AC1C0E"/>
    <w:rsid w:val="00AC1E14"/>
    <w:rsid w:val="00AC2896"/>
    <w:rsid w:val="00AC2CFA"/>
    <w:rsid w:val="00AC3247"/>
    <w:rsid w:val="00AC3263"/>
    <w:rsid w:val="00AC34C4"/>
    <w:rsid w:val="00AC395D"/>
    <w:rsid w:val="00AC3E12"/>
    <w:rsid w:val="00AC406E"/>
    <w:rsid w:val="00AC430C"/>
    <w:rsid w:val="00AC4A6B"/>
    <w:rsid w:val="00AC5535"/>
    <w:rsid w:val="00AC55F7"/>
    <w:rsid w:val="00AC58E4"/>
    <w:rsid w:val="00AC5AFC"/>
    <w:rsid w:val="00AC5C19"/>
    <w:rsid w:val="00AC5C24"/>
    <w:rsid w:val="00AC60F0"/>
    <w:rsid w:val="00AC638B"/>
    <w:rsid w:val="00AC646D"/>
    <w:rsid w:val="00AC6657"/>
    <w:rsid w:val="00AC66E3"/>
    <w:rsid w:val="00AC6A24"/>
    <w:rsid w:val="00AC6D7A"/>
    <w:rsid w:val="00AC72B0"/>
    <w:rsid w:val="00AC7363"/>
    <w:rsid w:val="00AC73D3"/>
    <w:rsid w:val="00AC7401"/>
    <w:rsid w:val="00AC7901"/>
    <w:rsid w:val="00AC79F3"/>
    <w:rsid w:val="00AC7A3E"/>
    <w:rsid w:val="00AC7CA0"/>
    <w:rsid w:val="00AC7F15"/>
    <w:rsid w:val="00AC7FDD"/>
    <w:rsid w:val="00AD0140"/>
    <w:rsid w:val="00AD06D5"/>
    <w:rsid w:val="00AD08F5"/>
    <w:rsid w:val="00AD0949"/>
    <w:rsid w:val="00AD0F1D"/>
    <w:rsid w:val="00AD1179"/>
    <w:rsid w:val="00AD1359"/>
    <w:rsid w:val="00AD138E"/>
    <w:rsid w:val="00AD15FD"/>
    <w:rsid w:val="00AD194B"/>
    <w:rsid w:val="00AD19F0"/>
    <w:rsid w:val="00AD1FCE"/>
    <w:rsid w:val="00AD211F"/>
    <w:rsid w:val="00AD26E1"/>
    <w:rsid w:val="00AD29CC"/>
    <w:rsid w:val="00AD3268"/>
    <w:rsid w:val="00AD3960"/>
    <w:rsid w:val="00AD3DE2"/>
    <w:rsid w:val="00AD4261"/>
    <w:rsid w:val="00AD4473"/>
    <w:rsid w:val="00AD4560"/>
    <w:rsid w:val="00AD46F5"/>
    <w:rsid w:val="00AD4841"/>
    <w:rsid w:val="00AD48E3"/>
    <w:rsid w:val="00AD50C6"/>
    <w:rsid w:val="00AD51A3"/>
    <w:rsid w:val="00AD598B"/>
    <w:rsid w:val="00AD5B25"/>
    <w:rsid w:val="00AD5BF1"/>
    <w:rsid w:val="00AD5C65"/>
    <w:rsid w:val="00AD60B4"/>
    <w:rsid w:val="00AD7154"/>
    <w:rsid w:val="00AD7399"/>
    <w:rsid w:val="00AD7499"/>
    <w:rsid w:val="00AD7844"/>
    <w:rsid w:val="00AD797D"/>
    <w:rsid w:val="00AD7C94"/>
    <w:rsid w:val="00AD7E02"/>
    <w:rsid w:val="00AE0076"/>
    <w:rsid w:val="00AE01BB"/>
    <w:rsid w:val="00AE040C"/>
    <w:rsid w:val="00AE0483"/>
    <w:rsid w:val="00AE05DE"/>
    <w:rsid w:val="00AE08DD"/>
    <w:rsid w:val="00AE13BD"/>
    <w:rsid w:val="00AE1681"/>
    <w:rsid w:val="00AE1AF9"/>
    <w:rsid w:val="00AE1E60"/>
    <w:rsid w:val="00AE2068"/>
    <w:rsid w:val="00AE2258"/>
    <w:rsid w:val="00AE24AE"/>
    <w:rsid w:val="00AE277E"/>
    <w:rsid w:val="00AE2A36"/>
    <w:rsid w:val="00AE2B6C"/>
    <w:rsid w:val="00AE2BC6"/>
    <w:rsid w:val="00AE2FC0"/>
    <w:rsid w:val="00AE3206"/>
    <w:rsid w:val="00AE3251"/>
    <w:rsid w:val="00AE382C"/>
    <w:rsid w:val="00AE39F4"/>
    <w:rsid w:val="00AE3AE6"/>
    <w:rsid w:val="00AE3FE0"/>
    <w:rsid w:val="00AE4478"/>
    <w:rsid w:val="00AE44A2"/>
    <w:rsid w:val="00AE47F5"/>
    <w:rsid w:val="00AE4893"/>
    <w:rsid w:val="00AE4A71"/>
    <w:rsid w:val="00AE4BD3"/>
    <w:rsid w:val="00AE5058"/>
    <w:rsid w:val="00AE5079"/>
    <w:rsid w:val="00AE5135"/>
    <w:rsid w:val="00AE5170"/>
    <w:rsid w:val="00AE51CD"/>
    <w:rsid w:val="00AE5471"/>
    <w:rsid w:val="00AE54AA"/>
    <w:rsid w:val="00AE60E4"/>
    <w:rsid w:val="00AE6872"/>
    <w:rsid w:val="00AE6C58"/>
    <w:rsid w:val="00AE707C"/>
    <w:rsid w:val="00AE72C4"/>
    <w:rsid w:val="00AE7AFA"/>
    <w:rsid w:val="00AE7F05"/>
    <w:rsid w:val="00AE7F38"/>
    <w:rsid w:val="00AF054D"/>
    <w:rsid w:val="00AF0939"/>
    <w:rsid w:val="00AF0A7C"/>
    <w:rsid w:val="00AF0E17"/>
    <w:rsid w:val="00AF10B8"/>
    <w:rsid w:val="00AF16D1"/>
    <w:rsid w:val="00AF16D5"/>
    <w:rsid w:val="00AF1813"/>
    <w:rsid w:val="00AF1E83"/>
    <w:rsid w:val="00AF24E7"/>
    <w:rsid w:val="00AF272B"/>
    <w:rsid w:val="00AF283A"/>
    <w:rsid w:val="00AF291B"/>
    <w:rsid w:val="00AF2DAA"/>
    <w:rsid w:val="00AF2EBD"/>
    <w:rsid w:val="00AF3081"/>
    <w:rsid w:val="00AF3256"/>
    <w:rsid w:val="00AF336A"/>
    <w:rsid w:val="00AF33AE"/>
    <w:rsid w:val="00AF369D"/>
    <w:rsid w:val="00AF409A"/>
    <w:rsid w:val="00AF443C"/>
    <w:rsid w:val="00AF44B1"/>
    <w:rsid w:val="00AF49FC"/>
    <w:rsid w:val="00AF52F5"/>
    <w:rsid w:val="00AF5721"/>
    <w:rsid w:val="00AF575F"/>
    <w:rsid w:val="00AF5800"/>
    <w:rsid w:val="00AF61A9"/>
    <w:rsid w:val="00AF61D1"/>
    <w:rsid w:val="00AF64AA"/>
    <w:rsid w:val="00AF6986"/>
    <w:rsid w:val="00AF6D1B"/>
    <w:rsid w:val="00AF6E73"/>
    <w:rsid w:val="00AF739B"/>
    <w:rsid w:val="00AF73ED"/>
    <w:rsid w:val="00AF78AA"/>
    <w:rsid w:val="00AF7D69"/>
    <w:rsid w:val="00AF7ED2"/>
    <w:rsid w:val="00B004D8"/>
    <w:rsid w:val="00B007D0"/>
    <w:rsid w:val="00B00830"/>
    <w:rsid w:val="00B009D9"/>
    <w:rsid w:val="00B00B94"/>
    <w:rsid w:val="00B00CC5"/>
    <w:rsid w:val="00B0131E"/>
    <w:rsid w:val="00B014D1"/>
    <w:rsid w:val="00B016D2"/>
    <w:rsid w:val="00B0177A"/>
    <w:rsid w:val="00B018E3"/>
    <w:rsid w:val="00B01E41"/>
    <w:rsid w:val="00B02091"/>
    <w:rsid w:val="00B022CB"/>
    <w:rsid w:val="00B023CD"/>
    <w:rsid w:val="00B02851"/>
    <w:rsid w:val="00B02B3F"/>
    <w:rsid w:val="00B02B43"/>
    <w:rsid w:val="00B02BCB"/>
    <w:rsid w:val="00B03099"/>
    <w:rsid w:val="00B03140"/>
    <w:rsid w:val="00B0357E"/>
    <w:rsid w:val="00B03D36"/>
    <w:rsid w:val="00B03F3D"/>
    <w:rsid w:val="00B0414F"/>
    <w:rsid w:val="00B04384"/>
    <w:rsid w:val="00B04540"/>
    <w:rsid w:val="00B046E7"/>
    <w:rsid w:val="00B04A14"/>
    <w:rsid w:val="00B04F88"/>
    <w:rsid w:val="00B05116"/>
    <w:rsid w:val="00B05180"/>
    <w:rsid w:val="00B051A7"/>
    <w:rsid w:val="00B05574"/>
    <w:rsid w:val="00B0581C"/>
    <w:rsid w:val="00B05BB8"/>
    <w:rsid w:val="00B05F1A"/>
    <w:rsid w:val="00B061C6"/>
    <w:rsid w:val="00B06308"/>
    <w:rsid w:val="00B06CEA"/>
    <w:rsid w:val="00B06E2E"/>
    <w:rsid w:val="00B07B33"/>
    <w:rsid w:val="00B07D9A"/>
    <w:rsid w:val="00B07FA2"/>
    <w:rsid w:val="00B07FEA"/>
    <w:rsid w:val="00B100CF"/>
    <w:rsid w:val="00B1042A"/>
    <w:rsid w:val="00B10A66"/>
    <w:rsid w:val="00B10E82"/>
    <w:rsid w:val="00B10ED1"/>
    <w:rsid w:val="00B111A6"/>
    <w:rsid w:val="00B1121F"/>
    <w:rsid w:val="00B1128F"/>
    <w:rsid w:val="00B11499"/>
    <w:rsid w:val="00B115E5"/>
    <w:rsid w:val="00B118EE"/>
    <w:rsid w:val="00B11B03"/>
    <w:rsid w:val="00B11C5B"/>
    <w:rsid w:val="00B1214F"/>
    <w:rsid w:val="00B121CD"/>
    <w:rsid w:val="00B12343"/>
    <w:rsid w:val="00B12529"/>
    <w:rsid w:val="00B128C5"/>
    <w:rsid w:val="00B12B11"/>
    <w:rsid w:val="00B12C94"/>
    <w:rsid w:val="00B12D00"/>
    <w:rsid w:val="00B12FAE"/>
    <w:rsid w:val="00B1324D"/>
    <w:rsid w:val="00B132FF"/>
    <w:rsid w:val="00B1341E"/>
    <w:rsid w:val="00B13548"/>
    <w:rsid w:val="00B135AB"/>
    <w:rsid w:val="00B137BF"/>
    <w:rsid w:val="00B139C6"/>
    <w:rsid w:val="00B13A1B"/>
    <w:rsid w:val="00B13A59"/>
    <w:rsid w:val="00B13AED"/>
    <w:rsid w:val="00B13EBD"/>
    <w:rsid w:val="00B1406F"/>
    <w:rsid w:val="00B142D9"/>
    <w:rsid w:val="00B14BC4"/>
    <w:rsid w:val="00B14EFA"/>
    <w:rsid w:val="00B154CF"/>
    <w:rsid w:val="00B1564B"/>
    <w:rsid w:val="00B156C8"/>
    <w:rsid w:val="00B158A3"/>
    <w:rsid w:val="00B15B25"/>
    <w:rsid w:val="00B15EA0"/>
    <w:rsid w:val="00B16585"/>
    <w:rsid w:val="00B166DA"/>
    <w:rsid w:val="00B17A4E"/>
    <w:rsid w:val="00B17B30"/>
    <w:rsid w:val="00B17C2F"/>
    <w:rsid w:val="00B17D47"/>
    <w:rsid w:val="00B21040"/>
    <w:rsid w:val="00B210B5"/>
    <w:rsid w:val="00B2112F"/>
    <w:rsid w:val="00B21175"/>
    <w:rsid w:val="00B2153E"/>
    <w:rsid w:val="00B2159B"/>
    <w:rsid w:val="00B21DE5"/>
    <w:rsid w:val="00B21FA7"/>
    <w:rsid w:val="00B22022"/>
    <w:rsid w:val="00B2226D"/>
    <w:rsid w:val="00B2243A"/>
    <w:rsid w:val="00B225E4"/>
    <w:rsid w:val="00B2265B"/>
    <w:rsid w:val="00B22917"/>
    <w:rsid w:val="00B235C0"/>
    <w:rsid w:val="00B23782"/>
    <w:rsid w:val="00B23837"/>
    <w:rsid w:val="00B23CC3"/>
    <w:rsid w:val="00B23F7A"/>
    <w:rsid w:val="00B24065"/>
    <w:rsid w:val="00B240B1"/>
    <w:rsid w:val="00B24208"/>
    <w:rsid w:val="00B24562"/>
    <w:rsid w:val="00B24728"/>
    <w:rsid w:val="00B248A9"/>
    <w:rsid w:val="00B24BC4"/>
    <w:rsid w:val="00B24D28"/>
    <w:rsid w:val="00B24F1C"/>
    <w:rsid w:val="00B252BC"/>
    <w:rsid w:val="00B25890"/>
    <w:rsid w:val="00B25D76"/>
    <w:rsid w:val="00B26876"/>
    <w:rsid w:val="00B26F51"/>
    <w:rsid w:val="00B27032"/>
    <w:rsid w:val="00B271E5"/>
    <w:rsid w:val="00B2740E"/>
    <w:rsid w:val="00B27E19"/>
    <w:rsid w:val="00B30003"/>
    <w:rsid w:val="00B30572"/>
    <w:rsid w:val="00B30D1B"/>
    <w:rsid w:val="00B311E9"/>
    <w:rsid w:val="00B31201"/>
    <w:rsid w:val="00B31373"/>
    <w:rsid w:val="00B3167E"/>
    <w:rsid w:val="00B319F7"/>
    <w:rsid w:val="00B31B4B"/>
    <w:rsid w:val="00B31CD5"/>
    <w:rsid w:val="00B31E36"/>
    <w:rsid w:val="00B32E26"/>
    <w:rsid w:val="00B338B7"/>
    <w:rsid w:val="00B33F36"/>
    <w:rsid w:val="00B34061"/>
    <w:rsid w:val="00B343E9"/>
    <w:rsid w:val="00B3440A"/>
    <w:rsid w:val="00B34441"/>
    <w:rsid w:val="00B3447B"/>
    <w:rsid w:val="00B345EF"/>
    <w:rsid w:val="00B34C44"/>
    <w:rsid w:val="00B34CAF"/>
    <w:rsid w:val="00B35534"/>
    <w:rsid w:val="00B35578"/>
    <w:rsid w:val="00B35A87"/>
    <w:rsid w:val="00B35AB6"/>
    <w:rsid w:val="00B35ACD"/>
    <w:rsid w:val="00B35AFD"/>
    <w:rsid w:val="00B35CD1"/>
    <w:rsid w:val="00B35F9A"/>
    <w:rsid w:val="00B36236"/>
    <w:rsid w:val="00B3642D"/>
    <w:rsid w:val="00B3662E"/>
    <w:rsid w:val="00B366D2"/>
    <w:rsid w:val="00B366FA"/>
    <w:rsid w:val="00B368AE"/>
    <w:rsid w:val="00B36E86"/>
    <w:rsid w:val="00B36FC2"/>
    <w:rsid w:val="00B37122"/>
    <w:rsid w:val="00B379BA"/>
    <w:rsid w:val="00B37E3C"/>
    <w:rsid w:val="00B40139"/>
    <w:rsid w:val="00B406C9"/>
    <w:rsid w:val="00B410E1"/>
    <w:rsid w:val="00B412FD"/>
    <w:rsid w:val="00B41624"/>
    <w:rsid w:val="00B4185C"/>
    <w:rsid w:val="00B41DD3"/>
    <w:rsid w:val="00B422BE"/>
    <w:rsid w:val="00B4235B"/>
    <w:rsid w:val="00B4241D"/>
    <w:rsid w:val="00B424E7"/>
    <w:rsid w:val="00B426BB"/>
    <w:rsid w:val="00B42CF7"/>
    <w:rsid w:val="00B42EB9"/>
    <w:rsid w:val="00B432FA"/>
    <w:rsid w:val="00B43303"/>
    <w:rsid w:val="00B434B8"/>
    <w:rsid w:val="00B434E9"/>
    <w:rsid w:val="00B43724"/>
    <w:rsid w:val="00B43729"/>
    <w:rsid w:val="00B43811"/>
    <w:rsid w:val="00B4402F"/>
    <w:rsid w:val="00B440B5"/>
    <w:rsid w:val="00B4412D"/>
    <w:rsid w:val="00B441FE"/>
    <w:rsid w:val="00B44821"/>
    <w:rsid w:val="00B44AD3"/>
    <w:rsid w:val="00B44BDC"/>
    <w:rsid w:val="00B45152"/>
    <w:rsid w:val="00B451DA"/>
    <w:rsid w:val="00B45A5E"/>
    <w:rsid w:val="00B45E1A"/>
    <w:rsid w:val="00B45E54"/>
    <w:rsid w:val="00B45F37"/>
    <w:rsid w:val="00B461E5"/>
    <w:rsid w:val="00B46298"/>
    <w:rsid w:val="00B464E4"/>
    <w:rsid w:val="00B4651B"/>
    <w:rsid w:val="00B4689A"/>
    <w:rsid w:val="00B46D5F"/>
    <w:rsid w:val="00B46E7B"/>
    <w:rsid w:val="00B46ED8"/>
    <w:rsid w:val="00B47502"/>
    <w:rsid w:val="00B47CBA"/>
    <w:rsid w:val="00B47CF4"/>
    <w:rsid w:val="00B47DC5"/>
    <w:rsid w:val="00B501D3"/>
    <w:rsid w:val="00B505B3"/>
    <w:rsid w:val="00B50620"/>
    <w:rsid w:val="00B506AC"/>
    <w:rsid w:val="00B50A74"/>
    <w:rsid w:val="00B50D2E"/>
    <w:rsid w:val="00B50E49"/>
    <w:rsid w:val="00B51BAC"/>
    <w:rsid w:val="00B51EF5"/>
    <w:rsid w:val="00B520A0"/>
    <w:rsid w:val="00B521B1"/>
    <w:rsid w:val="00B521DC"/>
    <w:rsid w:val="00B5220B"/>
    <w:rsid w:val="00B5257E"/>
    <w:rsid w:val="00B525CE"/>
    <w:rsid w:val="00B52CFD"/>
    <w:rsid w:val="00B52F76"/>
    <w:rsid w:val="00B5353A"/>
    <w:rsid w:val="00B545A8"/>
    <w:rsid w:val="00B5465A"/>
    <w:rsid w:val="00B54681"/>
    <w:rsid w:val="00B547E8"/>
    <w:rsid w:val="00B548E8"/>
    <w:rsid w:val="00B54A8E"/>
    <w:rsid w:val="00B54E08"/>
    <w:rsid w:val="00B55C3A"/>
    <w:rsid w:val="00B55D8D"/>
    <w:rsid w:val="00B56355"/>
    <w:rsid w:val="00B56527"/>
    <w:rsid w:val="00B56918"/>
    <w:rsid w:val="00B56921"/>
    <w:rsid w:val="00B56EC2"/>
    <w:rsid w:val="00B57469"/>
    <w:rsid w:val="00B576DA"/>
    <w:rsid w:val="00B57710"/>
    <w:rsid w:val="00B601C9"/>
    <w:rsid w:val="00B60450"/>
    <w:rsid w:val="00B60640"/>
    <w:rsid w:val="00B60C71"/>
    <w:rsid w:val="00B60D04"/>
    <w:rsid w:val="00B614C8"/>
    <w:rsid w:val="00B6153A"/>
    <w:rsid w:val="00B61702"/>
    <w:rsid w:val="00B61EE8"/>
    <w:rsid w:val="00B62939"/>
    <w:rsid w:val="00B62D9B"/>
    <w:rsid w:val="00B62FBB"/>
    <w:rsid w:val="00B633A3"/>
    <w:rsid w:val="00B63533"/>
    <w:rsid w:val="00B63A7E"/>
    <w:rsid w:val="00B63BDB"/>
    <w:rsid w:val="00B63C0D"/>
    <w:rsid w:val="00B63FA1"/>
    <w:rsid w:val="00B64A0E"/>
    <w:rsid w:val="00B64CC6"/>
    <w:rsid w:val="00B64DDF"/>
    <w:rsid w:val="00B65312"/>
    <w:rsid w:val="00B65728"/>
    <w:rsid w:val="00B65742"/>
    <w:rsid w:val="00B65A46"/>
    <w:rsid w:val="00B6601E"/>
    <w:rsid w:val="00B6603E"/>
    <w:rsid w:val="00B660F7"/>
    <w:rsid w:val="00B663AA"/>
    <w:rsid w:val="00B664A5"/>
    <w:rsid w:val="00B665E1"/>
    <w:rsid w:val="00B66A94"/>
    <w:rsid w:val="00B66D1A"/>
    <w:rsid w:val="00B66DA2"/>
    <w:rsid w:val="00B66DD5"/>
    <w:rsid w:val="00B6715C"/>
    <w:rsid w:val="00B67B97"/>
    <w:rsid w:val="00B67F01"/>
    <w:rsid w:val="00B701FA"/>
    <w:rsid w:val="00B707D4"/>
    <w:rsid w:val="00B70CDC"/>
    <w:rsid w:val="00B70F8E"/>
    <w:rsid w:val="00B71112"/>
    <w:rsid w:val="00B711AB"/>
    <w:rsid w:val="00B714E9"/>
    <w:rsid w:val="00B714F0"/>
    <w:rsid w:val="00B7160D"/>
    <w:rsid w:val="00B71A40"/>
    <w:rsid w:val="00B71BFA"/>
    <w:rsid w:val="00B71C8C"/>
    <w:rsid w:val="00B71CB4"/>
    <w:rsid w:val="00B71FD7"/>
    <w:rsid w:val="00B72003"/>
    <w:rsid w:val="00B7210F"/>
    <w:rsid w:val="00B7243C"/>
    <w:rsid w:val="00B72510"/>
    <w:rsid w:val="00B725E7"/>
    <w:rsid w:val="00B72C07"/>
    <w:rsid w:val="00B72C7F"/>
    <w:rsid w:val="00B72DF7"/>
    <w:rsid w:val="00B72F42"/>
    <w:rsid w:val="00B73E44"/>
    <w:rsid w:val="00B73EEF"/>
    <w:rsid w:val="00B740F8"/>
    <w:rsid w:val="00B7421D"/>
    <w:rsid w:val="00B74251"/>
    <w:rsid w:val="00B74290"/>
    <w:rsid w:val="00B74510"/>
    <w:rsid w:val="00B746B7"/>
    <w:rsid w:val="00B74822"/>
    <w:rsid w:val="00B748DF"/>
    <w:rsid w:val="00B7492A"/>
    <w:rsid w:val="00B749F4"/>
    <w:rsid w:val="00B74BD4"/>
    <w:rsid w:val="00B74BF7"/>
    <w:rsid w:val="00B74D2E"/>
    <w:rsid w:val="00B750E4"/>
    <w:rsid w:val="00B75EDD"/>
    <w:rsid w:val="00B75F25"/>
    <w:rsid w:val="00B760C4"/>
    <w:rsid w:val="00B76185"/>
    <w:rsid w:val="00B7675E"/>
    <w:rsid w:val="00B7676C"/>
    <w:rsid w:val="00B76840"/>
    <w:rsid w:val="00B76BCD"/>
    <w:rsid w:val="00B76FBC"/>
    <w:rsid w:val="00B7782B"/>
    <w:rsid w:val="00B779E6"/>
    <w:rsid w:val="00B77A79"/>
    <w:rsid w:val="00B77E31"/>
    <w:rsid w:val="00B804E2"/>
    <w:rsid w:val="00B811B2"/>
    <w:rsid w:val="00B8134C"/>
    <w:rsid w:val="00B81636"/>
    <w:rsid w:val="00B818E2"/>
    <w:rsid w:val="00B81BF3"/>
    <w:rsid w:val="00B82024"/>
    <w:rsid w:val="00B82212"/>
    <w:rsid w:val="00B8234B"/>
    <w:rsid w:val="00B8276E"/>
    <w:rsid w:val="00B82F8C"/>
    <w:rsid w:val="00B83006"/>
    <w:rsid w:val="00B834B5"/>
    <w:rsid w:val="00B8386E"/>
    <w:rsid w:val="00B83997"/>
    <w:rsid w:val="00B83A62"/>
    <w:rsid w:val="00B83B59"/>
    <w:rsid w:val="00B84252"/>
    <w:rsid w:val="00B84677"/>
    <w:rsid w:val="00B8468F"/>
    <w:rsid w:val="00B84B3C"/>
    <w:rsid w:val="00B84FC6"/>
    <w:rsid w:val="00B85178"/>
    <w:rsid w:val="00B85721"/>
    <w:rsid w:val="00B85747"/>
    <w:rsid w:val="00B857F5"/>
    <w:rsid w:val="00B85A56"/>
    <w:rsid w:val="00B85B2C"/>
    <w:rsid w:val="00B85F45"/>
    <w:rsid w:val="00B86D6C"/>
    <w:rsid w:val="00B86F47"/>
    <w:rsid w:val="00B8723C"/>
    <w:rsid w:val="00B874B4"/>
    <w:rsid w:val="00B8757B"/>
    <w:rsid w:val="00B875E9"/>
    <w:rsid w:val="00B87873"/>
    <w:rsid w:val="00B8787A"/>
    <w:rsid w:val="00B87887"/>
    <w:rsid w:val="00B90123"/>
    <w:rsid w:val="00B90196"/>
    <w:rsid w:val="00B90226"/>
    <w:rsid w:val="00B902B1"/>
    <w:rsid w:val="00B90FBE"/>
    <w:rsid w:val="00B9113A"/>
    <w:rsid w:val="00B911C1"/>
    <w:rsid w:val="00B91550"/>
    <w:rsid w:val="00B9197F"/>
    <w:rsid w:val="00B92008"/>
    <w:rsid w:val="00B922C3"/>
    <w:rsid w:val="00B92715"/>
    <w:rsid w:val="00B9272E"/>
    <w:rsid w:val="00B927A7"/>
    <w:rsid w:val="00B92B9E"/>
    <w:rsid w:val="00B93315"/>
    <w:rsid w:val="00B93519"/>
    <w:rsid w:val="00B93662"/>
    <w:rsid w:val="00B9372A"/>
    <w:rsid w:val="00B93E6A"/>
    <w:rsid w:val="00B93FD0"/>
    <w:rsid w:val="00B9425C"/>
    <w:rsid w:val="00B948EF"/>
    <w:rsid w:val="00B94A9E"/>
    <w:rsid w:val="00B94AAF"/>
    <w:rsid w:val="00B94DB1"/>
    <w:rsid w:val="00B94E6D"/>
    <w:rsid w:val="00B953FF"/>
    <w:rsid w:val="00B95C7F"/>
    <w:rsid w:val="00B9622D"/>
    <w:rsid w:val="00B96263"/>
    <w:rsid w:val="00B968A5"/>
    <w:rsid w:val="00B969EF"/>
    <w:rsid w:val="00B96A5D"/>
    <w:rsid w:val="00B972CD"/>
    <w:rsid w:val="00B9769B"/>
    <w:rsid w:val="00B97D02"/>
    <w:rsid w:val="00B97D3D"/>
    <w:rsid w:val="00BA0304"/>
    <w:rsid w:val="00BA0557"/>
    <w:rsid w:val="00BA0E56"/>
    <w:rsid w:val="00BA1454"/>
    <w:rsid w:val="00BA1823"/>
    <w:rsid w:val="00BA1BE1"/>
    <w:rsid w:val="00BA1F18"/>
    <w:rsid w:val="00BA1F68"/>
    <w:rsid w:val="00BA2A34"/>
    <w:rsid w:val="00BA3038"/>
    <w:rsid w:val="00BA3163"/>
    <w:rsid w:val="00BA3319"/>
    <w:rsid w:val="00BA370A"/>
    <w:rsid w:val="00BA3826"/>
    <w:rsid w:val="00BA3F02"/>
    <w:rsid w:val="00BA45B0"/>
    <w:rsid w:val="00BA48BC"/>
    <w:rsid w:val="00BA4990"/>
    <w:rsid w:val="00BA4A29"/>
    <w:rsid w:val="00BA4BE7"/>
    <w:rsid w:val="00BA52BC"/>
    <w:rsid w:val="00BA5345"/>
    <w:rsid w:val="00BA5663"/>
    <w:rsid w:val="00BA58BA"/>
    <w:rsid w:val="00BA5D13"/>
    <w:rsid w:val="00BA5D49"/>
    <w:rsid w:val="00BA5F20"/>
    <w:rsid w:val="00BA5F7A"/>
    <w:rsid w:val="00BA68D9"/>
    <w:rsid w:val="00BA7172"/>
    <w:rsid w:val="00BA7207"/>
    <w:rsid w:val="00BA767F"/>
    <w:rsid w:val="00BA7B01"/>
    <w:rsid w:val="00BA7BAD"/>
    <w:rsid w:val="00BA7F56"/>
    <w:rsid w:val="00BB02D7"/>
    <w:rsid w:val="00BB0D9F"/>
    <w:rsid w:val="00BB0DEE"/>
    <w:rsid w:val="00BB1031"/>
    <w:rsid w:val="00BB1468"/>
    <w:rsid w:val="00BB1B33"/>
    <w:rsid w:val="00BB1F17"/>
    <w:rsid w:val="00BB236C"/>
    <w:rsid w:val="00BB2480"/>
    <w:rsid w:val="00BB2863"/>
    <w:rsid w:val="00BB2881"/>
    <w:rsid w:val="00BB2C4E"/>
    <w:rsid w:val="00BB2CA8"/>
    <w:rsid w:val="00BB2E29"/>
    <w:rsid w:val="00BB2F74"/>
    <w:rsid w:val="00BB3206"/>
    <w:rsid w:val="00BB32C2"/>
    <w:rsid w:val="00BB35D1"/>
    <w:rsid w:val="00BB36B7"/>
    <w:rsid w:val="00BB371A"/>
    <w:rsid w:val="00BB3B0D"/>
    <w:rsid w:val="00BB3BD9"/>
    <w:rsid w:val="00BB42FA"/>
    <w:rsid w:val="00BB463B"/>
    <w:rsid w:val="00BB4A7C"/>
    <w:rsid w:val="00BB4B8C"/>
    <w:rsid w:val="00BB524C"/>
    <w:rsid w:val="00BB5ACC"/>
    <w:rsid w:val="00BB5DAB"/>
    <w:rsid w:val="00BB6195"/>
    <w:rsid w:val="00BB61A3"/>
    <w:rsid w:val="00BB6DD0"/>
    <w:rsid w:val="00BB707E"/>
    <w:rsid w:val="00BB7568"/>
    <w:rsid w:val="00BB7F82"/>
    <w:rsid w:val="00BC0058"/>
    <w:rsid w:val="00BC007C"/>
    <w:rsid w:val="00BC0AB2"/>
    <w:rsid w:val="00BC12F0"/>
    <w:rsid w:val="00BC1308"/>
    <w:rsid w:val="00BC150D"/>
    <w:rsid w:val="00BC1BF4"/>
    <w:rsid w:val="00BC1D07"/>
    <w:rsid w:val="00BC1E0F"/>
    <w:rsid w:val="00BC2600"/>
    <w:rsid w:val="00BC270A"/>
    <w:rsid w:val="00BC2DD1"/>
    <w:rsid w:val="00BC2F0F"/>
    <w:rsid w:val="00BC2F24"/>
    <w:rsid w:val="00BC32D0"/>
    <w:rsid w:val="00BC33BE"/>
    <w:rsid w:val="00BC33DD"/>
    <w:rsid w:val="00BC3516"/>
    <w:rsid w:val="00BC3A47"/>
    <w:rsid w:val="00BC3BAC"/>
    <w:rsid w:val="00BC3EEB"/>
    <w:rsid w:val="00BC41F8"/>
    <w:rsid w:val="00BC4219"/>
    <w:rsid w:val="00BC4780"/>
    <w:rsid w:val="00BC479C"/>
    <w:rsid w:val="00BC4B35"/>
    <w:rsid w:val="00BC4DD7"/>
    <w:rsid w:val="00BC4EE4"/>
    <w:rsid w:val="00BC4F46"/>
    <w:rsid w:val="00BC52C8"/>
    <w:rsid w:val="00BC5485"/>
    <w:rsid w:val="00BC549C"/>
    <w:rsid w:val="00BC5697"/>
    <w:rsid w:val="00BC570E"/>
    <w:rsid w:val="00BC5A06"/>
    <w:rsid w:val="00BC5A6C"/>
    <w:rsid w:val="00BC5A85"/>
    <w:rsid w:val="00BC5AF6"/>
    <w:rsid w:val="00BC5B4B"/>
    <w:rsid w:val="00BC5C22"/>
    <w:rsid w:val="00BC5CC2"/>
    <w:rsid w:val="00BC5D03"/>
    <w:rsid w:val="00BC5EDB"/>
    <w:rsid w:val="00BC64A3"/>
    <w:rsid w:val="00BC6723"/>
    <w:rsid w:val="00BC69A2"/>
    <w:rsid w:val="00BC6B14"/>
    <w:rsid w:val="00BC6ED6"/>
    <w:rsid w:val="00BC6F03"/>
    <w:rsid w:val="00BC6F4B"/>
    <w:rsid w:val="00BC6FA1"/>
    <w:rsid w:val="00BC74AF"/>
    <w:rsid w:val="00BC77A5"/>
    <w:rsid w:val="00BC79F8"/>
    <w:rsid w:val="00BC7C85"/>
    <w:rsid w:val="00BC7F1C"/>
    <w:rsid w:val="00BD024F"/>
    <w:rsid w:val="00BD0570"/>
    <w:rsid w:val="00BD0853"/>
    <w:rsid w:val="00BD10A7"/>
    <w:rsid w:val="00BD112D"/>
    <w:rsid w:val="00BD180B"/>
    <w:rsid w:val="00BD1897"/>
    <w:rsid w:val="00BD1B11"/>
    <w:rsid w:val="00BD1EF4"/>
    <w:rsid w:val="00BD1FBA"/>
    <w:rsid w:val="00BD214E"/>
    <w:rsid w:val="00BD22F7"/>
    <w:rsid w:val="00BD2395"/>
    <w:rsid w:val="00BD25B8"/>
    <w:rsid w:val="00BD261C"/>
    <w:rsid w:val="00BD2842"/>
    <w:rsid w:val="00BD2892"/>
    <w:rsid w:val="00BD30D7"/>
    <w:rsid w:val="00BD3120"/>
    <w:rsid w:val="00BD321A"/>
    <w:rsid w:val="00BD3354"/>
    <w:rsid w:val="00BD34D2"/>
    <w:rsid w:val="00BD368C"/>
    <w:rsid w:val="00BD384E"/>
    <w:rsid w:val="00BD3AC4"/>
    <w:rsid w:val="00BD3B8E"/>
    <w:rsid w:val="00BD3E76"/>
    <w:rsid w:val="00BD3EE2"/>
    <w:rsid w:val="00BD3FCF"/>
    <w:rsid w:val="00BD42D2"/>
    <w:rsid w:val="00BD47B0"/>
    <w:rsid w:val="00BD47D7"/>
    <w:rsid w:val="00BD4860"/>
    <w:rsid w:val="00BD488A"/>
    <w:rsid w:val="00BD4EFB"/>
    <w:rsid w:val="00BD5076"/>
    <w:rsid w:val="00BD5551"/>
    <w:rsid w:val="00BD565E"/>
    <w:rsid w:val="00BD5AF1"/>
    <w:rsid w:val="00BD5D1C"/>
    <w:rsid w:val="00BD5D6D"/>
    <w:rsid w:val="00BD6443"/>
    <w:rsid w:val="00BD6D43"/>
    <w:rsid w:val="00BD7090"/>
    <w:rsid w:val="00BD72BF"/>
    <w:rsid w:val="00BD7490"/>
    <w:rsid w:val="00BD767F"/>
    <w:rsid w:val="00BE058C"/>
    <w:rsid w:val="00BE089F"/>
    <w:rsid w:val="00BE09C3"/>
    <w:rsid w:val="00BE0C02"/>
    <w:rsid w:val="00BE0C27"/>
    <w:rsid w:val="00BE0CB1"/>
    <w:rsid w:val="00BE0F44"/>
    <w:rsid w:val="00BE15A6"/>
    <w:rsid w:val="00BE15BB"/>
    <w:rsid w:val="00BE198F"/>
    <w:rsid w:val="00BE1A37"/>
    <w:rsid w:val="00BE1A78"/>
    <w:rsid w:val="00BE1C29"/>
    <w:rsid w:val="00BE2F15"/>
    <w:rsid w:val="00BE3143"/>
    <w:rsid w:val="00BE326F"/>
    <w:rsid w:val="00BE335C"/>
    <w:rsid w:val="00BE3661"/>
    <w:rsid w:val="00BE39DA"/>
    <w:rsid w:val="00BE4006"/>
    <w:rsid w:val="00BE42F4"/>
    <w:rsid w:val="00BE452A"/>
    <w:rsid w:val="00BE473E"/>
    <w:rsid w:val="00BE4E8E"/>
    <w:rsid w:val="00BE5135"/>
    <w:rsid w:val="00BE5964"/>
    <w:rsid w:val="00BE5F2B"/>
    <w:rsid w:val="00BE660B"/>
    <w:rsid w:val="00BE664E"/>
    <w:rsid w:val="00BE6AC2"/>
    <w:rsid w:val="00BE6AFE"/>
    <w:rsid w:val="00BE6BBE"/>
    <w:rsid w:val="00BE6FDA"/>
    <w:rsid w:val="00BE7021"/>
    <w:rsid w:val="00BE7300"/>
    <w:rsid w:val="00BE784F"/>
    <w:rsid w:val="00BE78CE"/>
    <w:rsid w:val="00BF0238"/>
    <w:rsid w:val="00BF0717"/>
    <w:rsid w:val="00BF071D"/>
    <w:rsid w:val="00BF1750"/>
    <w:rsid w:val="00BF178E"/>
    <w:rsid w:val="00BF189F"/>
    <w:rsid w:val="00BF1B44"/>
    <w:rsid w:val="00BF1F01"/>
    <w:rsid w:val="00BF1F1B"/>
    <w:rsid w:val="00BF1F6D"/>
    <w:rsid w:val="00BF20A1"/>
    <w:rsid w:val="00BF21FF"/>
    <w:rsid w:val="00BF222E"/>
    <w:rsid w:val="00BF22E2"/>
    <w:rsid w:val="00BF232C"/>
    <w:rsid w:val="00BF23CC"/>
    <w:rsid w:val="00BF243F"/>
    <w:rsid w:val="00BF2683"/>
    <w:rsid w:val="00BF284E"/>
    <w:rsid w:val="00BF2F93"/>
    <w:rsid w:val="00BF3ACF"/>
    <w:rsid w:val="00BF3C2A"/>
    <w:rsid w:val="00BF3C65"/>
    <w:rsid w:val="00BF4C2B"/>
    <w:rsid w:val="00BF507A"/>
    <w:rsid w:val="00BF53A5"/>
    <w:rsid w:val="00BF53F1"/>
    <w:rsid w:val="00BF5590"/>
    <w:rsid w:val="00BF5717"/>
    <w:rsid w:val="00BF589F"/>
    <w:rsid w:val="00BF595D"/>
    <w:rsid w:val="00BF59A9"/>
    <w:rsid w:val="00BF5B9D"/>
    <w:rsid w:val="00BF5CD8"/>
    <w:rsid w:val="00BF5FA3"/>
    <w:rsid w:val="00BF61CF"/>
    <w:rsid w:val="00BF6220"/>
    <w:rsid w:val="00BF62F2"/>
    <w:rsid w:val="00BF63A5"/>
    <w:rsid w:val="00BF6D2B"/>
    <w:rsid w:val="00BF6D6A"/>
    <w:rsid w:val="00BF6EE8"/>
    <w:rsid w:val="00BF72A7"/>
    <w:rsid w:val="00BF7558"/>
    <w:rsid w:val="00BF75C8"/>
    <w:rsid w:val="00BF7F2F"/>
    <w:rsid w:val="00C00134"/>
    <w:rsid w:val="00C00308"/>
    <w:rsid w:val="00C0045C"/>
    <w:rsid w:val="00C0111E"/>
    <w:rsid w:val="00C01163"/>
    <w:rsid w:val="00C01A7B"/>
    <w:rsid w:val="00C022BD"/>
    <w:rsid w:val="00C02676"/>
    <w:rsid w:val="00C02728"/>
    <w:rsid w:val="00C029AB"/>
    <w:rsid w:val="00C032F1"/>
    <w:rsid w:val="00C03B48"/>
    <w:rsid w:val="00C03BD5"/>
    <w:rsid w:val="00C03C8B"/>
    <w:rsid w:val="00C03CB2"/>
    <w:rsid w:val="00C03DC9"/>
    <w:rsid w:val="00C03E69"/>
    <w:rsid w:val="00C03F3C"/>
    <w:rsid w:val="00C0428D"/>
    <w:rsid w:val="00C043A2"/>
    <w:rsid w:val="00C047DC"/>
    <w:rsid w:val="00C04923"/>
    <w:rsid w:val="00C049BE"/>
    <w:rsid w:val="00C04A71"/>
    <w:rsid w:val="00C04DF0"/>
    <w:rsid w:val="00C053FD"/>
    <w:rsid w:val="00C05A4C"/>
    <w:rsid w:val="00C05A67"/>
    <w:rsid w:val="00C073E0"/>
    <w:rsid w:val="00C07623"/>
    <w:rsid w:val="00C07645"/>
    <w:rsid w:val="00C07B1D"/>
    <w:rsid w:val="00C07BC0"/>
    <w:rsid w:val="00C07EB8"/>
    <w:rsid w:val="00C07F76"/>
    <w:rsid w:val="00C1001D"/>
    <w:rsid w:val="00C105BB"/>
    <w:rsid w:val="00C1087E"/>
    <w:rsid w:val="00C108A4"/>
    <w:rsid w:val="00C109A3"/>
    <w:rsid w:val="00C10AA8"/>
    <w:rsid w:val="00C10B5A"/>
    <w:rsid w:val="00C11113"/>
    <w:rsid w:val="00C11687"/>
    <w:rsid w:val="00C117BE"/>
    <w:rsid w:val="00C11E28"/>
    <w:rsid w:val="00C11E2F"/>
    <w:rsid w:val="00C1225B"/>
    <w:rsid w:val="00C122A6"/>
    <w:rsid w:val="00C122F9"/>
    <w:rsid w:val="00C12459"/>
    <w:rsid w:val="00C1253A"/>
    <w:rsid w:val="00C128C9"/>
    <w:rsid w:val="00C12B4F"/>
    <w:rsid w:val="00C12CF3"/>
    <w:rsid w:val="00C12CFC"/>
    <w:rsid w:val="00C12F88"/>
    <w:rsid w:val="00C131A8"/>
    <w:rsid w:val="00C1322D"/>
    <w:rsid w:val="00C135A3"/>
    <w:rsid w:val="00C13BF6"/>
    <w:rsid w:val="00C14310"/>
    <w:rsid w:val="00C1451E"/>
    <w:rsid w:val="00C1477A"/>
    <w:rsid w:val="00C14A62"/>
    <w:rsid w:val="00C14D8F"/>
    <w:rsid w:val="00C14E66"/>
    <w:rsid w:val="00C14E99"/>
    <w:rsid w:val="00C158EB"/>
    <w:rsid w:val="00C159B1"/>
    <w:rsid w:val="00C15BC5"/>
    <w:rsid w:val="00C16161"/>
    <w:rsid w:val="00C161F5"/>
    <w:rsid w:val="00C16224"/>
    <w:rsid w:val="00C16473"/>
    <w:rsid w:val="00C16C92"/>
    <w:rsid w:val="00C1706B"/>
    <w:rsid w:val="00C173B1"/>
    <w:rsid w:val="00C173D9"/>
    <w:rsid w:val="00C17530"/>
    <w:rsid w:val="00C1754B"/>
    <w:rsid w:val="00C17648"/>
    <w:rsid w:val="00C177A9"/>
    <w:rsid w:val="00C17ADF"/>
    <w:rsid w:val="00C17B65"/>
    <w:rsid w:val="00C17DB7"/>
    <w:rsid w:val="00C17E2B"/>
    <w:rsid w:val="00C17E48"/>
    <w:rsid w:val="00C17E81"/>
    <w:rsid w:val="00C17FC3"/>
    <w:rsid w:val="00C17FF5"/>
    <w:rsid w:val="00C201E7"/>
    <w:rsid w:val="00C20AA2"/>
    <w:rsid w:val="00C20B62"/>
    <w:rsid w:val="00C20B91"/>
    <w:rsid w:val="00C21084"/>
    <w:rsid w:val="00C21155"/>
    <w:rsid w:val="00C21180"/>
    <w:rsid w:val="00C212FF"/>
    <w:rsid w:val="00C2146C"/>
    <w:rsid w:val="00C214D7"/>
    <w:rsid w:val="00C21561"/>
    <w:rsid w:val="00C2175A"/>
    <w:rsid w:val="00C217C9"/>
    <w:rsid w:val="00C217EE"/>
    <w:rsid w:val="00C21CBF"/>
    <w:rsid w:val="00C22784"/>
    <w:rsid w:val="00C227D6"/>
    <w:rsid w:val="00C228A6"/>
    <w:rsid w:val="00C228DA"/>
    <w:rsid w:val="00C2314D"/>
    <w:rsid w:val="00C2337B"/>
    <w:rsid w:val="00C2395D"/>
    <w:rsid w:val="00C23A4C"/>
    <w:rsid w:val="00C23D37"/>
    <w:rsid w:val="00C2419D"/>
    <w:rsid w:val="00C24335"/>
    <w:rsid w:val="00C243A4"/>
    <w:rsid w:val="00C24416"/>
    <w:rsid w:val="00C2443F"/>
    <w:rsid w:val="00C248DB"/>
    <w:rsid w:val="00C249DB"/>
    <w:rsid w:val="00C24A6F"/>
    <w:rsid w:val="00C24D60"/>
    <w:rsid w:val="00C24FE4"/>
    <w:rsid w:val="00C25419"/>
    <w:rsid w:val="00C25D20"/>
    <w:rsid w:val="00C25FE6"/>
    <w:rsid w:val="00C26170"/>
    <w:rsid w:val="00C261EF"/>
    <w:rsid w:val="00C26B5A"/>
    <w:rsid w:val="00C26D52"/>
    <w:rsid w:val="00C26F21"/>
    <w:rsid w:val="00C277DA"/>
    <w:rsid w:val="00C302DC"/>
    <w:rsid w:val="00C303E4"/>
    <w:rsid w:val="00C30775"/>
    <w:rsid w:val="00C30B8D"/>
    <w:rsid w:val="00C310BA"/>
    <w:rsid w:val="00C3134E"/>
    <w:rsid w:val="00C315D8"/>
    <w:rsid w:val="00C317C4"/>
    <w:rsid w:val="00C31BEC"/>
    <w:rsid w:val="00C31C4A"/>
    <w:rsid w:val="00C31D2D"/>
    <w:rsid w:val="00C31F44"/>
    <w:rsid w:val="00C32639"/>
    <w:rsid w:val="00C32AD2"/>
    <w:rsid w:val="00C32F5B"/>
    <w:rsid w:val="00C333F7"/>
    <w:rsid w:val="00C33FFF"/>
    <w:rsid w:val="00C34193"/>
    <w:rsid w:val="00C347FD"/>
    <w:rsid w:val="00C34DAE"/>
    <w:rsid w:val="00C34E1E"/>
    <w:rsid w:val="00C34E5A"/>
    <w:rsid w:val="00C35006"/>
    <w:rsid w:val="00C3582B"/>
    <w:rsid w:val="00C35A4C"/>
    <w:rsid w:val="00C35A84"/>
    <w:rsid w:val="00C36219"/>
    <w:rsid w:val="00C368A5"/>
    <w:rsid w:val="00C3698E"/>
    <w:rsid w:val="00C36CCA"/>
    <w:rsid w:val="00C36E1C"/>
    <w:rsid w:val="00C36F42"/>
    <w:rsid w:val="00C37127"/>
    <w:rsid w:val="00C3718A"/>
    <w:rsid w:val="00C37446"/>
    <w:rsid w:val="00C377B1"/>
    <w:rsid w:val="00C37995"/>
    <w:rsid w:val="00C379C5"/>
    <w:rsid w:val="00C37E84"/>
    <w:rsid w:val="00C37EEE"/>
    <w:rsid w:val="00C40453"/>
    <w:rsid w:val="00C40B5F"/>
    <w:rsid w:val="00C40E71"/>
    <w:rsid w:val="00C40F1E"/>
    <w:rsid w:val="00C41879"/>
    <w:rsid w:val="00C41A7C"/>
    <w:rsid w:val="00C41D0C"/>
    <w:rsid w:val="00C42085"/>
    <w:rsid w:val="00C42651"/>
    <w:rsid w:val="00C42CEF"/>
    <w:rsid w:val="00C42D55"/>
    <w:rsid w:val="00C4302F"/>
    <w:rsid w:val="00C43080"/>
    <w:rsid w:val="00C4315F"/>
    <w:rsid w:val="00C433A7"/>
    <w:rsid w:val="00C434F1"/>
    <w:rsid w:val="00C4364E"/>
    <w:rsid w:val="00C4370E"/>
    <w:rsid w:val="00C43823"/>
    <w:rsid w:val="00C4384B"/>
    <w:rsid w:val="00C4393C"/>
    <w:rsid w:val="00C439F8"/>
    <w:rsid w:val="00C43C4D"/>
    <w:rsid w:val="00C44068"/>
    <w:rsid w:val="00C442AE"/>
    <w:rsid w:val="00C448DB"/>
    <w:rsid w:val="00C44BAE"/>
    <w:rsid w:val="00C44CBA"/>
    <w:rsid w:val="00C4518B"/>
    <w:rsid w:val="00C4527C"/>
    <w:rsid w:val="00C455C0"/>
    <w:rsid w:val="00C45780"/>
    <w:rsid w:val="00C458D6"/>
    <w:rsid w:val="00C46073"/>
    <w:rsid w:val="00C46268"/>
    <w:rsid w:val="00C4637A"/>
    <w:rsid w:val="00C4655A"/>
    <w:rsid w:val="00C466BF"/>
    <w:rsid w:val="00C46A4D"/>
    <w:rsid w:val="00C46CEE"/>
    <w:rsid w:val="00C46D87"/>
    <w:rsid w:val="00C47020"/>
    <w:rsid w:val="00C47385"/>
    <w:rsid w:val="00C474D9"/>
    <w:rsid w:val="00C47555"/>
    <w:rsid w:val="00C476AC"/>
    <w:rsid w:val="00C47954"/>
    <w:rsid w:val="00C47AC4"/>
    <w:rsid w:val="00C47E67"/>
    <w:rsid w:val="00C47FD9"/>
    <w:rsid w:val="00C50387"/>
    <w:rsid w:val="00C5045B"/>
    <w:rsid w:val="00C5077F"/>
    <w:rsid w:val="00C50C1A"/>
    <w:rsid w:val="00C50C65"/>
    <w:rsid w:val="00C5122B"/>
    <w:rsid w:val="00C51508"/>
    <w:rsid w:val="00C51644"/>
    <w:rsid w:val="00C51900"/>
    <w:rsid w:val="00C51D73"/>
    <w:rsid w:val="00C51D80"/>
    <w:rsid w:val="00C51DEB"/>
    <w:rsid w:val="00C52128"/>
    <w:rsid w:val="00C522BF"/>
    <w:rsid w:val="00C52551"/>
    <w:rsid w:val="00C52821"/>
    <w:rsid w:val="00C52A05"/>
    <w:rsid w:val="00C52B40"/>
    <w:rsid w:val="00C52D42"/>
    <w:rsid w:val="00C52E97"/>
    <w:rsid w:val="00C52EAF"/>
    <w:rsid w:val="00C53189"/>
    <w:rsid w:val="00C534E5"/>
    <w:rsid w:val="00C534F4"/>
    <w:rsid w:val="00C5375B"/>
    <w:rsid w:val="00C53B15"/>
    <w:rsid w:val="00C53DA9"/>
    <w:rsid w:val="00C53EF7"/>
    <w:rsid w:val="00C54280"/>
    <w:rsid w:val="00C5447D"/>
    <w:rsid w:val="00C54929"/>
    <w:rsid w:val="00C54A07"/>
    <w:rsid w:val="00C54B1B"/>
    <w:rsid w:val="00C55301"/>
    <w:rsid w:val="00C556B1"/>
    <w:rsid w:val="00C558FF"/>
    <w:rsid w:val="00C55A05"/>
    <w:rsid w:val="00C55A12"/>
    <w:rsid w:val="00C55D02"/>
    <w:rsid w:val="00C56101"/>
    <w:rsid w:val="00C565F2"/>
    <w:rsid w:val="00C56C45"/>
    <w:rsid w:val="00C573CC"/>
    <w:rsid w:val="00C574E2"/>
    <w:rsid w:val="00C57B81"/>
    <w:rsid w:val="00C57FB9"/>
    <w:rsid w:val="00C60145"/>
    <w:rsid w:val="00C6077B"/>
    <w:rsid w:val="00C60950"/>
    <w:rsid w:val="00C609FD"/>
    <w:rsid w:val="00C60B04"/>
    <w:rsid w:val="00C60DD1"/>
    <w:rsid w:val="00C61565"/>
    <w:rsid w:val="00C61574"/>
    <w:rsid w:val="00C615B4"/>
    <w:rsid w:val="00C616FE"/>
    <w:rsid w:val="00C61765"/>
    <w:rsid w:val="00C618C8"/>
    <w:rsid w:val="00C61A90"/>
    <w:rsid w:val="00C62082"/>
    <w:rsid w:val="00C6211D"/>
    <w:rsid w:val="00C623B0"/>
    <w:rsid w:val="00C6241D"/>
    <w:rsid w:val="00C6243A"/>
    <w:rsid w:val="00C625E9"/>
    <w:rsid w:val="00C62A67"/>
    <w:rsid w:val="00C62B32"/>
    <w:rsid w:val="00C635F5"/>
    <w:rsid w:val="00C63941"/>
    <w:rsid w:val="00C63DED"/>
    <w:rsid w:val="00C63E88"/>
    <w:rsid w:val="00C64EBE"/>
    <w:rsid w:val="00C64F97"/>
    <w:rsid w:val="00C65585"/>
    <w:rsid w:val="00C656EB"/>
    <w:rsid w:val="00C65AB3"/>
    <w:rsid w:val="00C65C5A"/>
    <w:rsid w:val="00C65D7B"/>
    <w:rsid w:val="00C65DF4"/>
    <w:rsid w:val="00C65E99"/>
    <w:rsid w:val="00C66380"/>
    <w:rsid w:val="00C6647F"/>
    <w:rsid w:val="00C6661D"/>
    <w:rsid w:val="00C66B48"/>
    <w:rsid w:val="00C66D38"/>
    <w:rsid w:val="00C672DA"/>
    <w:rsid w:val="00C6762C"/>
    <w:rsid w:val="00C67B49"/>
    <w:rsid w:val="00C70942"/>
    <w:rsid w:val="00C70D9F"/>
    <w:rsid w:val="00C71021"/>
    <w:rsid w:val="00C71099"/>
    <w:rsid w:val="00C711F5"/>
    <w:rsid w:val="00C713A1"/>
    <w:rsid w:val="00C7149C"/>
    <w:rsid w:val="00C71828"/>
    <w:rsid w:val="00C71B7B"/>
    <w:rsid w:val="00C7205E"/>
    <w:rsid w:val="00C72105"/>
    <w:rsid w:val="00C72289"/>
    <w:rsid w:val="00C7232F"/>
    <w:rsid w:val="00C726B9"/>
    <w:rsid w:val="00C728D0"/>
    <w:rsid w:val="00C72BCE"/>
    <w:rsid w:val="00C72EC0"/>
    <w:rsid w:val="00C74839"/>
    <w:rsid w:val="00C74954"/>
    <w:rsid w:val="00C74BFD"/>
    <w:rsid w:val="00C74D4B"/>
    <w:rsid w:val="00C7531B"/>
    <w:rsid w:val="00C753BD"/>
    <w:rsid w:val="00C75730"/>
    <w:rsid w:val="00C76028"/>
    <w:rsid w:val="00C76184"/>
    <w:rsid w:val="00C766FF"/>
    <w:rsid w:val="00C76736"/>
    <w:rsid w:val="00C7673D"/>
    <w:rsid w:val="00C76A80"/>
    <w:rsid w:val="00C76C27"/>
    <w:rsid w:val="00C76EB8"/>
    <w:rsid w:val="00C76F07"/>
    <w:rsid w:val="00C7758E"/>
    <w:rsid w:val="00C775E0"/>
    <w:rsid w:val="00C77B2D"/>
    <w:rsid w:val="00C77C35"/>
    <w:rsid w:val="00C77EF6"/>
    <w:rsid w:val="00C80319"/>
    <w:rsid w:val="00C80B4B"/>
    <w:rsid w:val="00C80D63"/>
    <w:rsid w:val="00C8108D"/>
    <w:rsid w:val="00C812D5"/>
    <w:rsid w:val="00C816BA"/>
    <w:rsid w:val="00C818D0"/>
    <w:rsid w:val="00C81BEA"/>
    <w:rsid w:val="00C81DF5"/>
    <w:rsid w:val="00C82188"/>
    <w:rsid w:val="00C8222D"/>
    <w:rsid w:val="00C82413"/>
    <w:rsid w:val="00C8242B"/>
    <w:rsid w:val="00C8270A"/>
    <w:rsid w:val="00C8271B"/>
    <w:rsid w:val="00C829FA"/>
    <w:rsid w:val="00C82A50"/>
    <w:rsid w:val="00C83240"/>
    <w:rsid w:val="00C832E7"/>
    <w:rsid w:val="00C83381"/>
    <w:rsid w:val="00C8347E"/>
    <w:rsid w:val="00C83580"/>
    <w:rsid w:val="00C83585"/>
    <w:rsid w:val="00C83607"/>
    <w:rsid w:val="00C83768"/>
    <w:rsid w:val="00C83A53"/>
    <w:rsid w:val="00C83B18"/>
    <w:rsid w:val="00C83FE7"/>
    <w:rsid w:val="00C840C3"/>
    <w:rsid w:val="00C841B4"/>
    <w:rsid w:val="00C84266"/>
    <w:rsid w:val="00C844C2"/>
    <w:rsid w:val="00C846E7"/>
    <w:rsid w:val="00C849E0"/>
    <w:rsid w:val="00C84ACF"/>
    <w:rsid w:val="00C84B74"/>
    <w:rsid w:val="00C84DD5"/>
    <w:rsid w:val="00C8512A"/>
    <w:rsid w:val="00C85520"/>
    <w:rsid w:val="00C85938"/>
    <w:rsid w:val="00C85967"/>
    <w:rsid w:val="00C85970"/>
    <w:rsid w:val="00C85A3E"/>
    <w:rsid w:val="00C85C4A"/>
    <w:rsid w:val="00C85E9B"/>
    <w:rsid w:val="00C86234"/>
    <w:rsid w:val="00C867AC"/>
    <w:rsid w:val="00C874C8"/>
    <w:rsid w:val="00C87AF4"/>
    <w:rsid w:val="00C87BAD"/>
    <w:rsid w:val="00C90165"/>
    <w:rsid w:val="00C90700"/>
    <w:rsid w:val="00C90733"/>
    <w:rsid w:val="00C918EB"/>
    <w:rsid w:val="00C91F33"/>
    <w:rsid w:val="00C921C4"/>
    <w:rsid w:val="00C9235F"/>
    <w:rsid w:val="00C9257F"/>
    <w:rsid w:val="00C92600"/>
    <w:rsid w:val="00C92888"/>
    <w:rsid w:val="00C9319C"/>
    <w:rsid w:val="00C934F6"/>
    <w:rsid w:val="00C93874"/>
    <w:rsid w:val="00C93A4C"/>
    <w:rsid w:val="00C9448D"/>
    <w:rsid w:val="00C94FD2"/>
    <w:rsid w:val="00C9514C"/>
    <w:rsid w:val="00C95341"/>
    <w:rsid w:val="00C9570D"/>
    <w:rsid w:val="00C957AD"/>
    <w:rsid w:val="00C95836"/>
    <w:rsid w:val="00C95B76"/>
    <w:rsid w:val="00C960CD"/>
    <w:rsid w:val="00C964C3"/>
    <w:rsid w:val="00C965F5"/>
    <w:rsid w:val="00C96635"/>
    <w:rsid w:val="00C966B7"/>
    <w:rsid w:val="00C96964"/>
    <w:rsid w:val="00C969DB"/>
    <w:rsid w:val="00C96D96"/>
    <w:rsid w:val="00C96E64"/>
    <w:rsid w:val="00C970F6"/>
    <w:rsid w:val="00C97776"/>
    <w:rsid w:val="00C97A4A"/>
    <w:rsid w:val="00C97C3E"/>
    <w:rsid w:val="00C97DC9"/>
    <w:rsid w:val="00C97EE3"/>
    <w:rsid w:val="00CA00ED"/>
    <w:rsid w:val="00CA0705"/>
    <w:rsid w:val="00CA12BA"/>
    <w:rsid w:val="00CA165C"/>
    <w:rsid w:val="00CA1C0D"/>
    <w:rsid w:val="00CA1DAE"/>
    <w:rsid w:val="00CA2267"/>
    <w:rsid w:val="00CA2AB6"/>
    <w:rsid w:val="00CA2F19"/>
    <w:rsid w:val="00CA30DE"/>
    <w:rsid w:val="00CA38AD"/>
    <w:rsid w:val="00CA3BE1"/>
    <w:rsid w:val="00CA413F"/>
    <w:rsid w:val="00CA43AB"/>
    <w:rsid w:val="00CA4772"/>
    <w:rsid w:val="00CA477E"/>
    <w:rsid w:val="00CA4B5D"/>
    <w:rsid w:val="00CA5098"/>
    <w:rsid w:val="00CA5482"/>
    <w:rsid w:val="00CA5503"/>
    <w:rsid w:val="00CA55C3"/>
    <w:rsid w:val="00CA57DC"/>
    <w:rsid w:val="00CA5A38"/>
    <w:rsid w:val="00CA5E6F"/>
    <w:rsid w:val="00CA5EEF"/>
    <w:rsid w:val="00CA65B3"/>
    <w:rsid w:val="00CA66C3"/>
    <w:rsid w:val="00CA6BAC"/>
    <w:rsid w:val="00CA6CAD"/>
    <w:rsid w:val="00CA70A8"/>
    <w:rsid w:val="00CA70D0"/>
    <w:rsid w:val="00CA74A4"/>
    <w:rsid w:val="00CA7683"/>
    <w:rsid w:val="00CA7EA1"/>
    <w:rsid w:val="00CA7EEB"/>
    <w:rsid w:val="00CB009B"/>
    <w:rsid w:val="00CB0231"/>
    <w:rsid w:val="00CB0838"/>
    <w:rsid w:val="00CB095E"/>
    <w:rsid w:val="00CB1112"/>
    <w:rsid w:val="00CB1242"/>
    <w:rsid w:val="00CB12A9"/>
    <w:rsid w:val="00CB1AFD"/>
    <w:rsid w:val="00CB1B7C"/>
    <w:rsid w:val="00CB1E7F"/>
    <w:rsid w:val="00CB1EB3"/>
    <w:rsid w:val="00CB2126"/>
    <w:rsid w:val="00CB2451"/>
    <w:rsid w:val="00CB24AD"/>
    <w:rsid w:val="00CB2C59"/>
    <w:rsid w:val="00CB2D9C"/>
    <w:rsid w:val="00CB34AB"/>
    <w:rsid w:val="00CB3529"/>
    <w:rsid w:val="00CB3562"/>
    <w:rsid w:val="00CB372F"/>
    <w:rsid w:val="00CB38A9"/>
    <w:rsid w:val="00CB3A44"/>
    <w:rsid w:val="00CB3C0A"/>
    <w:rsid w:val="00CB3C65"/>
    <w:rsid w:val="00CB3E68"/>
    <w:rsid w:val="00CB4728"/>
    <w:rsid w:val="00CB472E"/>
    <w:rsid w:val="00CB4994"/>
    <w:rsid w:val="00CB523B"/>
    <w:rsid w:val="00CB556C"/>
    <w:rsid w:val="00CB587C"/>
    <w:rsid w:val="00CB59E7"/>
    <w:rsid w:val="00CB5E4A"/>
    <w:rsid w:val="00CB5F86"/>
    <w:rsid w:val="00CB5FAF"/>
    <w:rsid w:val="00CB668A"/>
    <w:rsid w:val="00CB6791"/>
    <w:rsid w:val="00CB6976"/>
    <w:rsid w:val="00CB6FCA"/>
    <w:rsid w:val="00CB719B"/>
    <w:rsid w:val="00CB71B1"/>
    <w:rsid w:val="00CB71CB"/>
    <w:rsid w:val="00CB724D"/>
    <w:rsid w:val="00CB72D2"/>
    <w:rsid w:val="00CB72E1"/>
    <w:rsid w:val="00CB73EA"/>
    <w:rsid w:val="00CB7D4E"/>
    <w:rsid w:val="00CC002B"/>
    <w:rsid w:val="00CC07E5"/>
    <w:rsid w:val="00CC09F0"/>
    <w:rsid w:val="00CC0A58"/>
    <w:rsid w:val="00CC0AF0"/>
    <w:rsid w:val="00CC0C11"/>
    <w:rsid w:val="00CC15B5"/>
    <w:rsid w:val="00CC1671"/>
    <w:rsid w:val="00CC1B03"/>
    <w:rsid w:val="00CC1EC3"/>
    <w:rsid w:val="00CC1F52"/>
    <w:rsid w:val="00CC233F"/>
    <w:rsid w:val="00CC248E"/>
    <w:rsid w:val="00CC2735"/>
    <w:rsid w:val="00CC27FD"/>
    <w:rsid w:val="00CC2CAA"/>
    <w:rsid w:val="00CC3073"/>
    <w:rsid w:val="00CC31E8"/>
    <w:rsid w:val="00CC33C6"/>
    <w:rsid w:val="00CC3686"/>
    <w:rsid w:val="00CC3AB9"/>
    <w:rsid w:val="00CC3C9E"/>
    <w:rsid w:val="00CC3FAB"/>
    <w:rsid w:val="00CC410E"/>
    <w:rsid w:val="00CC45E0"/>
    <w:rsid w:val="00CC4BBE"/>
    <w:rsid w:val="00CC4BC3"/>
    <w:rsid w:val="00CC4EBB"/>
    <w:rsid w:val="00CC4F43"/>
    <w:rsid w:val="00CC502F"/>
    <w:rsid w:val="00CC5045"/>
    <w:rsid w:val="00CC50C7"/>
    <w:rsid w:val="00CC55AC"/>
    <w:rsid w:val="00CC5859"/>
    <w:rsid w:val="00CC6159"/>
    <w:rsid w:val="00CC65A8"/>
    <w:rsid w:val="00CC6761"/>
    <w:rsid w:val="00CC6FF2"/>
    <w:rsid w:val="00CC71F3"/>
    <w:rsid w:val="00CC72C0"/>
    <w:rsid w:val="00CC72FD"/>
    <w:rsid w:val="00CC757D"/>
    <w:rsid w:val="00CC7B6A"/>
    <w:rsid w:val="00CC7C74"/>
    <w:rsid w:val="00CD00DB"/>
    <w:rsid w:val="00CD0119"/>
    <w:rsid w:val="00CD07FD"/>
    <w:rsid w:val="00CD0866"/>
    <w:rsid w:val="00CD0FCB"/>
    <w:rsid w:val="00CD0FEE"/>
    <w:rsid w:val="00CD1169"/>
    <w:rsid w:val="00CD121F"/>
    <w:rsid w:val="00CD16C7"/>
    <w:rsid w:val="00CD182B"/>
    <w:rsid w:val="00CD1A40"/>
    <w:rsid w:val="00CD1B33"/>
    <w:rsid w:val="00CD1C70"/>
    <w:rsid w:val="00CD25E4"/>
    <w:rsid w:val="00CD25F3"/>
    <w:rsid w:val="00CD27FF"/>
    <w:rsid w:val="00CD2A36"/>
    <w:rsid w:val="00CD2BB8"/>
    <w:rsid w:val="00CD2BDD"/>
    <w:rsid w:val="00CD2CFA"/>
    <w:rsid w:val="00CD305C"/>
    <w:rsid w:val="00CD3595"/>
    <w:rsid w:val="00CD35E6"/>
    <w:rsid w:val="00CD37D5"/>
    <w:rsid w:val="00CD3A6D"/>
    <w:rsid w:val="00CD3E5A"/>
    <w:rsid w:val="00CD3E63"/>
    <w:rsid w:val="00CD40A3"/>
    <w:rsid w:val="00CD4ACE"/>
    <w:rsid w:val="00CD4CD3"/>
    <w:rsid w:val="00CD5179"/>
    <w:rsid w:val="00CD560A"/>
    <w:rsid w:val="00CD578C"/>
    <w:rsid w:val="00CD589F"/>
    <w:rsid w:val="00CD5F9B"/>
    <w:rsid w:val="00CD60C9"/>
    <w:rsid w:val="00CD6345"/>
    <w:rsid w:val="00CD6796"/>
    <w:rsid w:val="00CD6BBB"/>
    <w:rsid w:val="00CD6C19"/>
    <w:rsid w:val="00CD6E47"/>
    <w:rsid w:val="00CD744D"/>
    <w:rsid w:val="00CD7482"/>
    <w:rsid w:val="00CD7635"/>
    <w:rsid w:val="00CD7E81"/>
    <w:rsid w:val="00CE03D8"/>
    <w:rsid w:val="00CE052A"/>
    <w:rsid w:val="00CE07C1"/>
    <w:rsid w:val="00CE0926"/>
    <w:rsid w:val="00CE0C99"/>
    <w:rsid w:val="00CE0E5B"/>
    <w:rsid w:val="00CE1567"/>
    <w:rsid w:val="00CE186F"/>
    <w:rsid w:val="00CE1BC4"/>
    <w:rsid w:val="00CE1C09"/>
    <w:rsid w:val="00CE1F38"/>
    <w:rsid w:val="00CE20E3"/>
    <w:rsid w:val="00CE24B7"/>
    <w:rsid w:val="00CE273A"/>
    <w:rsid w:val="00CE2BC7"/>
    <w:rsid w:val="00CE321C"/>
    <w:rsid w:val="00CE32E8"/>
    <w:rsid w:val="00CE3700"/>
    <w:rsid w:val="00CE3B69"/>
    <w:rsid w:val="00CE3B77"/>
    <w:rsid w:val="00CE44C5"/>
    <w:rsid w:val="00CE4559"/>
    <w:rsid w:val="00CE4963"/>
    <w:rsid w:val="00CE4BA6"/>
    <w:rsid w:val="00CE5118"/>
    <w:rsid w:val="00CE53EF"/>
    <w:rsid w:val="00CE5487"/>
    <w:rsid w:val="00CE575E"/>
    <w:rsid w:val="00CE59B5"/>
    <w:rsid w:val="00CE59DB"/>
    <w:rsid w:val="00CE5D3A"/>
    <w:rsid w:val="00CE7381"/>
    <w:rsid w:val="00CE73F8"/>
    <w:rsid w:val="00CE7447"/>
    <w:rsid w:val="00CE74CE"/>
    <w:rsid w:val="00CE792C"/>
    <w:rsid w:val="00CE799B"/>
    <w:rsid w:val="00CE7F36"/>
    <w:rsid w:val="00CF00CE"/>
    <w:rsid w:val="00CF0829"/>
    <w:rsid w:val="00CF0AB1"/>
    <w:rsid w:val="00CF0E74"/>
    <w:rsid w:val="00CF1043"/>
    <w:rsid w:val="00CF12AA"/>
    <w:rsid w:val="00CF1833"/>
    <w:rsid w:val="00CF193D"/>
    <w:rsid w:val="00CF1AEA"/>
    <w:rsid w:val="00CF1B4F"/>
    <w:rsid w:val="00CF2091"/>
    <w:rsid w:val="00CF21F6"/>
    <w:rsid w:val="00CF2278"/>
    <w:rsid w:val="00CF2BBB"/>
    <w:rsid w:val="00CF2C62"/>
    <w:rsid w:val="00CF2F66"/>
    <w:rsid w:val="00CF337B"/>
    <w:rsid w:val="00CF348E"/>
    <w:rsid w:val="00CF3FE7"/>
    <w:rsid w:val="00CF4059"/>
    <w:rsid w:val="00CF41B0"/>
    <w:rsid w:val="00CF4416"/>
    <w:rsid w:val="00CF53D8"/>
    <w:rsid w:val="00CF5762"/>
    <w:rsid w:val="00CF5A0D"/>
    <w:rsid w:val="00CF6146"/>
    <w:rsid w:val="00CF63EF"/>
    <w:rsid w:val="00CF65B4"/>
    <w:rsid w:val="00CF69B0"/>
    <w:rsid w:val="00CF6C05"/>
    <w:rsid w:val="00CF722B"/>
    <w:rsid w:val="00CF7485"/>
    <w:rsid w:val="00CF77B0"/>
    <w:rsid w:val="00CF79F8"/>
    <w:rsid w:val="00CF7E56"/>
    <w:rsid w:val="00D0097A"/>
    <w:rsid w:val="00D00A78"/>
    <w:rsid w:val="00D00C0C"/>
    <w:rsid w:val="00D00D15"/>
    <w:rsid w:val="00D00F8D"/>
    <w:rsid w:val="00D0139C"/>
    <w:rsid w:val="00D015F9"/>
    <w:rsid w:val="00D01744"/>
    <w:rsid w:val="00D025CE"/>
    <w:rsid w:val="00D026DF"/>
    <w:rsid w:val="00D02A0F"/>
    <w:rsid w:val="00D02DF3"/>
    <w:rsid w:val="00D02FB3"/>
    <w:rsid w:val="00D03181"/>
    <w:rsid w:val="00D037DC"/>
    <w:rsid w:val="00D0383B"/>
    <w:rsid w:val="00D03A8A"/>
    <w:rsid w:val="00D03B23"/>
    <w:rsid w:val="00D03DA5"/>
    <w:rsid w:val="00D03F27"/>
    <w:rsid w:val="00D043EE"/>
    <w:rsid w:val="00D0470D"/>
    <w:rsid w:val="00D04716"/>
    <w:rsid w:val="00D048AF"/>
    <w:rsid w:val="00D04CC8"/>
    <w:rsid w:val="00D05249"/>
    <w:rsid w:val="00D05455"/>
    <w:rsid w:val="00D055CA"/>
    <w:rsid w:val="00D0598C"/>
    <w:rsid w:val="00D059FC"/>
    <w:rsid w:val="00D05DEF"/>
    <w:rsid w:val="00D05E30"/>
    <w:rsid w:val="00D06861"/>
    <w:rsid w:val="00D0688A"/>
    <w:rsid w:val="00D06F22"/>
    <w:rsid w:val="00D07448"/>
    <w:rsid w:val="00D07A2E"/>
    <w:rsid w:val="00D07A9C"/>
    <w:rsid w:val="00D07DED"/>
    <w:rsid w:val="00D10053"/>
    <w:rsid w:val="00D10076"/>
    <w:rsid w:val="00D10195"/>
    <w:rsid w:val="00D1033B"/>
    <w:rsid w:val="00D10477"/>
    <w:rsid w:val="00D10508"/>
    <w:rsid w:val="00D107E2"/>
    <w:rsid w:val="00D10852"/>
    <w:rsid w:val="00D10BDC"/>
    <w:rsid w:val="00D11931"/>
    <w:rsid w:val="00D11D76"/>
    <w:rsid w:val="00D11E73"/>
    <w:rsid w:val="00D11F02"/>
    <w:rsid w:val="00D12121"/>
    <w:rsid w:val="00D121F5"/>
    <w:rsid w:val="00D126E4"/>
    <w:rsid w:val="00D1310F"/>
    <w:rsid w:val="00D131BF"/>
    <w:rsid w:val="00D140E6"/>
    <w:rsid w:val="00D14F18"/>
    <w:rsid w:val="00D1535F"/>
    <w:rsid w:val="00D154F3"/>
    <w:rsid w:val="00D1559D"/>
    <w:rsid w:val="00D15720"/>
    <w:rsid w:val="00D158EF"/>
    <w:rsid w:val="00D15C14"/>
    <w:rsid w:val="00D15E74"/>
    <w:rsid w:val="00D15E9F"/>
    <w:rsid w:val="00D15FAA"/>
    <w:rsid w:val="00D15FE1"/>
    <w:rsid w:val="00D16261"/>
    <w:rsid w:val="00D1677C"/>
    <w:rsid w:val="00D169EA"/>
    <w:rsid w:val="00D16B54"/>
    <w:rsid w:val="00D16CDF"/>
    <w:rsid w:val="00D16ECB"/>
    <w:rsid w:val="00D16EEE"/>
    <w:rsid w:val="00D17167"/>
    <w:rsid w:val="00D1794C"/>
    <w:rsid w:val="00D17B83"/>
    <w:rsid w:val="00D17BA5"/>
    <w:rsid w:val="00D17D47"/>
    <w:rsid w:val="00D17D8D"/>
    <w:rsid w:val="00D17EC9"/>
    <w:rsid w:val="00D201FF"/>
    <w:rsid w:val="00D2058D"/>
    <w:rsid w:val="00D2176E"/>
    <w:rsid w:val="00D217FA"/>
    <w:rsid w:val="00D2182A"/>
    <w:rsid w:val="00D219FD"/>
    <w:rsid w:val="00D21AD0"/>
    <w:rsid w:val="00D22105"/>
    <w:rsid w:val="00D2211C"/>
    <w:rsid w:val="00D22716"/>
    <w:rsid w:val="00D22945"/>
    <w:rsid w:val="00D22B55"/>
    <w:rsid w:val="00D22DA2"/>
    <w:rsid w:val="00D22E15"/>
    <w:rsid w:val="00D23055"/>
    <w:rsid w:val="00D230AD"/>
    <w:rsid w:val="00D2355B"/>
    <w:rsid w:val="00D23763"/>
    <w:rsid w:val="00D23AA6"/>
    <w:rsid w:val="00D23C49"/>
    <w:rsid w:val="00D240CC"/>
    <w:rsid w:val="00D24DC1"/>
    <w:rsid w:val="00D24F39"/>
    <w:rsid w:val="00D251AB"/>
    <w:rsid w:val="00D25923"/>
    <w:rsid w:val="00D25AC6"/>
    <w:rsid w:val="00D25C3A"/>
    <w:rsid w:val="00D261D3"/>
    <w:rsid w:val="00D26698"/>
    <w:rsid w:val="00D26C0A"/>
    <w:rsid w:val="00D2747E"/>
    <w:rsid w:val="00D303A5"/>
    <w:rsid w:val="00D305CB"/>
    <w:rsid w:val="00D30952"/>
    <w:rsid w:val="00D310DF"/>
    <w:rsid w:val="00D31255"/>
    <w:rsid w:val="00D315F7"/>
    <w:rsid w:val="00D319DF"/>
    <w:rsid w:val="00D3225E"/>
    <w:rsid w:val="00D3231C"/>
    <w:rsid w:val="00D32433"/>
    <w:rsid w:val="00D324BC"/>
    <w:rsid w:val="00D329F0"/>
    <w:rsid w:val="00D33369"/>
    <w:rsid w:val="00D33565"/>
    <w:rsid w:val="00D3356E"/>
    <w:rsid w:val="00D33741"/>
    <w:rsid w:val="00D33762"/>
    <w:rsid w:val="00D33E71"/>
    <w:rsid w:val="00D34025"/>
    <w:rsid w:val="00D3413A"/>
    <w:rsid w:val="00D345E1"/>
    <w:rsid w:val="00D34BD1"/>
    <w:rsid w:val="00D35177"/>
    <w:rsid w:val="00D354CB"/>
    <w:rsid w:val="00D356E1"/>
    <w:rsid w:val="00D36772"/>
    <w:rsid w:val="00D36832"/>
    <w:rsid w:val="00D36AD2"/>
    <w:rsid w:val="00D36F58"/>
    <w:rsid w:val="00D37006"/>
    <w:rsid w:val="00D37331"/>
    <w:rsid w:val="00D378EC"/>
    <w:rsid w:val="00D37DDB"/>
    <w:rsid w:val="00D40609"/>
    <w:rsid w:val="00D408B3"/>
    <w:rsid w:val="00D40983"/>
    <w:rsid w:val="00D409CE"/>
    <w:rsid w:val="00D41188"/>
    <w:rsid w:val="00D417D3"/>
    <w:rsid w:val="00D418D5"/>
    <w:rsid w:val="00D41A6B"/>
    <w:rsid w:val="00D41DB1"/>
    <w:rsid w:val="00D42045"/>
    <w:rsid w:val="00D42166"/>
    <w:rsid w:val="00D421EB"/>
    <w:rsid w:val="00D42227"/>
    <w:rsid w:val="00D4276D"/>
    <w:rsid w:val="00D42798"/>
    <w:rsid w:val="00D42970"/>
    <w:rsid w:val="00D42C02"/>
    <w:rsid w:val="00D43039"/>
    <w:rsid w:val="00D43492"/>
    <w:rsid w:val="00D43551"/>
    <w:rsid w:val="00D4364E"/>
    <w:rsid w:val="00D43AED"/>
    <w:rsid w:val="00D43FF9"/>
    <w:rsid w:val="00D44916"/>
    <w:rsid w:val="00D449A2"/>
    <w:rsid w:val="00D4533D"/>
    <w:rsid w:val="00D45935"/>
    <w:rsid w:val="00D45CA4"/>
    <w:rsid w:val="00D45EA7"/>
    <w:rsid w:val="00D45F22"/>
    <w:rsid w:val="00D461DD"/>
    <w:rsid w:val="00D46485"/>
    <w:rsid w:val="00D4697C"/>
    <w:rsid w:val="00D47178"/>
    <w:rsid w:val="00D4752E"/>
    <w:rsid w:val="00D47842"/>
    <w:rsid w:val="00D47869"/>
    <w:rsid w:val="00D478A8"/>
    <w:rsid w:val="00D47BEF"/>
    <w:rsid w:val="00D5065B"/>
    <w:rsid w:val="00D50826"/>
    <w:rsid w:val="00D509C5"/>
    <w:rsid w:val="00D50A4A"/>
    <w:rsid w:val="00D50C88"/>
    <w:rsid w:val="00D51675"/>
    <w:rsid w:val="00D51691"/>
    <w:rsid w:val="00D51A75"/>
    <w:rsid w:val="00D51D0D"/>
    <w:rsid w:val="00D51F73"/>
    <w:rsid w:val="00D5223D"/>
    <w:rsid w:val="00D523BA"/>
    <w:rsid w:val="00D52747"/>
    <w:rsid w:val="00D52827"/>
    <w:rsid w:val="00D529BE"/>
    <w:rsid w:val="00D52B0E"/>
    <w:rsid w:val="00D52CF6"/>
    <w:rsid w:val="00D53198"/>
    <w:rsid w:val="00D5322E"/>
    <w:rsid w:val="00D532DC"/>
    <w:rsid w:val="00D538B8"/>
    <w:rsid w:val="00D53B19"/>
    <w:rsid w:val="00D53D3E"/>
    <w:rsid w:val="00D547E0"/>
    <w:rsid w:val="00D54992"/>
    <w:rsid w:val="00D54BF4"/>
    <w:rsid w:val="00D55291"/>
    <w:rsid w:val="00D5537A"/>
    <w:rsid w:val="00D5549F"/>
    <w:rsid w:val="00D55834"/>
    <w:rsid w:val="00D55C48"/>
    <w:rsid w:val="00D55E47"/>
    <w:rsid w:val="00D5602A"/>
    <w:rsid w:val="00D56371"/>
    <w:rsid w:val="00D56997"/>
    <w:rsid w:val="00D569AA"/>
    <w:rsid w:val="00D56BE5"/>
    <w:rsid w:val="00D56C4C"/>
    <w:rsid w:val="00D570E6"/>
    <w:rsid w:val="00D5730F"/>
    <w:rsid w:val="00D5774F"/>
    <w:rsid w:val="00D578A0"/>
    <w:rsid w:val="00D578B1"/>
    <w:rsid w:val="00D57A52"/>
    <w:rsid w:val="00D57FDF"/>
    <w:rsid w:val="00D6063C"/>
    <w:rsid w:val="00D60809"/>
    <w:rsid w:val="00D60C15"/>
    <w:rsid w:val="00D60D57"/>
    <w:rsid w:val="00D60D7F"/>
    <w:rsid w:val="00D60DF8"/>
    <w:rsid w:val="00D61899"/>
    <w:rsid w:val="00D61A26"/>
    <w:rsid w:val="00D61C9C"/>
    <w:rsid w:val="00D62111"/>
    <w:rsid w:val="00D62229"/>
    <w:rsid w:val="00D625B8"/>
    <w:rsid w:val="00D626F8"/>
    <w:rsid w:val="00D634CD"/>
    <w:rsid w:val="00D6366C"/>
    <w:rsid w:val="00D636DC"/>
    <w:rsid w:val="00D63F4C"/>
    <w:rsid w:val="00D64265"/>
    <w:rsid w:val="00D642AC"/>
    <w:rsid w:val="00D64613"/>
    <w:rsid w:val="00D64702"/>
    <w:rsid w:val="00D667D1"/>
    <w:rsid w:val="00D66A27"/>
    <w:rsid w:val="00D66BD9"/>
    <w:rsid w:val="00D66BFD"/>
    <w:rsid w:val="00D66C76"/>
    <w:rsid w:val="00D66C91"/>
    <w:rsid w:val="00D66E84"/>
    <w:rsid w:val="00D671BB"/>
    <w:rsid w:val="00D674EE"/>
    <w:rsid w:val="00D67535"/>
    <w:rsid w:val="00D67ACC"/>
    <w:rsid w:val="00D67B2A"/>
    <w:rsid w:val="00D67BC9"/>
    <w:rsid w:val="00D67DBC"/>
    <w:rsid w:val="00D704D9"/>
    <w:rsid w:val="00D70BD2"/>
    <w:rsid w:val="00D70C99"/>
    <w:rsid w:val="00D70EC5"/>
    <w:rsid w:val="00D713F2"/>
    <w:rsid w:val="00D71DFB"/>
    <w:rsid w:val="00D721AA"/>
    <w:rsid w:val="00D724F2"/>
    <w:rsid w:val="00D7257D"/>
    <w:rsid w:val="00D72705"/>
    <w:rsid w:val="00D72CE6"/>
    <w:rsid w:val="00D7342C"/>
    <w:rsid w:val="00D738BF"/>
    <w:rsid w:val="00D73B3D"/>
    <w:rsid w:val="00D73B93"/>
    <w:rsid w:val="00D73C95"/>
    <w:rsid w:val="00D73F29"/>
    <w:rsid w:val="00D73F44"/>
    <w:rsid w:val="00D73F99"/>
    <w:rsid w:val="00D74192"/>
    <w:rsid w:val="00D743D0"/>
    <w:rsid w:val="00D744BD"/>
    <w:rsid w:val="00D745C1"/>
    <w:rsid w:val="00D74799"/>
    <w:rsid w:val="00D7483E"/>
    <w:rsid w:val="00D749CF"/>
    <w:rsid w:val="00D74D95"/>
    <w:rsid w:val="00D75304"/>
    <w:rsid w:val="00D753AF"/>
    <w:rsid w:val="00D75676"/>
    <w:rsid w:val="00D75731"/>
    <w:rsid w:val="00D75B45"/>
    <w:rsid w:val="00D75B5C"/>
    <w:rsid w:val="00D75F8C"/>
    <w:rsid w:val="00D76050"/>
    <w:rsid w:val="00D76105"/>
    <w:rsid w:val="00D76309"/>
    <w:rsid w:val="00D76423"/>
    <w:rsid w:val="00D767BF"/>
    <w:rsid w:val="00D76D77"/>
    <w:rsid w:val="00D77278"/>
    <w:rsid w:val="00D77477"/>
    <w:rsid w:val="00D775B5"/>
    <w:rsid w:val="00D7772F"/>
    <w:rsid w:val="00D77791"/>
    <w:rsid w:val="00D7789B"/>
    <w:rsid w:val="00D77961"/>
    <w:rsid w:val="00D77B20"/>
    <w:rsid w:val="00D77B33"/>
    <w:rsid w:val="00D77B3B"/>
    <w:rsid w:val="00D8007C"/>
    <w:rsid w:val="00D804B9"/>
    <w:rsid w:val="00D8079F"/>
    <w:rsid w:val="00D80C7A"/>
    <w:rsid w:val="00D80E42"/>
    <w:rsid w:val="00D8103B"/>
    <w:rsid w:val="00D8111B"/>
    <w:rsid w:val="00D81242"/>
    <w:rsid w:val="00D812D2"/>
    <w:rsid w:val="00D81B2C"/>
    <w:rsid w:val="00D81CE2"/>
    <w:rsid w:val="00D822FA"/>
    <w:rsid w:val="00D823E3"/>
    <w:rsid w:val="00D82D02"/>
    <w:rsid w:val="00D82D0F"/>
    <w:rsid w:val="00D83556"/>
    <w:rsid w:val="00D83A5A"/>
    <w:rsid w:val="00D83F9A"/>
    <w:rsid w:val="00D84157"/>
    <w:rsid w:val="00D842DF"/>
    <w:rsid w:val="00D845EF"/>
    <w:rsid w:val="00D84BD7"/>
    <w:rsid w:val="00D84C68"/>
    <w:rsid w:val="00D84DCA"/>
    <w:rsid w:val="00D84EEE"/>
    <w:rsid w:val="00D84F77"/>
    <w:rsid w:val="00D850FC"/>
    <w:rsid w:val="00D85114"/>
    <w:rsid w:val="00D855E3"/>
    <w:rsid w:val="00D857BC"/>
    <w:rsid w:val="00D86144"/>
    <w:rsid w:val="00D8622E"/>
    <w:rsid w:val="00D8718F"/>
    <w:rsid w:val="00D871B6"/>
    <w:rsid w:val="00D8741A"/>
    <w:rsid w:val="00D87435"/>
    <w:rsid w:val="00D875E1"/>
    <w:rsid w:val="00D878A1"/>
    <w:rsid w:val="00D9012A"/>
    <w:rsid w:val="00D9014E"/>
    <w:rsid w:val="00D90275"/>
    <w:rsid w:val="00D902F5"/>
    <w:rsid w:val="00D90303"/>
    <w:rsid w:val="00D90678"/>
    <w:rsid w:val="00D9075D"/>
    <w:rsid w:val="00D90959"/>
    <w:rsid w:val="00D90F9A"/>
    <w:rsid w:val="00D9102B"/>
    <w:rsid w:val="00D913AF"/>
    <w:rsid w:val="00D91410"/>
    <w:rsid w:val="00D91438"/>
    <w:rsid w:val="00D91594"/>
    <w:rsid w:val="00D917E2"/>
    <w:rsid w:val="00D91A8F"/>
    <w:rsid w:val="00D91A9B"/>
    <w:rsid w:val="00D91ABE"/>
    <w:rsid w:val="00D91B02"/>
    <w:rsid w:val="00D91CF0"/>
    <w:rsid w:val="00D91DFB"/>
    <w:rsid w:val="00D921DA"/>
    <w:rsid w:val="00D92227"/>
    <w:rsid w:val="00D926C4"/>
    <w:rsid w:val="00D92C2F"/>
    <w:rsid w:val="00D92E50"/>
    <w:rsid w:val="00D92F7F"/>
    <w:rsid w:val="00D93329"/>
    <w:rsid w:val="00D93514"/>
    <w:rsid w:val="00D93B3C"/>
    <w:rsid w:val="00D93B97"/>
    <w:rsid w:val="00D940D6"/>
    <w:rsid w:val="00D9459D"/>
    <w:rsid w:val="00D94730"/>
    <w:rsid w:val="00D94858"/>
    <w:rsid w:val="00D94972"/>
    <w:rsid w:val="00D94BEC"/>
    <w:rsid w:val="00D94EC5"/>
    <w:rsid w:val="00D954A1"/>
    <w:rsid w:val="00D95519"/>
    <w:rsid w:val="00D95744"/>
    <w:rsid w:val="00D958C2"/>
    <w:rsid w:val="00D958FC"/>
    <w:rsid w:val="00D959AE"/>
    <w:rsid w:val="00D95DC2"/>
    <w:rsid w:val="00D96636"/>
    <w:rsid w:val="00D96662"/>
    <w:rsid w:val="00D96678"/>
    <w:rsid w:val="00D96AB2"/>
    <w:rsid w:val="00D96C73"/>
    <w:rsid w:val="00D96D46"/>
    <w:rsid w:val="00D97A99"/>
    <w:rsid w:val="00D97C27"/>
    <w:rsid w:val="00DA04A9"/>
    <w:rsid w:val="00DA0526"/>
    <w:rsid w:val="00DA0639"/>
    <w:rsid w:val="00DA0CF7"/>
    <w:rsid w:val="00DA0E96"/>
    <w:rsid w:val="00DA1203"/>
    <w:rsid w:val="00DA15FA"/>
    <w:rsid w:val="00DA1825"/>
    <w:rsid w:val="00DA18DA"/>
    <w:rsid w:val="00DA1A9C"/>
    <w:rsid w:val="00DA1B45"/>
    <w:rsid w:val="00DA1BCE"/>
    <w:rsid w:val="00DA1D57"/>
    <w:rsid w:val="00DA1EE8"/>
    <w:rsid w:val="00DA1F0C"/>
    <w:rsid w:val="00DA1F38"/>
    <w:rsid w:val="00DA2F0F"/>
    <w:rsid w:val="00DA349E"/>
    <w:rsid w:val="00DA3565"/>
    <w:rsid w:val="00DA3889"/>
    <w:rsid w:val="00DA38D7"/>
    <w:rsid w:val="00DA3A5B"/>
    <w:rsid w:val="00DA3D0B"/>
    <w:rsid w:val="00DA3F51"/>
    <w:rsid w:val="00DA3FDC"/>
    <w:rsid w:val="00DA4336"/>
    <w:rsid w:val="00DA4597"/>
    <w:rsid w:val="00DA45DB"/>
    <w:rsid w:val="00DA48D9"/>
    <w:rsid w:val="00DA49F8"/>
    <w:rsid w:val="00DA4AAE"/>
    <w:rsid w:val="00DA5354"/>
    <w:rsid w:val="00DA5572"/>
    <w:rsid w:val="00DA5C70"/>
    <w:rsid w:val="00DA62E4"/>
    <w:rsid w:val="00DA6A15"/>
    <w:rsid w:val="00DA6BC9"/>
    <w:rsid w:val="00DA6BE0"/>
    <w:rsid w:val="00DA6CC2"/>
    <w:rsid w:val="00DA6D2F"/>
    <w:rsid w:val="00DA7029"/>
    <w:rsid w:val="00DA74D1"/>
    <w:rsid w:val="00DA77A0"/>
    <w:rsid w:val="00DA7CE5"/>
    <w:rsid w:val="00DB0401"/>
    <w:rsid w:val="00DB04D8"/>
    <w:rsid w:val="00DB0750"/>
    <w:rsid w:val="00DB09A2"/>
    <w:rsid w:val="00DB0ABE"/>
    <w:rsid w:val="00DB0C79"/>
    <w:rsid w:val="00DB0FFB"/>
    <w:rsid w:val="00DB103D"/>
    <w:rsid w:val="00DB10A0"/>
    <w:rsid w:val="00DB1448"/>
    <w:rsid w:val="00DB1512"/>
    <w:rsid w:val="00DB1998"/>
    <w:rsid w:val="00DB1E3E"/>
    <w:rsid w:val="00DB1FC4"/>
    <w:rsid w:val="00DB21F0"/>
    <w:rsid w:val="00DB24C0"/>
    <w:rsid w:val="00DB2834"/>
    <w:rsid w:val="00DB2C5F"/>
    <w:rsid w:val="00DB311F"/>
    <w:rsid w:val="00DB38A3"/>
    <w:rsid w:val="00DB3A58"/>
    <w:rsid w:val="00DB3BDF"/>
    <w:rsid w:val="00DB3C58"/>
    <w:rsid w:val="00DB3D46"/>
    <w:rsid w:val="00DB401C"/>
    <w:rsid w:val="00DB40EE"/>
    <w:rsid w:val="00DB46C8"/>
    <w:rsid w:val="00DB4BF5"/>
    <w:rsid w:val="00DB540E"/>
    <w:rsid w:val="00DB5A63"/>
    <w:rsid w:val="00DB5C47"/>
    <w:rsid w:val="00DB6166"/>
    <w:rsid w:val="00DB6173"/>
    <w:rsid w:val="00DB6227"/>
    <w:rsid w:val="00DB656B"/>
    <w:rsid w:val="00DB691E"/>
    <w:rsid w:val="00DB75A3"/>
    <w:rsid w:val="00DB7625"/>
    <w:rsid w:val="00DB799D"/>
    <w:rsid w:val="00DB79C8"/>
    <w:rsid w:val="00DB7B06"/>
    <w:rsid w:val="00DB7C49"/>
    <w:rsid w:val="00DB7F2C"/>
    <w:rsid w:val="00DC01C1"/>
    <w:rsid w:val="00DC0574"/>
    <w:rsid w:val="00DC0595"/>
    <w:rsid w:val="00DC0617"/>
    <w:rsid w:val="00DC0A84"/>
    <w:rsid w:val="00DC0C65"/>
    <w:rsid w:val="00DC0CD6"/>
    <w:rsid w:val="00DC1302"/>
    <w:rsid w:val="00DC1424"/>
    <w:rsid w:val="00DC16BF"/>
    <w:rsid w:val="00DC16E1"/>
    <w:rsid w:val="00DC16FC"/>
    <w:rsid w:val="00DC1881"/>
    <w:rsid w:val="00DC1ED7"/>
    <w:rsid w:val="00DC2524"/>
    <w:rsid w:val="00DC2CFC"/>
    <w:rsid w:val="00DC31D8"/>
    <w:rsid w:val="00DC37B9"/>
    <w:rsid w:val="00DC37EE"/>
    <w:rsid w:val="00DC3A6F"/>
    <w:rsid w:val="00DC3D1C"/>
    <w:rsid w:val="00DC3D82"/>
    <w:rsid w:val="00DC3DA4"/>
    <w:rsid w:val="00DC409F"/>
    <w:rsid w:val="00DC43B5"/>
    <w:rsid w:val="00DC43E1"/>
    <w:rsid w:val="00DC47B7"/>
    <w:rsid w:val="00DC4EE7"/>
    <w:rsid w:val="00DC5199"/>
    <w:rsid w:val="00DC5272"/>
    <w:rsid w:val="00DC5779"/>
    <w:rsid w:val="00DC5867"/>
    <w:rsid w:val="00DC58EF"/>
    <w:rsid w:val="00DC5A32"/>
    <w:rsid w:val="00DC5DC5"/>
    <w:rsid w:val="00DC5E4E"/>
    <w:rsid w:val="00DC651B"/>
    <w:rsid w:val="00DC662F"/>
    <w:rsid w:val="00DC6E78"/>
    <w:rsid w:val="00DC7239"/>
    <w:rsid w:val="00DC729A"/>
    <w:rsid w:val="00DC731D"/>
    <w:rsid w:val="00DC7328"/>
    <w:rsid w:val="00DC73B1"/>
    <w:rsid w:val="00DC7519"/>
    <w:rsid w:val="00DC75C6"/>
    <w:rsid w:val="00DC7630"/>
    <w:rsid w:val="00DC7A23"/>
    <w:rsid w:val="00DC7A4D"/>
    <w:rsid w:val="00DC7EB5"/>
    <w:rsid w:val="00DD01A0"/>
    <w:rsid w:val="00DD02FD"/>
    <w:rsid w:val="00DD04AC"/>
    <w:rsid w:val="00DD04DD"/>
    <w:rsid w:val="00DD0576"/>
    <w:rsid w:val="00DD0891"/>
    <w:rsid w:val="00DD0905"/>
    <w:rsid w:val="00DD0B35"/>
    <w:rsid w:val="00DD0E77"/>
    <w:rsid w:val="00DD0F9F"/>
    <w:rsid w:val="00DD1054"/>
    <w:rsid w:val="00DD11A7"/>
    <w:rsid w:val="00DD1298"/>
    <w:rsid w:val="00DD1733"/>
    <w:rsid w:val="00DD185F"/>
    <w:rsid w:val="00DD1C53"/>
    <w:rsid w:val="00DD2300"/>
    <w:rsid w:val="00DD2309"/>
    <w:rsid w:val="00DD28B3"/>
    <w:rsid w:val="00DD2B41"/>
    <w:rsid w:val="00DD2DE3"/>
    <w:rsid w:val="00DD2DE8"/>
    <w:rsid w:val="00DD316F"/>
    <w:rsid w:val="00DD33B5"/>
    <w:rsid w:val="00DD357C"/>
    <w:rsid w:val="00DD37CA"/>
    <w:rsid w:val="00DD3D55"/>
    <w:rsid w:val="00DD3DF7"/>
    <w:rsid w:val="00DD3F1E"/>
    <w:rsid w:val="00DD4179"/>
    <w:rsid w:val="00DD45CF"/>
    <w:rsid w:val="00DD47B8"/>
    <w:rsid w:val="00DD4AE2"/>
    <w:rsid w:val="00DD4BFA"/>
    <w:rsid w:val="00DD5064"/>
    <w:rsid w:val="00DD51F8"/>
    <w:rsid w:val="00DD5624"/>
    <w:rsid w:val="00DD5F56"/>
    <w:rsid w:val="00DD6388"/>
    <w:rsid w:val="00DD675D"/>
    <w:rsid w:val="00DD6832"/>
    <w:rsid w:val="00DD6C53"/>
    <w:rsid w:val="00DD7001"/>
    <w:rsid w:val="00DD7198"/>
    <w:rsid w:val="00DD7199"/>
    <w:rsid w:val="00DD7C44"/>
    <w:rsid w:val="00DD7CB6"/>
    <w:rsid w:val="00DE0077"/>
    <w:rsid w:val="00DE0137"/>
    <w:rsid w:val="00DE0198"/>
    <w:rsid w:val="00DE01BA"/>
    <w:rsid w:val="00DE0800"/>
    <w:rsid w:val="00DE0DCF"/>
    <w:rsid w:val="00DE137B"/>
    <w:rsid w:val="00DE13D4"/>
    <w:rsid w:val="00DE13FD"/>
    <w:rsid w:val="00DE146B"/>
    <w:rsid w:val="00DE15EC"/>
    <w:rsid w:val="00DE19D9"/>
    <w:rsid w:val="00DE1C18"/>
    <w:rsid w:val="00DE1DC6"/>
    <w:rsid w:val="00DE1F77"/>
    <w:rsid w:val="00DE21C6"/>
    <w:rsid w:val="00DE22AA"/>
    <w:rsid w:val="00DE25BB"/>
    <w:rsid w:val="00DE2673"/>
    <w:rsid w:val="00DE288F"/>
    <w:rsid w:val="00DE2D49"/>
    <w:rsid w:val="00DE2F82"/>
    <w:rsid w:val="00DE2FBF"/>
    <w:rsid w:val="00DE360C"/>
    <w:rsid w:val="00DE388A"/>
    <w:rsid w:val="00DE3E66"/>
    <w:rsid w:val="00DE3F75"/>
    <w:rsid w:val="00DE45F5"/>
    <w:rsid w:val="00DE4828"/>
    <w:rsid w:val="00DE4AAD"/>
    <w:rsid w:val="00DE4C0C"/>
    <w:rsid w:val="00DE4FC8"/>
    <w:rsid w:val="00DE53B5"/>
    <w:rsid w:val="00DE5A50"/>
    <w:rsid w:val="00DE60C5"/>
    <w:rsid w:val="00DE6507"/>
    <w:rsid w:val="00DE6F2C"/>
    <w:rsid w:val="00DE7323"/>
    <w:rsid w:val="00DE735D"/>
    <w:rsid w:val="00DE75F0"/>
    <w:rsid w:val="00DE75FF"/>
    <w:rsid w:val="00DE7650"/>
    <w:rsid w:val="00DE7775"/>
    <w:rsid w:val="00DE77CB"/>
    <w:rsid w:val="00DE7EBA"/>
    <w:rsid w:val="00DF04BD"/>
    <w:rsid w:val="00DF068D"/>
    <w:rsid w:val="00DF0D3A"/>
    <w:rsid w:val="00DF1A9A"/>
    <w:rsid w:val="00DF1C2D"/>
    <w:rsid w:val="00DF1DB6"/>
    <w:rsid w:val="00DF1F8A"/>
    <w:rsid w:val="00DF2170"/>
    <w:rsid w:val="00DF248E"/>
    <w:rsid w:val="00DF253D"/>
    <w:rsid w:val="00DF2681"/>
    <w:rsid w:val="00DF2F9D"/>
    <w:rsid w:val="00DF310B"/>
    <w:rsid w:val="00DF315D"/>
    <w:rsid w:val="00DF3222"/>
    <w:rsid w:val="00DF3577"/>
    <w:rsid w:val="00DF3C97"/>
    <w:rsid w:val="00DF3D03"/>
    <w:rsid w:val="00DF4063"/>
    <w:rsid w:val="00DF4081"/>
    <w:rsid w:val="00DF4165"/>
    <w:rsid w:val="00DF4417"/>
    <w:rsid w:val="00DF5A2D"/>
    <w:rsid w:val="00DF5C2D"/>
    <w:rsid w:val="00DF5CA6"/>
    <w:rsid w:val="00DF5DEB"/>
    <w:rsid w:val="00DF5E05"/>
    <w:rsid w:val="00DF5F13"/>
    <w:rsid w:val="00DF61A5"/>
    <w:rsid w:val="00DF63DD"/>
    <w:rsid w:val="00DF684B"/>
    <w:rsid w:val="00DF6B62"/>
    <w:rsid w:val="00DF7828"/>
    <w:rsid w:val="00DF78A8"/>
    <w:rsid w:val="00DF7BD0"/>
    <w:rsid w:val="00DF7BDF"/>
    <w:rsid w:val="00E00303"/>
    <w:rsid w:val="00E00489"/>
    <w:rsid w:val="00E00608"/>
    <w:rsid w:val="00E0060E"/>
    <w:rsid w:val="00E009A1"/>
    <w:rsid w:val="00E00A62"/>
    <w:rsid w:val="00E00CDE"/>
    <w:rsid w:val="00E010A0"/>
    <w:rsid w:val="00E0125E"/>
    <w:rsid w:val="00E01668"/>
    <w:rsid w:val="00E0173A"/>
    <w:rsid w:val="00E01849"/>
    <w:rsid w:val="00E01D56"/>
    <w:rsid w:val="00E01EAE"/>
    <w:rsid w:val="00E020D1"/>
    <w:rsid w:val="00E02B21"/>
    <w:rsid w:val="00E02B64"/>
    <w:rsid w:val="00E02EAD"/>
    <w:rsid w:val="00E033D3"/>
    <w:rsid w:val="00E03D3F"/>
    <w:rsid w:val="00E040A4"/>
    <w:rsid w:val="00E0437C"/>
    <w:rsid w:val="00E0452C"/>
    <w:rsid w:val="00E04D61"/>
    <w:rsid w:val="00E0504C"/>
    <w:rsid w:val="00E05074"/>
    <w:rsid w:val="00E05489"/>
    <w:rsid w:val="00E05741"/>
    <w:rsid w:val="00E0589C"/>
    <w:rsid w:val="00E0589F"/>
    <w:rsid w:val="00E05929"/>
    <w:rsid w:val="00E05F7F"/>
    <w:rsid w:val="00E06930"/>
    <w:rsid w:val="00E06971"/>
    <w:rsid w:val="00E06B43"/>
    <w:rsid w:val="00E06E32"/>
    <w:rsid w:val="00E06EC4"/>
    <w:rsid w:val="00E06F4B"/>
    <w:rsid w:val="00E070D9"/>
    <w:rsid w:val="00E07E39"/>
    <w:rsid w:val="00E07EFB"/>
    <w:rsid w:val="00E1016E"/>
    <w:rsid w:val="00E10278"/>
    <w:rsid w:val="00E104D7"/>
    <w:rsid w:val="00E105B3"/>
    <w:rsid w:val="00E10846"/>
    <w:rsid w:val="00E108F4"/>
    <w:rsid w:val="00E10A4B"/>
    <w:rsid w:val="00E10D0E"/>
    <w:rsid w:val="00E10D4E"/>
    <w:rsid w:val="00E1100C"/>
    <w:rsid w:val="00E11489"/>
    <w:rsid w:val="00E11595"/>
    <w:rsid w:val="00E11711"/>
    <w:rsid w:val="00E11E63"/>
    <w:rsid w:val="00E120E8"/>
    <w:rsid w:val="00E1249D"/>
    <w:rsid w:val="00E12696"/>
    <w:rsid w:val="00E12DEE"/>
    <w:rsid w:val="00E1310D"/>
    <w:rsid w:val="00E13359"/>
    <w:rsid w:val="00E138BF"/>
    <w:rsid w:val="00E13AB0"/>
    <w:rsid w:val="00E13BCE"/>
    <w:rsid w:val="00E13FBF"/>
    <w:rsid w:val="00E142AB"/>
    <w:rsid w:val="00E14C3F"/>
    <w:rsid w:val="00E14E94"/>
    <w:rsid w:val="00E14EFA"/>
    <w:rsid w:val="00E151B9"/>
    <w:rsid w:val="00E154DC"/>
    <w:rsid w:val="00E1560D"/>
    <w:rsid w:val="00E1566E"/>
    <w:rsid w:val="00E158C4"/>
    <w:rsid w:val="00E15B09"/>
    <w:rsid w:val="00E161E6"/>
    <w:rsid w:val="00E162D1"/>
    <w:rsid w:val="00E162F9"/>
    <w:rsid w:val="00E167C9"/>
    <w:rsid w:val="00E168F7"/>
    <w:rsid w:val="00E1698C"/>
    <w:rsid w:val="00E16CF6"/>
    <w:rsid w:val="00E16FEA"/>
    <w:rsid w:val="00E172BE"/>
    <w:rsid w:val="00E1734B"/>
    <w:rsid w:val="00E17CF7"/>
    <w:rsid w:val="00E17E3F"/>
    <w:rsid w:val="00E2032C"/>
    <w:rsid w:val="00E20377"/>
    <w:rsid w:val="00E205D6"/>
    <w:rsid w:val="00E20917"/>
    <w:rsid w:val="00E20B42"/>
    <w:rsid w:val="00E20BCD"/>
    <w:rsid w:val="00E2132B"/>
    <w:rsid w:val="00E216EC"/>
    <w:rsid w:val="00E2189A"/>
    <w:rsid w:val="00E22A54"/>
    <w:rsid w:val="00E22B5A"/>
    <w:rsid w:val="00E22B68"/>
    <w:rsid w:val="00E22C99"/>
    <w:rsid w:val="00E231C9"/>
    <w:rsid w:val="00E23379"/>
    <w:rsid w:val="00E235D1"/>
    <w:rsid w:val="00E23B73"/>
    <w:rsid w:val="00E23EBF"/>
    <w:rsid w:val="00E23FD5"/>
    <w:rsid w:val="00E24669"/>
    <w:rsid w:val="00E246C7"/>
    <w:rsid w:val="00E2487F"/>
    <w:rsid w:val="00E248B2"/>
    <w:rsid w:val="00E24C48"/>
    <w:rsid w:val="00E24D50"/>
    <w:rsid w:val="00E24DF8"/>
    <w:rsid w:val="00E24F0B"/>
    <w:rsid w:val="00E258FA"/>
    <w:rsid w:val="00E25981"/>
    <w:rsid w:val="00E25BC1"/>
    <w:rsid w:val="00E26141"/>
    <w:rsid w:val="00E26525"/>
    <w:rsid w:val="00E26563"/>
    <w:rsid w:val="00E266F5"/>
    <w:rsid w:val="00E26C4C"/>
    <w:rsid w:val="00E26F02"/>
    <w:rsid w:val="00E26F90"/>
    <w:rsid w:val="00E270D3"/>
    <w:rsid w:val="00E27ACC"/>
    <w:rsid w:val="00E27FC7"/>
    <w:rsid w:val="00E30700"/>
    <w:rsid w:val="00E30A26"/>
    <w:rsid w:val="00E30BE0"/>
    <w:rsid w:val="00E30D84"/>
    <w:rsid w:val="00E30D87"/>
    <w:rsid w:val="00E30DF4"/>
    <w:rsid w:val="00E30E57"/>
    <w:rsid w:val="00E311B1"/>
    <w:rsid w:val="00E31236"/>
    <w:rsid w:val="00E31360"/>
    <w:rsid w:val="00E3155A"/>
    <w:rsid w:val="00E31D28"/>
    <w:rsid w:val="00E32192"/>
    <w:rsid w:val="00E323BB"/>
    <w:rsid w:val="00E325FF"/>
    <w:rsid w:val="00E32BD5"/>
    <w:rsid w:val="00E32CB8"/>
    <w:rsid w:val="00E334C3"/>
    <w:rsid w:val="00E33C15"/>
    <w:rsid w:val="00E3419B"/>
    <w:rsid w:val="00E3440F"/>
    <w:rsid w:val="00E34F3A"/>
    <w:rsid w:val="00E35030"/>
    <w:rsid w:val="00E35541"/>
    <w:rsid w:val="00E3554B"/>
    <w:rsid w:val="00E35F99"/>
    <w:rsid w:val="00E35F9A"/>
    <w:rsid w:val="00E36165"/>
    <w:rsid w:val="00E361A8"/>
    <w:rsid w:val="00E3637F"/>
    <w:rsid w:val="00E364B6"/>
    <w:rsid w:val="00E36723"/>
    <w:rsid w:val="00E3713C"/>
    <w:rsid w:val="00E3767B"/>
    <w:rsid w:val="00E37A3D"/>
    <w:rsid w:val="00E37BF6"/>
    <w:rsid w:val="00E37E1C"/>
    <w:rsid w:val="00E37FB2"/>
    <w:rsid w:val="00E40126"/>
    <w:rsid w:val="00E40CBF"/>
    <w:rsid w:val="00E40E7D"/>
    <w:rsid w:val="00E40EE4"/>
    <w:rsid w:val="00E4128F"/>
    <w:rsid w:val="00E413C6"/>
    <w:rsid w:val="00E41C4E"/>
    <w:rsid w:val="00E41EB7"/>
    <w:rsid w:val="00E420D5"/>
    <w:rsid w:val="00E422D5"/>
    <w:rsid w:val="00E42517"/>
    <w:rsid w:val="00E42BCA"/>
    <w:rsid w:val="00E42D55"/>
    <w:rsid w:val="00E42FFE"/>
    <w:rsid w:val="00E4316E"/>
    <w:rsid w:val="00E43236"/>
    <w:rsid w:val="00E435AB"/>
    <w:rsid w:val="00E439C6"/>
    <w:rsid w:val="00E43DC4"/>
    <w:rsid w:val="00E44275"/>
    <w:rsid w:val="00E44777"/>
    <w:rsid w:val="00E447B6"/>
    <w:rsid w:val="00E44D24"/>
    <w:rsid w:val="00E45314"/>
    <w:rsid w:val="00E4535F"/>
    <w:rsid w:val="00E4570F"/>
    <w:rsid w:val="00E466BC"/>
    <w:rsid w:val="00E4686A"/>
    <w:rsid w:val="00E46B63"/>
    <w:rsid w:val="00E46FD4"/>
    <w:rsid w:val="00E47538"/>
    <w:rsid w:val="00E478B8"/>
    <w:rsid w:val="00E479FD"/>
    <w:rsid w:val="00E47EC8"/>
    <w:rsid w:val="00E5029A"/>
    <w:rsid w:val="00E504D6"/>
    <w:rsid w:val="00E50687"/>
    <w:rsid w:val="00E50B6F"/>
    <w:rsid w:val="00E50DF1"/>
    <w:rsid w:val="00E50EBE"/>
    <w:rsid w:val="00E50F69"/>
    <w:rsid w:val="00E50FC6"/>
    <w:rsid w:val="00E511BA"/>
    <w:rsid w:val="00E517CD"/>
    <w:rsid w:val="00E51940"/>
    <w:rsid w:val="00E52185"/>
    <w:rsid w:val="00E52372"/>
    <w:rsid w:val="00E52466"/>
    <w:rsid w:val="00E52691"/>
    <w:rsid w:val="00E52786"/>
    <w:rsid w:val="00E52935"/>
    <w:rsid w:val="00E52B6D"/>
    <w:rsid w:val="00E52C21"/>
    <w:rsid w:val="00E52D43"/>
    <w:rsid w:val="00E52D5D"/>
    <w:rsid w:val="00E52E9A"/>
    <w:rsid w:val="00E52F05"/>
    <w:rsid w:val="00E53785"/>
    <w:rsid w:val="00E53DB1"/>
    <w:rsid w:val="00E540CA"/>
    <w:rsid w:val="00E54430"/>
    <w:rsid w:val="00E54B37"/>
    <w:rsid w:val="00E54DE9"/>
    <w:rsid w:val="00E552D5"/>
    <w:rsid w:val="00E5548F"/>
    <w:rsid w:val="00E55B28"/>
    <w:rsid w:val="00E55C3B"/>
    <w:rsid w:val="00E55DCB"/>
    <w:rsid w:val="00E55F00"/>
    <w:rsid w:val="00E55F55"/>
    <w:rsid w:val="00E56588"/>
    <w:rsid w:val="00E56663"/>
    <w:rsid w:val="00E56B8B"/>
    <w:rsid w:val="00E56D4A"/>
    <w:rsid w:val="00E57119"/>
    <w:rsid w:val="00E5719E"/>
    <w:rsid w:val="00E57268"/>
    <w:rsid w:val="00E57D7B"/>
    <w:rsid w:val="00E57E49"/>
    <w:rsid w:val="00E57F4B"/>
    <w:rsid w:val="00E602E5"/>
    <w:rsid w:val="00E602F8"/>
    <w:rsid w:val="00E605CE"/>
    <w:rsid w:val="00E6085B"/>
    <w:rsid w:val="00E60FBA"/>
    <w:rsid w:val="00E60FBF"/>
    <w:rsid w:val="00E616F9"/>
    <w:rsid w:val="00E61852"/>
    <w:rsid w:val="00E61A0C"/>
    <w:rsid w:val="00E61D22"/>
    <w:rsid w:val="00E61D96"/>
    <w:rsid w:val="00E61E4B"/>
    <w:rsid w:val="00E6279B"/>
    <w:rsid w:val="00E62A3A"/>
    <w:rsid w:val="00E6342F"/>
    <w:rsid w:val="00E636E2"/>
    <w:rsid w:val="00E63DA2"/>
    <w:rsid w:val="00E642AF"/>
    <w:rsid w:val="00E644C6"/>
    <w:rsid w:val="00E64555"/>
    <w:rsid w:val="00E64595"/>
    <w:rsid w:val="00E646BB"/>
    <w:rsid w:val="00E64707"/>
    <w:rsid w:val="00E64D24"/>
    <w:rsid w:val="00E64D53"/>
    <w:rsid w:val="00E64E69"/>
    <w:rsid w:val="00E65351"/>
    <w:rsid w:val="00E6549C"/>
    <w:rsid w:val="00E654B9"/>
    <w:rsid w:val="00E65528"/>
    <w:rsid w:val="00E6589D"/>
    <w:rsid w:val="00E65E8C"/>
    <w:rsid w:val="00E665E7"/>
    <w:rsid w:val="00E66784"/>
    <w:rsid w:val="00E667D6"/>
    <w:rsid w:val="00E66C96"/>
    <w:rsid w:val="00E66EBE"/>
    <w:rsid w:val="00E67036"/>
    <w:rsid w:val="00E6703E"/>
    <w:rsid w:val="00E67499"/>
    <w:rsid w:val="00E6778E"/>
    <w:rsid w:val="00E678DA"/>
    <w:rsid w:val="00E67C3A"/>
    <w:rsid w:val="00E67ED9"/>
    <w:rsid w:val="00E67EE7"/>
    <w:rsid w:val="00E70130"/>
    <w:rsid w:val="00E7063F"/>
    <w:rsid w:val="00E715FC"/>
    <w:rsid w:val="00E717BB"/>
    <w:rsid w:val="00E71A45"/>
    <w:rsid w:val="00E71B2D"/>
    <w:rsid w:val="00E71C21"/>
    <w:rsid w:val="00E72D84"/>
    <w:rsid w:val="00E730FC"/>
    <w:rsid w:val="00E7310A"/>
    <w:rsid w:val="00E7318D"/>
    <w:rsid w:val="00E73585"/>
    <w:rsid w:val="00E7385A"/>
    <w:rsid w:val="00E73CE6"/>
    <w:rsid w:val="00E743F0"/>
    <w:rsid w:val="00E74423"/>
    <w:rsid w:val="00E745D9"/>
    <w:rsid w:val="00E74780"/>
    <w:rsid w:val="00E7487D"/>
    <w:rsid w:val="00E74893"/>
    <w:rsid w:val="00E74919"/>
    <w:rsid w:val="00E74956"/>
    <w:rsid w:val="00E752E0"/>
    <w:rsid w:val="00E752F7"/>
    <w:rsid w:val="00E75763"/>
    <w:rsid w:val="00E75848"/>
    <w:rsid w:val="00E759D4"/>
    <w:rsid w:val="00E75C10"/>
    <w:rsid w:val="00E75D99"/>
    <w:rsid w:val="00E76A3C"/>
    <w:rsid w:val="00E76D0B"/>
    <w:rsid w:val="00E76F9B"/>
    <w:rsid w:val="00E771FC"/>
    <w:rsid w:val="00E773E5"/>
    <w:rsid w:val="00E77511"/>
    <w:rsid w:val="00E7799A"/>
    <w:rsid w:val="00E77A54"/>
    <w:rsid w:val="00E77BDD"/>
    <w:rsid w:val="00E806D3"/>
    <w:rsid w:val="00E810C6"/>
    <w:rsid w:val="00E81658"/>
    <w:rsid w:val="00E81C34"/>
    <w:rsid w:val="00E81D5A"/>
    <w:rsid w:val="00E81D83"/>
    <w:rsid w:val="00E821BB"/>
    <w:rsid w:val="00E822E9"/>
    <w:rsid w:val="00E826FE"/>
    <w:rsid w:val="00E8275E"/>
    <w:rsid w:val="00E827AF"/>
    <w:rsid w:val="00E82C7C"/>
    <w:rsid w:val="00E82DE9"/>
    <w:rsid w:val="00E83253"/>
    <w:rsid w:val="00E842C5"/>
    <w:rsid w:val="00E844AB"/>
    <w:rsid w:val="00E84C97"/>
    <w:rsid w:val="00E85005"/>
    <w:rsid w:val="00E85296"/>
    <w:rsid w:val="00E8530D"/>
    <w:rsid w:val="00E8533B"/>
    <w:rsid w:val="00E8575B"/>
    <w:rsid w:val="00E85931"/>
    <w:rsid w:val="00E8594C"/>
    <w:rsid w:val="00E85E4E"/>
    <w:rsid w:val="00E862BB"/>
    <w:rsid w:val="00E86327"/>
    <w:rsid w:val="00E86DF0"/>
    <w:rsid w:val="00E8709E"/>
    <w:rsid w:val="00E871E7"/>
    <w:rsid w:val="00E873C1"/>
    <w:rsid w:val="00E877EA"/>
    <w:rsid w:val="00E87BD2"/>
    <w:rsid w:val="00E87CDC"/>
    <w:rsid w:val="00E90003"/>
    <w:rsid w:val="00E906E0"/>
    <w:rsid w:val="00E90910"/>
    <w:rsid w:val="00E90A7D"/>
    <w:rsid w:val="00E90B33"/>
    <w:rsid w:val="00E90F53"/>
    <w:rsid w:val="00E91103"/>
    <w:rsid w:val="00E911E0"/>
    <w:rsid w:val="00E92001"/>
    <w:rsid w:val="00E92655"/>
    <w:rsid w:val="00E93407"/>
    <w:rsid w:val="00E93543"/>
    <w:rsid w:val="00E940A8"/>
    <w:rsid w:val="00E94759"/>
    <w:rsid w:val="00E947E8"/>
    <w:rsid w:val="00E94B0F"/>
    <w:rsid w:val="00E9503F"/>
    <w:rsid w:val="00E956AD"/>
    <w:rsid w:val="00E96405"/>
    <w:rsid w:val="00E966CB"/>
    <w:rsid w:val="00E96726"/>
    <w:rsid w:val="00E9679A"/>
    <w:rsid w:val="00E96818"/>
    <w:rsid w:val="00E96E68"/>
    <w:rsid w:val="00E97291"/>
    <w:rsid w:val="00E973BA"/>
    <w:rsid w:val="00E9799C"/>
    <w:rsid w:val="00E97EA1"/>
    <w:rsid w:val="00EA00EB"/>
    <w:rsid w:val="00EA0BBE"/>
    <w:rsid w:val="00EA14E5"/>
    <w:rsid w:val="00EA173B"/>
    <w:rsid w:val="00EA1934"/>
    <w:rsid w:val="00EA1FBC"/>
    <w:rsid w:val="00EA20A1"/>
    <w:rsid w:val="00EA212B"/>
    <w:rsid w:val="00EA24FB"/>
    <w:rsid w:val="00EA2D44"/>
    <w:rsid w:val="00EA306E"/>
    <w:rsid w:val="00EA3182"/>
    <w:rsid w:val="00EA32F4"/>
    <w:rsid w:val="00EA33FA"/>
    <w:rsid w:val="00EA3A1D"/>
    <w:rsid w:val="00EA3BFC"/>
    <w:rsid w:val="00EA3CD7"/>
    <w:rsid w:val="00EA3E2D"/>
    <w:rsid w:val="00EA429D"/>
    <w:rsid w:val="00EA43AF"/>
    <w:rsid w:val="00EA4676"/>
    <w:rsid w:val="00EA4954"/>
    <w:rsid w:val="00EA4C7C"/>
    <w:rsid w:val="00EA4CDE"/>
    <w:rsid w:val="00EA4D4C"/>
    <w:rsid w:val="00EA554F"/>
    <w:rsid w:val="00EA57E1"/>
    <w:rsid w:val="00EA585D"/>
    <w:rsid w:val="00EA6250"/>
    <w:rsid w:val="00EA66A4"/>
    <w:rsid w:val="00EA6819"/>
    <w:rsid w:val="00EA69E1"/>
    <w:rsid w:val="00EA69E4"/>
    <w:rsid w:val="00EA6A1E"/>
    <w:rsid w:val="00EA75BD"/>
    <w:rsid w:val="00EA760C"/>
    <w:rsid w:val="00EA7726"/>
    <w:rsid w:val="00EA79E3"/>
    <w:rsid w:val="00EA7A8B"/>
    <w:rsid w:val="00EA7AAB"/>
    <w:rsid w:val="00EA7C47"/>
    <w:rsid w:val="00EB0327"/>
    <w:rsid w:val="00EB04A1"/>
    <w:rsid w:val="00EB0738"/>
    <w:rsid w:val="00EB0C01"/>
    <w:rsid w:val="00EB0C9A"/>
    <w:rsid w:val="00EB0F0F"/>
    <w:rsid w:val="00EB1053"/>
    <w:rsid w:val="00EB12A5"/>
    <w:rsid w:val="00EB1451"/>
    <w:rsid w:val="00EB2200"/>
    <w:rsid w:val="00EB24D8"/>
    <w:rsid w:val="00EB256A"/>
    <w:rsid w:val="00EB277B"/>
    <w:rsid w:val="00EB2F20"/>
    <w:rsid w:val="00EB2F35"/>
    <w:rsid w:val="00EB31DB"/>
    <w:rsid w:val="00EB3422"/>
    <w:rsid w:val="00EB3A31"/>
    <w:rsid w:val="00EB429E"/>
    <w:rsid w:val="00EB42F1"/>
    <w:rsid w:val="00EB4EAF"/>
    <w:rsid w:val="00EB5033"/>
    <w:rsid w:val="00EB51C9"/>
    <w:rsid w:val="00EB5358"/>
    <w:rsid w:val="00EB548E"/>
    <w:rsid w:val="00EB5500"/>
    <w:rsid w:val="00EB571D"/>
    <w:rsid w:val="00EB5A96"/>
    <w:rsid w:val="00EB5C41"/>
    <w:rsid w:val="00EB5F5A"/>
    <w:rsid w:val="00EB657E"/>
    <w:rsid w:val="00EB6846"/>
    <w:rsid w:val="00EB694A"/>
    <w:rsid w:val="00EB695E"/>
    <w:rsid w:val="00EB69D1"/>
    <w:rsid w:val="00EB6FE9"/>
    <w:rsid w:val="00EB7251"/>
    <w:rsid w:val="00EB725D"/>
    <w:rsid w:val="00EB72FF"/>
    <w:rsid w:val="00EB74E6"/>
    <w:rsid w:val="00EB756F"/>
    <w:rsid w:val="00EB7684"/>
    <w:rsid w:val="00EB79C8"/>
    <w:rsid w:val="00EB7D5F"/>
    <w:rsid w:val="00EB7E78"/>
    <w:rsid w:val="00EC0301"/>
    <w:rsid w:val="00EC0359"/>
    <w:rsid w:val="00EC0379"/>
    <w:rsid w:val="00EC09C6"/>
    <w:rsid w:val="00EC0D24"/>
    <w:rsid w:val="00EC0EA5"/>
    <w:rsid w:val="00EC1056"/>
    <w:rsid w:val="00EC1470"/>
    <w:rsid w:val="00EC1F95"/>
    <w:rsid w:val="00EC222E"/>
    <w:rsid w:val="00EC226B"/>
    <w:rsid w:val="00EC25CD"/>
    <w:rsid w:val="00EC2716"/>
    <w:rsid w:val="00EC2B3D"/>
    <w:rsid w:val="00EC2C27"/>
    <w:rsid w:val="00EC2DBB"/>
    <w:rsid w:val="00EC2ECF"/>
    <w:rsid w:val="00EC3107"/>
    <w:rsid w:val="00EC358E"/>
    <w:rsid w:val="00EC36EE"/>
    <w:rsid w:val="00EC3914"/>
    <w:rsid w:val="00EC3F3F"/>
    <w:rsid w:val="00EC3FD2"/>
    <w:rsid w:val="00EC4095"/>
    <w:rsid w:val="00EC43B5"/>
    <w:rsid w:val="00EC4537"/>
    <w:rsid w:val="00EC4763"/>
    <w:rsid w:val="00EC4960"/>
    <w:rsid w:val="00EC4AE3"/>
    <w:rsid w:val="00EC4B30"/>
    <w:rsid w:val="00EC522B"/>
    <w:rsid w:val="00EC54EE"/>
    <w:rsid w:val="00EC57AF"/>
    <w:rsid w:val="00EC59B2"/>
    <w:rsid w:val="00EC5A3B"/>
    <w:rsid w:val="00EC5DCD"/>
    <w:rsid w:val="00EC682E"/>
    <w:rsid w:val="00EC6B2F"/>
    <w:rsid w:val="00EC6BA8"/>
    <w:rsid w:val="00EC6BCB"/>
    <w:rsid w:val="00EC774E"/>
    <w:rsid w:val="00EC786C"/>
    <w:rsid w:val="00EC7ADD"/>
    <w:rsid w:val="00ED04FE"/>
    <w:rsid w:val="00ED0DD0"/>
    <w:rsid w:val="00ED0DFB"/>
    <w:rsid w:val="00ED1523"/>
    <w:rsid w:val="00ED1893"/>
    <w:rsid w:val="00ED1989"/>
    <w:rsid w:val="00ED28F2"/>
    <w:rsid w:val="00ED2AB6"/>
    <w:rsid w:val="00ED3145"/>
    <w:rsid w:val="00ED322B"/>
    <w:rsid w:val="00ED3309"/>
    <w:rsid w:val="00ED356E"/>
    <w:rsid w:val="00ED3B0D"/>
    <w:rsid w:val="00ED3BDA"/>
    <w:rsid w:val="00ED3DA4"/>
    <w:rsid w:val="00ED4064"/>
    <w:rsid w:val="00ED4B67"/>
    <w:rsid w:val="00ED4B69"/>
    <w:rsid w:val="00ED4FED"/>
    <w:rsid w:val="00ED507B"/>
    <w:rsid w:val="00ED5632"/>
    <w:rsid w:val="00ED5812"/>
    <w:rsid w:val="00ED5A3B"/>
    <w:rsid w:val="00ED5A49"/>
    <w:rsid w:val="00ED5C30"/>
    <w:rsid w:val="00ED5D67"/>
    <w:rsid w:val="00ED5E02"/>
    <w:rsid w:val="00ED5EED"/>
    <w:rsid w:val="00ED64DE"/>
    <w:rsid w:val="00ED6B1C"/>
    <w:rsid w:val="00ED6CF7"/>
    <w:rsid w:val="00ED6F33"/>
    <w:rsid w:val="00ED741E"/>
    <w:rsid w:val="00ED75E9"/>
    <w:rsid w:val="00ED7716"/>
    <w:rsid w:val="00ED7737"/>
    <w:rsid w:val="00ED7747"/>
    <w:rsid w:val="00ED7CF4"/>
    <w:rsid w:val="00ED7E74"/>
    <w:rsid w:val="00EE0495"/>
    <w:rsid w:val="00EE0523"/>
    <w:rsid w:val="00EE08E9"/>
    <w:rsid w:val="00EE0A1B"/>
    <w:rsid w:val="00EE0EA8"/>
    <w:rsid w:val="00EE18D7"/>
    <w:rsid w:val="00EE1B0E"/>
    <w:rsid w:val="00EE22FB"/>
    <w:rsid w:val="00EE2336"/>
    <w:rsid w:val="00EE2407"/>
    <w:rsid w:val="00EE2629"/>
    <w:rsid w:val="00EE26AE"/>
    <w:rsid w:val="00EE29C8"/>
    <w:rsid w:val="00EE2A54"/>
    <w:rsid w:val="00EE2BE6"/>
    <w:rsid w:val="00EE2FC2"/>
    <w:rsid w:val="00EE3B88"/>
    <w:rsid w:val="00EE3E9B"/>
    <w:rsid w:val="00EE4B75"/>
    <w:rsid w:val="00EE4BF3"/>
    <w:rsid w:val="00EE4DBD"/>
    <w:rsid w:val="00EE50BB"/>
    <w:rsid w:val="00EE57D6"/>
    <w:rsid w:val="00EE6025"/>
    <w:rsid w:val="00EE642E"/>
    <w:rsid w:val="00EE691B"/>
    <w:rsid w:val="00EE6AC6"/>
    <w:rsid w:val="00EE6E26"/>
    <w:rsid w:val="00EE6F15"/>
    <w:rsid w:val="00EE772C"/>
    <w:rsid w:val="00EE784F"/>
    <w:rsid w:val="00EE7A1D"/>
    <w:rsid w:val="00EF009C"/>
    <w:rsid w:val="00EF0255"/>
    <w:rsid w:val="00EF0360"/>
    <w:rsid w:val="00EF0500"/>
    <w:rsid w:val="00EF0B66"/>
    <w:rsid w:val="00EF0C04"/>
    <w:rsid w:val="00EF0C9A"/>
    <w:rsid w:val="00EF0DDC"/>
    <w:rsid w:val="00EF1002"/>
    <w:rsid w:val="00EF1248"/>
    <w:rsid w:val="00EF143F"/>
    <w:rsid w:val="00EF147B"/>
    <w:rsid w:val="00EF18AC"/>
    <w:rsid w:val="00EF23D8"/>
    <w:rsid w:val="00EF25B0"/>
    <w:rsid w:val="00EF2A5A"/>
    <w:rsid w:val="00EF2A87"/>
    <w:rsid w:val="00EF2DB5"/>
    <w:rsid w:val="00EF3746"/>
    <w:rsid w:val="00EF3A74"/>
    <w:rsid w:val="00EF3AE9"/>
    <w:rsid w:val="00EF3EA5"/>
    <w:rsid w:val="00EF40DC"/>
    <w:rsid w:val="00EF480A"/>
    <w:rsid w:val="00EF49FB"/>
    <w:rsid w:val="00EF4D23"/>
    <w:rsid w:val="00EF50D7"/>
    <w:rsid w:val="00EF55D6"/>
    <w:rsid w:val="00EF585B"/>
    <w:rsid w:val="00EF58F2"/>
    <w:rsid w:val="00EF59F0"/>
    <w:rsid w:val="00EF5BF1"/>
    <w:rsid w:val="00EF5F0E"/>
    <w:rsid w:val="00EF5F8E"/>
    <w:rsid w:val="00EF6209"/>
    <w:rsid w:val="00EF6419"/>
    <w:rsid w:val="00EF644D"/>
    <w:rsid w:val="00EF69B5"/>
    <w:rsid w:val="00EF6D29"/>
    <w:rsid w:val="00EF7138"/>
    <w:rsid w:val="00EF7149"/>
    <w:rsid w:val="00EF7E2B"/>
    <w:rsid w:val="00F0014B"/>
    <w:rsid w:val="00F00417"/>
    <w:rsid w:val="00F00817"/>
    <w:rsid w:val="00F00881"/>
    <w:rsid w:val="00F008C0"/>
    <w:rsid w:val="00F00917"/>
    <w:rsid w:val="00F01032"/>
    <w:rsid w:val="00F010BB"/>
    <w:rsid w:val="00F012C1"/>
    <w:rsid w:val="00F0175F"/>
    <w:rsid w:val="00F01C5B"/>
    <w:rsid w:val="00F01E44"/>
    <w:rsid w:val="00F02970"/>
    <w:rsid w:val="00F03243"/>
    <w:rsid w:val="00F03280"/>
    <w:rsid w:val="00F033AA"/>
    <w:rsid w:val="00F03466"/>
    <w:rsid w:val="00F0362A"/>
    <w:rsid w:val="00F0385C"/>
    <w:rsid w:val="00F03A25"/>
    <w:rsid w:val="00F03ABE"/>
    <w:rsid w:val="00F04345"/>
    <w:rsid w:val="00F047A4"/>
    <w:rsid w:val="00F04ABD"/>
    <w:rsid w:val="00F04C05"/>
    <w:rsid w:val="00F04F52"/>
    <w:rsid w:val="00F0510F"/>
    <w:rsid w:val="00F055AD"/>
    <w:rsid w:val="00F0563F"/>
    <w:rsid w:val="00F06239"/>
    <w:rsid w:val="00F064EF"/>
    <w:rsid w:val="00F06521"/>
    <w:rsid w:val="00F06558"/>
    <w:rsid w:val="00F069E1"/>
    <w:rsid w:val="00F06D2F"/>
    <w:rsid w:val="00F06E0B"/>
    <w:rsid w:val="00F06F42"/>
    <w:rsid w:val="00F07122"/>
    <w:rsid w:val="00F074C9"/>
    <w:rsid w:val="00F07C82"/>
    <w:rsid w:val="00F07F5E"/>
    <w:rsid w:val="00F1001E"/>
    <w:rsid w:val="00F100D4"/>
    <w:rsid w:val="00F1045A"/>
    <w:rsid w:val="00F106BB"/>
    <w:rsid w:val="00F11027"/>
    <w:rsid w:val="00F1106C"/>
    <w:rsid w:val="00F111BA"/>
    <w:rsid w:val="00F116DD"/>
    <w:rsid w:val="00F11D45"/>
    <w:rsid w:val="00F11D9F"/>
    <w:rsid w:val="00F11E31"/>
    <w:rsid w:val="00F128FC"/>
    <w:rsid w:val="00F12C17"/>
    <w:rsid w:val="00F13137"/>
    <w:rsid w:val="00F13AA1"/>
    <w:rsid w:val="00F13F2A"/>
    <w:rsid w:val="00F140EC"/>
    <w:rsid w:val="00F147A1"/>
    <w:rsid w:val="00F14B9D"/>
    <w:rsid w:val="00F14D10"/>
    <w:rsid w:val="00F15097"/>
    <w:rsid w:val="00F150DF"/>
    <w:rsid w:val="00F155C9"/>
    <w:rsid w:val="00F15671"/>
    <w:rsid w:val="00F15BA6"/>
    <w:rsid w:val="00F15DC7"/>
    <w:rsid w:val="00F16564"/>
    <w:rsid w:val="00F16695"/>
    <w:rsid w:val="00F16B89"/>
    <w:rsid w:val="00F16EF9"/>
    <w:rsid w:val="00F17009"/>
    <w:rsid w:val="00F17081"/>
    <w:rsid w:val="00F17BEF"/>
    <w:rsid w:val="00F202E3"/>
    <w:rsid w:val="00F20C6E"/>
    <w:rsid w:val="00F20D6C"/>
    <w:rsid w:val="00F21713"/>
    <w:rsid w:val="00F21F51"/>
    <w:rsid w:val="00F223BE"/>
    <w:rsid w:val="00F2242D"/>
    <w:rsid w:val="00F2252F"/>
    <w:rsid w:val="00F2255F"/>
    <w:rsid w:val="00F225CF"/>
    <w:rsid w:val="00F22882"/>
    <w:rsid w:val="00F22985"/>
    <w:rsid w:val="00F22AC7"/>
    <w:rsid w:val="00F22AD0"/>
    <w:rsid w:val="00F22AEF"/>
    <w:rsid w:val="00F22F7A"/>
    <w:rsid w:val="00F2322E"/>
    <w:rsid w:val="00F2343C"/>
    <w:rsid w:val="00F23803"/>
    <w:rsid w:val="00F23937"/>
    <w:rsid w:val="00F23CFC"/>
    <w:rsid w:val="00F23DD1"/>
    <w:rsid w:val="00F24012"/>
    <w:rsid w:val="00F24076"/>
    <w:rsid w:val="00F240CB"/>
    <w:rsid w:val="00F2420B"/>
    <w:rsid w:val="00F24351"/>
    <w:rsid w:val="00F247AF"/>
    <w:rsid w:val="00F2490E"/>
    <w:rsid w:val="00F2492F"/>
    <w:rsid w:val="00F24AD9"/>
    <w:rsid w:val="00F24E2B"/>
    <w:rsid w:val="00F2500D"/>
    <w:rsid w:val="00F256DA"/>
    <w:rsid w:val="00F25742"/>
    <w:rsid w:val="00F2596D"/>
    <w:rsid w:val="00F25CAA"/>
    <w:rsid w:val="00F25DCD"/>
    <w:rsid w:val="00F25EE1"/>
    <w:rsid w:val="00F2601F"/>
    <w:rsid w:val="00F267C3"/>
    <w:rsid w:val="00F26AD6"/>
    <w:rsid w:val="00F27039"/>
    <w:rsid w:val="00F2711C"/>
    <w:rsid w:val="00F276BF"/>
    <w:rsid w:val="00F277E1"/>
    <w:rsid w:val="00F277E8"/>
    <w:rsid w:val="00F27B04"/>
    <w:rsid w:val="00F27E3D"/>
    <w:rsid w:val="00F30016"/>
    <w:rsid w:val="00F300E0"/>
    <w:rsid w:val="00F301D0"/>
    <w:rsid w:val="00F3063A"/>
    <w:rsid w:val="00F3069F"/>
    <w:rsid w:val="00F307AD"/>
    <w:rsid w:val="00F307DD"/>
    <w:rsid w:val="00F30B8C"/>
    <w:rsid w:val="00F30BA9"/>
    <w:rsid w:val="00F30C3F"/>
    <w:rsid w:val="00F30C60"/>
    <w:rsid w:val="00F30EFB"/>
    <w:rsid w:val="00F30F38"/>
    <w:rsid w:val="00F311D1"/>
    <w:rsid w:val="00F313DA"/>
    <w:rsid w:val="00F314B1"/>
    <w:rsid w:val="00F3158A"/>
    <w:rsid w:val="00F317C0"/>
    <w:rsid w:val="00F318DB"/>
    <w:rsid w:val="00F31992"/>
    <w:rsid w:val="00F3199C"/>
    <w:rsid w:val="00F31B67"/>
    <w:rsid w:val="00F31ED9"/>
    <w:rsid w:val="00F31F7D"/>
    <w:rsid w:val="00F32AFF"/>
    <w:rsid w:val="00F33825"/>
    <w:rsid w:val="00F3387A"/>
    <w:rsid w:val="00F33A8B"/>
    <w:rsid w:val="00F33B00"/>
    <w:rsid w:val="00F33C90"/>
    <w:rsid w:val="00F33D3B"/>
    <w:rsid w:val="00F341D4"/>
    <w:rsid w:val="00F341E0"/>
    <w:rsid w:val="00F34411"/>
    <w:rsid w:val="00F344EC"/>
    <w:rsid w:val="00F34A96"/>
    <w:rsid w:val="00F34BA1"/>
    <w:rsid w:val="00F34EBF"/>
    <w:rsid w:val="00F34F05"/>
    <w:rsid w:val="00F34F85"/>
    <w:rsid w:val="00F353B0"/>
    <w:rsid w:val="00F356D5"/>
    <w:rsid w:val="00F357D7"/>
    <w:rsid w:val="00F358EA"/>
    <w:rsid w:val="00F35A50"/>
    <w:rsid w:val="00F35BD9"/>
    <w:rsid w:val="00F361AE"/>
    <w:rsid w:val="00F36240"/>
    <w:rsid w:val="00F363EB"/>
    <w:rsid w:val="00F365DE"/>
    <w:rsid w:val="00F36764"/>
    <w:rsid w:val="00F367CF"/>
    <w:rsid w:val="00F36D37"/>
    <w:rsid w:val="00F3719A"/>
    <w:rsid w:val="00F372D3"/>
    <w:rsid w:val="00F375FF"/>
    <w:rsid w:val="00F37634"/>
    <w:rsid w:val="00F37782"/>
    <w:rsid w:val="00F379BF"/>
    <w:rsid w:val="00F37EA7"/>
    <w:rsid w:val="00F403BC"/>
    <w:rsid w:val="00F40644"/>
    <w:rsid w:val="00F40805"/>
    <w:rsid w:val="00F40C5E"/>
    <w:rsid w:val="00F40E3E"/>
    <w:rsid w:val="00F41026"/>
    <w:rsid w:val="00F4154B"/>
    <w:rsid w:val="00F4163A"/>
    <w:rsid w:val="00F416D2"/>
    <w:rsid w:val="00F41873"/>
    <w:rsid w:val="00F419C3"/>
    <w:rsid w:val="00F41D91"/>
    <w:rsid w:val="00F41E2B"/>
    <w:rsid w:val="00F4224A"/>
    <w:rsid w:val="00F423BE"/>
    <w:rsid w:val="00F424A5"/>
    <w:rsid w:val="00F425EF"/>
    <w:rsid w:val="00F428AC"/>
    <w:rsid w:val="00F4299C"/>
    <w:rsid w:val="00F42EE3"/>
    <w:rsid w:val="00F431D6"/>
    <w:rsid w:val="00F43660"/>
    <w:rsid w:val="00F43CE0"/>
    <w:rsid w:val="00F4403A"/>
    <w:rsid w:val="00F442E7"/>
    <w:rsid w:val="00F44432"/>
    <w:rsid w:val="00F44542"/>
    <w:rsid w:val="00F448DD"/>
    <w:rsid w:val="00F44C5F"/>
    <w:rsid w:val="00F44DB8"/>
    <w:rsid w:val="00F450CC"/>
    <w:rsid w:val="00F45760"/>
    <w:rsid w:val="00F45925"/>
    <w:rsid w:val="00F45A28"/>
    <w:rsid w:val="00F469E6"/>
    <w:rsid w:val="00F46BA6"/>
    <w:rsid w:val="00F46C97"/>
    <w:rsid w:val="00F46FD0"/>
    <w:rsid w:val="00F4703E"/>
    <w:rsid w:val="00F4764B"/>
    <w:rsid w:val="00F476E1"/>
    <w:rsid w:val="00F47AD5"/>
    <w:rsid w:val="00F501AB"/>
    <w:rsid w:val="00F503C6"/>
    <w:rsid w:val="00F50511"/>
    <w:rsid w:val="00F50781"/>
    <w:rsid w:val="00F50CA3"/>
    <w:rsid w:val="00F50FED"/>
    <w:rsid w:val="00F51136"/>
    <w:rsid w:val="00F517ED"/>
    <w:rsid w:val="00F51F3F"/>
    <w:rsid w:val="00F528B5"/>
    <w:rsid w:val="00F528E7"/>
    <w:rsid w:val="00F52BF0"/>
    <w:rsid w:val="00F52C8A"/>
    <w:rsid w:val="00F53615"/>
    <w:rsid w:val="00F5396C"/>
    <w:rsid w:val="00F53A91"/>
    <w:rsid w:val="00F53AAB"/>
    <w:rsid w:val="00F53E6B"/>
    <w:rsid w:val="00F54496"/>
    <w:rsid w:val="00F54783"/>
    <w:rsid w:val="00F547E9"/>
    <w:rsid w:val="00F5494E"/>
    <w:rsid w:val="00F54ABE"/>
    <w:rsid w:val="00F553D2"/>
    <w:rsid w:val="00F5564F"/>
    <w:rsid w:val="00F556AE"/>
    <w:rsid w:val="00F55804"/>
    <w:rsid w:val="00F558F8"/>
    <w:rsid w:val="00F55F01"/>
    <w:rsid w:val="00F55F1A"/>
    <w:rsid w:val="00F56310"/>
    <w:rsid w:val="00F56422"/>
    <w:rsid w:val="00F5684C"/>
    <w:rsid w:val="00F570A0"/>
    <w:rsid w:val="00F57143"/>
    <w:rsid w:val="00F57210"/>
    <w:rsid w:val="00F577FC"/>
    <w:rsid w:val="00F57FC9"/>
    <w:rsid w:val="00F602F0"/>
    <w:rsid w:val="00F6063A"/>
    <w:rsid w:val="00F6098E"/>
    <w:rsid w:val="00F60C90"/>
    <w:rsid w:val="00F619EE"/>
    <w:rsid w:val="00F61CF5"/>
    <w:rsid w:val="00F61FF9"/>
    <w:rsid w:val="00F62069"/>
    <w:rsid w:val="00F62159"/>
    <w:rsid w:val="00F62286"/>
    <w:rsid w:val="00F623AF"/>
    <w:rsid w:val="00F626F1"/>
    <w:rsid w:val="00F62764"/>
    <w:rsid w:val="00F62A7C"/>
    <w:rsid w:val="00F62B93"/>
    <w:rsid w:val="00F62EDA"/>
    <w:rsid w:val="00F6303E"/>
    <w:rsid w:val="00F633E5"/>
    <w:rsid w:val="00F63A07"/>
    <w:rsid w:val="00F63AD8"/>
    <w:rsid w:val="00F63BDB"/>
    <w:rsid w:val="00F63C89"/>
    <w:rsid w:val="00F63CE1"/>
    <w:rsid w:val="00F643CA"/>
    <w:rsid w:val="00F647EC"/>
    <w:rsid w:val="00F64851"/>
    <w:rsid w:val="00F64D57"/>
    <w:rsid w:val="00F64FAB"/>
    <w:rsid w:val="00F65329"/>
    <w:rsid w:val="00F6546A"/>
    <w:rsid w:val="00F654F2"/>
    <w:rsid w:val="00F65CEA"/>
    <w:rsid w:val="00F65F15"/>
    <w:rsid w:val="00F662D9"/>
    <w:rsid w:val="00F66443"/>
    <w:rsid w:val="00F668EF"/>
    <w:rsid w:val="00F66D69"/>
    <w:rsid w:val="00F6705A"/>
    <w:rsid w:val="00F6705F"/>
    <w:rsid w:val="00F675D4"/>
    <w:rsid w:val="00F675EA"/>
    <w:rsid w:val="00F6764D"/>
    <w:rsid w:val="00F679A0"/>
    <w:rsid w:val="00F67BEB"/>
    <w:rsid w:val="00F7074A"/>
    <w:rsid w:val="00F7113B"/>
    <w:rsid w:val="00F711A0"/>
    <w:rsid w:val="00F712BA"/>
    <w:rsid w:val="00F71687"/>
    <w:rsid w:val="00F71708"/>
    <w:rsid w:val="00F717C1"/>
    <w:rsid w:val="00F71AB3"/>
    <w:rsid w:val="00F71C5A"/>
    <w:rsid w:val="00F723BF"/>
    <w:rsid w:val="00F725D3"/>
    <w:rsid w:val="00F7281E"/>
    <w:rsid w:val="00F72C1A"/>
    <w:rsid w:val="00F72C3D"/>
    <w:rsid w:val="00F72E71"/>
    <w:rsid w:val="00F73269"/>
    <w:rsid w:val="00F735E6"/>
    <w:rsid w:val="00F737AB"/>
    <w:rsid w:val="00F7390E"/>
    <w:rsid w:val="00F739DC"/>
    <w:rsid w:val="00F741DA"/>
    <w:rsid w:val="00F74216"/>
    <w:rsid w:val="00F74781"/>
    <w:rsid w:val="00F74DA0"/>
    <w:rsid w:val="00F74F0F"/>
    <w:rsid w:val="00F74F67"/>
    <w:rsid w:val="00F751A4"/>
    <w:rsid w:val="00F75731"/>
    <w:rsid w:val="00F7576D"/>
    <w:rsid w:val="00F75841"/>
    <w:rsid w:val="00F75B36"/>
    <w:rsid w:val="00F7627B"/>
    <w:rsid w:val="00F76333"/>
    <w:rsid w:val="00F763C6"/>
    <w:rsid w:val="00F763F7"/>
    <w:rsid w:val="00F77100"/>
    <w:rsid w:val="00F77A21"/>
    <w:rsid w:val="00F77C84"/>
    <w:rsid w:val="00F806E0"/>
    <w:rsid w:val="00F8090F"/>
    <w:rsid w:val="00F8139A"/>
    <w:rsid w:val="00F8159E"/>
    <w:rsid w:val="00F81785"/>
    <w:rsid w:val="00F81D3B"/>
    <w:rsid w:val="00F820C7"/>
    <w:rsid w:val="00F82A04"/>
    <w:rsid w:val="00F82AAE"/>
    <w:rsid w:val="00F834BE"/>
    <w:rsid w:val="00F83681"/>
    <w:rsid w:val="00F838A9"/>
    <w:rsid w:val="00F842A3"/>
    <w:rsid w:val="00F844C4"/>
    <w:rsid w:val="00F849E3"/>
    <w:rsid w:val="00F84B4E"/>
    <w:rsid w:val="00F84C44"/>
    <w:rsid w:val="00F84CA5"/>
    <w:rsid w:val="00F851B7"/>
    <w:rsid w:val="00F8526C"/>
    <w:rsid w:val="00F8566C"/>
    <w:rsid w:val="00F858D4"/>
    <w:rsid w:val="00F85B97"/>
    <w:rsid w:val="00F85C45"/>
    <w:rsid w:val="00F85C65"/>
    <w:rsid w:val="00F860EB"/>
    <w:rsid w:val="00F86268"/>
    <w:rsid w:val="00F868B6"/>
    <w:rsid w:val="00F86968"/>
    <w:rsid w:val="00F86B4C"/>
    <w:rsid w:val="00F86C37"/>
    <w:rsid w:val="00F86E21"/>
    <w:rsid w:val="00F86E42"/>
    <w:rsid w:val="00F86FD9"/>
    <w:rsid w:val="00F8718F"/>
    <w:rsid w:val="00F872A9"/>
    <w:rsid w:val="00F876E6"/>
    <w:rsid w:val="00F87825"/>
    <w:rsid w:val="00F87838"/>
    <w:rsid w:val="00F879E8"/>
    <w:rsid w:val="00F87FCE"/>
    <w:rsid w:val="00F9008B"/>
    <w:rsid w:val="00F900B8"/>
    <w:rsid w:val="00F903B2"/>
    <w:rsid w:val="00F906EA"/>
    <w:rsid w:val="00F90C58"/>
    <w:rsid w:val="00F914CC"/>
    <w:rsid w:val="00F91590"/>
    <w:rsid w:val="00F91669"/>
    <w:rsid w:val="00F9184F"/>
    <w:rsid w:val="00F91943"/>
    <w:rsid w:val="00F9194F"/>
    <w:rsid w:val="00F919C6"/>
    <w:rsid w:val="00F91C27"/>
    <w:rsid w:val="00F9278E"/>
    <w:rsid w:val="00F92914"/>
    <w:rsid w:val="00F92A66"/>
    <w:rsid w:val="00F92B27"/>
    <w:rsid w:val="00F92EA9"/>
    <w:rsid w:val="00F92FAF"/>
    <w:rsid w:val="00F930AA"/>
    <w:rsid w:val="00F931CF"/>
    <w:rsid w:val="00F93A31"/>
    <w:rsid w:val="00F93BA1"/>
    <w:rsid w:val="00F93D6E"/>
    <w:rsid w:val="00F9423D"/>
    <w:rsid w:val="00F9426B"/>
    <w:rsid w:val="00F94609"/>
    <w:rsid w:val="00F94F07"/>
    <w:rsid w:val="00F95182"/>
    <w:rsid w:val="00F95591"/>
    <w:rsid w:val="00F95684"/>
    <w:rsid w:val="00F957D2"/>
    <w:rsid w:val="00F95877"/>
    <w:rsid w:val="00F95ADD"/>
    <w:rsid w:val="00F95D94"/>
    <w:rsid w:val="00F9663D"/>
    <w:rsid w:val="00F96739"/>
    <w:rsid w:val="00F96F86"/>
    <w:rsid w:val="00F9751C"/>
    <w:rsid w:val="00F97711"/>
    <w:rsid w:val="00F97C37"/>
    <w:rsid w:val="00F97E93"/>
    <w:rsid w:val="00F97F9D"/>
    <w:rsid w:val="00FA0097"/>
    <w:rsid w:val="00FA0143"/>
    <w:rsid w:val="00FA02B8"/>
    <w:rsid w:val="00FA05EA"/>
    <w:rsid w:val="00FA0787"/>
    <w:rsid w:val="00FA0832"/>
    <w:rsid w:val="00FA0980"/>
    <w:rsid w:val="00FA0EFB"/>
    <w:rsid w:val="00FA1028"/>
    <w:rsid w:val="00FA10F7"/>
    <w:rsid w:val="00FA12D5"/>
    <w:rsid w:val="00FA157E"/>
    <w:rsid w:val="00FA1607"/>
    <w:rsid w:val="00FA1610"/>
    <w:rsid w:val="00FA178F"/>
    <w:rsid w:val="00FA181F"/>
    <w:rsid w:val="00FA1C1F"/>
    <w:rsid w:val="00FA1E82"/>
    <w:rsid w:val="00FA1F2C"/>
    <w:rsid w:val="00FA20D0"/>
    <w:rsid w:val="00FA2137"/>
    <w:rsid w:val="00FA21B0"/>
    <w:rsid w:val="00FA2700"/>
    <w:rsid w:val="00FA272C"/>
    <w:rsid w:val="00FA272D"/>
    <w:rsid w:val="00FA2A27"/>
    <w:rsid w:val="00FA2C40"/>
    <w:rsid w:val="00FA338D"/>
    <w:rsid w:val="00FA34A2"/>
    <w:rsid w:val="00FA351F"/>
    <w:rsid w:val="00FA3629"/>
    <w:rsid w:val="00FA3742"/>
    <w:rsid w:val="00FA3837"/>
    <w:rsid w:val="00FA39FC"/>
    <w:rsid w:val="00FA3FD3"/>
    <w:rsid w:val="00FA4254"/>
    <w:rsid w:val="00FA44B4"/>
    <w:rsid w:val="00FA44FD"/>
    <w:rsid w:val="00FA4538"/>
    <w:rsid w:val="00FA4713"/>
    <w:rsid w:val="00FA482B"/>
    <w:rsid w:val="00FA486C"/>
    <w:rsid w:val="00FA4998"/>
    <w:rsid w:val="00FA4DC2"/>
    <w:rsid w:val="00FA5514"/>
    <w:rsid w:val="00FA55E9"/>
    <w:rsid w:val="00FA5C87"/>
    <w:rsid w:val="00FA5EA3"/>
    <w:rsid w:val="00FA6272"/>
    <w:rsid w:val="00FA6645"/>
    <w:rsid w:val="00FA67E3"/>
    <w:rsid w:val="00FA6BC7"/>
    <w:rsid w:val="00FA6E3E"/>
    <w:rsid w:val="00FA6FEC"/>
    <w:rsid w:val="00FA7157"/>
    <w:rsid w:val="00FA733B"/>
    <w:rsid w:val="00FA73A6"/>
    <w:rsid w:val="00FA7698"/>
    <w:rsid w:val="00FA7827"/>
    <w:rsid w:val="00FA78C2"/>
    <w:rsid w:val="00FA7A2D"/>
    <w:rsid w:val="00FA7B4F"/>
    <w:rsid w:val="00FA7DC2"/>
    <w:rsid w:val="00FA7F36"/>
    <w:rsid w:val="00FB00F7"/>
    <w:rsid w:val="00FB06E7"/>
    <w:rsid w:val="00FB06E9"/>
    <w:rsid w:val="00FB0822"/>
    <w:rsid w:val="00FB09AA"/>
    <w:rsid w:val="00FB0E8C"/>
    <w:rsid w:val="00FB0FE4"/>
    <w:rsid w:val="00FB108E"/>
    <w:rsid w:val="00FB1093"/>
    <w:rsid w:val="00FB13A0"/>
    <w:rsid w:val="00FB153E"/>
    <w:rsid w:val="00FB227E"/>
    <w:rsid w:val="00FB267D"/>
    <w:rsid w:val="00FB2A18"/>
    <w:rsid w:val="00FB2BF4"/>
    <w:rsid w:val="00FB2C8D"/>
    <w:rsid w:val="00FB2DC6"/>
    <w:rsid w:val="00FB3505"/>
    <w:rsid w:val="00FB38F6"/>
    <w:rsid w:val="00FB3E11"/>
    <w:rsid w:val="00FB4CC2"/>
    <w:rsid w:val="00FB4DB1"/>
    <w:rsid w:val="00FB4DBA"/>
    <w:rsid w:val="00FB4FDE"/>
    <w:rsid w:val="00FB50A8"/>
    <w:rsid w:val="00FB5E81"/>
    <w:rsid w:val="00FB692D"/>
    <w:rsid w:val="00FB6E39"/>
    <w:rsid w:val="00FB6E6C"/>
    <w:rsid w:val="00FB71B0"/>
    <w:rsid w:val="00FB7ABA"/>
    <w:rsid w:val="00FB7C21"/>
    <w:rsid w:val="00FB7C3F"/>
    <w:rsid w:val="00FB7C46"/>
    <w:rsid w:val="00FB7CF0"/>
    <w:rsid w:val="00FC04C8"/>
    <w:rsid w:val="00FC04E0"/>
    <w:rsid w:val="00FC08FD"/>
    <w:rsid w:val="00FC0D98"/>
    <w:rsid w:val="00FC1042"/>
    <w:rsid w:val="00FC11C6"/>
    <w:rsid w:val="00FC1473"/>
    <w:rsid w:val="00FC17D8"/>
    <w:rsid w:val="00FC1E6D"/>
    <w:rsid w:val="00FC279A"/>
    <w:rsid w:val="00FC288C"/>
    <w:rsid w:val="00FC324D"/>
    <w:rsid w:val="00FC38AF"/>
    <w:rsid w:val="00FC39A1"/>
    <w:rsid w:val="00FC3BC3"/>
    <w:rsid w:val="00FC3E47"/>
    <w:rsid w:val="00FC4015"/>
    <w:rsid w:val="00FC492F"/>
    <w:rsid w:val="00FC4B53"/>
    <w:rsid w:val="00FC4B66"/>
    <w:rsid w:val="00FC4BAE"/>
    <w:rsid w:val="00FC4BFE"/>
    <w:rsid w:val="00FC5160"/>
    <w:rsid w:val="00FC52CE"/>
    <w:rsid w:val="00FC5A36"/>
    <w:rsid w:val="00FC5B81"/>
    <w:rsid w:val="00FC6377"/>
    <w:rsid w:val="00FC6861"/>
    <w:rsid w:val="00FC69CF"/>
    <w:rsid w:val="00FC6B0B"/>
    <w:rsid w:val="00FC713B"/>
    <w:rsid w:val="00FC7862"/>
    <w:rsid w:val="00FC798F"/>
    <w:rsid w:val="00FC79D5"/>
    <w:rsid w:val="00FC7B35"/>
    <w:rsid w:val="00FC7B53"/>
    <w:rsid w:val="00FC7EDE"/>
    <w:rsid w:val="00FD0177"/>
    <w:rsid w:val="00FD0480"/>
    <w:rsid w:val="00FD051A"/>
    <w:rsid w:val="00FD08A2"/>
    <w:rsid w:val="00FD0AE7"/>
    <w:rsid w:val="00FD0B44"/>
    <w:rsid w:val="00FD0F70"/>
    <w:rsid w:val="00FD1092"/>
    <w:rsid w:val="00FD19ED"/>
    <w:rsid w:val="00FD2315"/>
    <w:rsid w:val="00FD23B0"/>
    <w:rsid w:val="00FD29A7"/>
    <w:rsid w:val="00FD2B15"/>
    <w:rsid w:val="00FD2CED"/>
    <w:rsid w:val="00FD3022"/>
    <w:rsid w:val="00FD3092"/>
    <w:rsid w:val="00FD35A1"/>
    <w:rsid w:val="00FD3AEA"/>
    <w:rsid w:val="00FD3C61"/>
    <w:rsid w:val="00FD3FAB"/>
    <w:rsid w:val="00FD40FC"/>
    <w:rsid w:val="00FD412E"/>
    <w:rsid w:val="00FD420F"/>
    <w:rsid w:val="00FD42EB"/>
    <w:rsid w:val="00FD448C"/>
    <w:rsid w:val="00FD4BFB"/>
    <w:rsid w:val="00FD4C63"/>
    <w:rsid w:val="00FD4F2F"/>
    <w:rsid w:val="00FD51F7"/>
    <w:rsid w:val="00FD523A"/>
    <w:rsid w:val="00FD5258"/>
    <w:rsid w:val="00FD53D4"/>
    <w:rsid w:val="00FD5446"/>
    <w:rsid w:val="00FD5602"/>
    <w:rsid w:val="00FD5A2A"/>
    <w:rsid w:val="00FD5AE2"/>
    <w:rsid w:val="00FD5C3A"/>
    <w:rsid w:val="00FD5F7D"/>
    <w:rsid w:val="00FD601F"/>
    <w:rsid w:val="00FD62B4"/>
    <w:rsid w:val="00FD6352"/>
    <w:rsid w:val="00FD66C4"/>
    <w:rsid w:val="00FD6769"/>
    <w:rsid w:val="00FD6D0A"/>
    <w:rsid w:val="00FD7106"/>
    <w:rsid w:val="00FD7142"/>
    <w:rsid w:val="00FD750F"/>
    <w:rsid w:val="00FD7657"/>
    <w:rsid w:val="00FD7836"/>
    <w:rsid w:val="00FE011C"/>
    <w:rsid w:val="00FE07DC"/>
    <w:rsid w:val="00FE0A3F"/>
    <w:rsid w:val="00FE0ABA"/>
    <w:rsid w:val="00FE0F7B"/>
    <w:rsid w:val="00FE1116"/>
    <w:rsid w:val="00FE188E"/>
    <w:rsid w:val="00FE1E64"/>
    <w:rsid w:val="00FE1F13"/>
    <w:rsid w:val="00FE2075"/>
    <w:rsid w:val="00FE2080"/>
    <w:rsid w:val="00FE2647"/>
    <w:rsid w:val="00FE27B9"/>
    <w:rsid w:val="00FE2E37"/>
    <w:rsid w:val="00FE3156"/>
    <w:rsid w:val="00FE315D"/>
    <w:rsid w:val="00FE3640"/>
    <w:rsid w:val="00FE3780"/>
    <w:rsid w:val="00FE3954"/>
    <w:rsid w:val="00FE3CF7"/>
    <w:rsid w:val="00FE4071"/>
    <w:rsid w:val="00FE42E3"/>
    <w:rsid w:val="00FE4BBB"/>
    <w:rsid w:val="00FE4CBD"/>
    <w:rsid w:val="00FE4DF4"/>
    <w:rsid w:val="00FE4ECD"/>
    <w:rsid w:val="00FE52A9"/>
    <w:rsid w:val="00FE52B7"/>
    <w:rsid w:val="00FE53C5"/>
    <w:rsid w:val="00FE5678"/>
    <w:rsid w:val="00FE5807"/>
    <w:rsid w:val="00FE5C39"/>
    <w:rsid w:val="00FE5C57"/>
    <w:rsid w:val="00FE5E88"/>
    <w:rsid w:val="00FE6064"/>
    <w:rsid w:val="00FE6184"/>
    <w:rsid w:val="00FE624E"/>
    <w:rsid w:val="00FE6415"/>
    <w:rsid w:val="00FE6901"/>
    <w:rsid w:val="00FE69E7"/>
    <w:rsid w:val="00FE6A84"/>
    <w:rsid w:val="00FE6BB8"/>
    <w:rsid w:val="00FE6E76"/>
    <w:rsid w:val="00FE7143"/>
    <w:rsid w:val="00FE720C"/>
    <w:rsid w:val="00FE79AD"/>
    <w:rsid w:val="00FE7ACF"/>
    <w:rsid w:val="00FF0273"/>
    <w:rsid w:val="00FF027B"/>
    <w:rsid w:val="00FF0BB2"/>
    <w:rsid w:val="00FF0FFE"/>
    <w:rsid w:val="00FF1174"/>
    <w:rsid w:val="00FF14D9"/>
    <w:rsid w:val="00FF165A"/>
    <w:rsid w:val="00FF1B72"/>
    <w:rsid w:val="00FF1C58"/>
    <w:rsid w:val="00FF1C84"/>
    <w:rsid w:val="00FF1CE1"/>
    <w:rsid w:val="00FF1CF1"/>
    <w:rsid w:val="00FF1F4C"/>
    <w:rsid w:val="00FF200B"/>
    <w:rsid w:val="00FF22F1"/>
    <w:rsid w:val="00FF2654"/>
    <w:rsid w:val="00FF35DC"/>
    <w:rsid w:val="00FF3975"/>
    <w:rsid w:val="00FF3A6A"/>
    <w:rsid w:val="00FF3C7A"/>
    <w:rsid w:val="00FF3E09"/>
    <w:rsid w:val="00FF411C"/>
    <w:rsid w:val="00FF4327"/>
    <w:rsid w:val="00FF4594"/>
    <w:rsid w:val="00FF4844"/>
    <w:rsid w:val="00FF49D7"/>
    <w:rsid w:val="00FF4B2E"/>
    <w:rsid w:val="00FF4C38"/>
    <w:rsid w:val="00FF4E4B"/>
    <w:rsid w:val="00FF4E4E"/>
    <w:rsid w:val="00FF5049"/>
    <w:rsid w:val="00FF588A"/>
    <w:rsid w:val="00FF59E9"/>
    <w:rsid w:val="00FF5B83"/>
    <w:rsid w:val="00FF5D1F"/>
    <w:rsid w:val="00FF5F95"/>
    <w:rsid w:val="00FF6126"/>
    <w:rsid w:val="00FF61F5"/>
    <w:rsid w:val="00FF62AA"/>
    <w:rsid w:val="00FF64D7"/>
    <w:rsid w:val="00FF6B6C"/>
    <w:rsid w:val="00FF6CA5"/>
    <w:rsid w:val="00FF70A0"/>
    <w:rsid w:val="00FF7682"/>
    <w:rsid w:val="00FF7A00"/>
    <w:rsid w:val="01420B2A"/>
    <w:rsid w:val="015A65B6"/>
    <w:rsid w:val="018E58A4"/>
    <w:rsid w:val="01AA2C10"/>
    <w:rsid w:val="024F0B13"/>
    <w:rsid w:val="02935B46"/>
    <w:rsid w:val="029364D7"/>
    <w:rsid w:val="02CB76A6"/>
    <w:rsid w:val="02D7201B"/>
    <w:rsid w:val="037738D8"/>
    <w:rsid w:val="03EE579D"/>
    <w:rsid w:val="05A96137"/>
    <w:rsid w:val="05B53FF0"/>
    <w:rsid w:val="07052AF8"/>
    <w:rsid w:val="075F0692"/>
    <w:rsid w:val="076E74E5"/>
    <w:rsid w:val="07E53EAE"/>
    <w:rsid w:val="08F53B23"/>
    <w:rsid w:val="091066B6"/>
    <w:rsid w:val="09B2776D"/>
    <w:rsid w:val="0A070656"/>
    <w:rsid w:val="0A070A40"/>
    <w:rsid w:val="0A913ED8"/>
    <w:rsid w:val="0AC87E61"/>
    <w:rsid w:val="0AD42546"/>
    <w:rsid w:val="0B24171E"/>
    <w:rsid w:val="0B6902FF"/>
    <w:rsid w:val="0B786794"/>
    <w:rsid w:val="0BB33687"/>
    <w:rsid w:val="0C0B1618"/>
    <w:rsid w:val="0C16421A"/>
    <w:rsid w:val="0C2B26E6"/>
    <w:rsid w:val="0D081F34"/>
    <w:rsid w:val="0D584403"/>
    <w:rsid w:val="0D5D23FA"/>
    <w:rsid w:val="0DC0666A"/>
    <w:rsid w:val="0DDA523F"/>
    <w:rsid w:val="0E2E3DF5"/>
    <w:rsid w:val="0ED72786"/>
    <w:rsid w:val="0F333B7C"/>
    <w:rsid w:val="0FE13509"/>
    <w:rsid w:val="101C0A97"/>
    <w:rsid w:val="10982CE6"/>
    <w:rsid w:val="10F67974"/>
    <w:rsid w:val="116353E3"/>
    <w:rsid w:val="11710BBE"/>
    <w:rsid w:val="117C7228"/>
    <w:rsid w:val="123A1996"/>
    <w:rsid w:val="124306AB"/>
    <w:rsid w:val="124757D7"/>
    <w:rsid w:val="129C4B3D"/>
    <w:rsid w:val="12B75DF4"/>
    <w:rsid w:val="12CC0489"/>
    <w:rsid w:val="12D6790A"/>
    <w:rsid w:val="12F438A7"/>
    <w:rsid w:val="13977E74"/>
    <w:rsid w:val="141B7F51"/>
    <w:rsid w:val="141C5813"/>
    <w:rsid w:val="14264FE0"/>
    <w:rsid w:val="146F2C7A"/>
    <w:rsid w:val="14703764"/>
    <w:rsid w:val="149E4992"/>
    <w:rsid w:val="14B50A71"/>
    <w:rsid w:val="14CB6738"/>
    <w:rsid w:val="1577095E"/>
    <w:rsid w:val="15A217AD"/>
    <w:rsid w:val="15C026F1"/>
    <w:rsid w:val="15D36DDB"/>
    <w:rsid w:val="17064457"/>
    <w:rsid w:val="170B670F"/>
    <w:rsid w:val="17A0779F"/>
    <w:rsid w:val="18401F1E"/>
    <w:rsid w:val="189439F5"/>
    <w:rsid w:val="18C643E3"/>
    <w:rsid w:val="1A442DE9"/>
    <w:rsid w:val="1AA21ED8"/>
    <w:rsid w:val="1AB67CEF"/>
    <w:rsid w:val="1ADA5E4A"/>
    <w:rsid w:val="1AFB0134"/>
    <w:rsid w:val="1C8025AE"/>
    <w:rsid w:val="1D321E13"/>
    <w:rsid w:val="1E312EFF"/>
    <w:rsid w:val="1E805C34"/>
    <w:rsid w:val="1E893B8F"/>
    <w:rsid w:val="1EA15EA2"/>
    <w:rsid w:val="1F462152"/>
    <w:rsid w:val="1F6B6784"/>
    <w:rsid w:val="1FB0678C"/>
    <w:rsid w:val="1FB82A1C"/>
    <w:rsid w:val="205B24B5"/>
    <w:rsid w:val="20780ECB"/>
    <w:rsid w:val="20BA7B7B"/>
    <w:rsid w:val="21455F84"/>
    <w:rsid w:val="21E36C06"/>
    <w:rsid w:val="224176AA"/>
    <w:rsid w:val="22725508"/>
    <w:rsid w:val="228C1199"/>
    <w:rsid w:val="235634BB"/>
    <w:rsid w:val="242D24F6"/>
    <w:rsid w:val="244A35AA"/>
    <w:rsid w:val="24801EBF"/>
    <w:rsid w:val="24977600"/>
    <w:rsid w:val="24F25DAA"/>
    <w:rsid w:val="25644975"/>
    <w:rsid w:val="25C512E4"/>
    <w:rsid w:val="26AA0F6E"/>
    <w:rsid w:val="272F1A96"/>
    <w:rsid w:val="27AC0841"/>
    <w:rsid w:val="2848646B"/>
    <w:rsid w:val="28656026"/>
    <w:rsid w:val="293D386D"/>
    <w:rsid w:val="297B0CF7"/>
    <w:rsid w:val="2A51423E"/>
    <w:rsid w:val="2A9D0DE9"/>
    <w:rsid w:val="2B1E0D76"/>
    <w:rsid w:val="2B92508E"/>
    <w:rsid w:val="2BFC37E9"/>
    <w:rsid w:val="2D5E2562"/>
    <w:rsid w:val="2DA64132"/>
    <w:rsid w:val="2E8778CC"/>
    <w:rsid w:val="2EA31C26"/>
    <w:rsid w:val="2EDD2DD9"/>
    <w:rsid w:val="2EFA61AC"/>
    <w:rsid w:val="2F370591"/>
    <w:rsid w:val="2F723467"/>
    <w:rsid w:val="31252DDB"/>
    <w:rsid w:val="316B62D0"/>
    <w:rsid w:val="31DD293B"/>
    <w:rsid w:val="31ED2C71"/>
    <w:rsid w:val="31F33898"/>
    <w:rsid w:val="322748ED"/>
    <w:rsid w:val="32437BBD"/>
    <w:rsid w:val="32A02B99"/>
    <w:rsid w:val="330971C6"/>
    <w:rsid w:val="33D414D0"/>
    <w:rsid w:val="342143CC"/>
    <w:rsid w:val="34B85CD0"/>
    <w:rsid w:val="34E014AB"/>
    <w:rsid w:val="35340178"/>
    <w:rsid w:val="353F5AA9"/>
    <w:rsid w:val="35577297"/>
    <w:rsid w:val="359B5566"/>
    <w:rsid w:val="35CD358A"/>
    <w:rsid w:val="362A09EF"/>
    <w:rsid w:val="369A01DE"/>
    <w:rsid w:val="369C1105"/>
    <w:rsid w:val="36C4095C"/>
    <w:rsid w:val="36E569B3"/>
    <w:rsid w:val="36F22060"/>
    <w:rsid w:val="37467D39"/>
    <w:rsid w:val="38111DF2"/>
    <w:rsid w:val="382B0103"/>
    <w:rsid w:val="385F359C"/>
    <w:rsid w:val="393B162B"/>
    <w:rsid w:val="3965057D"/>
    <w:rsid w:val="3967305B"/>
    <w:rsid w:val="3A046550"/>
    <w:rsid w:val="3A5E67B9"/>
    <w:rsid w:val="3A606BEE"/>
    <w:rsid w:val="3AF11C2B"/>
    <w:rsid w:val="3B5354B7"/>
    <w:rsid w:val="3BA80B19"/>
    <w:rsid w:val="3BAE2718"/>
    <w:rsid w:val="3BC849DD"/>
    <w:rsid w:val="3BE341A5"/>
    <w:rsid w:val="3BE6003E"/>
    <w:rsid w:val="3C4240EC"/>
    <w:rsid w:val="3D8D6B66"/>
    <w:rsid w:val="3DE7706C"/>
    <w:rsid w:val="3E1E7712"/>
    <w:rsid w:val="3E66679D"/>
    <w:rsid w:val="3E997760"/>
    <w:rsid w:val="3F3A1FEB"/>
    <w:rsid w:val="3FC9482F"/>
    <w:rsid w:val="405F6B9A"/>
    <w:rsid w:val="40885740"/>
    <w:rsid w:val="41101FC5"/>
    <w:rsid w:val="41BA3575"/>
    <w:rsid w:val="41CB5019"/>
    <w:rsid w:val="41EB618D"/>
    <w:rsid w:val="42253D73"/>
    <w:rsid w:val="42AA1BED"/>
    <w:rsid w:val="42B64FD0"/>
    <w:rsid w:val="42DC0426"/>
    <w:rsid w:val="434626F9"/>
    <w:rsid w:val="43BF32E9"/>
    <w:rsid w:val="43C76649"/>
    <w:rsid w:val="43CF0940"/>
    <w:rsid w:val="44144794"/>
    <w:rsid w:val="4449126C"/>
    <w:rsid w:val="44557097"/>
    <w:rsid w:val="44B91A5D"/>
    <w:rsid w:val="451F6189"/>
    <w:rsid w:val="452F03D4"/>
    <w:rsid w:val="459A3BBF"/>
    <w:rsid w:val="45D109A0"/>
    <w:rsid w:val="46115CF7"/>
    <w:rsid w:val="468903BB"/>
    <w:rsid w:val="469A6FE4"/>
    <w:rsid w:val="47843179"/>
    <w:rsid w:val="48D87EF6"/>
    <w:rsid w:val="4921268B"/>
    <w:rsid w:val="49416FF6"/>
    <w:rsid w:val="4AF875FC"/>
    <w:rsid w:val="4AFA44C3"/>
    <w:rsid w:val="4B116CFB"/>
    <w:rsid w:val="4C3B3A5A"/>
    <w:rsid w:val="4E2A3343"/>
    <w:rsid w:val="4E327823"/>
    <w:rsid w:val="4E6268C7"/>
    <w:rsid w:val="4E910E25"/>
    <w:rsid w:val="4E984750"/>
    <w:rsid w:val="4EAC5711"/>
    <w:rsid w:val="4EC76DFC"/>
    <w:rsid w:val="4EDA0D8F"/>
    <w:rsid w:val="4F986314"/>
    <w:rsid w:val="50242D47"/>
    <w:rsid w:val="505C7478"/>
    <w:rsid w:val="50DA0524"/>
    <w:rsid w:val="51B2004B"/>
    <w:rsid w:val="51F67F5C"/>
    <w:rsid w:val="527C2D46"/>
    <w:rsid w:val="53EE7D08"/>
    <w:rsid w:val="542E39B5"/>
    <w:rsid w:val="54890BB3"/>
    <w:rsid w:val="54E104D3"/>
    <w:rsid w:val="54EF4EB3"/>
    <w:rsid w:val="5559450E"/>
    <w:rsid w:val="55622629"/>
    <w:rsid w:val="55652EB2"/>
    <w:rsid w:val="557701D2"/>
    <w:rsid w:val="55B678CA"/>
    <w:rsid w:val="55C93A03"/>
    <w:rsid w:val="5616101E"/>
    <w:rsid w:val="56443472"/>
    <w:rsid w:val="581E2406"/>
    <w:rsid w:val="58472D43"/>
    <w:rsid w:val="5A3A2DDD"/>
    <w:rsid w:val="5ACC7B91"/>
    <w:rsid w:val="5ADC3301"/>
    <w:rsid w:val="5B57504B"/>
    <w:rsid w:val="5CAC7619"/>
    <w:rsid w:val="5CB52971"/>
    <w:rsid w:val="5CF67265"/>
    <w:rsid w:val="5D1276BE"/>
    <w:rsid w:val="5D201747"/>
    <w:rsid w:val="5DA31D4F"/>
    <w:rsid w:val="5DC751A5"/>
    <w:rsid w:val="5DF76D59"/>
    <w:rsid w:val="5E977391"/>
    <w:rsid w:val="5F9475D5"/>
    <w:rsid w:val="60261490"/>
    <w:rsid w:val="60447752"/>
    <w:rsid w:val="61501C31"/>
    <w:rsid w:val="61C84DC7"/>
    <w:rsid w:val="61F60729"/>
    <w:rsid w:val="62F84246"/>
    <w:rsid w:val="634E39F5"/>
    <w:rsid w:val="6380002D"/>
    <w:rsid w:val="63A14D89"/>
    <w:rsid w:val="63B87AE2"/>
    <w:rsid w:val="64441196"/>
    <w:rsid w:val="646978EA"/>
    <w:rsid w:val="64B5182E"/>
    <w:rsid w:val="64FF002D"/>
    <w:rsid w:val="6603340F"/>
    <w:rsid w:val="66B952CC"/>
    <w:rsid w:val="67181BC3"/>
    <w:rsid w:val="675A705E"/>
    <w:rsid w:val="67E86627"/>
    <w:rsid w:val="67F26828"/>
    <w:rsid w:val="68110669"/>
    <w:rsid w:val="68C25A54"/>
    <w:rsid w:val="68C70FC8"/>
    <w:rsid w:val="6AB63143"/>
    <w:rsid w:val="6B241A17"/>
    <w:rsid w:val="6B28556D"/>
    <w:rsid w:val="6B624713"/>
    <w:rsid w:val="6B7A2359"/>
    <w:rsid w:val="6C480CC0"/>
    <w:rsid w:val="6DC72CDB"/>
    <w:rsid w:val="6DE71B5E"/>
    <w:rsid w:val="6E9248C1"/>
    <w:rsid w:val="6E9C0F6F"/>
    <w:rsid w:val="6F3C65DA"/>
    <w:rsid w:val="6F671B9B"/>
    <w:rsid w:val="6F96629E"/>
    <w:rsid w:val="6F983C7A"/>
    <w:rsid w:val="6FC13B19"/>
    <w:rsid w:val="6FD2738C"/>
    <w:rsid w:val="70835D1A"/>
    <w:rsid w:val="709D754D"/>
    <w:rsid w:val="70AF6E80"/>
    <w:rsid w:val="7103031A"/>
    <w:rsid w:val="71121F70"/>
    <w:rsid w:val="71AD7318"/>
    <w:rsid w:val="71DE12CA"/>
    <w:rsid w:val="71E50872"/>
    <w:rsid w:val="726D70E7"/>
    <w:rsid w:val="729C3DAA"/>
    <w:rsid w:val="72D65D2C"/>
    <w:rsid w:val="72E94CCB"/>
    <w:rsid w:val="744D5EC9"/>
    <w:rsid w:val="746127CF"/>
    <w:rsid w:val="746824D3"/>
    <w:rsid w:val="74A06189"/>
    <w:rsid w:val="76275962"/>
    <w:rsid w:val="76C75323"/>
    <w:rsid w:val="77CC74DE"/>
    <w:rsid w:val="785E1CB7"/>
    <w:rsid w:val="78E21FA1"/>
    <w:rsid w:val="7915384B"/>
    <w:rsid w:val="79425135"/>
    <w:rsid w:val="795A6E2D"/>
    <w:rsid w:val="79AA505B"/>
    <w:rsid w:val="79E65A52"/>
    <w:rsid w:val="7A287DD3"/>
    <w:rsid w:val="7A3538A9"/>
    <w:rsid w:val="7A427189"/>
    <w:rsid w:val="7A7C4102"/>
    <w:rsid w:val="7AB04F72"/>
    <w:rsid w:val="7B1403CC"/>
    <w:rsid w:val="7B372A5E"/>
    <w:rsid w:val="7C744EE5"/>
    <w:rsid w:val="7C9C4E59"/>
    <w:rsid w:val="7D2E7AB8"/>
    <w:rsid w:val="7D5B67C5"/>
    <w:rsid w:val="7DF97983"/>
    <w:rsid w:val="7E1700E3"/>
    <w:rsid w:val="7E402AF0"/>
    <w:rsid w:val="7E477448"/>
    <w:rsid w:val="7E6531B9"/>
    <w:rsid w:val="7ED2669B"/>
    <w:rsid w:val="7F7C3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iPriority="99"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7"/>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48"/>
    <w:qFormat/>
    <w:uiPriority w:val="9"/>
    <w:pPr>
      <w:keepNext/>
      <w:keepLines/>
      <w:spacing w:before="280" w:after="290" w:line="376" w:lineRule="auto"/>
      <w:outlineLvl w:val="3"/>
    </w:pPr>
    <w:rPr>
      <w:rFonts w:ascii="Calibri Light" w:hAnsi="Calibri Light"/>
      <w:b/>
      <w:bCs/>
      <w:sz w:val="28"/>
      <w:szCs w:val="28"/>
    </w:rPr>
  </w:style>
  <w:style w:type="paragraph" w:styleId="7">
    <w:name w:val="heading 5"/>
    <w:basedOn w:val="1"/>
    <w:next w:val="8"/>
    <w:link w:val="49"/>
    <w:qFormat/>
    <w:uiPriority w:val="0"/>
    <w:pPr>
      <w:keepNext/>
      <w:keepLines/>
      <w:spacing w:before="280" w:after="290" w:line="376" w:lineRule="auto"/>
      <w:outlineLvl w:val="4"/>
    </w:pPr>
    <w:rPr>
      <w:b/>
      <w:sz w:val="28"/>
    </w:rPr>
  </w:style>
  <w:style w:type="paragraph" w:styleId="9">
    <w:name w:val="heading 6"/>
    <w:basedOn w:val="1"/>
    <w:next w:val="8"/>
    <w:link w:val="50"/>
    <w:qFormat/>
    <w:uiPriority w:val="9"/>
    <w:pPr>
      <w:keepNext/>
      <w:keepLines/>
      <w:spacing w:before="240" w:after="64" w:line="320" w:lineRule="auto"/>
      <w:outlineLvl w:val="5"/>
    </w:pPr>
    <w:rPr>
      <w:rFonts w:ascii="Arial" w:hAnsi="Arial" w:eastAsia="黑体"/>
      <w:b/>
      <w:sz w:val="24"/>
    </w:rPr>
  </w:style>
  <w:style w:type="paragraph" w:styleId="10">
    <w:name w:val="heading 7"/>
    <w:basedOn w:val="1"/>
    <w:next w:val="8"/>
    <w:link w:val="51"/>
    <w:qFormat/>
    <w:uiPriority w:val="9"/>
    <w:pPr>
      <w:keepNext/>
      <w:keepLines/>
      <w:spacing w:before="240" w:after="64" w:line="320" w:lineRule="auto"/>
      <w:outlineLvl w:val="6"/>
    </w:pPr>
    <w:rPr>
      <w:b/>
      <w:sz w:val="24"/>
    </w:rPr>
  </w:style>
  <w:style w:type="paragraph" w:styleId="11">
    <w:name w:val="heading 8"/>
    <w:basedOn w:val="1"/>
    <w:next w:val="8"/>
    <w:link w:val="52"/>
    <w:qFormat/>
    <w:uiPriority w:val="9"/>
    <w:pPr>
      <w:keepNext/>
      <w:keepLines/>
      <w:spacing w:before="240" w:after="64" w:line="320" w:lineRule="auto"/>
      <w:outlineLvl w:val="7"/>
    </w:pPr>
    <w:rPr>
      <w:rFonts w:ascii="Arial" w:hAnsi="Arial" w:eastAsia="黑体"/>
      <w:sz w:val="24"/>
    </w:rPr>
  </w:style>
  <w:style w:type="paragraph" w:styleId="12">
    <w:name w:val="heading 9"/>
    <w:basedOn w:val="1"/>
    <w:next w:val="8"/>
    <w:link w:val="53"/>
    <w:qFormat/>
    <w:uiPriority w:val="9"/>
    <w:pPr>
      <w:keepNext/>
      <w:keepLines/>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99"/>
    <w:pPr>
      <w:spacing w:line="380" w:lineRule="exact"/>
    </w:pPr>
    <w:rPr>
      <w:kern w:val="0"/>
      <w:sz w:val="24"/>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35"/>
    <w:pPr>
      <w:spacing w:before="152" w:after="160"/>
    </w:pPr>
    <w:rPr>
      <w:rFonts w:ascii="Arial" w:hAnsi="Arial" w:eastAsia="黑体" w:cs="Arial"/>
      <w:sz w:val="20"/>
      <w:szCs w:val="20"/>
    </w:rPr>
  </w:style>
  <w:style w:type="paragraph" w:styleId="15">
    <w:name w:val="annotation text"/>
    <w:basedOn w:val="1"/>
    <w:link w:val="55"/>
    <w:unhideWhenUsed/>
    <w:qFormat/>
    <w:uiPriority w:val="0"/>
    <w:pPr>
      <w:jc w:val="left"/>
    </w:pPr>
  </w:style>
  <w:style w:type="paragraph" w:styleId="16">
    <w:name w:val="Body Text 3"/>
    <w:basedOn w:val="1"/>
    <w:link w:val="56"/>
    <w:qFormat/>
    <w:uiPriority w:val="0"/>
    <w:pPr>
      <w:spacing w:line="500" w:lineRule="exact"/>
    </w:pPr>
    <w:rPr>
      <w:b/>
      <w:bCs/>
      <w:kern w:val="0"/>
      <w:sz w:val="24"/>
    </w:rPr>
  </w:style>
  <w:style w:type="paragraph" w:styleId="17">
    <w:name w:val="Body Text Indent"/>
    <w:basedOn w:val="1"/>
    <w:link w:val="58"/>
    <w:qFormat/>
    <w:uiPriority w:val="0"/>
    <w:pPr>
      <w:ind w:firstLine="830" w:firstLineChars="352"/>
    </w:pPr>
    <w:rPr>
      <w:rFonts w:ascii="仿宋_GB2312" w:eastAsia="仿宋_GB2312"/>
      <w:kern w:val="0"/>
      <w:sz w:val="32"/>
      <w:szCs w:val="20"/>
    </w:rPr>
  </w:style>
  <w:style w:type="paragraph" w:styleId="18">
    <w:name w:val="List Number 3"/>
    <w:basedOn w:val="1"/>
    <w:qFormat/>
    <w:uiPriority w:val="0"/>
    <w:pPr>
      <w:tabs>
        <w:tab w:val="left" w:pos="1200"/>
      </w:tabs>
      <w:ind w:left="1200" w:hanging="360"/>
    </w:pPr>
  </w:style>
  <w:style w:type="paragraph" w:styleId="19">
    <w:name w:val="List 2"/>
    <w:basedOn w:val="1"/>
    <w:qFormat/>
    <w:uiPriority w:val="0"/>
    <w:pPr>
      <w:ind w:left="100" w:leftChars="200" w:hanging="200" w:hangingChars="200"/>
    </w:pPr>
    <w:rPr>
      <w:sz w:val="28"/>
    </w:rPr>
  </w:style>
  <w:style w:type="paragraph" w:styleId="20">
    <w:name w:val="Plain Text"/>
    <w:basedOn w:val="1"/>
    <w:next w:val="1"/>
    <w:link w:val="61"/>
    <w:qFormat/>
    <w:uiPriority w:val="0"/>
    <w:rPr>
      <w:rFonts w:ascii="宋体" w:hAnsi="Courier New"/>
      <w:kern w:val="0"/>
      <w:sz w:val="20"/>
      <w:szCs w:val="21"/>
    </w:rPr>
  </w:style>
  <w:style w:type="paragraph" w:styleId="21">
    <w:name w:val="Date"/>
    <w:basedOn w:val="1"/>
    <w:next w:val="1"/>
    <w:link w:val="63"/>
    <w:qFormat/>
    <w:uiPriority w:val="0"/>
    <w:pPr>
      <w:ind w:left="100" w:leftChars="2500"/>
    </w:pPr>
    <w:rPr>
      <w:rFonts w:ascii="宋体" w:hAnsi="Courier New"/>
      <w:kern w:val="0"/>
      <w:sz w:val="20"/>
      <w:szCs w:val="21"/>
    </w:rPr>
  </w:style>
  <w:style w:type="paragraph" w:styleId="22">
    <w:name w:val="Body Text Indent 2"/>
    <w:basedOn w:val="1"/>
    <w:link w:val="64"/>
    <w:qFormat/>
    <w:uiPriority w:val="0"/>
    <w:pPr>
      <w:ind w:firstLine="630"/>
    </w:pPr>
    <w:rPr>
      <w:kern w:val="0"/>
      <w:sz w:val="32"/>
      <w:szCs w:val="20"/>
    </w:rPr>
  </w:style>
  <w:style w:type="paragraph" w:styleId="23">
    <w:name w:val="endnote text"/>
    <w:basedOn w:val="1"/>
    <w:link w:val="65"/>
    <w:unhideWhenUsed/>
    <w:qFormat/>
    <w:uiPriority w:val="99"/>
    <w:pPr>
      <w:snapToGrid w:val="0"/>
      <w:jc w:val="left"/>
    </w:pPr>
  </w:style>
  <w:style w:type="paragraph" w:styleId="24">
    <w:name w:val="Balloon Text"/>
    <w:basedOn w:val="1"/>
    <w:link w:val="66"/>
    <w:semiHidden/>
    <w:qFormat/>
    <w:uiPriority w:val="99"/>
    <w:rPr>
      <w:kern w:val="0"/>
      <w:sz w:val="18"/>
      <w:szCs w:val="18"/>
    </w:rPr>
  </w:style>
  <w:style w:type="paragraph" w:styleId="25">
    <w:name w:val="footer"/>
    <w:basedOn w:val="1"/>
    <w:link w:val="67"/>
    <w:unhideWhenUsed/>
    <w:qFormat/>
    <w:uiPriority w:val="0"/>
    <w:pPr>
      <w:tabs>
        <w:tab w:val="center" w:pos="4153"/>
        <w:tab w:val="right" w:pos="8306"/>
      </w:tabs>
      <w:snapToGrid w:val="0"/>
      <w:jc w:val="left"/>
    </w:pPr>
    <w:rPr>
      <w:kern w:val="0"/>
      <w:sz w:val="18"/>
      <w:szCs w:val="18"/>
    </w:rPr>
  </w:style>
  <w:style w:type="paragraph" w:styleId="26">
    <w:name w:val="header"/>
    <w:basedOn w:val="1"/>
    <w:link w:val="68"/>
    <w:unhideWhenUsed/>
    <w:qFormat/>
    <w:uiPriority w:val="0"/>
    <w:pPr>
      <w:pBdr>
        <w:bottom w:val="single" w:color="auto" w:sz="6" w:space="1"/>
      </w:pBdr>
      <w:tabs>
        <w:tab w:val="center" w:pos="0"/>
        <w:tab w:val="left" w:pos="8306"/>
      </w:tabs>
      <w:snapToGrid w:val="0"/>
      <w:jc w:val="center"/>
    </w:pPr>
    <w:rPr>
      <w:sz w:val="18"/>
      <w:szCs w:val="18"/>
    </w:rPr>
  </w:style>
  <w:style w:type="paragraph" w:styleId="27">
    <w:name w:val="Subtitle"/>
    <w:basedOn w:val="1"/>
    <w:next w:val="1"/>
    <w:link w:val="71"/>
    <w:qFormat/>
    <w:uiPriority w:val="11"/>
    <w:pPr>
      <w:overflowPunct w:val="0"/>
      <w:spacing w:before="240" w:after="60" w:line="312" w:lineRule="auto"/>
      <w:jc w:val="center"/>
    </w:pPr>
    <w:rPr>
      <w:rFonts w:ascii="Calibri" w:hAnsi="Calibri"/>
      <w:b/>
      <w:bCs/>
      <w:kern w:val="28"/>
      <w:sz w:val="44"/>
      <w:szCs w:val="32"/>
    </w:rPr>
  </w:style>
  <w:style w:type="paragraph" w:styleId="28">
    <w:name w:val="List"/>
    <w:basedOn w:val="1"/>
    <w:qFormat/>
    <w:uiPriority w:val="0"/>
    <w:pPr>
      <w:ind w:left="200" w:hanging="200" w:hangingChars="200"/>
    </w:pPr>
    <w:rPr>
      <w:sz w:val="28"/>
    </w:rPr>
  </w:style>
  <w:style w:type="paragraph" w:styleId="29">
    <w:name w:val="footnote text"/>
    <w:basedOn w:val="1"/>
    <w:link w:val="72"/>
    <w:unhideWhenUsed/>
    <w:qFormat/>
    <w:uiPriority w:val="99"/>
    <w:pPr>
      <w:snapToGrid w:val="0"/>
      <w:jc w:val="left"/>
    </w:pPr>
    <w:rPr>
      <w:sz w:val="18"/>
      <w:szCs w:val="18"/>
    </w:rPr>
  </w:style>
  <w:style w:type="paragraph" w:styleId="30">
    <w:name w:val="Body Text Indent 3"/>
    <w:basedOn w:val="1"/>
    <w:link w:val="74"/>
    <w:qFormat/>
    <w:uiPriority w:val="0"/>
    <w:pPr>
      <w:spacing w:after="120"/>
      <w:ind w:left="420" w:leftChars="200"/>
    </w:pPr>
    <w:rPr>
      <w:kern w:val="0"/>
      <w:sz w:val="16"/>
      <w:szCs w:val="16"/>
    </w:rPr>
  </w:style>
  <w:style w:type="paragraph" w:styleId="31">
    <w:name w:val="table of figures"/>
    <w:basedOn w:val="1"/>
    <w:next w:val="1"/>
    <w:unhideWhenUsed/>
    <w:qFormat/>
    <w:uiPriority w:val="99"/>
    <w:pPr>
      <w:overflowPunct w:val="0"/>
      <w:ind w:left="200" w:hanging="200" w:hangingChars="200"/>
    </w:pPr>
    <w:rPr>
      <w:rFonts w:ascii="宋体" w:hAnsi="Calibri"/>
      <w:sz w:val="24"/>
      <w:szCs w:val="21"/>
    </w:rPr>
  </w:style>
  <w:style w:type="paragraph" w:styleId="32">
    <w:name w:val="Body Text 2"/>
    <w:basedOn w:val="1"/>
    <w:link w:val="77"/>
    <w:qFormat/>
    <w:uiPriority w:val="0"/>
    <w:pPr>
      <w:spacing w:after="120" w:line="480" w:lineRule="auto"/>
    </w:pPr>
    <w:rPr>
      <w:kern w:val="0"/>
      <w:sz w:val="20"/>
    </w:rPr>
  </w:style>
  <w:style w:type="paragraph" w:styleId="33">
    <w:name w:val="Normal (Web)"/>
    <w:basedOn w:val="1"/>
    <w:qFormat/>
    <w:uiPriority w:val="99"/>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Title"/>
    <w:basedOn w:val="1"/>
    <w:next w:val="1"/>
    <w:link w:val="78"/>
    <w:qFormat/>
    <w:uiPriority w:val="10"/>
    <w:pPr>
      <w:spacing w:before="240" w:after="60"/>
      <w:jc w:val="center"/>
      <w:outlineLvl w:val="0"/>
    </w:pPr>
    <w:rPr>
      <w:rFonts w:ascii="Cambria" w:hAnsi="Cambria"/>
      <w:b/>
      <w:bCs/>
      <w:sz w:val="32"/>
      <w:szCs w:val="32"/>
    </w:rPr>
  </w:style>
  <w:style w:type="paragraph" w:styleId="36">
    <w:name w:val="annotation subject"/>
    <w:basedOn w:val="15"/>
    <w:next w:val="15"/>
    <w:link w:val="79"/>
    <w:unhideWhenUsed/>
    <w:qFormat/>
    <w:uiPriority w:val="99"/>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endnote reference"/>
    <w:unhideWhenUsed/>
    <w:qFormat/>
    <w:uiPriority w:val="99"/>
    <w:rPr>
      <w:vertAlign w:val="superscript"/>
    </w:rPr>
  </w:style>
  <w:style w:type="character" w:styleId="41">
    <w:name w:val="page number"/>
    <w:qFormat/>
    <w:uiPriority w:val="0"/>
  </w:style>
  <w:style w:type="character" w:styleId="42">
    <w:name w:val="Hyperlink"/>
    <w:qFormat/>
    <w:uiPriority w:val="99"/>
    <w:rPr>
      <w:color w:val="0000FF"/>
      <w:u w:val="single"/>
    </w:rPr>
  </w:style>
  <w:style w:type="character" w:styleId="43">
    <w:name w:val="annotation reference"/>
    <w:unhideWhenUsed/>
    <w:qFormat/>
    <w:uiPriority w:val="0"/>
    <w:rPr>
      <w:sz w:val="21"/>
      <w:szCs w:val="21"/>
    </w:rPr>
  </w:style>
  <w:style w:type="character" w:styleId="44">
    <w:name w:val="footnote reference"/>
    <w:unhideWhenUsed/>
    <w:qFormat/>
    <w:uiPriority w:val="99"/>
    <w:rPr>
      <w:vertAlign w:val="superscript"/>
    </w:rPr>
  </w:style>
  <w:style w:type="character" w:customStyle="1" w:styleId="45">
    <w:name w:val="标题 1 Char"/>
    <w:link w:val="3"/>
    <w:qFormat/>
    <w:uiPriority w:val="9"/>
    <w:rPr>
      <w:rFonts w:ascii="Times New Roman" w:hAnsi="Times New Roman" w:eastAsia="宋体" w:cs="Times New Roman"/>
      <w:b/>
      <w:bCs/>
      <w:kern w:val="44"/>
      <w:sz w:val="44"/>
      <w:szCs w:val="44"/>
    </w:rPr>
  </w:style>
  <w:style w:type="character" w:customStyle="1" w:styleId="46">
    <w:name w:val="标题 2 Char"/>
    <w:link w:val="4"/>
    <w:qFormat/>
    <w:uiPriority w:val="9"/>
    <w:rPr>
      <w:rFonts w:ascii="Arial" w:hAnsi="Arial" w:eastAsia="黑体" w:cs="Times New Roman"/>
      <w:b/>
      <w:bCs/>
      <w:sz w:val="32"/>
      <w:szCs w:val="32"/>
    </w:rPr>
  </w:style>
  <w:style w:type="character" w:customStyle="1" w:styleId="47">
    <w:name w:val="标题 3 Char"/>
    <w:link w:val="5"/>
    <w:qFormat/>
    <w:uiPriority w:val="9"/>
    <w:rPr>
      <w:rFonts w:ascii="Times New Roman" w:hAnsi="Times New Roman" w:eastAsia="宋体" w:cs="Times New Roman"/>
      <w:b/>
      <w:bCs/>
      <w:sz w:val="32"/>
      <w:szCs w:val="32"/>
    </w:rPr>
  </w:style>
  <w:style w:type="character" w:customStyle="1" w:styleId="48">
    <w:name w:val="标题 4 Char"/>
    <w:link w:val="6"/>
    <w:qFormat/>
    <w:uiPriority w:val="9"/>
    <w:rPr>
      <w:rFonts w:ascii="Calibri Light" w:hAnsi="Calibri Light" w:eastAsia="宋体" w:cs="Times New Roman"/>
      <w:b/>
      <w:bCs/>
      <w:kern w:val="2"/>
      <w:sz w:val="28"/>
      <w:szCs w:val="28"/>
    </w:rPr>
  </w:style>
  <w:style w:type="character" w:customStyle="1" w:styleId="49">
    <w:name w:val="标题 5 Char2"/>
    <w:link w:val="7"/>
    <w:qFormat/>
    <w:uiPriority w:val="0"/>
    <w:rPr>
      <w:b/>
      <w:kern w:val="2"/>
      <w:sz w:val="28"/>
      <w:szCs w:val="24"/>
    </w:rPr>
  </w:style>
  <w:style w:type="character" w:customStyle="1" w:styleId="50">
    <w:name w:val="标题 6 Char"/>
    <w:link w:val="9"/>
    <w:qFormat/>
    <w:uiPriority w:val="9"/>
    <w:rPr>
      <w:rFonts w:ascii="Arial" w:hAnsi="Arial" w:eastAsia="黑体"/>
      <w:b/>
      <w:kern w:val="2"/>
      <w:sz w:val="24"/>
      <w:szCs w:val="24"/>
    </w:rPr>
  </w:style>
  <w:style w:type="character" w:customStyle="1" w:styleId="51">
    <w:name w:val="标题 7 Char"/>
    <w:link w:val="10"/>
    <w:qFormat/>
    <w:uiPriority w:val="9"/>
    <w:rPr>
      <w:b/>
      <w:kern w:val="2"/>
      <w:sz w:val="24"/>
      <w:szCs w:val="24"/>
    </w:rPr>
  </w:style>
  <w:style w:type="character" w:customStyle="1" w:styleId="52">
    <w:name w:val="标题 8 Char"/>
    <w:link w:val="11"/>
    <w:qFormat/>
    <w:uiPriority w:val="9"/>
    <w:rPr>
      <w:rFonts w:ascii="Arial" w:hAnsi="Arial" w:eastAsia="黑体"/>
      <w:kern w:val="2"/>
      <w:sz w:val="24"/>
      <w:szCs w:val="24"/>
    </w:rPr>
  </w:style>
  <w:style w:type="character" w:customStyle="1" w:styleId="53">
    <w:name w:val="标题 9 Char"/>
    <w:link w:val="12"/>
    <w:qFormat/>
    <w:uiPriority w:val="9"/>
    <w:rPr>
      <w:rFonts w:ascii="Arial" w:hAnsi="Arial" w:eastAsia="黑体"/>
      <w:kern w:val="2"/>
      <w:sz w:val="21"/>
      <w:szCs w:val="24"/>
    </w:rPr>
  </w:style>
  <w:style w:type="paragraph" w:customStyle="1" w:styleId="54">
    <w:name w:val="TOC 71"/>
    <w:basedOn w:val="1"/>
    <w:next w:val="1"/>
    <w:unhideWhenUsed/>
    <w:qFormat/>
    <w:uiPriority w:val="39"/>
    <w:pPr>
      <w:ind w:left="2520" w:leftChars="1200"/>
    </w:pPr>
    <w:rPr>
      <w:rFonts w:ascii="Calibri" w:hAnsi="Calibri"/>
      <w:szCs w:val="22"/>
    </w:rPr>
  </w:style>
  <w:style w:type="character" w:customStyle="1" w:styleId="55">
    <w:name w:val="批注文字 Char2"/>
    <w:link w:val="15"/>
    <w:qFormat/>
    <w:uiPriority w:val="0"/>
    <w:rPr>
      <w:rFonts w:ascii="Times New Roman" w:hAnsi="Times New Roman"/>
      <w:kern w:val="2"/>
      <w:sz w:val="21"/>
      <w:szCs w:val="24"/>
    </w:rPr>
  </w:style>
  <w:style w:type="character" w:customStyle="1" w:styleId="56">
    <w:name w:val="正文文本 3 Char"/>
    <w:link w:val="16"/>
    <w:qFormat/>
    <w:uiPriority w:val="0"/>
    <w:rPr>
      <w:rFonts w:ascii="Times New Roman" w:hAnsi="Times New Roman" w:eastAsia="宋体" w:cs="Times New Roman"/>
      <w:b/>
      <w:bCs/>
      <w:sz w:val="24"/>
      <w:szCs w:val="24"/>
    </w:rPr>
  </w:style>
  <w:style w:type="character" w:customStyle="1" w:styleId="57">
    <w:name w:val="正文文本 Char"/>
    <w:link w:val="2"/>
    <w:qFormat/>
    <w:uiPriority w:val="99"/>
    <w:rPr>
      <w:rFonts w:ascii="Times New Roman" w:hAnsi="Times New Roman" w:eastAsia="宋体" w:cs="Times New Roman"/>
      <w:sz w:val="24"/>
      <w:szCs w:val="24"/>
    </w:rPr>
  </w:style>
  <w:style w:type="character" w:customStyle="1" w:styleId="58">
    <w:name w:val="正文文本缩进 Char"/>
    <w:link w:val="17"/>
    <w:qFormat/>
    <w:uiPriority w:val="0"/>
    <w:rPr>
      <w:rFonts w:ascii="仿宋_GB2312" w:hAnsi="Times New Roman" w:eastAsia="仿宋_GB2312" w:cs="Times New Roman"/>
      <w:sz w:val="32"/>
      <w:szCs w:val="20"/>
    </w:rPr>
  </w:style>
  <w:style w:type="paragraph" w:customStyle="1" w:styleId="59">
    <w:name w:val="TOC 51"/>
    <w:basedOn w:val="1"/>
    <w:next w:val="1"/>
    <w:unhideWhenUsed/>
    <w:qFormat/>
    <w:uiPriority w:val="39"/>
    <w:pPr>
      <w:ind w:left="1680" w:leftChars="800"/>
    </w:pPr>
    <w:rPr>
      <w:rFonts w:ascii="Calibri" w:hAnsi="Calibri"/>
      <w:szCs w:val="22"/>
    </w:rPr>
  </w:style>
  <w:style w:type="paragraph" w:customStyle="1" w:styleId="60">
    <w:name w:val="TOC 31"/>
    <w:basedOn w:val="1"/>
    <w:next w:val="1"/>
    <w:unhideWhenUsed/>
    <w:qFormat/>
    <w:uiPriority w:val="39"/>
    <w:pPr>
      <w:ind w:left="840" w:leftChars="400"/>
    </w:pPr>
    <w:rPr>
      <w:rFonts w:ascii="Calibri" w:hAnsi="Calibri"/>
      <w:szCs w:val="22"/>
    </w:rPr>
  </w:style>
  <w:style w:type="character" w:customStyle="1" w:styleId="61">
    <w:name w:val="纯文本 Char2"/>
    <w:link w:val="20"/>
    <w:qFormat/>
    <w:uiPriority w:val="0"/>
    <w:rPr>
      <w:rFonts w:ascii="宋体" w:hAnsi="Courier New" w:eastAsia="宋体" w:cs="Courier New"/>
      <w:szCs w:val="21"/>
    </w:rPr>
  </w:style>
  <w:style w:type="paragraph" w:customStyle="1" w:styleId="62">
    <w:name w:val="TOC 81"/>
    <w:basedOn w:val="1"/>
    <w:next w:val="1"/>
    <w:unhideWhenUsed/>
    <w:qFormat/>
    <w:uiPriority w:val="39"/>
    <w:pPr>
      <w:ind w:left="2940" w:leftChars="1400"/>
    </w:pPr>
    <w:rPr>
      <w:rFonts w:ascii="Calibri" w:hAnsi="Calibri"/>
      <w:szCs w:val="22"/>
    </w:rPr>
  </w:style>
  <w:style w:type="character" w:customStyle="1" w:styleId="63">
    <w:name w:val="日期 Char"/>
    <w:link w:val="21"/>
    <w:qFormat/>
    <w:uiPriority w:val="0"/>
    <w:rPr>
      <w:rFonts w:ascii="宋体" w:hAnsi="Courier New" w:eastAsia="宋体" w:cs="Courier New"/>
      <w:szCs w:val="21"/>
    </w:rPr>
  </w:style>
  <w:style w:type="character" w:customStyle="1" w:styleId="64">
    <w:name w:val="正文文本缩进 2 Char"/>
    <w:link w:val="22"/>
    <w:qFormat/>
    <w:uiPriority w:val="0"/>
    <w:rPr>
      <w:rFonts w:ascii="Times New Roman" w:hAnsi="Times New Roman" w:eastAsia="宋体" w:cs="Times New Roman"/>
      <w:sz w:val="32"/>
      <w:szCs w:val="20"/>
    </w:rPr>
  </w:style>
  <w:style w:type="character" w:customStyle="1" w:styleId="65">
    <w:name w:val="尾注文本 Char"/>
    <w:link w:val="23"/>
    <w:semiHidden/>
    <w:qFormat/>
    <w:uiPriority w:val="99"/>
    <w:rPr>
      <w:rFonts w:ascii="Times New Roman" w:hAnsi="Times New Roman"/>
      <w:kern w:val="2"/>
      <w:sz w:val="21"/>
      <w:szCs w:val="24"/>
    </w:rPr>
  </w:style>
  <w:style w:type="character" w:customStyle="1" w:styleId="66">
    <w:name w:val="批注框文本 Char"/>
    <w:link w:val="24"/>
    <w:semiHidden/>
    <w:qFormat/>
    <w:uiPriority w:val="99"/>
    <w:rPr>
      <w:rFonts w:ascii="Times New Roman" w:hAnsi="Times New Roman" w:eastAsia="宋体" w:cs="Times New Roman"/>
      <w:sz w:val="18"/>
      <w:szCs w:val="18"/>
    </w:rPr>
  </w:style>
  <w:style w:type="character" w:customStyle="1" w:styleId="67">
    <w:name w:val="页脚 Char"/>
    <w:link w:val="25"/>
    <w:qFormat/>
    <w:uiPriority w:val="0"/>
    <w:rPr>
      <w:sz w:val="18"/>
      <w:szCs w:val="18"/>
    </w:rPr>
  </w:style>
  <w:style w:type="character" w:customStyle="1" w:styleId="68">
    <w:name w:val="页眉 Char"/>
    <w:link w:val="26"/>
    <w:qFormat/>
    <w:uiPriority w:val="0"/>
    <w:rPr>
      <w:rFonts w:ascii="Times New Roman" w:hAnsi="Times New Roman"/>
      <w:kern w:val="2"/>
      <w:sz w:val="18"/>
      <w:szCs w:val="18"/>
    </w:rPr>
  </w:style>
  <w:style w:type="paragraph" w:customStyle="1" w:styleId="69">
    <w:name w:val="TOC 1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customStyle="1" w:styleId="70">
    <w:name w:val="TOC 41"/>
    <w:basedOn w:val="1"/>
    <w:next w:val="1"/>
    <w:unhideWhenUsed/>
    <w:qFormat/>
    <w:uiPriority w:val="39"/>
    <w:pPr>
      <w:ind w:left="1260" w:leftChars="600"/>
    </w:pPr>
    <w:rPr>
      <w:rFonts w:ascii="Calibri" w:hAnsi="Calibri"/>
      <w:szCs w:val="22"/>
    </w:rPr>
  </w:style>
  <w:style w:type="character" w:customStyle="1" w:styleId="71">
    <w:name w:val="副标题 Char"/>
    <w:link w:val="27"/>
    <w:qFormat/>
    <w:uiPriority w:val="11"/>
    <w:rPr>
      <w:rFonts w:ascii="Calibri" w:hAnsi="Calibri" w:cs="Times New Roman"/>
      <w:b/>
      <w:bCs/>
      <w:kern w:val="28"/>
      <w:sz w:val="44"/>
      <w:szCs w:val="32"/>
    </w:rPr>
  </w:style>
  <w:style w:type="character" w:customStyle="1" w:styleId="72">
    <w:name w:val="脚注文本 Char"/>
    <w:link w:val="29"/>
    <w:semiHidden/>
    <w:qFormat/>
    <w:uiPriority w:val="99"/>
    <w:rPr>
      <w:rFonts w:ascii="Times New Roman" w:hAnsi="Times New Roman"/>
      <w:kern w:val="2"/>
      <w:sz w:val="18"/>
      <w:szCs w:val="18"/>
    </w:rPr>
  </w:style>
  <w:style w:type="paragraph" w:customStyle="1" w:styleId="73">
    <w:name w:val="TOC 61"/>
    <w:basedOn w:val="1"/>
    <w:next w:val="1"/>
    <w:unhideWhenUsed/>
    <w:qFormat/>
    <w:uiPriority w:val="39"/>
    <w:pPr>
      <w:ind w:left="2100" w:leftChars="1000"/>
    </w:pPr>
    <w:rPr>
      <w:rFonts w:ascii="Calibri" w:hAnsi="Calibri"/>
      <w:szCs w:val="22"/>
    </w:rPr>
  </w:style>
  <w:style w:type="character" w:customStyle="1" w:styleId="74">
    <w:name w:val="正文文本缩进 3 Char"/>
    <w:link w:val="30"/>
    <w:qFormat/>
    <w:uiPriority w:val="0"/>
    <w:rPr>
      <w:rFonts w:ascii="Times New Roman" w:hAnsi="Times New Roman" w:eastAsia="宋体" w:cs="Times New Roman"/>
      <w:sz w:val="16"/>
      <w:szCs w:val="16"/>
    </w:rPr>
  </w:style>
  <w:style w:type="paragraph" w:customStyle="1" w:styleId="75">
    <w:name w:val="TOC 21"/>
    <w:basedOn w:val="1"/>
    <w:next w:val="1"/>
    <w:unhideWhenUsed/>
    <w:qFormat/>
    <w:uiPriority w:val="39"/>
    <w:pPr>
      <w:ind w:left="420" w:leftChars="200"/>
    </w:pPr>
  </w:style>
  <w:style w:type="paragraph" w:customStyle="1" w:styleId="76">
    <w:name w:val="TOC 91"/>
    <w:basedOn w:val="1"/>
    <w:next w:val="1"/>
    <w:unhideWhenUsed/>
    <w:qFormat/>
    <w:uiPriority w:val="39"/>
    <w:pPr>
      <w:ind w:left="3360" w:leftChars="1600"/>
    </w:pPr>
    <w:rPr>
      <w:rFonts w:ascii="Calibri" w:hAnsi="Calibri"/>
      <w:szCs w:val="22"/>
    </w:rPr>
  </w:style>
  <w:style w:type="character" w:customStyle="1" w:styleId="77">
    <w:name w:val="正文文本 2 Char"/>
    <w:link w:val="32"/>
    <w:qFormat/>
    <w:uiPriority w:val="0"/>
    <w:rPr>
      <w:rFonts w:ascii="Times New Roman" w:hAnsi="Times New Roman" w:eastAsia="宋体" w:cs="Times New Roman"/>
      <w:szCs w:val="24"/>
    </w:rPr>
  </w:style>
  <w:style w:type="character" w:customStyle="1" w:styleId="78">
    <w:name w:val="标题 Char"/>
    <w:link w:val="35"/>
    <w:qFormat/>
    <w:uiPriority w:val="10"/>
    <w:rPr>
      <w:rFonts w:ascii="Cambria" w:hAnsi="Cambria" w:cs="Times New Roman"/>
      <w:b/>
      <w:bCs/>
      <w:kern w:val="2"/>
      <w:sz w:val="32"/>
      <w:szCs w:val="32"/>
    </w:rPr>
  </w:style>
  <w:style w:type="character" w:customStyle="1" w:styleId="79">
    <w:name w:val="批注主题 Char"/>
    <w:link w:val="36"/>
    <w:semiHidden/>
    <w:qFormat/>
    <w:uiPriority w:val="99"/>
    <w:rPr>
      <w:rFonts w:ascii="Times New Roman" w:hAnsi="Times New Roman"/>
      <w:b/>
      <w:bCs/>
      <w:kern w:val="2"/>
      <w:sz w:val="21"/>
      <w:szCs w:val="24"/>
    </w:rPr>
  </w:style>
  <w:style w:type="character" w:customStyle="1" w:styleId="80">
    <w:name w:val="访问过的超链接1"/>
    <w:qFormat/>
    <w:uiPriority w:val="0"/>
    <w:rPr>
      <w:color w:val="800080"/>
      <w:u w:val="single"/>
    </w:rPr>
  </w:style>
  <w:style w:type="character" w:customStyle="1" w:styleId="81">
    <w:name w:val="纯文本 字符1"/>
    <w:qFormat/>
    <w:uiPriority w:val="0"/>
    <w:rPr>
      <w:rFonts w:ascii="宋体" w:hAnsi="Courier New"/>
    </w:rPr>
  </w:style>
  <w:style w:type="character" w:customStyle="1" w:styleId="82">
    <w:name w:val="批注文字 Char1"/>
    <w:qFormat/>
    <w:locked/>
    <w:uiPriority w:val="0"/>
    <w:rPr>
      <w:rFonts w:ascii="Times New Roman" w:hAnsi="Times New Roman"/>
      <w:kern w:val="2"/>
      <w:sz w:val="21"/>
      <w:szCs w:val="24"/>
    </w:rPr>
  </w:style>
  <w:style w:type="character" w:customStyle="1" w:styleId="83">
    <w:name w:val="headline-content4"/>
    <w:qFormat/>
    <w:uiPriority w:val="0"/>
  </w:style>
  <w:style w:type="character" w:customStyle="1" w:styleId="84">
    <w:name w:val="批注文字 字符"/>
    <w:qFormat/>
    <w:uiPriority w:val="99"/>
    <w:rPr>
      <w:rFonts w:ascii="Times New Roman" w:hAnsi="Times New Roman"/>
      <w:kern w:val="2"/>
      <w:sz w:val="21"/>
      <w:szCs w:val="24"/>
    </w:rPr>
  </w:style>
  <w:style w:type="character" w:customStyle="1" w:styleId="85">
    <w:name w:val="标题 5 Char"/>
    <w:qFormat/>
    <w:uiPriority w:val="9"/>
    <w:rPr>
      <w:b/>
      <w:kern w:val="2"/>
      <w:sz w:val="28"/>
      <w:szCs w:val="24"/>
    </w:rPr>
  </w:style>
  <w:style w:type="character" w:customStyle="1" w:styleId="8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7">
    <w:name w:val="批注文字 Char"/>
    <w:qFormat/>
    <w:uiPriority w:val="0"/>
    <w:rPr>
      <w:rFonts w:ascii="Times New Roman" w:hAnsi="Times New Roman"/>
      <w:kern w:val="2"/>
      <w:sz w:val="21"/>
      <w:szCs w:val="24"/>
    </w:rPr>
  </w:style>
  <w:style w:type="character" w:customStyle="1" w:styleId="88">
    <w:name w:val="标题 1 字符"/>
    <w:qFormat/>
    <w:uiPriority w:val="9"/>
    <w:rPr>
      <w:rFonts w:ascii="Times New Roman" w:hAnsi="Times New Roman" w:eastAsia="宋体" w:cs="Times New Roman"/>
      <w:b/>
      <w:bCs/>
      <w:kern w:val="44"/>
      <w:sz w:val="44"/>
      <w:szCs w:val="44"/>
    </w:rPr>
  </w:style>
  <w:style w:type="character" w:customStyle="1" w:styleId="89">
    <w:name w:val="apple-style-span"/>
    <w:qFormat/>
    <w:uiPriority w:val="0"/>
  </w:style>
  <w:style w:type="character" w:customStyle="1" w:styleId="90">
    <w:name w:val="正文文本缩进 字符"/>
    <w:qFormat/>
    <w:uiPriority w:val="0"/>
    <w:rPr>
      <w:rFonts w:ascii="仿宋_GB2312" w:hAnsi="Times New Roman" w:eastAsia="仿宋_GB2312" w:cs="Times New Roman"/>
      <w:sz w:val="32"/>
      <w:szCs w:val="20"/>
    </w:rPr>
  </w:style>
  <w:style w:type="character" w:customStyle="1" w:styleId="91">
    <w:name w:val="case31"/>
    <w:qFormat/>
    <w:uiPriority w:val="0"/>
    <w:rPr>
      <w:rFonts w:hint="default"/>
      <w:sz w:val="21"/>
      <w:szCs w:val="21"/>
    </w:rPr>
  </w:style>
  <w:style w:type="character" w:customStyle="1" w:styleId="92">
    <w:name w:val="纯文本 字符"/>
    <w:qFormat/>
    <w:uiPriority w:val="0"/>
    <w:rPr>
      <w:rFonts w:ascii="宋体" w:hAnsi="Courier New" w:eastAsia="宋体" w:cs="Courier New"/>
      <w:szCs w:val="21"/>
    </w:rPr>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paragraph" w:customStyle="1" w:styleId="95">
    <w:name w:val="正文段"/>
    <w:basedOn w:val="1"/>
    <w:qFormat/>
    <w:uiPriority w:val="0"/>
    <w:pPr>
      <w:widowControl/>
      <w:snapToGrid w:val="0"/>
      <w:spacing w:afterLines="50"/>
      <w:ind w:firstLine="200" w:firstLineChars="200"/>
    </w:pPr>
    <w:rPr>
      <w:kern w:val="0"/>
      <w:sz w:val="24"/>
      <w:szCs w:val="20"/>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默认段落字体 Para Char Char Char Char Char Char Char Char Char1 Char Char Char Char"/>
    <w:basedOn w:val="1"/>
    <w:qFormat/>
    <w:uiPriority w:val="0"/>
    <w:rPr>
      <w:rFonts w:ascii="Tahoma" w:hAnsi="Tahoma"/>
      <w:sz w:val="24"/>
      <w:szCs w:val="20"/>
    </w:rPr>
  </w:style>
  <w:style w:type="paragraph" w:customStyle="1" w:styleId="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1">
    <w:name w:val="Table Paragraph"/>
    <w:basedOn w:val="1"/>
    <w:qFormat/>
    <w:uiPriority w:val="1"/>
    <w:pPr>
      <w:jc w:val="left"/>
    </w:pPr>
    <w:rPr>
      <w:rFonts w:ascii="Calibri" w:hAnsi="Calibri"/>
      <w:kern w:val="0"/>
      <w:sz w:val="22"/>
      <w:szCs w:val="22"/>
      <w:lang w:eastAsia="en-US"/>
    </w:rPr>
  </w:style>
  <w:style w:type="paragraph" w:customStyle="1" w:styleId="102">
    <w:name w:val="Char1"/>
    <w:basedOn w:val="1"/>
    <w:qFormat/>
    <w:uiPriority w:val="0"/>
    <w:rPr>
      <w:szCs w:val="21"/>
    </w:rPr>
  </w:style>
  <w:style w:type="paragraph" w:customStyle="1" w:styleId="103">
    <w:name w:val="正文首行缩进两字符"/>
    <w:basedOn w:val="1"/>
    <w:qFormat/>
    <w:uiPriority w:val="0"/>
    <w:pPr>
      <w:spacing w:line="360" w:lineRule="auto"/>
      <w:ind w:firstLine="200" w:firstLineChars="200"/>
    </w:pPr>
  </w:style>
  <w:style w:type="paragraph" w:customStyle="1" w:styleId="104">
    <w:name w:val="表格"/>
    <w:basedOn w:val="1"/>
    <w:qFormat/>
    <w:uiPriority w:val="0"/>
    <w:pPr>
      <w:spacing w:line="400" w:lineRule="exact"/>
    </w:pPr>
    <w:rPr>
      <w:sz w:val="24"/>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纯文本1"/>
    <w:basedOn w:val="1"/>
    <w:qFormat/>
    <w:uiPriority w:val="0"/>
    <w:rPr>
      <w:rFonts w:ascii="宋体" w:hAnsi="Courier New" w:cs="Century"/>
      <w:szCs w:val="21"/>
    </w:rPr>
  </w:style>
  <w:style w:type="paragraph" w:customStyle="1" w:styleId="10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8">
    <w:name w:val="列表段落1"/>
    <w:basedOn w:val="1"/>
    <w:qFormat/>
    <w:uiPriority w:val="99"/>
    <w:pPr>
      <w:ind w:firstLine="420" w:firstLineChars="200"/>
    </w:pPr>
  </w:style>
  <w:style w:type="table" w:customStyle="1" w:styleId="109">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0">
    <w:name w:val="纯文本 Char1"/>
    <w:qFormat/>
    <w:uiPriority w:val="0"/>
    <w:rPr>
      <w:rFonts w:ascii="宋体" w:hAnsi="Courier New" w:eastAsia="宋体" w:cs="Courier New"/>
      <w:szCs w:val="21"/>
    </w:rPr>
  </w:style>
  <w:style w:type="character" w:customStyle="1" w:styleId="111">
    <w:name w:val="标题 5 Char1"/>
    <w:qFormat/>
    <w:uiPriority w:val="0"/>
    <w:rPr>
      <w:b/>
      <w:kern w:val="2"/>
      <w:sz w:val="28"/>
      <w:szCs w:val="24"/>
    </w:rPr>
  </w:style>
  <w:style w:type="character" w:customStyle="1" w:styleId="112">
    <w:name w:val="批注文字 字符2"/>
    <w:qFormat/>
    <w:uiPriority w:val="0"/>
    <w:rPr>
      <w:rFonts w:ascii="Times New Roman" w:hAnsi="Times New Roman"/>
      <w:kern w:val="2"/>
      <w:sz w:val="21"/>
      <w:szCs w:val="24"/>
    </w:rPr>
  </w:style>
  <w:style w:type="character" w:customStyle="1" w:styleId="113">
    <w:name w:val="纯文本 Char"/>
    <w:qFormat/>
    <w:uiPriority w:val="99"/>
    <w:rPr>
      <w:rFonts w:ascii="宋体" w:hAnsi="Courier New" w:eastAsia="宋体" w:cs="Courier New"/>
      <w:szCs w:val="21"/>
    </w:rPr>
  </w:style>
  <w:style w:type="paragraph" w:customStyle="1" w:styleId="114">
    <w:name w:val="正文2"/>
    <w:basedOn w:val="1"/>
    <w:qFormat/>
    <w:uiPriority w:val="0"/>
    <w:pPr>
      <w:adjustRightInd w:val="0"/>
      <w:spacing w:before="156" w:line="360" w:lineRule="auto"/>
      <w:ind w:firstLine="510" w:firstLineChars="200"/>
    </w:pPr>
    <w:rPr>
      <w:sz w:val="24"/>
      <w:szCs w:val="20"/>
    </w:rPr>
  </w:style>
  <w:style w:type="paragraph" w:customStyle="1" w:styleId="115">
    <w:name w:val="文章正文"/>
    <w:basedOn w:val="1"/>
    <w:link w:val="116"/>
    <w:qFormat/>
    <w:uiPriority w:val="0"/>
    <w:pPr>
      <w:spacing w:line="360" w:lineRule="auto"/>
      <w:ind w:firstLine="200" w:firstLineChars="200"/>
    </w:pPr>
    <w:rPr>
      <w:rFonts w:ascii="Calibri" w:hAnsi="Calibri" w:eastAsia="仿宋"/>
      <w:sz w:val="28"/>
      <w:szCs w:val="22"/>
    </w:rPr>
  </w:style>
  <w:style w:type="character" w:customStyle="1" w:styleId="116">
    <w:name w:val="文章正文 Char"/>
    <w:link w:val="115"/>
    <w:qFormat/>
    <w:uiPriority w:val="0"/>
    <w:rPr>
      <w:rFonts w:ascii="Calibri" w:hAnsi="Calibri" w:eastAsia="仿宋"/>
      <w:kern w:val="2"/>
      <w:sz w:val="28"/>
      <w:szCs w:val="22"/>
    </w:rPr>
  </w:style>
  <w:style w:type="paragraph" w:customStyle="1" w:styleId="117">
    <w:name w:val="正文_0_0"/>
    <w:qFormat/>
    <w:uiPriority w:val="0"/>
    <w:pPr>
      <w:widowControl w:val="0"/>
      <w:jc w:val="both"/>
    </w:pPr>
    <w:rPr>
      <w:rFonts w:ascii="Calibri" w:hAnsi="Calibri" w:eastAsia="宋体" w:cs="Calibri"/>
      <w:kern w:val="2"/>
      <w:sz w:val="21"/>
      <w:szCs w:val="21"/>
      <w:lang w:val="en-US" w:eastAsia="zh-CN" w:bidi="ar-SA"/>
    </w:rPr>
  </w:style>
  <w:style w:type="paragraph" w:customStyle="1" w:styleId="118">
    <w:name w:val="Indent Normal"/>
    <w:basedOn w:val="1"/>
    <w:qFormat/>
    <w:uiPriority w:val="0"/>
    <w:pPr>
      <w:ind w:firstLine="150" w:firstLineChars="150"/>
    </w:pPr>
    <w:rPr>
      <w:rFonts w:ascii="Calibri" w:hAnsi="Calibri"/>
      <w:sz w:val="24"/>
    </w:rPr>
  </w:style>
  <w:style w:type="paragraph" w:customStyle="1" w:styleId="119">
    <w:name w:val="正文-首行缩进-自定义"/>
    <w:basedOn w:val="1"/>
    <w:qFormat/>
    <w:uiPriority w:val="0"/>
    <w:pPr>
      <w:overflowPunct w:val="0"/>
      <w:spacing w:line="360" w:lineRule="auto"/>
      <w:ind w:firstLine="200" w:firstLineChars="200"/>
    </w:pPr>
    <w:rPr>
      <w:rFonts w:ascii="宋体" w:hAnsi="Calibri"/>
      <w:sz w:val="24"/>
      <w:szCs w:val="21"/>
    </w:rPr>
  </w:style>
  <w:style w:type="paragraph" w:customStyle="1" w:styleId="120">
    <w:name w:val="表格-文稿-标题"/>
    <w:qFormat/>
    <w:uiPriority w:val="0"/>
    <w:pPr>
      <w:jc w:val="center"/>
    </w:pPr>
    <w:rPr>
      <w:rFonts w:ascii="宋体" w:hAnsi="Calibri" w:eastAsia="宋体" w:cs="Times New Roman"/>
      <w:b/>
      <w:kern w:val="2"/>
      <w:sz w:val="24"/>
      <w:szCs w:val="21"/>
      <w:lang w:val="en-US" w:eastAsia="zh-CN" w:bidi="ar-SA"/>
    </w:rPr>
  </w:style>
  <w:style w:type="paragraph" w:customStyle="1" w:styleId="121">
    <w:name w:val="表格-文稿-内容"/>
    <w:qFormat/>
    <w:uiPriority w:val="0"/>
    <w:pPr>
      <w:jc w:val="both"/>
    </w:pPr>
    <w:rPr>
      <w:rFonts w:ascii="宋体" w:hAnsi="Calibri" w:eastAsia="宋体" w:cs="Times New Roman"/>
      <w:kern w:val="2"/>
      <w:sz w:val="24"/>
      <w:szCs w:val="21"/>
      <w:lang w:val="en-US" w:eastAsia="zh-CN" w:bidi="ar-SA"/>
    </w:rPr>
  </w:style>
  <w:style w:type="paragraph" w:customStyle="1" w:styleId="122">
    <w:name w:val="正文-首行缩进-强调-自定义"/>
    <w:basedOn w:val="119"/>
    <w:next w:val="119"/>
    <w:qFormat/>
    <w:uiPriority w:val="0"/>
    <w:pPr>
      <w:ind w:firstLine="480"/>
    </w:pPr>
    <w:rPr>
      <w:b/>
    </w:rPr>
  </w:style>
  <w:style w:type="table" w:customStyle="1" w:styleId="123">
    <w:name w:val="无格式表格 11"/>
    <w:basedOn w:val="37"/>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24">
    <w:name w:val="网格型浅色1"/>
    <w:basedOn w:val="37"/>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customStyle="1" w:styleId="125">
    <w:name w:val="正文-横线-自定义"/>
    <w:basedOn w:val="1"/>
    <w:next w:val="1"/>
    <w:qFormat/>
    <w:uiPriority w:val="0"/>
    <w:pPr>
      <w:pBdr>
        <w:bottom w:val="thinThickSmallGap" w:color="auto" w:sz="36" w:space="1"/>
      </w:pBdr>
      <w:overflowPunct w:val="0"/>
      <w:spacing w:line="360" w:lineRule="auto"/>
      <w:jc w:val="center"/>
    </w:pPr>
    <w:rPr>
      <w:rFonts w:ascii="宋体" w:hAnsi="Calibri"/>
      <w:sz w:val="24"/>
      <w:szCs w:val="21"/>
    </w:rPr>
  </w:style>
  <w:style w:type="paragraph" w:customStyle="1" w:styleId="126">
    <w:name w:val="正文-嵌入式图片-自定义"/>
    <w:basedOn w:val="125"/>
    <w:next w:val="119"/>
    <w:qFormat/>
    <w:uiPriority w:val="0"/>
    <w:pPr>
      <w:pBdr>
        <w:bottom w:val="none" w:color="auto" w:sz="0" w:space="0"/>
      </w:pBdr>
    </w:pPr>
  </w:style>
  <w:style w:type="paragraph" w:customStyle="1" w:styleId="127">
    <w:name w:val="正文-编号列表-1、-首行缩进-自定义"/>
    <w:basedOn w:val="1"/>
    <w:next w:val="119"/>
    <w:qFormat/>
    <w:uiPriority w:val="0"/>
    <w:pPr>
      <w:overflowPunct w:val="0"/>
      <w:spacing w:line="360" w:lineRule="auto"/>
      <w:ind w:firstLine="400"/>
    </w:pPr>
    <w:rPr>
      <w:rFonts w:ascii="宋体" w:hAnsi="Calibri"/>
      <w:sz w:val="24"/>
      <w:szCs w:val="21"/>
    </w:rPr>
  </w:style>
  <w:style w:type="paragraph" w:customStyle="1" w:styleId="128">
    <w:name w:val="正文-编号列表-（一）-首行缩进-自定义"/>
    <w:basedOn w:val="1"/>
    <w:next w:val="119"/>
    <w:qFormat/>
    <w:uiPriority w:val="0"/>
    <w:pPr>
      <w:overflowPunct w:val="0"/>
      <w:spacing w:line="360" w:lineRule="auto"/>
      <w:ind w:firstLine="200" w:firstLineChars="200"/>
    </w:pPr>
    <w:rPr>
      <w:rFonts w:ascii="宋体" w:hAnsi="Calibri"/>
      <w:b/>
      <w:sz w:val="24"/>
      <w:szCs w:val="21"/>
    </w:rPr>
  </w:style>
  <w:style w:type="paragraph" w:customStyle="1" w:styleId="129">
    <w:name w:val="正文-编号列表-（1）-首行缩进-自定义"/>
    <w:basedOn w:val="1"/>
    <w:next w:val="119"/>
    <w:qFormat/>
    <w:uiPriority w:val="0"/>
    <w:pPr>
      <w:overflowPunct w:val="0"/>
      <w:spacing w:line="360" w:lineRule="auto"/>
      <w:ind w:firstLine="400"/>
    </w:pPr>
    <w:rPr>
      <w:rFonts w:ascii="宋体" w:hAnsi="Calibri"/>
      <w:sz w:val="24"/>
      <w:szCs w:val="21"/>
    </w:rPr>
  </w:style>
  <w:style w:type="paragraph" w:customStyle="1" w:styleId="130">
    <w:name w:val="正文-编号列表-1）-首行缩进-自定义"/>
    <w:basedOn w:val="1"/>
    <w:next w:val="119"/>
    <w:qFormat/>
    <w:uiPriority w:val="0"/>
    <w:pPr>
      <w:overflowPunct w:val="0"/>
      <w:spacing w:line="360" w:lineRule="auto"/>
      <w:ind w:firstLine="400"/>
    </w:pPr>
    <w:rPr>
      <w:rFonts w:ascii="宋体" w:hAnsi="Calibri"/>
      <w:sz w:val="24"/>
      <w:szCs w:val="21"/>
    </w:rPr>
  </w:style>
  <w:style w:type="paragraph" w:customStyle="1" w:styleId="131">
    <w:name w:val="正文-编号列表-1.-首行缩进-自定义"/>
    <w:basedOn w:val="1"/>
    <w:next w:val="119"/>
    <w:qFormat/>
    <w:uiPriority w:val="0"/>
    <w:pPr>
      <w:overflowPunct w:val="0"/>
      <w:spacing w:line="360" w:lineRule="auto"/>
      <w:ind w:firstLine="400"/>
    </w:pPr>
    <w:rPr>
      <w:rFonts w:ascii="宋体" w:hAnsi="Calibri"/>
      <w:sz w:val="24"/>
      <w:szCs w:val="21"/>
    </w:rPr>
  </w:style>
  <w:style w:type="paragraph" w:customStyle="1" w:styleId="132">
    <w:name w:val="表格-清单-内容"/>
    <w:qFormat/>
    <w:uiPriority w:val="0"/>
    <w:pPr>
      <w:autoSpaceDE w:val="0"/>
      <w:autoSpaceDN w:val="0"/>
      <w:adjustRightInd w:val="0"/>
      <w:jc w:val="both"/>
    </w:pPr>
    <w:rPr>
      <w:rFonts w:ascii="等线" w:hAnsi="Calibri" w:eastAsia="等线" w:cs="等线"/>
      <w:bCs/>
      <w:color w:val="000000"/>
      <w:lang w:val="en-US" w:eastAsia="zh-CN" w:bidi="ar-SA"/>
    </w:rPr>
  </w:style>
  <w:style w:type="paragraph" w:customStyle="1" w:styleId="133">
    <w:name w:val="表格-清单-标题"/>
    <w:qFormat/>
    <w:uiPriority w:val="0"/>
    <w:pPr>
      <w:jc w:val="center"/>
    </w:pPr>
    <w:rPr>
      <w:rFonts w:ascii="等线" w:hAnsi="Calibri" w:eastAsia="等线" w:cs="等线"/>
      <w:b/>
      <w:bCs/>
      <w:color w:val="000000"/>
      <w:lang w:val="en-US" w:eastAsia="zh-CN" w:bidi="ar-SA"/>
    </w:rPr>
  </w:style>
  <w:style w:type="paragraph" w:customStyle="1" w:styleId="134">
    <w:name w:val="正文-编号列表-一、-首行缩进--自定义"/>
    <w:basedOn w:val="1"/>
    <w:next w:val="119"/>
    <w:qFormat/>
    <w:uiPriority w:val="0"/>
    <w:pPr>
      <w:widowControl/>
      <w:spacing w:line="360" w:lineRule="auto"/>
      <w:ind w:firstLine="200" w:firstLineChars="200"/>
      <w:jc w:val="left"/>
    </w:pPr>
    <w:rPr>
      <w:rFonts w:ascii="宋体" w:hAnsi="宋体"/>
      <w:b/>
      <w:bCs/>
      <w:kern w:val="0"/>
      <w:sz w:val="24"/>
    </w:rPr>
  </w:style>
  <w:style w:type="table" w:customStyle="1" w:styleId="135">
    <w:name w:val="网格型1"/>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11"/>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7">
    <w:name w:val="正文-编号列表-（1）-悬挂缩进-自定义"/>
    <w:basedOn w:val="1"/>
    <w:next w:val="119"/>
    <w:qFormat/>
    <w:uiPriority w:val="0"/>
    <w:pPr>
      <w:overflowPunct w:val="0"/>
      <w:spacing w:line="360" w:lineRule="auto"/>
      <w:ind w:left="400" w:firstLine="200"/>
    </w:pPr>
    <w:rPr>
      <w:rFonts w:ascii="宋体" w:hAnsi="Calibri"/>
      <w:sz w:val="24"/>
      <w:szCs w:val="21"/>
    </w:rPr>
  </w:style>
  <w:style w:type="table" w:customStyle="1" w:styleId="138">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9">
    <w:name w:val="修订1"/>
    <w:semiHidden/>
    <w:qFormat/>
    <w:uiPriority w:val="99"/>
    <w:rPr>
      <w:rFonts w:ascii="宋体" w:hAnsi="Calibri" w:eastAsia="宋体" w:cs="Times New Roman"/>
      <w:kern w:val="2"/>
      <w:sz w:val="24"/>
      <w:szCs w:val="21"/>
      <w:lang w:val="en-US" w:eastAsia="zh-CN" w:bidi="ar-SA"/>
    </w:rPr>
  </w:style>
  <w:style w:type="table" w:customStyle="1" w:styleId="140">
    <w:name w:val="网格型21"/>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11"/>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211"/>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3">
    <w:name w:val="正文-编号列表-1）-悬挂缩进-自定义"/>
    <w:basedOn w:val="1"/>
    <w:next w:val="119"/>
    <w:qFormat/>
    <w:uiPriority w:val="0"/>
    <w:pPr>
      <w:overflowPunct w:val="0"/>
      <w:spacing w:line="360" w:lineRule="auto"/>
      <w:ind w:left="400" w:firstLine="200"/>
    </w:pPr>
    <w:rPr>
      <w:rFonts w:ascii="宋体" w:hAnsi="Calibri"/>
      <w:sz w:val="24"/>
      <w:szCs w:val="21"/>
    </w:rPr>
  </w:style>
  <w:style w:type="paragraph" w:customStyle="1" w:styleId="144">
    <w:name w:val="副标题-黑体-三号-自定义"/>
    <w:basedOn w:val="27"/>
    <w:qFormat/>
    <w:uiPriority w:val="0"/>
    <w:rPr>
      <w:rFonts w:ascii="Times New Roman" w:hAnsi="Times New Roman" w:eastAsia="黑体"/>
      <w:sz w:val="32"/>
    </w:rPr>
  </w:style>
  <w:style w:type="paragraph" w:customStyle="1" w:styleId="145">
    <w:name w:val="TOC 标题1"/>
    <w:basedOn w:val="3"/>
    <w:next w:val="1"/>
    <w:unhideWhenUsed/>
    <w:qFormat/>
    <w:uiPriority w:val="39"/>
    <w:pPr>
      <w:widowControl/>
      <w:spacing w:before="240" w:after="0" w:line="259" w:lineRule="auto"/>
      <w:jc w:val="left"/>
      <w:outlineLvl w:val="9"/>
    </w:pPr>
    <w:rPr>
      <w:rFonts w:ascii="Cambria" w:hAnsi="Cambria" w:eastAsia="黑体"/>
      <w:bCs w:val="0"/>
      <w:kern w:val="0"/>
      <w:sz w:val="32"/>
      <w:szCs w:val="32"/>
    </w:rPr>
  </w:style>
  <w:style w:type="character" w:customStyle="1" w:styleId="146">
    <w:name w:val="FC正文 Char"/>
    <w:link w:val="147"/>
    <w:qFormat/>
    <w:locked/>
    <w:uiPriority w:val="0"/>
    <w:rPr>
      <w:sz w:val="24"/>
      <w:szCs w:val="28"/>
    </w:rPr>
  </w:style>
  <w:style w:type="paragraph" w:customStyle="1" w:styleId="147">
    <w:name w:val="FC正文"/>
    <w:basedOn w:val="1"/>
    <w:link w:val="146"/>
    <w:qFormat/>
    <w:uiPriority w:val="0"/>
    <w:pPr>
      <w:autoSpaceDE w:val="0"/>
      <w:autoSpaceDN w:val="0"/>
      <w:adjustRightInd w:val="0"/>
      <w:spacing w:line="360" w:lineRule="auto"/>
      <w:ind w:firstLine="200" w:firstLineChars="200"/>
    </w:pPr>
    <w:rPr>
      <w:kern w:val="0"/>
      <w:sz w:val="24"/>
      <w:szCs w:val="28"/>
    </w:rPr>
  </w:style>
  <w:style w:type="table" w:customStyle="1" w:styleId="148">
    <w:name w:val="网格型3"/>
    <w:basedOn w:val="3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9">
    <w:name w:val="纯文本 字符4"/>
    <w:qFormat/>
    <w:uiPriority w:val="0"/>
    <w:rPr>
      <w:rFonts w:ascii="宋体" w:hAnsi="Courier New" w:eastAsia="宋体" w:cs="Courier New"/>
      <w:szCs w:val="21"/>
    </w:rPr>
  </w:style>
  <w:style w:type="character" w:customStyle="1" w:styleId="150">
    <w:name w:val="批注文字 字符3"/>
    <w:qFormat/>
    <w:uiPriority w:val="0"/>
    <w:rPr>
      <w:rFonts w:ascii="Times New Roman" w:hAnsi="Times New Roman"/>
      <w:kern w:val="2"/>
      <w:sz w:val="21"/>
      <w:szCs w:val="24"/>
    </w:rPr>
  </w:style>
  <w:style w:type="character" w:customStyle="1" w:styleId="151">
    <w:name w:val="批注主题 字符"/>
    <w:qFormat/>
    <w:uiPriority w:val="99"/>
    <w:rPr>
      <w:rFonts w:ascii="Times New Roman" w:hAnsi="Times New Roman"/>
      <w:b/>
      <w:bCs/>
      <w:kern w:val="2"/>
      <w:sz w:val="21"/>
      <w:szCs w:val="24"/>
    </w:rPr>
  </w:style>
  <w:style w:type="character" w:customStyle="1" w:styleId="152">
    <w:name w:val="批注文字 字符1"/>
    <w:qFormat/>
    <w:uiPriority w:val="0"/>
    <w:rPr>
      <w:rFonts w:ascii="Times New Roman" w:hAnsi="Times New Roman"/>
      <w:kern w:val="2"/>
      <w:sz w:val="21"/>
      <w:szCs w:val="24"/>
    </w:rPr>
  </w:style>
  <w:style w:type="character" w:customStyle="1" w:styleId="153">
    <w:name w:val="页脚 字符"/>
    <w:qFormat/>
    <w:uiPriority w:val="99"/>
  </w:style>
  <w:style w:type="character" w:customStyle="1" w:styleId="154">
    <w:name w:val="font31"/>
    <w:qFormat/>
    <w:uiPriority w:val="0"/>
    <w:rPr>
      <w:rFonts w:hint="eastAsia" w:ascii="宋体" w:hAnsi="宋体" w:eastAsia="宋体" w:cs="宋体"/>
      <w:color w:val="000000"/>
      <w:sz w:val="20"/>
      <w:szCs w:val="20"/>
      <w:u w:val="none"/>
    </w:rPr>
  </w:style>
  <w:style w:type="character" w:customStyle="1" w:styleId="155">
    <w:name w:val="纯文本 字符3"/>
    <w:qFormat/>
    <w:uiPriority w:val="0"/>
    <w:rPr>
      <w:rFonts w:ascii="宋体" w:hAnsi="Courier New"/>
      <w:szCs w:val="21"/>
    </w:rPr>
  </w:style>
  <w:style w:type="paragraph" w:customStyle="1" w:styleId="156">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157">
    <w:name w:val="List Paragraph"/>
    <w:basedOn w:val="1"/>
    <w:unhideWhenUsed/>
    <w:qFormat/>
    <w:uiPriority w:val="99"/>
    <w:pPr>
      <w:ind w:firstLine="420" w:firstLineChars="200"/>
    </w:pPr>
  </w:style>
  <w:style w:type="paragraph" w:customStyle="1" w:styleId="15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5" Type="http://schemas.openxmlformats.org/officeDocument/2006/relationships/font" Target="fonts/font15.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14218</Words>
  <Characters>15445</Characters>
  <Lines>445</Lines>
  <Paragraphs>125</Paragraphs>
  <TotalTime>5</TotalTime>
  <ScaleCrop>false</ScaleCrop>
  <LinksUpToDate>false</LinksUpToDate>
  <CharactersWithSpaces>15630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2025-05-12T07:38:00Z</dcterms:created>
  <dc:creator>番茄花园</dc:creator>
  <cp:lastModifiedBy>阿智</cp:lastModifiedBy>
  <cp:lastPrinted>2025-07-11T02:56:00Z</cp:lastPrinted>
  <dcterms:modified xsi:type="dcterms:W3CDTF">2025-08-04T02:50:19Z</dcterms:modified>
  <dc:title>公开招标采购文件范本</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0E530132B8D241BF970122A3E79D3F47_13</vt:lpwstr>
  </property>
  <property fmtid="{D5CDD505-2E9C-101B-9397-08002B2CF9AE}" pid="4" name="KSOTemplateDocerSaveRecord">
    <vt:lpwstr>eyJoZGlkIjoiYTc2ZDNlNTE2YzE4MTE4YTk0ZjRkYWIxYjhiZWI1YjYiLCJ1c2VySWQiOiI2MTMzNzI1MjgifQ==</vt:lpwstr>
  </property>
</Properties>
</file>